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10-K</w:t>
      </w:r>
    </w:p>
    <w:p>
      <w:pPr>
        <w:spacing w:after="0" w:line="17" w:lineRule="exact"/>
        <w:rPr>
          <w:sz w:val="24"/>
          <w:szCs w:val="24"/>
          <w:color w:val="auto"/>
        </w:rPr>
      </w:pPr>
    </w:p>
    <w:p>
      <w:pPr>
        <w:ind w:left="29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7" w:lineRule="exact"/>
        <w:rPr>
          <w:sz w:val="24"/>
          <w:szCs w:val="24"/>
          <w:color w:val="auto"/>
        </w:rPr>
      </w:pPr>
    </w:p>
    <w:p>
      <w:pPr>
        <w:ind w:left="360" w:hanging="251"/>
        <w:spacing w:after="0"/>
        <w:tabs>
          <w:tab w:leader="none" w:pos="3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January 31, 2022</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59" w:lineRule="exact"/>
        <w:rPr>
          <w:sz w:val="24"/>
          <w:szCs w:val="24"/>
          <w:color w:val="auto"/>
        </w:rPr>
      </w:pPr>
    </w:p>
    <w:p>
      <w:pPr>
        <w:ind w:left="360" w:hanging="25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340" w:type="dxa"/>
            <w:vAlign w:val="bottom"/>
            <w:gridSpan w:val="4"/>
          </w:tcPr>
          <w:p>
            <w:pPr>
              <w:jc w:val="center"/>
              <w:ind w:right="600"/>
              <w:spacing w:after="0"/>
              <w:rPr>
                <w:sz w:val="20"/>
                <w:szCs w:val="20"/>
                <w:color w:val="auto"/>
              </w:rPr>
            </w:pPr>
            <w:r>
              <w:rPr>
                <w:rFonts w:ascii="Arial" w:cs="Arial" w:eastAsia="Arial" w:hAnsi="Arial"/>
                <w:sz w:val="14"/>
                <w:szCs w:val="14"/>
                <w:color w:val="auto"/>
                <w:w w:val="95"/>
              </w:rPr>
              <w:t>For the transition period from to</w:t>
            </w:r>
          </w:p>
        </w:tc>
        <w:tc>
          <w:tcPr>
            <w:tcW w:w="25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1"/>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Commission File Number: 001-38933</w:t>
            </w: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35"/>
        </w:trPr>
        <w:tc>
          <w:tcPr>
            <w:tcW w:w="10640" w:type="dxa"/>
            <w:vAlign w:val="bottom"/>
            <w:gridSpan w:val="8"/>
          </w:tcPr>
          <w:p>
            <w:pPr>
              <w:jc w:val="center"/>
              <w:ind w:left="556"/>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___________________________________________________________________________________________________</w:t>
            </w:r>
          </w:p>
        </w:tc>
        <w:tc>
          <w:tcPr>
            <w:tcW w:w="620" w:type="dxa"/>
            <w:vAlign w:val="bottom"/>
          </w:tcPr>
          <w:p>
            <w:pPr>
              <w:spacing w:after="0"/>
              <w:rPr>
                <w:sz w:val="11"/>
                <w:szCs w:val="11"/>
                <w:color w:val="auto"/>
              </w:rPr>
            </w:pPr>
          </w:p>
        </w:tc>
      </w:tr>
      <w:tr>
        <w:trPr>
          <w:trHeight w:val="184"/>
        </w:trPr>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340" w:type="dxa"/>
            <w:vAlign w:val="bottom"/>
            <w:gridSpan w:val="4"/>
          </w:tcPr>
          <w:p>
            <w:pPr>
              <w:jc w:val="center"/>
              <w:ind w:right="600"/>
              <w:spacing w:after="0"/>
              <w:rPr>
                <w:sz w:val="20"/>
                <w:szCs w:val="20"/>
                <w:color w:val="auto"/>
              </w:rPr>
            </w:pPr>
            <w:r>
              <w:rPr>
                <w:rFonts w:ascii="Arial" w:cs="Arial" w:eastAsia="Arial" w:hAnsi="Arial"/>
                <w:sz w:val="16"/>
                <w:szCs w:val="16"/>
                <w:b w:val="1"/>
                <w:bCs w:val="1"/>
                <w:color w:val="auto"/>
              </w:rPr>
              <w:t>CROWDSTRIKE HOLDINGS, INC.</w:t>
            </w:r>
          </w:p>
        </w:tc>
        <w:tc>
          <w:tcPr>
            <w:tcW w:w="25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67"/>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3"/>
              </w:rPr>
              <w:t>(Exact Name of Registrant as Specified in Its Charter)</w:t>
            </w: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0"/>
        </w:trPr>
        <w:tc>
          <w:tcPr>
            <w:tcW w:w="10640" w:type="dxa"/>
            <w:vAlign w:val="bottom"/>
            <w:gridSpan w:val="8"/>
          </w:tcPr>
          <w:p>
            <w:pPr>
              <w:jc w:val="center"/>
              <w:ind w:left="556"/>
              <w:spacing w:after="0"/>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___________________________________________________________________________________________________</w:t>
            </w:r>
          </w:p>
        </w:tc>
        <w:tc>
          <w:tcPr>
            <w:tcW w:w="620" w:type="dxa"/>
            <w:vAlign w:val="bottom"/>
          </w:tcPr>
          <w:p>
            <w:pPr>
              <w:spacing w:after="0"/>
              <w:rPr>
                <w:sz w:val="12"/>
                <w:szCs w:val="12"/>
                <w:color w:val="auto"/>
              </w:rPr>
            </w:pPr>
          </w:p>
        </w:tc>
      </w:tr>
      <w:tr>
        <w:trPr>
          <w:trHeight w:val="199"/>
        </w:trPr>
        <w:tc>
          <w:tcPr>
            <w:tcW w:w="1000" w:type="dxa"/>
            <w:vAlign w:val="bottom"/>
          </w:tcPr>
          <w:p>
            <w:pPr>
              <w:spacing w:after="0"/>
              <w:rPr>
                <w:sz w:val="17"/>
                <w:szCs w:val="17"/>
                <w:color w:val="auto"/>
              </w:rPr>
            </w:pPr>
          </w:p>
        </w:tc>
        <w:tc>
          <w:tcPr>
            <w:tcW w:w="2760" w:type="dxa"/>
            <w:vAlign w:val="bottom"/>
            <w:gridSpan w:val="2"/>
          </w:tcPr>
          <w:p>
            <w:pPr>
              <w:jc w:val="center"/>
              <w:ind w:right="1419"/>
              <w:spacing w:after="0"/>
              <w:rPr>
                <w:sz w:val="20"/>
                <w:szCs w:val="20"/>
                <w:color w:val="auto"/>
              </w:rPr>
            </w:pPr>
            <w:r>
              <w:rPr>
                <w:rFonts w:ascii="Arial" w:cs="Arial" w:eastAsia="Arial" w:hAnsi="Arial"/>
                <w:sz w:val="14"/>
                <w:szCs w:val="14"/>
                <w:b w:val="1"/>
                <w:bCs w:val="1"/>
                <w:color w:val="auto"/>
                <w:w w:val="94"/>
              </w:rPr>
              <w:t>Delaware</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540" w:type="dxa"/>
            <w:vAlign w:val="bottom"/>
          </w:tcPr>
          <w:p>
            <w:pPr>
              <w:jc w:val="center"/>
              <w:ind w:left="708"/>
              <w:spacing w:after="0"/>
              <w:rPr>
                <w:sz w:val="20"/>
                <w:szCs w:val="20"/>
                <w:color w:val="auto"/>
              </w:rPr>
            </w:pPr>
            <w:r>
              <w:rPr>
                <w:rFonts w:ascii="Arial" w:cs="Arial" w:eastAsia="Arial" w:hAnsi="Arial"/>
                <w:sz w:val="14"/>
                <w:szCs w:val="14"/>
                <w:b w:val="1"/>
                <w:bCs w:val="1"/>
                <w:color w:val="auto"/>
                <w:w w:val="90"/>
              </w:rPr>
              <w:t>45-3788918</w:t>
            </w:r>
          </w:p>
        </w:tc>
        <w:tc>
          <w:tcPr>
            <w:tcW w:w="620" w:type="dxa"/>
            <w:vAlign w:val="bottom"/>
          </w:tcPr>
          <w:p>
            <w:pPr>
              <w:spacing w:after="0"/>
              <w:rPr>
                <w:sz w:val="17"/>
                <w:szCs w:val="17"/>
                <w:color w:val="auto"/>
              </w:rPr>
            </w:pPr>
          </w:p>
        </w:tc>
      </w:tr>
      <w:tr>
        <w:trPr>
          <w:trHeight w:val="147"/>
        </w:trPr>
        <w:tc>
          <w:tcPr>
            <w:tcW w:w="3760" w:type="dxa"/>
            <w:vAlign w:val="bottom"/>
            <w:gridSpan w:val="3"/>
          </w:tcPr>
          <w:p>
            <w:pPr>
              <w:jc w:val="center"/>
              <w:ind w:right="479"/>
              <w:spacing w:after="0" w:line="147" w:lineRule="exact"/>
              <w:rPr>
                <w:sz w:val="20"/>
                <w:szCs w:val="20"/>
                <w:color w:val="auto"/>
              </w:rPr>
            </w:pPr>
            <w:r>
              <w:rPr>
                <w:rFonts w:ascii="Arial" w:cs="Arial" w:eastAsia="Arial" w:hAnsi="Arial"/>
                <w:sz w:val="14"/>
                <w:szCs w:val="14"/>
                <w:color w:val="auto"/>
                <w:w w:val="95"/>
              </w:rPr>
              <w:t>(State or other jurisdiction of</w:t>
            </w: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60" w:type="dxa"/>
            <w:vAlign w:val="bottom"/>
            <w:gridSpan w:val="2"/>
          </w:tcPr>
          <w:p>
            <w:pPr>
              <w:jc w:val="center"/>
              <w:ind w:left="68"/>
              <w:spacing w:after="0" w:line="147" w:lineRule="exact"/>
              <w:rPr>
                <w:sz w:val="20"/>
                <w:szCs w:val="20"/>
                <w:color w:val="auto"/>
              </w:rPr>
            </w:pPr>
            <w:r>
              <w:rPr>
                <w:rFonts w:ascii="Arial" w:cs="Arial" w:eastAsia="Arial" w:hAnsi="Arial"/>
                <w:sz w:val="14"/>
                <w:szCs w:val="14"/>
                <w:color w:val="auto"/>
                <w:w w:val="95"/>
              </w:rPr>
              <w:t>(I.R.S. Employer</w:t>
            </w:r>
          </w:p>
        </w:tc>
      </w:tr>
      <w:tr>
        <w:trPr>
          <w:trHeight w:val="182"/>
        </w:trPr>
        <w:tc>
          <w:tcPr>
            <w:tcW w:w="3760" w:type="dxa"/>
            <w:vAlign w:val="bottom"/>
            <w:gridSpan w:val="3"/>
          </w:tcPr>
          <w:p>
            <w:pPr>
              <w:jc w:val="center"/>
              <w:ind w:right="439"/>
              <w:spacing w:after="0"/>
              <w:rPr>
                <w:sz w:val="20"/>
                <w:szCs w:val="20"/>
                <w:color w:val="auto"/>
              </w:rPr>
            </w:pPr>
            <w:r>
              <w:rPr>
                <w:rFonts w:ascii="Arial" w:cs="Arial" w:eastAsia="Arial" w:hAnsi="Arial"/>
                <w:sz w:val="14"/>
                <w:szCs w:val="14"/>
                <w:color w:val="auto"/>
                <w:w w:val="94"/>
              </w:rPr>
              <w:t>incorporation or organization)</w:t>
            </w: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60" w:type="dxa"/>
            <w:vAlign w:val="bottom"/>
            <w:gridSpan w:val="2"/>
          </w:tcPr>
          <w:p>
            <w:pPr>
              <w:jc w:val="center"/>
              <w:ind w:left="88"/>
              <w:spacing w:after="0"/>
              <w:rPr>
                <w:sz w:val="20"/>
                <w:szCs w:val="20"/>
                <w:color w:val="auto"/>
              </w:rPr>
            </w:pPr>
            <w:r>
              <w:rPr>
                <w:rFonts w:ascii="Arial" w:cs="Arial" w:eastAsia="Arial" w:hAnsi="Arial"/>
                <w:sz w:val="14"/>
                <w:szCs w:val="14"/>
                <w:color w:val="auto"/>
                <w:w w:val="96"/>
              </w:rPr>
              <w:t>Identification Number)</w:t>
            </w:r>
          </w:p>
        </w:tc>
      </w:tr>
      <w:tr>
        <w:trPr>
          <w:trHeight w:val="346"/>
        </w:trPr>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2"/>
              </w:rPr>
              <w:t>206 E. 9th Street, Suite 1400, Austin, Texas 78701</w:t>
            </w: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5"/>
              </w:rPr>
              <w:t>(Address of principal executive offices)</w:t>
            </w:r>
          </w:p>
        </w:tc>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76"/>
        </w:trPr>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340" w:type="dxa"/>
            <w:vAlign w:val="bottom"/>
            <w:gridSpan w:val="5"/>
          </w:tcPr>
          <w:p>
            <w:pPr>
              <w:jc w:val="center"/>
              <w:ind w:left="319"/>
              <w:spacing w:after="0"/>
              <w:rPr>
                <w:sz w:val="20"/>
                <w:szCs w:val="20"/>
                <w:color w:val="auto"/>
              </w:rPr>
            </w:pPr>
            <w:r>
              <w:rPr>
                <w:rFonts w:ascii="Arial" w:cs="Arial" w:eastAsia="Arial" w:hAnsi="Arial"/>
                <w:sz w:val="16"/>
                <w:szCs w:val="16"/>
                <w:b w:val="1"/>
                <w:bCs w:val="1"/>
                <w:color w:val="auto"/>
                <w:w w:val="90"/>
              </w:rPr>
              <w:t>Registrant’s telephone number, including area code: (888) 512-8906</w:t>
            </w:r>
          </w:p>
        </w:tc>
        <w:tc>
          <w:tcPr>
            <w:tcW w:w="2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10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5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
        </w:trPr>
        <w:tc>
          <w:tcPr>
            <w:tcW w:w="1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42"/>
        </w:trPr>
        <w:tc>
          <w:tcPr>
            <w:tcW w:w="3760" w:type="dxa"/>
            <w:vAlign w:val="bottom"/>
            <w:tcBorders>
              <w:left w:val="single" w:sz="8" w:color="auto"/>
              <w:right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2"/>
              </w:rPr>
              <w:t>Title of each class of securities</w:t>
            </w:r>
          </w:p>
        </w:tc>
        <w:tc>
          <w:tcPr>
            <w:tcW w:w="1320" w:type="dxa"/>
            <w:vAlign w:val="bottom"/>
          </w:tcPr>
          <w:p>
            <w:pPr>
              <w:spacing w:after="0"/>
              <w:rPr>
                <w:sz w:val="12"/>
                <w:szCs w:val="12"/>
                <w:color w:val="auto"/>
              </w:rPr>
            </w:pPr>
          </w:p>
        </w:tc>
        <w:tc>
          <w:tcPr>
            <w:tcW w:w="2420" w:type="dxa"/>
            <w:vAlign w:val="bottom"/>
            <w:tcBorders>
              <w:right w:val="single" w:sz="8" w:color="auto"/>
            </w:tcBorders>
            <w:gridSpan w:val="2"/>
          </w:tcPr>
          <w:p>
            <w:pPr>
              <w:jc w:val="center"/>
              <w:ind w:right="1360"/>
              <w:spacing w:after="0" w:line="142" w:lineRule="exact"/>
              <w:rPr>
                <w:sz w:val="20"/>
                <w:szCs w:val="20"/>
                <w:color w:val="auto"/>
              </w:rPr>
            </w:pPr>
            <w:r>
              <w:rPr>
                <w:rFonts w:ascii="Arial" w:cs="Arial" w:eastAsia="Arial" w:hAnsi="Arial"/>
                <w:sz w:val="14"/>
                <w:szCs w:val="14"/>
                <w:color w:val="auto"/>
                <w:w w:val="94"/>
              </w:rPr>
              <w:t>Trading symbol(s)</w:t>
            </w:r>
          </w:p>
        </w:tc>
        <w:tc>
          <w:tcPr>
            <w:tcW w:w="600" w:type="dxa"/>
            <w:vAlign w:val="bottom"/>
          </w:tcPr>
          <w:p>
            <w:pPr>
              <w:spacing w:after="0"/>
              <w:rPr>
                <w:sz w:val="12"/>
                <w:szCs w:val="12"/>
                <w:color w:val="auto"/>
              </w:rPr>
            </w:pPr>
          </w:p>
        </w:tc>
        <w:tc>
          <w:tcPr>
            <w:tcW w:w="3160" w:type="dxa"/>
            <w:vAlign w:val="bottom"/>
            <w:tcBorders>
              <w:right w:val="single" w:sz="8" w:color="auto"/>
            </w:tcBorders>
            <w:gridSpan w:val="2"/>
          </w:tcPr>
          <w:p>
            <w:pPr>
              <w:jc w:val="center"/>
              <w:ind w:right="620"/>
              <w:spacing w:after="0" w:line="142" w:lineRule="exact"/>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1000" w:type="dxa"/>
            <w:vAlign w:val="bottom"/>
            <w:tcBorders>
              <w:left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176"/>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2"/>
              </w:rPr>
              <w:t>Class A common stock, par value $0.0005 per share</w:t>
            </w:r>
          </w:p>
        </w:tc>
        <w:tc>
          <w:tcPr>
            <w:tcW w:w="1320" w:type="dxa"/>
            <w:vAlign w:val="bottom"/>
          </w:tcPr>
          <w:p>
            <w:pPr>
              <w:spacing w:after="0"/>
              <w:rPr>
                <w:sz w:val="15"/>
                <w:szCs w:val="15"/>
                <w:color w:val="auto"/>
              </w:rPr>
            </w:pPr>
          </w:p>
        </w:tc>
        <w:tc>
          <w:tcPr>
            <w:tcW w:w="2420" w:type="dxa"/>
            <w:vAlign w:val="bottom"/>
            <w:tcBorders>
              <w:right w:val="single" w:sz="8" w:color="auto"/>
            </w:tcBorders>
            <w:gridSpan w:val="2"/>
          </w:tcPr>
          <w:p>
            <w:pPr>
              <w:jc w:val="center"/>
              <w:ind w:right="1360"/>
              <w:spacing w:after="0"/>
              <w:rPr>
                <w:sz w:val="20"/>
                <w:szCs w:val="20"/>
                <w:color w:val="auto"/>
              </w:rPr>
            </w:pPr>
            <w:r>
              <w:rPr>
                <w:rFonts w:ascii="Arial" w:cs="Arial" w:eastAsia="Arial" w:hAnsi="Arial"/>
                <w:sz w:val="14"/>
                <w:szCs w:val="14"/>
                <w:color w:val="auto"/>
                <w:w w:val="96"/>
              </w:rPr>
              <w:t>CRWD</w:t>
            </w:r>
          </w:p>
        </w:tc>
        <w:tc>
          <w:tcPr>
            <w:tcW w:w="600" w:type="dxa"/>
            <w:vAlign w:val="bottom"/>
          </w:tcPr>
          <w:p>
            <w:pPr>
              <w:spacing w:after="0"/>
              <w:rPr>
                <w:sz w:val="15"/>
                <w:szCs w:val="15"/>
                <w:color w:val="auto"/>
              </w:rPr>
            </w:pPr>
          </w:p>
        </w:tc>
        <w:tc>
          <w:tcPr>
            <w:tcW w:w="31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4"/>
                <w:szCs w:val="14"/>
                <w:color w:val="auto"/>
                <w:w w:val="95"/>
              </w:rPr>
              <w:t>The Nasdaq Stock Market LLC</w:t>
            </w:r>
          </w:p>
        </w:tc>
      </w:tr>
      <w:tr>
        <w:trPr>
          <w:trHeight w:val="197"/>
        </w:trPr>
        <w:tc>
          <w:tcPr>
            <w:tcW w:w="1000" w:type="dxa"/>
            <w:vAlign w:val="bottom"/>
            <w:tcBorders>
              <w:left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4"/>
                <w:szCs w:val="14"/>
                <w:color w:val="auto"/>
                <w:w w:val="92"/>
              </w:rPr>
              <w:t>(Nasdaq Global Select Market)</w:t>
            </w:r>
          </w:p>
        </w:tc>
      </w:tr>
      <w:tr>
        <w:trPr>
          <w:trHeight w:val="39"/>
        </w:trPr>
        <w:tc>
          <w:tcPr>
            <w:tcW w:w="1000" w:type="dxa"/>
            <w:vAlign w:val="bottom"/>
            <w:tcBorders>
              <w:left w:val="single" w:sz="8" w:color="auto"/>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r>
      <w:tr>
        <w:trPr>
          <w:trHeight w:val="218"/>
        </w:trPr>
        <w:tc>
          <w:tcPr>
            <w:tcW w:w="10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340" w:type="dxa"/>
            <w:vAlign w:val="bottom"/>
            <w:gridSpan w:val="4"/>
          </w:tcPr>
          <w:p>
            <w:pPr>
              <w:jc w:val="center"/>
              <w:ind w:right="620"/>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67"/>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20" w:type="dxa"/>
            <w:vAlign w:val="bottom"/>
            <w:gridSpan w:val="3"/>
          </w:tcPr>
          <w:p>
            <w:pPr>
              <w:jc w:val="center"/>
              <w:ind w:right="1920"/>
              <w:spacing w:after="0"/>
              <w:rPr>
                <w:sz w:val="20"/>
                <w:szCs w:val="20"/>
                <w:color w:val="auto"/>
              </w:rPr>
            </w:pPr>
            <w:r>
              <w:rPr>
                <w:rFonts w:ascii="Arial" w:cs="Arial" w:eastAsia="Arial" w:hAnsi="Arial"/>
                <w:sz w:val="14"/>
                <w:szCs w:val="14"/>
                <w:color w:val="auto"/>
                <w:w w:val="90"/>
              </w:rPr>
              <w:t>None.</w:t>
            </w: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23"/>
        </w:trPr>
        <w:tc>
          <w:tcPr>
            <w:tcW w:w="10640" w:type="dxa"/>
            <w:vAlign w:val="bottom"/>
            <w:gridSpan w:val="8"/>
          </w:tcPr>
          <w:p>
            <w:pPr>
              <w:jc w:val="center"/>
              <w:ind w:left="556"/>
              <w:spacing w:after="0" w:line="123" w:lineRule="exact"/>
              <w:rPr>
                <w:sz w:val="20"/>
                <w:szCs w:val="20"/>
                <w:color w:val="auto"/>
              </w:rPr>
            </w:pPr>
            <w:r>
              <w:rPr>
                <w:rFonts w:ascii="Arial" w:cs="Arial" w:eastAsia="Arial" w:hAnsi="Arial"/>
                <w:sz w:val="11"/>
                <w:szCs w:val="11"/>
                <w:b w:val="1"/>
                <w:bCs w:val="1"/>
                <w:color w:val="auto"/>
                <w:w w:val="88"/>
              </w:rPr>
              <w:t>___________________________________________________________________________________________________</w:t>
            </w:r>
          </w:p>
        </w:tc>
        <w:tc>
          <w:tcPr>
            <w:tcW w:w="620" w:type="dxa"/>
            <w:vAlign w:val="bottom"/>
          </w:tcPr>
          <w:p>
            <w:pPr>
              <w:spacing w:after="0"/>
              <w:rPr>
                <w:sz w:val="10"/>
                <w:szCs w:val="10"/>
                <w:color w:val="auto"/>
              </w:rPr>
            </w:pPr>
          </w:p>
        </w:tc>
      </w:tr>
    </w:tbl>
    <w:p>
      <w:pPr>
        <w:ind w:right="2440"/>
        <w:spacing w:after="0" w:line="22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of 1933, as amended.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24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12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46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320" w:type="dxa"/>
        <w:tblCellMar>
          <w:top w:w="0" w:type="dxa"/>
          <w:left w:w="0" w:type="dxa"/>
          <w:bottom w:w="0" w:type="dxa"/>
          <w:right w:w="0" w:type="dxa"/>
        </w:tblCellMar>
      </w:tblPr>
      <w:tr>
        <w:trPr>
          <w:trHeight w:val="203"/>
        </w:trPr>
        <w:tc>
          <w:tcPr>
            <w:tcW w:w="3320" w:type="dxa"/>
            <w:vAlign w:val="bottom"/>
          </w:tcPr>
          <w:p>
            <w:pPr>
              <w:jc w:val="center"/>
              <w:ind w:right="608"/>
              <w:spacing w:after="0"/>
              <w:rPr>
                <w:sz w:val="20"/>
                <w:szCs w:val="20"/>
                <w:color w:val="auto"/>
              </w:rPr>
            </w:pPr>
            <w:r>
              <w:rPr>
                <w:rFonts w:ascii="Arial" w:cs="Arial" w:eastAsia="Arial" w:hAnsi="Arial"/>
                <w:sz w:val="14"/>
                <w:szCs w:val="14"/>
                <w:color w:val="auto"/>
                <w:w w:val="93"/>
              </w:rPr>
              <w:t>Large Accelerated Filer</w:t>
            </w:r>
          </w:p>
        </w:tc>
        <w:tc>
          <w:tcPr>
            <w:tcW w:w="1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jc w:val="center"/>
              <w:ind w:left="8"/>
              <w:spacing w:after="0"/>
              <w:rPr>
                <w:sz w:val="20"/>
                <w:szCs w:val="20"/>
                <w:color w:val="auto"/>
              </w:rPr>
            </w:pPr>
            <w:r>
              <w:rPr>
                <w:rFonts w:ascii="Arial" w:cs="Arial" w:eastAsia="Arial" w:hAnsi="Arial"/>
                <w:sz w:val="14"/>
                <w:szCs w:val="14"/>
                <w:color w:val="auto"/>
                <w:w w:val="95"/>
              </w:rPr>
              <w:t>Accelerated Filer</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3320" w:type="dxa"/>
            <w:vAlign w:val="bottom"/>
          </w:tcPr>
          <w:p>
            <w:pPr>
              <w:jc w:val="center"/>
              <w:ind w:right="588"/>
              <w:spacing w:after="0"/>
              <w:rPr>
                <w:sz w:val="20"/>
                <w:szCs w:val="20"/>
                <w:color w:val="auto"/>
              </w:rPr>
            </w:pPr>
            <w:r>
              <w:rPr>
                <w:rFonts w:ascii="Arial" w:cs="Arial" w:eastAsia="Arial" w:hAnsi="Arial"/>
                <w:sz w:val="14"/>
                <w:szCs w:val="14"/>
                <w:color w:val="auto"/>
                <w:w w:val="94"/>
              </w:rPr>
              <w:t>Non-accelerated Filer</w:t>
            </w:r>
          </w:p>
        </w:tc>
        <w:tc>
          <w:tcPr>
            <w:tcW w:w="1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jc w:val="center"/>
              <w:ind w:left="8"/>
              <w:spacing w:after="0"/>
              <w:rPr>
                <w:sz w:val="20"/>
                <w:szCs w:val="20"/>
                <w:color w:val="auto"/>
              </w:rPr>
            </w:pPr>
            <w:r>
              <w:rPr>
                <w:rFonts w:ascii="Arial" w:cs="Arial" w:eastAsia="Arial" w:hAnsi="Arial"/>
                <w:sz w:val="14"/>
                <w:szCs w:val="14"/>
                <w:color w:val="auto"/>
                <w:w w:val="93"/>
              </w:rPr>
              <w:t>Smaller reporting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320" w:type="dxa"/>
            <w:vAlign w:val="bottom"/>
          </w:tcPr>
          <w:p>
            <w:pPr>
              <w:jc w:val="center"/>
              <w:ind w:right="588"/>
              <w:spacing w:after="0"/>
              <w:rPr>
                <w:sz w:val="20"/>
                <w:szCs w:val="20"/>
                <w:color w:val="auto"/>
              </w:rPr>
            </w:pPr>
            <w:r>
              <w:rPr>
                <w:rFonts w:ascii="Arial" w:cs="Arial" w:eastAsia="Arial" w:hAnsi="Arial"/>
                <w:sz w:val="14"/>
                <w:szCs w:val="14"/>
                <w:color w:val="auto"/>
                <w:w w:val="94"/>
              </w:rPr>
              <w:t>(Do not check if a smaller reporting company)</w:t>
            </w:r>
          </w:p>
        </w:tc>
        <w:tc>
          <w:tcPr>
            <w:tcW w:w="1780" w:type="dxa"/>
            <w:vAlign w:val="bottom"/>
          </w:tcPr>
          <w:p>
            <w:pPr>
              <w:spacing w:after="0"/>
              <w:rPr>
                <w:sz w:val="19"/>
                <w:szCs w:val="19"/>
                <w:color w:val="auto"/>
              </w:rPr>
            </w:pPr>
          </w:p>
        </w:tc>
        <w:tc>
          <w:tcPr>
            <w:tcW w:w="3440" w:type="dxa"/>
            <w:vAlign w:val="bottom"/>
          </w:tcPr>
          <w:p>
            <w:pPr>
              <w:jc w:val="center"/>
              <w:ind w:left="8"/>
              <w:spacing w:after="0"/>
              <w:rPr>
                <w:sz w:val="20"/>
                <w:szCs w:val="20"/>
                <w:color w:val="auto"/>
              </w:rPr>
            </w:pPr>
            <w:r>
              <w:rPr>
                <w:rFonts w:ascii="Arial" w:cs="Arial" w:eastAsia="Arial" w:hAnsi="Arial"/>
                <w:sz w:val="14"/>
                <w:szCs w:val="14"/>
                <w:color w:val="auto"/>
                <w:w w:val="93"/>
              </w:rPr>
              <w:t>Emerging growth company</w:t>
            </w:r>
          </w:p>
        </w:tc>
        <w:tc>
          <w:tcPr>
            <w:tcW w:w="1020" w:type="dxa"/>
            <w:vAlign w:val="bottom"/>
          </w:tcPr>
          <w:p>
            <w:pPr>
              <w:ind w:left="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5" w:lineRule="exact"/>
        <w:rPr>
          <w:sz w:val="24"/>
          <w:szCs w:val="24"/>
          <w:color w:val="auto"/>
        </w:rPr>
      </w:pPr>
    </w:p>
    <w:p>
      <w:pPr>
        <w:ind w:right="58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right="80"/>
        <w:spacing w:after="0" w:line="16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100"/>
        <w:spacing w:after="0" w:line="290"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a share of the registrant’s common stock on July 31, 2021 (the last business day of the registrant’s most recently completed second fiscal quarter) as reported by the Nasdaq Global Select Market on such date was approximately $51.5 billion.</w:t>
      </w:r>
    </w:p>
    <w:p>
      <w:pPr>
        <w:spacing w:after="0" w:line="44" w:lineRule="exact"/>
        <w:rPr>
          <w:sz w:val="24"/>
          <w:szCs w:val="24"/>
          <w:color w:val="auto"/>
        </w:rPr>
      </w:pPr>
    </w:p>
    <w:p>
      <w:pPr>
        <w:ind w:right="520"/>
        <w:spacing w:after="0" w:line="253" w:lineRule="auto"/>
        <w:rPr>
          <w:sz w:val="20"/>
          <w:szCs w:val="20"/>
          <w:color w:val="auto"/>
        </w:rPr>
      </w:pPr>
      <w:r>
        <w:rPr>
          <w:rFonts w:ascii="Arial" w:cs="Arial" w:eastAsia="Arial" w:hAnsi="Arial"/>
          <w:sz w:val="14"/>
          <w:szCs w:val="14"/>
          <w:color w:val="auto"/>
        </w:rPr>
        <w:t>As of February 28, 2022, the number of shares of the registrant’s Class A common stock outstanding was 210,058,133, and the number of shares of the registrant’s Class B common stock outstanding was 20,709,727.</w:t>
      </w:r>
    </w:p>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3" w:lineRule="exact"/>
        <w:rPr>
          <w:sz w:val="24"/>
          <w:szCs w:val="24"/>
          <w:color w:val="auto"/>
        </w:rPr>
      </w:pPr>
    </w:p>
    <w:p>
      <w:pPr>
        <w:ind w:right="300"/>
        <w:spacing w:after="0" w:line="312" w:lineRule="auto"/>
        <w:rPr>
          <w:sz w:val="20"/>
          <w:szCs w:val="20"/>
          <w:color w:val="auto"/>
        </w:rPr>
      </w:pPr>
      <w:r>
        <w:rPr>
          <w:rFonts w:ascii="Arial" w:cs="Arial" w:eastAsia="Arial" w:hAnsi="Arial"/>
          <w:sz w:val="13"/>
          <w:szCs w:val="13"/>
          <w:color w:val="auto"/>
        </w:rPr>
        <w:t>Portions of the registrant’s definitive Proxy Statement relating to its 2022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340" w:type="dxa"/>
            <w:vAlign w:val="bottom"/>
            <w:gridSpan w:val="19"/>
          </w:tcPr>
          <w:p>
            <w:pPr>
              <w:jc w:val="center"/>
              <w:ind w:right="2740"/>
              <w:spacing w:after="0"/>
              <w:rPr>
                <w:sz w:val="20"/>
                <w:szCs w:val="20"/>
                <w:color w:val="auto"/>
              </w:rPr>
            </w:pPr>
            <w:r>
              <w:rPr>
                <w:rFonts w:ascii="Arial" w:cs="Arial" w:eastAsia="Arial" w:hAnsi="Arial"/>
                <w:sz w:val="18"/>
                <w:szCs w:val="18"/>
                <w:b w:val="1"/>
                <w:bCs w:val="1"/>
                <w:color w:val="auto"/>
              </w:rPr>
              <w:t>CROWDSTRIKE HOLDINGS, INC.</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20" w:type="dxa"/>
            <w:vAlign w:val="bottom"/>
            <w:gridSpan w:val="18"/>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0" w:type="dxa"/>
            <w:vAlign w:val="bottom"/>
            <w:gridSpan w:val="13"/>
            <w:vMerge w:val="restart"/>
          </w:tcPr>
          <w:p>
            <w:pPr>
              <w:jc w:val="center"/>
              <w:ind w:right="4340"/>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Part I</w:t>
              </w:r>
            </w:hyperlink>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0" w:type="dxa"/>
            <w:vAlign w:val="bottom"/>
            <w:gridSpan w:val="13"/>
            <w:vMerge w:val="continue"/>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380" w:type="dxa"/>
            <w:vAlign w:val="bottom"/>
            <w:gridSpan w:val="2"/>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3840" w:type="dxa"/>
            <w:vAlign w:val="bottom"/>
            <w:gridSpan w:val="16"/>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380" w:type="dxa"/>
            <w:vAlign w:val="bottom"/>
            <w:gridSpan w:val="11"/>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w w:val="83"/>
              </w:rPr>
            </w:pPr>
            <w:hyperlink w:anchor="page20">
              <w:r>
                <w:rPr>
                  <w:rFonts w:ascii="Arial" w:cs="Arial" w:eastAsia="Arial" w:hAnsi="Arial"/>
                  <w:sz w:val="18"/>
                  <w:szCs w:val="18"/>
                  <w:color w:val="0000FF"/>
                  <w:w w:val="83"/>
                </w:rPr>
                <w:t>Item 1A.</w:t>
              </w:r>
            </w:hyperlink>
          </w:p>
        </w:tc>
        <w:tc>
          <w:tcPr>
            <w:tcW w:w="300" w:type="dxa"/>
            <w:vAlign w:val="bottom"/>
          </w:tcPr>
          <w:p>
            <w:pPr>
              <w:spacing w:after="0"/>
              <w:rPr>
                <w:sz w:val="18"/>
                <w:szCs w:val="18"/>
                <w:color w:val="auto"/>
              </w:rPr>
            </w:pPr>
          </w:p>
        </w:tc>
        <w:tc>
          <w:tcPr>
            <w:tcW w:w="9240" w:type="dxa"/>
            <w:vAlign w:val="bottom"/>
            <w:gridSpan w:val="2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Risk Factors</w:t>
              </w:r>
            </w:hyperlink>
          </w:p>
        </w:tc>
        <w:tc>
          <w:tcPr>
            <w:tcW w:w="1060" w:type="dxa"/>
            <w:vAlign w:val="bottom"/>
            <w:gridSpan w:val="4"/>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w w:val="83"/>
              </w:rPr>
            </w:pPr>
            <w:hyperlink w:anchor="page52">
              <w:r>
                <w:rPr>
                  <w:rFonts w:ascii="Arial" w:cs="Arial" w:eastAsia="Arial" w:hAnsi="Arial"/>
                  <w:sz w:val="18"/>
                  <w:szCs w:val="18"/>
                  <w:color w:val="0000FF"/>
                  <w:w w:val="83"/>
                </w:rPr>
                <w:t>Item 1B.</w:t>
              </w:r>
            </w:hyperlink>
          </w:p>
        </w:tc>
        <w:tc>
          <w:tcPr>
            <w:tcW w:w="300" w:type="dxa"/>
            <w:vAlign w:val="bottom"/>
          </w:tcPr>
          <w:p>
            <w:pPr>
              <w:spacing w:after="0"/>
              <w:rPr>
                <w:sz w:val="18"/>
                <w:szCs w:val="18"/>
                <w:color w:val="auto"/>
              </w:rPr>
            </w:pPr>
          </w:p>
        </w:tc>
        <w:tc>
          <w:tcPr>
            <w:tcW w:w="9240" w:type="dxa"/>
            <w:vAlign w:val="bottom"/>
            <w:gridSpan w:val="29"/>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Unresolved Staff Comments</w:t>
              </w:r>
            </w:hyperlink>
          </w:p>
        </w:tc>
        <w:tc>
          <w:tcPr>
            <w:tcW w:w="106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2.</w:t>
              </w:r>
            </w:hyperlink>
          </w:p>
        </w:tc>
        <w:tc>
          <w:tcPr>
            <w:tcW w:w="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Properties</w:t>
              </w:r>
            </w:hyperlink>
          </w:p>
        </w:tc>
        <w:tc>
          <w:tcPr>
            <w:tcW w:w="7200" w:type="dxa"/>
            <w:vAlign w:val="bottom"/>
            <w:gridSpan w:val="21"/>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3.</w:t>
              </w:r>
            </w:hyperlink>
          </w:p>
        </w:tc>
        <w:tc>
          <w:tcPr>
            <w:tcW w:w="380" w:type="dxa"/>
            <w:vAlign w:val="bottom"/>
            <w:gridSpan w:val="2"/>
          </w:tcPr>
          <w:p>
            <w:pPr>
              <w:spacing w:after="0"/>
              <w:rPr>
                <w:sz w:val="18"/>
                <w:szCs w:val="18"/>
                <w:color w:val="auto"/>
              </w:rPr>
            </w:pPr>
          </w:p>
        </w:tc>
        <w:tc>
          <w:tcPr>
            <w:tcW w:w="1320" w:type="dxa"/>
            <w:vAlign w:val="bottom"/>
            <w:tcBorders>
              <w:bottom w:val="single" w:sz="8" w:color="0000FF"/>
            </w:tcBorders>
            <w:gridSpan w:val="4"/>
          </w:tcPr>
          <w:p>
            <w:pPr>
              <w:spacing w:after="0"/>
              <w:rPr>
                <w:rFonts w:ascii="Arial" w:cs="Arial" w:eastAsia="Arial" w:hAnsi="Arial"/>
                <w:sz w:val="18"/>
                <w:szCs w:val="18"/>
                <w:color w:val="0000FF"/>
                <w:w w:val="85"/>
              </w:rPr>
            </w:pPr>
            <w:hyperlink w:anchor="page52">
              <w:r>
                <w:rPr>
                  <w:rFonts w:ascii="Arial" w:cs="Arial" w:eastAsia="Arial" w:hAnsi="Arial"/>
                  <w:sz w:val="18"/>
                  <w:szCs w:val="18"/>
                  <w:color w:val="0000FF"/>
                  <w:w w:val="85"/>
                </w:rPr>
                <w:t>Legal Proceedings</w:t>
              </w:r>
            </w:hyperlink>
          </w:p>
        </w:tc>
        <w:tc>
          <w:tcPr>
            <w:tcW w:w="7920" w:type="dxa"/>
            <w:vAlign w:val="bottom"/>
            <w:gridSpan w:val="25"/>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10"/>
        </w:trPr>
        <w:tc>
          <w:tcPr>
            <w:tcW w:w="900" w:type="dxa"/>
            <w:vAlign w:val="bottom"/>
            <w:gridSpan w:val="3"/>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4.</w:t>
              </w:r>
            </w:hyperlink>
          </w:p>
        </w:tc>
        <w:tc>
          <w:tcPr>
            <w:tcW w:w="9240" w:type="dxa"/>
            <w:vAlign w:val="bottom"/>
            <w:gridSpan w:val="2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Mine Safety Disclosures</w:t>
              </w:r>
            </w:hyperlink>
          </w:p>
        </w:tc>
        <w:tc>
          <w:tcPr>
            <w:tcW w:w="106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0000FF"/>
            </w:tcBorders>
            <w:gridSpan w:val="3"/>
          </w:tcPr>
          <w:p>
            <w:pPr>
              <w:jc w:val="center"/>
              <w:spacing w:after="0"/>
              <w:rPr>
                <w:rFonts w:ascii="Arial" w:cs="Arial" w:eastAsia="Arial" w:hAnsi="Arial"/>
                <w:sz w:val="18"/>
                <w:szCs w:val="18"/>
                <w:color w:val="0000FF"/>
                <w:w w:val="95"/>
              </w:rPr>
            </w:pPr>
            <w:hyperlink w:anchor="page53">
              <w:r>
                <w:rPr>
                  <w:rFonts w:ascii="Arial" w:cs="Arial" w:eastAsia="Arial" w:hAnsi="Arial"/>
                  <w:sz w:val="18"/>
                  <w:szCs w:val="18"/>
                  <w:color w:val="0000FF"/>
                  <w:w w:val="95"/>
                </w:rPr>
                <w:t>Part II</w:t>
              </w:r>
            </w:hyperlink>
          </w:p>
        </w:tc>
        <w:tc>
          <w:tcPr>
            <w:tcW w:w="4340" w:type="dxa"/>
            <w:vAlign w:val="bottom"/>
            <w:gridSpan w:val="10"/>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3"/>
            <w:vMerge w:val="restart"/>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Item 5.</w:t>
              </w:r>
            </w:hyperlink>
          </w:p>
        </w:tc>
        <w:tc>
          <w:tcPr>
            <w:tcW w:w="9240" w:type="dxa"/>
            <w:vAlign w:val="bottom"/>
            <w:gridSpan w:val="29"/>
          </w:tcPr>
          <w:p>
            <w:pPr>
              <w:spacing w:after="0"/>
              <w:rPr>
                <w:rFonts w:ascii="Arial" w:cs="Arial" w:eastAsia="Arial" w:hAnsi="Arial"/>
                <w:sz w:val="18"/>
                <w:szCs w:val="18"/>
                <w:color w:val="0000FF"/>
                <w:w w:val="94"/>
              </w:rPr>
            </w:pPr>
            <w:hyperlink w:anchor="page54">
              <w:r>
                <w:rPr>
                  <w:rFonts w:ascii="Arial" w:cs="Arial" w:eastAsia="Arial" w:hAnsi="Arial"/>
                  <w:sz w:val="18"/>
                  <w:szCs w:val="18"/>
                  <w:color w:val="0000FF"/>
                  <w:w w:val="94"/>
                </w:rPr>
                <w:t>Market for Registrant’s Common Equity, Related Stockholder Market for Registrant’s Common Equity, Related Stockholder</w:t>
              </w:r>
            </w:hyperlink>
          </w:p>
        </w:tc>
        <w:tc>
          <w:tcPr>
            <w:tcW w:w="1060" w:type="dxa"/>
            <w:vAlign w:val="bottom"/>
            <w:gridSpan w:val="4"/>
            <w:vMerge w:val="restart"/>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61"/>
        </w:trPr>
        <w:tc>
          <w:tcPr>
            <w:tcW w:w="900" w:type="dxa"/>
            <w:vAlign w:val="bottom"/>
            <w:gridSpan w:val="3"/>
            <w:vMerge w:val="continue"/>
          </w:tcPr>
          <w:p>
            <w:pPr>
              <w:spacing w:after="0"/>
              <w:rPr>
                <w:sz w:val="5"/>
                <w:szCs w:val="5"/>
                <w:color w:val="auto"/>
              </w:rPr>
            </w:pPr>
          </w:p>
        </w:tc>
        <w:tc>
          <w:tcPr>
            <w:tcW w:w="8960" w:type="dxa"/>
            <w:vAlign w:val="bottom"/>
            <w:tcBorders>
              <w:top w:val="single" w:sz="8" w:color="0000FF"/>
            </w:tcBorders>
            <w:gridSpan w:val="28"/>
            <w:vMerge w:val="restart"/>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Matters and Issuer Purchases of Equity Securities and Issuer Purchases of Equity Securities</w:t>
              </w:r>
            </w:hyperlink>
          </w:p>
        </w:tc>
        <w:tc>
          <w:tcPr>
            <w:tcW w:w="280" w:type="dxa"/>
            <w:vAlign w:val="bottom"/>
            <w:vMerge w:val="restart"/>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52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960" w:type="dxa"/>
            <w:vAlign w:val="bottom"/>
            <w:tcBorders>
              <w:top w:val="single" w:sz="8" w:color="0000FF"/>
            </w:tcBorders>
            <w:gridSpan w:val="28"/>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6.</w:t>
              </w:r>
            </w:hyperlink>
          </w:p>
        </w:tc>
        <w:tc>
          <w:tcPr>
            <w:tcW w:w="300" w:type="dxa"/>
            <w:vAlign w:val="bottom"/>
          </w:tcPr>
          <w:p>
            <w:pPr>
              <w:spacing w:after="0"/>
              <w:rPr>
                <w:sz w:val="18"/>
                <w:szCs w:val="18"/>
                <w:color w:val="auto"/>
              </w:rPr>
            </w:pPr>
          </w:p>
        </w:tc>
        <w:tc>
          <w:tcPr>
            <w:tcW w:w="6580" w:type="dxa"/>
            <w:vAlign w:val="bottom"/>
            <w:tcBorders>
              <w:top w:val="single" w:sz="8" w:color="0000FF"/>
            </w:tcBorders>
            <w:gridSpan w:val="26"/>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[Reserved]</w:t>
              </w:r>
            </w:hyperlink>
          </w:p>
        </w:tc>
        <w:tc>
          <w:tcPr>
            <w:tcW w:w="2660" w:type="dxa"/>
            <w:vAlign w:val="bottom"/>
            <w:gridSpan w:val="3"/>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Item 7.</w:t>
              </w:r>
            </w:hyperlink>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60" w:type="dxa"/>
            <w:vAlign w:val="bottom"/>
            <w:tcBorders>
              <w:bottom w:val="single" w:sz="8" w:color="0000FF"/>
            </w:tcBorders>
            <w:gridSpan w:val="24"/>
          </w:tcPr>
          <w:p>
            <w:pPr>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Management’s Discussion and Analysis of Financial Condition and Results of Operations</w:t>
              </w:r>
            </w:hyperlink>
          </w:p>
        </w:tc>
        <w:tc>
          <w:tcPr>
            <w:tcW w:w="2780" w:type="dxa"/>
            <w:vAlign w:val="bottom"/>
            <w:gridSpan w:val="5"/>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55</w:t>
              </w:r>
            </w:hyperlink>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w w:val="83"/>
              </w:rPr>
            </w:pPr>
            <w:hyperlink w:anchor="page71">
              <w:r>
                <w:rPr>
                  <w:rFonts w:ascii="Arial" w:cs="Arial" w:eastAsia="Arial" w:hAnsi="Arial"/>
                  <w:sz w:val="18"/>
                  <w:szCs w:val="18"/>
                  <w:color w:val="0000FF"/>
                  <w:w w:val="83"/>
                </w:rPr>
                <w:t>Item 7A.</w:t>
              </w:r>
            </w:hyperlink>
          </w:p>
        </w:tc>
        <w:tc>
          <w:tcPr>
            <w:tcW w:w="300" w:type="dxa"/>
            <w:vAlign w:val="bottom"/>
          </w:tcPr>
          <w:p>
            <w:pPr>
              <w:spacing w:after="0"/>
              <w:rPr>
                <w:sz w:val="18"/>
                <w:szCs w:val="18"/>
                <w:color w:val="auto"/>
              </w:rPr>
            </w:pPr>
          </w:p>
        </w:tc>
        <w:tc>
          <w:tcPr>
            <w:tcW w:w="9240" w:type="dxa"/>
            <w:vAlign w:val="bottom"/>
            <w:gridSpan w:val="29"/>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Quantitative and Qualitative Disclosures about Market Risk</w:t>
              </w:r>
            </w:hyperlink>
          </w:p>
        </w:tc>
        <w:tc>
          <w:tcPr>
            <w:tcW w:w="1060" w:type="dxa"/>
            <w:vAlign w:val="bottom"/>
            <w:gridSpan w:val="4"/>
          </w:tcPr>
          <w:p>
            <w:pPr>
              <w:jc w:val="right"/>
              <w:spacing w:after="0"/>
              <w:rPr>
                <w:rFonts w:ascii="Arial" w:cs="Arial" w:eastAsia="Arial" w:hAnsi="Arial"/>
                <w:sz w:val="18"/>
                <w:szCs w:val="18"/>
                <w:color w:val="0000FF"/>
              </w:rPr>
            </w:pPr>
            <w:hyperlink w:anchor="page71">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73">
              <w:r>
                <w:rPr>
                  <w:rFonts w:ascii="Arial" w:cs="Arial" w:eastAsia="Arial" w:hAnsi="Arial"/>
                  <w:sz w:val="18"/>
                  <w:szCs w:val="18"/>
                  <w:color w:val="0000FF"/>
                  <w:w w:val="90"/>
                </w:rPr>
                <w:t>Item 8.</w:t>
              </w:r>
            </w:hyperlink>
          </w:p>
        </w:tc>
        <w:tc>
          <w:tcPr>
            <w:tcW w:w="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tcBorders>
              <w:top w:val="single" w:sz="8" w:color="0000FF"/>
            </w:tcBorders>
            <w:gridSpan w:val="13"/>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Financial Statements and Supplementary Data</w:t>
              </w:r>
            </w:hyperlink>
          </w:p>
        </w:tc>
        <w:tc>
          <w:tcPr>
            <w:tcW w:w="4940" w:type="dxa"/>
            <w:vAlign w:val="bottom"/>
            <w:gridSpan w:val="16"/>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72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Item 9.</w:t>
              </w:r>
            </w:hyperlink>
          </w:p>
        </w:tc>
        <w:tc>
          <w:tcPr>
            <w:tcW w:w="80" w:type="dxa"/>
            <w:vAlign w:val="bottom"/>
            <w:tcBorders>
              <w:bottom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8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112">
              <w:r>
                <w:rPr>
                  <w:rFonts w:ascii="Arial" w:cs="Arial" w:eastAsia="Arial" w:hAnsi="Arial"/>
                  <w:sz w:val="18"/>
                  <w:szCs w:val="18"/>
                  <w:color w:val="0000FF"/>
                  <w:w w:val="90"/>
                </w:rPr>
                <w:t>Changes in and Disagreements with Accountants on Accounting and Financial Disclosure</w:t>
              </w:r>
            </w:hyperlink>
          </w:p>
        </w:tc>
        <w:tc>
          <w:tcPr>
            <w:tcW w:w="2760" w:type="dxa"/>
            <w:vAlign w:val="bottom"/>
            <w:gridSpan w:val="4"/>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2">
              <w:r>
                <w:rPr>
                  <w:rFonts w:ascii="Arial" w:cs="Arial" w:eastAsia="Arial" w:hAnsi="Arial"/>
                  <w:sz w:val="18"/>
                  <w:szCs w:val="18"/>
                  <w:color w:val="0000FF"/>
                  <w:w w:val="79"/>
                </w:rPr>
                <w:t>111</w:t>
              </w:r>
            </w:hyperlink>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w w:val="83"/>
              </w:rPr>
            </w:pPr>
            <w:hyperlink w:anchor="page112">
              <w:r>
                <w:rPr>
                  <w:rFonts w:ascii="Arial" w:cs="Arial" w:eastAsia="Arial" w:hAnsi="Arial"/>
                  <w:sz w:val="18"/>
                  <w:szCs w:val="18"/>
                  <w:color w:val="0000FF"/>
                  <w:w w:val="83"/>
                </w:rPr>
                <w:t>Item 9A.</w:t>
              </w:r>
            </w:hyperlink>
          </w:p>
        </w:tc>
        <w:tc>
          <w:tcPr>
            <w:tcW w:w="300" w:type="dxa"/>
            <w:vAlign w:val="bottom"/>
          </w:tcPr>
          <w:p>
            <w:pPr>
              <w:spacing w:after="0"/>
              <w:rPr>
                <w:sz w:val="18"/>
                <w:szCs w:val="18"/>
                <w:color w:val="auto"/>
              </w:rPr>
            </w:pPr>
          </w:p>
        </w:tc>
        <w:tc>
          <w:tcPr>
            <w:tcW w:w="9240" w:type="dxa"/>
            <w:vAlign w:val="bottom"/>
            <w:gridSpan w:val="29"/>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Controls and Procedures</w:t>
              </w:r>
            </w:hyperlink>
          </w:p>
        </w:tc>
        <w:tc>
          <w:tcPr>
            <w:tcW w:w="1060" w:type="dxa"/>
            <w:vAlign w:val="bottom"/>
            <w:gridSpan w:val="4"/>
          </w:tcPr>
          <w:p>
            <w:pPr>
              <w:jc w:val="right"/>
              <w:spacing w:after="0"/>
              <w:rPr>
                <w:rFonts w:ascii="Arial" w:cs="Arial" w:eastAsia="Arial" w:hAnsi="Arial"/>
                <w:sz w:val="18"/>
                <w:szCs w:val="18"/>
                <w:color w:val="0000FF"/>
              </w:rPr>
            </w:pPr>
            <w:hyperlink w:anchor="page112">
              <w:r>
                <w:rPr>
                  <w:rFonts w:ascii="Arial" w:cs="Arial" w:eastAsia="Arial" w:hAnsi="Arial"/>
                  <w:sz w:val="18"/>
                  <w:szCs w:val="18"/>
                  <w:color w:val="0000FF"/>
                </w:rPr>
                <w:t>111</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w w:val="83"/>
              </w:rPr>
            </w:pPr>
            <w:hyperlink w:anchor="page113">
              <w:r>
                <w:rPr>
                  <w:rFonts w:ascii="Arial" w:cs="Arial" w:eastAsia="Arial" w:hAnsi="Arial"/>
                  <w:sz w:val="18"/>
                  <w:szCs w:val="18"/>
                  <w:color w:val="0000FF"/>
                  <w:w w:val="83"/>
                </w:rPr>
                <w:t>Item 9B.</w:t>
              </w:r>
            </w:hyperlink>
          </w:p>
        </w:tc>
        <w:tc>
          <w:tcPr>
            <w:tcW w:w="3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91"/>
              </w:rPr>
            </w:pPr>
            <w:hyperlink w:anchor="page113">
              <w:r>
                <w:rPr>
                  <w:rFonts w:ascii="Arial" w:cs="Arial" w:eastAsia="Arial" w:hAnsi="Arial"/>
                  <w:sz w:val="18"/>
                  <w:szCs w:val="18"/>
                  <w:color w:val="0000FF"/>
                  <w:w w:val="91"/>
                </w:rPr>
                <w:t>Other Information</w:t>
              </w:r>
            </w:hyperlink>
          </w:p>
        </w:tc>
        <w:tc>
          <w:tcPr>
            <w:tcW w:w="440" w:type="dxa"/>
            <w:vAlign w:val="bottom"/>
            <w:gridSpan w:val="2"/>
          </w:tcPr>
          <w:p>
            <w:pPr>
              <w:spacing w:after="0"/>
              <w:rPr>
                <w:sz w:val="18"/>
                <w:szCs w:val="18"/>
                <w:color w:val="auto"/>
              </w:rPr>
            </w:pPr>
          </w:p>
        </w:tc>
        <w:tc>
          <w:tcPr>
            <w:tcW w:w="7480" w:type="dxa"/>
            <w:vAlign w:val="bottom"/>
            <w:gridSpan w:val="23"/>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2"/>
          </w:tcPr>
          <w:p>
            <w:pPr>
              <w:spacing w:after="0"/>
              <w:rPr>
                <w:rFonts w:ascii="Arial" w:cs="Arial" w:eastAsia="Arial" w:hAnsi="Arial"/>
                <w:sz w:val="18"/>
                <w:szCs w:val="18"/>
                <w:color w:val="0000FF"/>
                <w:w w:val="82"/>
              </w:rPr>
            </w:pPr>
            <w:hyperlink w:anchor="page113">
              <w:r>
                <w:rPr>
                  <w:rFonts w:ascii="Arial" w:cs="Arial" w:eastAsia="Arial" w:hAnsi="Arial"/>
                  <w:sz w:val="18"/>
                  <w:szCs w:val="18"/>
                  <w:color w:val="0000FF"/>
                  <w:w w:val="82"/>
                </w:rPr>
                <w:t>Item 9C.</w:t>
              </w:r>
            </w:hyperlink>
          </w:p>
        </w:tc>
        <w:tc>
          <w:tcPr>
            <w:tcW w:w="300" w:type="dxa"/>
            <w:vAlign w:val="bottom"/>
          </w:tcPr>
          <w:p>
            <w:pPr>
              <w:spacing w:after="0"/>
              <w:rPr>
                <w:sz w:val="18"/>
                <w:szCs w:val="18"/>
                <w:color w:val="auto"/>
              </w:rPr>
            </w:pPr>
          </w:p>
        </w:tc>
        <w:tc>
          <w:tcPr>
            <w:tcW w:w="4960" w:type="dxa"/>
            <w:vAlign w:val="bottom"/>
            <w:gridSpan w:val="22"/>
          </w:tcPr>
          <w:p>
            <w:pPr>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Disclosure Regarding Foreign Jurisdictions That Prevent Inspections</w:t>
              </w:r>
            </w:hyperlink>
          </w:p>
        </w:tc>
        <w:tc>
          <w:tcPr>
            <w:tcW w:w="4280" w:type="dxa"/>
            <w:vAlign w:val="bottom"/>
            <w:gridSpan w:val="7"/>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gridSpan w:val="7"/>
          </w:tcPr>
          <w:p>
            <w:pPr>
              <w:jc w:val="center"/>
              <w:ind w:right="40"/>
              <w:spacing w:after="0"/>
              <w:rPr>
                <w:rFonts w:ascii="Arial" w:cs="Arial" w:eastAsia="Arial" w:hAnsi="Arial"/>
                <w:sz w:val="18"/>
                <w:szCs w:val="18"/>
                <w:color w:val="0000FF"/>
                <w:w w:val="94"/>
              </w:rPr>
            </w:pPr>
            <w:hyperlink w:anchor="page113">
              <w:r>
                <w:rPr>
                  <w:rFonts w:ascii="Arial" w:cs="Arial" w:eastAsia="Arial" w:hAnsi="Arial"/>
                  <w:sz w:val="18"/>
                  <w:szCs w:val="18"/>
                  <w:color w:val="0000FF"/>
                  <w:w w:val="94"/>
                </w:rPr>
                <w:t>Part III</w:t>
              </w:r>
            </w:hyperlink>
          </w:p>
        </w:tc>
        <w:tc>
          <w:tcPr>
            <w:tcW w:w="4280" w:type="dxa"/>
            <w:vAlign w:val="bottom"/>
            <w:gridSpan w:val="7"/>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gridSpan w:val="3"/>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Item 10.</w:t>
              </w:r>
            </w:hyperlink>
          </w:p>
        </w:tc>
        <w:tc>
          <w:tcPr>
            <w:tcW w:w="4420" w:type="dxa"/>
            <w:vAlign w:val="bottom"/>
            <w:gridSpan w:val="15"/>
          </w:tcPr>
          <w:p>
            <w:pPr>
              <w:spacing w:after="0"/>
              <w:rPr>
                <w:rFonts w:ascii="Arial" w:cs="Arial" w:eastAsia="Arial" w:hAnsi="Arial"/>
                <w:sz w:val="18"/>
                <w:szCs w:val="18"/>
                <w:color w:val="0000FF"/>
                <w:w w:val="97"/>
              </w:rPr>
            </w:pPr>
            <w:hyperlink w:anchor="page113">
              <w:r>
                <w:rPr>
                  <w:rFonts w:ascii="Arial" w:cs="Arial" w:eastAsia="Arial" w:hAnsi="Arial"/>
                  <w:sz w:val="18"/>
                  <w:szCs w:val="18"/>
                  <w:color w:val="0000FF"/>
                  <w:w w:val="97"/>
                </w:rPr>
                <w:t>Directors, Executive Officers and Corporate Governance</w:t>
              </w:r>
            </w:hyperlink>
          </w:p>
        </w:tc>
        <w:tc>
          <w:tcPr>
            <w:tcW w:w="500" w:type="dxa"/>
            <w:vAlign w:val="bottom"/>
            <w:tcBorders>
              <w:top w:val="single" w:sz="8" w:color="0000FF"/>
            </w:tcBorders>
            <w:gridSpan w:val="5"/>
          </w:tcPr>
          <w:p>
            <w:pPr>
              <w:spacing w:after="0"/>
              <w:rPr>
                <w:sz w:val="18"/>
                <w:szCs w:val="18"/>
                <w:color w:val="auto"/>
              </w:rPr>
            </w:pPr>
          </w:p>
        </w:tc>
        <w:tc>
          <w:tcPr>
            <w:tcW w:w="4320" w:type="dxa"/>
            <w:vAlign w:val="bottom"/>
            <w:gridSpan w:val="9"/>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113">
              <w:r>
                <w:rPr>
                  <w:rFonts w:ascii="Arial" w:cs="Arial" w:eastAsia="Arial" w:hAnsi="Arial"/>
                  <w:sz w:val="18"/>
                  <w:szCs w:val="18"/>
                  <w:color w:val="0000FF"/>
                </w:rPr>
                <w:t>112</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rFonts w:ascii="Arial" w:cs="Arial" w:eastAsia="Arial" w:hAnsi="Arial"/>
                <w:sz w:val="18"/>
                <w:szCs w:val="18"/>
                <w:color w:val="0000FF"/>
                <w:w w:val="86"/>
              </w:rPr>
            </w:pPr>
            <w:hyperlink w:anchor="page114">
              <w:r>
                <w:rPr>
                  <w:rFonts w:ascii="Arial" w:cs="Arial" w:eastAsia="Arial" w:hAnsi="Arial"/>
                  <w:sz w:val="18"/>
                  <w:szCs w:val="18"/>
                  <w:color w:val="0000FF"/>
                  <w:w w:val="86"/>
                </w:rPr>
                <w:t>Item 11.</w:t>
              </w:r>
            </w:hyperlink>
          </w:p>
        </w:tc>
        <w:tc>
          <w:tcPr>
            <w:tcW w:w="300" w:type="dxa"/>
            <w:vAlign w:val="bottom"/>
          </w:tcPr>
          <w:p>
            <w:pPr>
              <w:spacing w:after="0"/>
              <w:rPr>
                <w:sz w:val="18"/>
                <w:szCs w:val="18"/>
                <w:color w:val="auto"/>
              </w:rPr>
            </w:pPr>
          </w:p>
        </w:tc>
        <w:tc>
          <w:tcPr>
            <w:tcW w:w="4100" w:type="dxa"/>
            <w:vAlign w:val="bottom"/>
            <w:gridSpan w:val="12"/>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Executive Compensation</w:t>
              </w:r>
            </w:hyperlink>
          </w:p>
        </w:tc>
        <w:tc>
          <w:tcPr>
            <w:tcW w:w="5140" w:type="dxa"/>
            <w:vAlign w:val="bottom"/>
            <w:gridSpan w:val="17"/>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12.</w:t>
              </w:r>
            </w:hyperlink>
          </w:p>
        </w:tc>
        <w:tc>
          <w:tcPr>
            <w:tcW w:w="924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Security Ownership of Certain Beneficial Owners and Management and Related Stockholder Matters</w:t>
              </w:r>
            </w:hyperlink>
          </w:p>
        </w:tc>
        <w:tc>
          <w:tcPr>
            <w:tcW w:w="106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13.</w:t>
              </w:r>
            </w:hyperlink>
          </w:p>
        </w:tc>
        <w:tc>
          <w:tcPr>
            <w:tcW w:w="924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Certain Relationships and Related Transactions and Director Independence</w:t>
              </w:r>
            </w:hyperlink>
          </w:p>
        </w:tc>
        <w:tc>
          <w:tcPr>
            <w:tcW w:w="106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14.</w:t>
              </w:r>
            </w:hyperlink>
          </w:p>
        </w:tc>
        <w:tc>
          <w:tcPr>
            <w:tcW w:w="924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Principal Accountant Fees and Services</w:t>
              </w:r>
            </w:hyperlink>
          </w:p>
        </w:tc>
        <w:tc>
          <w:tcPr>
            <w:tcW w:w="106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10"/>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0000FF"/>
            </w:tcBorders>
            <w:gridSpan w:val="7"/>
          </w:tcPr>
          <w:p>
            <w:pPr>
              <w:jc w:val="center"/>
              <w:spacing w:after="0"/>
              <w:rPr>
                <w:rFonts w:ascii="Arial" w:cs="Arial" w:eastAsia="Arial" w:hAnsi="Arial"/>
                <w:sz w:val="18"/>
                <w:szCs w:val="18"/>
                <w:color w:val="0000FF"/>
                <w:w w:val="98"/>
              </w:rPr>
            </w:pPr>
            <w:hyperlink w:anchor="page114">
              <w:r>
                <w:rPr>
                  <w:rFonts w:ascii="Arial" w:cs="Arial" w:eastAsia="Arial" w:hAnsi="Arial"/>
                  <w:sz w:val="18"/>
                  <w:szCs w:val="18"/>
                  <w:color w:val="0000FF"/>
                  <w:w w:val="98"/>
                </w:rPr>
                <w:t>Part IV</w:t>
              </w:r>
            </w:hyperlink>
          </w:p>
        </w:tc>
        <w:tc>
          <w:tcPr>
            <w:tcW w:w="4300" w:type="dxa"/>
            <w:vAlign w:val="bottom"/>
            <w:gridSpan w:val="8"/>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gridSpan w:val="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15.</w:t>
              </w:r>
            </w:hyperlink>
          </w:p>
        </w:tc>
        <w:tc>
          <w:tcPr>
            <w:tcW w:w="924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Exhibits, Financial Statement Schedules</w:t>
              </w:r>
            </w:hyperlink>
          </w:p>
        </w:tc>
        <w:tc>
          <w:tcPr>
            <w:tcW w:w="106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340" w:type="dxa"/>
            <w:vAlign w:val="bottom"/>
            <w:gridSpan w:val="1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16.</w:t>
              </w:r>
            </w:hyperlink>
          </w:p>
        </w:tc>
        <w:tc>
          <w:tcPr>
            <w:tcW w:w="9240" w:type="dxa"/>
            <w:vAlign w:val="bottom"/>
            <w:gridSpan w:val="29"/>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Form 10-K Summary</w:t>
              </w:r>
            </w:hyperlink>
          </w:p>
        </w:tc>
        <w:tc>
          <w:tcPr>
            <w:tcW w:w="1060" w:type="dxa"/>
            <w:vAlign w:val="bottom"/>
            <w:gridSpan w:val="4"/>
          </w:tcPr>
          <w:p>
            <w:pPr>
              <w:jc w:val="right"/>
              <w:spacing w:after="0"/>
              <w:rPr>
                <w:rFonts w:ascii="Arial" w:cs="Arial" w:eastAsia="Arial" w:hAnsi="Arial"/>
                <w:sz w:val="18"/>
                <w:szCs w:val="18"/>
                <w:color w:val="0000FF"/>
              </w:rPr>
            </w:pPr>
            <w:hyperlink w:anchor="page114">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0000FF"/>
            </w:tcBorders>
            <w:gridSpan w:val="2"/>
          </w:tcPr>
          <w:p>
            <w:pPr>
              <w:spacing w:after="0"/>
              <w:rPr>
                <w:rFonts w:ascii="Arial" w:cs="Arial" w:eastAsia="Arial" w:hAnsi="Arial"/>
                <w:sz w:val="18"/>
                <w:szCs w:val="18"/>
                <w:color w:val="0000FF"/>
                <w:w w:val="78"/>
              </w:rPr>
            </w:pPr>
            <w:hyperlink w:anchor="page117">
              <w:r>
                <w:rPr>
                  <w:rFonts w:ascii="Arial" w:cs="Arial" w:eastAsia="Arial" w:hAnsi="Arial"/>
                  <w:sz w:val="18"/>
                  <w:szCs w:val="18"/>
                  <w:color w:val="0000FF"/>
                  <w:w w:val="78"/>
                </w:rPr>
                <w:t>Signatures</w:t>
              </w:r>
            </w:hyperlink>
          </w:p>
        </w:tc>
        <w:tc>
          <w:tcPr>
            <w:tcW w:w="820" w:type="dxa"/>
            <w:vAlign w:val="bottom"/>
            <w:tcBorders>
              <w:top w:val="single" w:sz="8" w:color="0000FF"/>
            </w:tcBorders>
            <w:gridSpan w:val="3"/>
          </w:tcPr>
          <w:p>
            <w:pPr>
              <w:spacing w:after="0"/>
              <w:rPr>
                <w:sz w:val="18"/>
                <w:szCs w:val="18"/>
                <w:color w:val="auto"/>
              </w:rPr>
            </w:pPr>
          </w:p>
        </w:tc>
        <w:tc>
          <w:tcPr>
            <w:tcW w:w="7700" w:type="dxa"/>
            <w:vAlign w:val="bottom"/>
            <w:gridSpan w:val="24"/>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117">
              <w:r>
                <w:rPr>
                  <w:rFonts w:ascii="Arial" w:cs="Arial" w:eastAsia="Arial" w:hAnsi="Arial"/>
                  <w:sz w:val="18"/>
                  <w:szCs w:val="18"/>
                  <w:color w:val="0000FF"/>
                </w:rPr>
                <w:t>117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4"/>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Power of Attorney</w:t>
              </w:r>
            </w:hyperlink>
          </w:p>
        </w:tc>
        <w:tc>
          <w:tcPr>
            <w:tcW w:w="7920" w:type="dxa"/>
            <w:vAlign w:val="bottom"/>
            <w:gridSpan w:val="25"/>
          </w:tcPr>
          <w:p>
            <w:pPr>
              <w:spacing w:after="0"/>
              <w:rPr>
                <w:sz w:val="18"/>
                <w:szCs w:val="18"/>
                <w:color w:val="auto"/>
              </w:rPr>
            </w:pPr>
          </w:p>
        </w:tc>
        <w:tc>
          <w:tcPr>
            <w:tcW w:w="1060" w:type="dxa"/>
            <w:vAlign w:val="bottom"/>
            <w:gridSpan w:val="4"/>
          </w:tcPr>
          <w:p>
            <w:pPr>
              <w:jc w:val="right"/>
              <w:spacing w:after="0"/>
              <w:rPr>
                <w:rFonts w:ascii="Arial" w:cs="Arial" w:eastAsia="Arial" w:hAnsi="Arial"/>
                <w:sz w:val="18"/>
                <w:szCs w:val="18"/>
                <w:color w:val="0000FF"/>
              </w:rPr>
            </w:pPr>
            <w:hyperlink w:anchor="page118">
              <w:r>
                <w:rPr>
                  <w:rFonts w:ascii="Arial" w:cs="Arial" w:eastAsia="Arial" w:hAnsi="Arial"/>
                  <w:sz w:val="18"/>
                  <w:szCs w:val="18"/>
                  <w:color w:val="0000FF"/>
                </w:rPr>
                <w:t>118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2" w:lineRule="exact"/>
        <w:rPr>
          <w:sz w:val="20"/>
          <w:szCs w:val="20"/>
          <w:color w:val="auto"/>
        </w:rPr>
      </w:pPr>
    </w:p>
    <w:p>
      <w:pPr>
        <w:ind w:right="60" w:firstLine="324"/>
        <w:spacing w:after="0" w:line="242"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12" w:lineRule="exact"/>
        <w:rPr>
          <w:sz w:val="20"/>
          <w:szCs w:val="20"/>
          <w:color w:val="auto"/>
        </w:rPr>
      </w:pPr>
    </w:p>
    <w:p>
      <w:pPr>
        <w:ind w:left="130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83"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cloud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cloud platform;</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new solutions, or enhancements to our existing solutions, and bring them to market in a timely manner;</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and cash equivalents to meet cash needs for at least the next 12 months;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internationally;</w:t>
      </w:r>
    </w:p>
    <w:p>
      <w:pPr>
        <w:spacing w:after="0" w:line="225" w:lineRule="exact"/>
        <w:rPr>
          <w:rFonts w:ascii="Arial" w:cs="Arial" w:eastAsia="Arial" w:hAnsi="Arial"/>
          <w:sz w:val="18"/>
          <w:szCs w:val="18"/>
          <w:color w:val="auto"/>
        </w:rPr>
      </w:pPr>
    </w:p>
    <w:p>
      <w:pPr>
        <w:ind w:left="1300" w:right="1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maintain, and improve our internal control over financial reporting;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close and integrate acquisitions to contribute to our growth objectives;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163"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6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CrowdStrike: The Architectural Purpose Behind the Platform</w:t>
      </w:r>
    </w:p>
    <w:p>
      <w:pPr>
        <w:spacing w:after="0" w:line="229"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Our Falcon platform was purpose-built in the cloud to harness the power of our Security Cloud to deliver the next generation of automated protection and provide threat hunters with the intelligence required to stop sophisticated attacks, including non-malware based attacks. This approach has made CrowdStrike an industry leader in endpoint and cloud workload protection (capable of protecting workloads across on-premise, virtualized, and cloud-based environments running on a variety of endpoints such as desktops, laptops, servers, virtual machines, cloud workloads, cloud containers, mobile, and IoT devices) and enables us to rapidly scale this best in class protection across new and emerging areas of enterprise risk.</w:t>
      </w:r>
    </w:p>
    <w:p>
      <w:pPr>
        <w:spacing w:after="0" w:line="16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Today, we offer 22 cloud modules on our Falcon platform via a SaaS subscription-based model that spans multiple large markets, including corporate workload security, security and vulnerability management, managed security services, IT operations management, threat intelligence services, identity protection, and log management.</w:t>
      </w:r>
    </w:p>
    <w:p>
      <w:pPr>
        <w:spacing w:after="0" w:line="184"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Our Falcon platform is composed of tightly integrated, proprietary technologies that enable us to deliver superior protection and performance, while reducing customer complexity. Our Falcon platform consists of our easily deployed, intelligent lightweight agent, and our groundbreaking graph technology.</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single, lightweight-agent approach has changed how organizations experience cybersecurity, delivering protection without impacting the user, resources or productivity. With the lightweight agent installed on each endpoint or cloud workload, our Falcon platform automates detection and prevention capabilities in real time across our entire global customer base. This also enables our Falcon platform to intelligently ingest and stream high fidelity data back into the Security Cloud to continuously improve our Falcon platform’s AI algorithms and make its real-time decision-making faster and smarter to keep customers ahead of changing adversary tactics.</w:t>
      </w:r>
    </w:p>
    <w:p>
      <w:pPr>
        <w:spacing w:after="0" w:line="188"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graph technology correlates and contextualizes the vast data of our Security Cloud so we can collect data once and reuse it repeatedly to deliver solutions that solve our customers’ biggest problems. Our Threat Graph uses a combination of AI and behavioral pattern-matching techniques to correlate and analyze trillions of cybersecurity events, enriched with threat intelligence, and third-party data to identify and link threat activity together to automatically prevent threats in real time across CrowdStrike’s global customer base. This also provides customers with increased visibility of attacks for proactive threat hunting and timely detection and remediation of novel threats.</w:t>
      </w:r>
    </w:p>
    <w:p>
      <w:pPr>
        <w:spacing w:after="0" w:line="18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Falcon platform was purpose-built with the foresight that the future of cybersecurity would need to be cloud-native and AI-driven. While AI is revolutionizing many technology fields, including cybersecurity solutions, to be truly effective,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algorithms that enable AI depend on the quality and volume of data that trains them and the selection of the right differentiating features from that data.</w:t>
      </w:r>
    </w:p>
    <w:p>
      <w:pPr>
        <w:spacing w:after="0" w:line="24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This is why we believe our Security Cloud and our cloud-native architecture creates a fundamental differentiator from our competitors. The expansive amount of high fidelity data crowdsourced and captured in our Security Cloud enables the continuous training of our algorithms. We call this cloud-scale AI. Our technology is uniquely effective because we not only have a massive amount of high fidelity data to continuously train our AI models but also because of our deep cybersecurity expertise, which supports our industry-leading efficacy and low false positives.</w:t>
      </w:r>
    </w:p>
    <w:p>
      <w:pPr>
        <w:spacing w:after="0" w:line="17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By analyzing and correlating information across our massive, crowdsourced dataset, we are able to deploy our AI algorithms at cloud-scale and build a more intelligent, effective solution to detect threats and stop breaches that on-premise, cloud-hosted and hybrid products cannot match due to the inherent architectural limitations those products have with respect to data storage and analysis. The more data that is fed into our Falcon platform, the more intelligent the Security Cloud becomes, and the more our customers benefit, creating a powerful network effect that increases the overall value we provide.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 The Trends Driving a Need for a New Approach to Security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there are a number of important macro trends that drive the need for a new approach to security. These include:</w:t>
      </w:r>
    </w:p>
    <w:p>
      <w:pPr>
        <w:spacing w:after="0" w:line="221" w:lineRule="exact"/>
        <w:rPr>
          <w:sz w:val="20"/>
          <w:szCs w:val="20"/>
          <w:color w:val="auto"/>
        </w:rPr>
      </w:pPr>
    </w:p>
    <w:p>
      <w:pPr>
        <w:ind w:left="660" w:hanging="328"/>
        <w:spacing w:after="0" w:line="271"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Cybersecurity Threats are More Sophisticated and More Damaging: </w:t>
      </w:r>
      <w:r>
        <w:rPr>
          <w:rFonts w:ascii="Arial" w:cs="Arial" w:eastAsia="Arial" w:hAnsi="Arial"/>
          <w:sz w:val="17"/>
          <w:szCs w:val="17"/>
          <w:color w:val="auto"/>
        </w:rPr>
        <w:t>The sophistication of adversaries continues to increase as militaries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intelligence services of well-funded nation-states, technically advanced criminal organizations and hackers use advanced, easily obtained methods of attack - including non-malware based attacks that exploit user identities and credentials. These attacks are pervasive, targeting a broad range of industries including technology, transportation, healthcare, financial services, governments and political organizations, utility, retail, and public infrastructure. The number and scale of attacks continue to increase. The typical attack cycle starts with attackers attempting to penetrate endpoints to establish a beachhead. Once inside, adversaries steal and exploit legitimate credentials to escalate privileges, move laterally and progress and attack, often downloading malware or ransomware. At this stage in the threat lifecycle, the adversary is able to encrypt, destroy, or silently exfiltrate sensitive data. In 2021 alone, adversaries launched multiple, destructive attacks that disrupted business and resulted in significant cumulative losses.</w:t>
      </w:r>
    </w:p>
    <w:p>
      <w:pPr>
        <w:spacing w:after="0" w:line="173" w:lineRule="exact"/>
        <w:rPr>
          <w:rFonts w:ascii="Arial" w:cs="Arial" w:eastAsia="Arial" w:hAnsi="Arial"/>
          <w:sz w:val="17"/>
          <w:szCs w:val="17"/>
          <w:color w:val="auto"/>
        </w:rPr>
      </w:pPr>
    </w:p>
    <w:p>
      <w:pPr>
        <w:ind w:left="660" w:right="2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Hybrid, Remote Workforces and the Proliferation of Workloads Expands the Attack Surface: </w:t>
      </w:r>
      <w:r>
        <w:rPr>
          <w:rFonts w:ascii="Arial" w:cs="Arial" w:eastAsia="Arial" w:hAnsi="Arial"/>
          <w:sz w:val="18"/>
          <w:szCs w:val="18"/>
          <w:color w:val="auto"/>
        </w:rPr>
        <w:t>Organizations everywhere are embracing</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transformation and are becoming more distributed as they adopt the cloud, increase workforce mobility, and grow their number of connected devices. They are adding more workloads to a myriad of different endpoints beyond the traditional cybersecurity perimeter, exposing an increasingly broad attack surface to adversaries. This existing trend was accelerated significantly with the need to support an increasingly remote workforce in 2020 due to the COVID-19 pandemic and we believe this trend continues today. In addition, technologies like Cloud and Containers are being adopted quickly, but rather than becoming full-scale replacements, they are often being used as supplements to existing on-premise, bare metal, and virtualized workloads.</w:t>
      </w:r>
    </w:p>
    <w:p>
      <w:pPr>
        <w:spacing w:after="0" w:line="188" w:lineRule="exact"/>
        <w:rPr>
          <w:rFonts w:ascii="Arial" w:cs="Arial" w:eastAsia="Arial" w:hAnsi="Arial"/>
          <w:sz w:val="18"/>
          <w:szCs w:val="18"/>
          <w:color w:val="auto"/>
        </w:rPr>
      </w:pPr>
    </w:p>
    <w:p>
      <w:pPr>
        <w:ind w:left="660" w:right="16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Growing Cyber Skills Gap: </w:t>
      </w:r>
      <w:r>
        <w:rPr>
          <w:rFonts w:ascii="Arial" w:cs="Arial" w:eastAsia="Arial" w:hAnsi="Arial"/>
          <w:sz w:val="18"/>
          <w:szCs w:val="18"/>
          <w:color w:val="auto"/>
        </w:rPr>
        <w:t>Trained cybersecurity professionals are in high demand, and organizations continue to face a dire shortage of talent</w:t>
      </w:r>
      <w:r>
        <w:rPr>
          <w:rFonts w:ascii="Arial" w:cs="Arial" w:eastAsia="Arial" w:hAnsi="Arial"/>
          <w:sz w:val="18"/>
          <w:szCs w:val="18"/>
          <w:b w:val="1"/>
          <w:bCs w:val="1"/>
          <w:color w:val="auto"/>
        </w:rPr>
        <w:t xml:space="preserve"> </w:t>
      </w:r>
      <w:r>
        <w:rPr>
          <w:rFonts w:ascii="Arial" w:cs="Arial" w:eastAsia="Arial" w:hAnsi="Arial"/>
          <w:sz w:val="18"/>
          <w:szCs w:val="18"/>
          <w:color w:val="auto"/>
        </w:rPr>
        <w:t>to fill much needed cybersecurity positions. As a result, existing cybersecurity teams are often overwhelmed by the velocity of cyberattacks. Adversaries exploit this vacuum by continuing to accelerate their sophisticated attacks.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 Existing Security Solutions Are Limited and Exacerbate Ongoing Trends: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aforementioned trends are exacerbated by the architectural limitations of legacy cybersecurity products, which include:</w:t>
      </w:r>
    </w:p>
    <w:p>
      <w:pPr>
        <w:spacing w:after="0" w:line="221" w:lineRule="exact"/>
        <w:rPr>
          <w:sz w:val="20"/>
          <w:szCs w:val="20"/>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On-Premise Security and Bolt-On Cloud Products Lead to Constrained and Impacted Users</w:t>
      </w:r>
      <w:r>
        <w:rPr>
          <w:rFonts w:ascii="Arial" w:cs="Arial" w:eastAsia="Arial" w:hAnsi="Arial"/>
          <w:sz w:val="18"/>
          <w:szCs w:val="18"/>
          <w:color w:val="auto"/>
        </w:rPr>
        <w:t>: On-premise products are siloed, lack</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and have limited ability to collect, process, and analyze vast amounts of data—attributes that are required to be effective in today’s increasingly dynamic threat landscape. Meanwhile, these solutions often require more agents on the endpoint as new capabilities are patchworked together, which can have a dramatic negative impact on user performance.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Many on-premise vendors have since tried to solve this problem by simply extending on-premise products to the cloud. Since their products were not purpose built to run in the cloud, the traditional on-premise issues - complex to deploy, siloed nature, lack of integration, limited ability to scale, costly to maintain - continue to manifest. We believe that any product that was originally designed for on-premise deployments and migrated to the cloud cannot by definition be a cloud native solution.</w:t>
      </w:r>
    </w:p>
    <w:p>
      <w:pPr>
        <w:spacing w:after="0" w:line="183" w:lineRule="exact"/>
        <w:rPr>
          <w:sz w:val="20"/>
          <w:szCs w:val="20"/>
          <w:color w:val="auto"/>
        </w:rPr>
      </w:pPr>
    </w:p>
    <w:p>
      <w:pPr>
        <w:ind w:left="660" w:right="6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Legacy Signature-Based Products Are Not Effective Against Unknown Threats</w:t>
      </w:r>
      <w:r>
        <w:rPr>
          <w:rFonts w:ascii="Arial" w:cs="Arial" w:eastAsia="Arial" w:hAnsi="Arial"/>
          <w:sz w:val="18"/>
          <w:szCs w:val="18"/>
          <w:color w:val="auto"/>
        </w:rPr>
        <w:t>: Signature-based products are designed to detect attacks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already cataloged as previously identified threats. As a result, such products are fundamentally unable to prevent unknown threats resulting from shifts in attacker tradecraft. It often only takes a slight modification on the part of the attacker to bypass signatures. Many significant breaches seen in the last two decades have involved the failure of a legacy signature-based antivirus product to detect a previously unknown or modified version of a previously known attack.</w:t>
      </w:r>
    </w:p>
    <w:p>
      <w:pPr>
        <w:spacing w:after="0" w:line="18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Malware-Focused Machine Learning Products Miss Sophisticated Attacks: </w:t>
      </w:r>
      <w:r>
        <w:rPr>
          <w:rFonts w:ascii="Arial" w:cs="Arial" w:eastAsia="Arial" w:hAnsi="Arial"/>
          <w:sz w:val="18"/>
          <w:szCs w:val="18"/>
          <w:color w:val="auto"/>
        </w:rPr>
        <w:t>Traditionally, organizations have focused on protecting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endpoints against malware-based attacks. These attacks involve malware built for the specific purpose of performing malicious activities, stealing data, or destroying systems. A malware-centric defensive approach will leave the organization vulnerable to attacks that do not leverage malware.</w:t>
      </w:r>
    </w:p>
    <w:p>
      <w:pPr>
        <w:spacing w:after="0" w:line="17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Application Whitelisting Products Are Ineffective: </w:t>
      </w:r>
      <w:r>
        <w:rPr>
          <w:rFonts w:ascii="Arial" w:cs="Arial" w:eastAsia="Arial" w:hAnsi="Arial"/>
          <w:sz w:val="18"/>
          <w:szCs w:val="18"/>
          <w:color w:val="auto"/>
        </w:rPr>
        <w:t>Application whitelisting products resort to an “always allow” or “always block” policy on</w:t>
      </w:r>
      <w:r>
        <w:rPr>
          <w:rFonts w:ascii="Arial" w:cs="Arial" w:eastAsia="Arial" w:hAnsi="Arial"/>
          <w:sz w:val="18"/>
          <w:szCs w:val="18"/>
          <w:b w:val="1"/>
          <w:bCs w:val="1"/>
          <w:color w:val="auto"/>
        </w:rPr>
        <w:t xml:space="preserve"> </w:t>
      </w:r>
      <w:r>
        <w:rPr>
          <w:rFonts w:ascii="Arial" w:cs="Arial" w:eastAsia="Arial" w:hAnsi="Arial"/>
          <w:sz w:val="18"/>
          <w:szCs w:val="18"/>
          <w:color w:val="auto"/>
        </w:rPr>
        <w:t>an endpoint in order to allow or prevent processes from executing. Whitelisting relies in part on manually creating and maintaining a complex list of rules, burdening end users and IT organizations. This does not prevent fileless attacks from exploiting legitimate whitelisted applications, compromising the integrity of the whitelisting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CrowdStrike: Built for This Moment and the Future</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believe that the cloud-native architecture of the Falcon platform and Security Cloud provides a sustainable advantage in addressing the needs of our customers as their business and the threat landscape continues to evolve.</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offer our customers compelling business value that includes ease of adoption, rapid time-to-value, superior efficacy rates in detecting threats and preventing breaches, and reduced total cost of ownership by consolidating legacy, siloed security products in a single solution. We also allow thinly-stretched security organizations to automate previously manual tasks, freeing them to focus on their most important objectives. With the Falcon platform, organizations can transform how they combat threats, transforming from slow, manual, and reactionary to fast, automated, and predictive, while gaining visibility across the threat lifecycle.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benefits of our approach and the CrowdStrike Falcon platform include:</w:t>
      </w:r>
    </w:p>
    <w:p>
      <w:pPr>
        <w:spacing w:after="0" w:line="221" w:lineRule="exact"/>
        <w:rPr>
          <w:sz w:val="20"/>
          <w:szCs w:val="20"/>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Power of the Crowd: </w:t>
      </w:r>
      <w:r>
        <w:rPr>
          <w:rFonts w:ascii="Arial" w:cs="Arial" w:eastAsia="Arial" w:hAnsi="Arial"/>
          <w:sz w:val="18"/>
          <w:szCs w:val="18"/>
          <w:color w:val="auto"/>
        </w:rPr>
        <w:t>Our crowdsourced data enables every customer to benefit from contributing to the Security Cloud. As more high</w:t>
      </w:r>
      <w:r>
        <w:rPr>
          <w:rFonts w:ascii="Arial" w:cs="Arial" w:eastAsia="Arial" w:hAnsi="Arial"/>
          <w:sz w:val="18"/>
          <w:szCs w:val="18"/>
          <w:b w:val="1"/>
          <w:bCs w:val="1"/>
          <w:color w:val="auto"/>
        </w:rPr>
        <w:t xml:space="preserve"> </w:t>
      </w:r>
      <w:r>
        <w:rPr>
          <w:rFonts w:ascii="Arial" w:cs="Arial" w:eastAsia="Arial" w:hAnsi="Arial"/>
          <w:sz w:val="18"/>
          <w:szCs w:val="18"/>
          <w:color w:val="auto"/>
        </w:rPr>
        <w:t>fidelity data is fed into our Security Cloud, our AI models continue to train and improve, increasing the overall efficacy of the Falcon platform. This creates a powerful network effect that is a key differentiator in our efforts to gain more customers. The Threat Graph is able to contextualize and turn this data into action, automatically delivering protection to every customer.</w:t>
      </w:r>
    </w:p>
    <w:p>
      <w:pPr>
        <w:spacing w:after="0" w:line="179" w:lineRule="exact"/>
        <w:rPr>
          <w:rFonts w:ascii="Arial" w:cs="Arial" w:eastAsia="Arial" w:hAnsi="Arial"/>
          <w:sz w:val="18"/>
          <w:szCs w:val="18"/>
          <w:color w:val="auto"/>
        </w:rPr>
      </w:pPr>
    </w:p>
    <w:p>
      <w:pPr>
        <w:ind w:left="660" w:right="320" w:hanging="328"/>
        <w:spacing w:after="0" w:line="28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High Efficacy, Low False Positives</w:t>
      </w:r>
      <w:r>
        <w:rPr>
          <w:rFonts w:ascii="Arial" w:cs="Arial" w:eastAsia="Arial" w:hAnsi="Arial"/>
          <w:sz w:val="18"/>
          <w:szCs w:val="18"/>
          <w:color w:val="auto"/>
        </w:rPr>
        <w:t>: The vast telemetry of the Security Cloud and the best practices employed in continually training our AI</w:t>
      </w:r>
      <w:r>
        <w:rPr>
          <w:rFonts w:ascii="Arial" w:cs="Arial" w:eastAsia="Arial" w:hAnsi="Arial"/>
          <w:sz w:val="18"/>
          <w:szCs w:val="18"/>
          <w:b w:val="1"/>
          <w:bCs w:val="1"/>
          <w:color w:val="auto"/>
        </w:rPr>
        <w:t xml:space="preserve"> </w:t>
      </w:r>
      <w:r>
        <w:rPr>
          <w:rFonts w:ascii="Arial" w:cs="Arial" w:eastAsia="Arial" w:hAnsi="Arial"/>
          <w:sz w:val="18"/>
          <w:szCs w:val="18"/>
          <w:color w:val="auto"/>
        </w:rPr>
        <w:t>models results in industry-leading efficacy rates and low false positives.</w:t>
      </w:r>
    </w:p>
    <w:p>
      <w:pPr>
        <w:spacing w:after="0" w:line="161"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Consolidation of Siloed Products</w:t>
      </w:r>
      <w:r>
        <w:rPr>
          <w:rFonts w:ascii="Arial" w:cs="Arial" w:eastAsia="Arial" w:hAnsi="Arial"/>
          <w:sz w:val="18"/>
          <w:szCs w:val="18"/>
          <w:color w:val="auto"/>
        </w:rPr>
        <w:t>: Integrating and maintaining numerous security products creates blind spots that attackers can exploit is costly</w:t>
      </w:r>
      <w:r>
        <w:rPr>
          <w:rFonts w:ascii="Arial" w:cs="Arial" w:eastAsia="Arial" w:hAnsi="Arial"/>
          <w:sz w:val="18"/>
          <w:szCs w:val="18"/>
          <w:b w:val="1"/>
          <w:bCs w:val="1"/>
          <w:color w:val="auto"/>
        </w:rPr>
        <w:t xml:space="preserve"> </w:t>
      </w:r>
      <w:r>
        <w:rPr>
          <w:rFonts w:ascii="Arial" w:cs="Arial" w:eastAsia="Arial" w:hAnsi="Arial"/>
          <w:sz w:val="18"/>
          <w:szCs w:val="18"/>
          <w:color w:val="auto"/>
        </w:rPr>
        <w:t>to maintain and negatively impacts user performance. Our cloud-native platform approach gives customers a unified approach to address their most critical areas of risk seamlessly. We empower customers to rapidly deploy and scale cloud workload security, next-generation antivirus, endpoint detection and response (“EDR”), device control, host firewall management, vulnerability management, forensic analysis, IT hygiene, threat hunting, identity protection, log management, automated threat intelligence, and Extended Detection and Response (“XDR”) from a single platform.</w:t>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line="298"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Reducing Agent Bloat</w:t>
      </w:r>
      <w:r>
        <w:rPr>
          <w:rFonts w:ascii="Arial" w:cs="Arial" w:eastAsia="Arial" w:hAnsi="Arial"/>
          <w:sz w:val="16"/>
          <w:szCs w:val="16"/>
          <w:color w:val="auto"/>
        </w:rPr>
        <w:t>: Our single intelligent lightweight agent enables frictionless deployment of our platform at scale, enabling customers to</w:t>
      </w:r>
      <w:r>
        <w:rPr>
          <w:rFonts w:ascii="Arial" w:cs="Arial" w:eastAsia="Arial" w:hAnsi="Arial"/>
          <w:sz w:val="16"/>
          <w:szCs w:val="16"/>
          <w:b w:val="1"/>
          <w:bCs w:val="1"/>
          <w:color w:val="auto"/>
        </w:rPr>
        <w:t xml:space="preserve"> </w:t>
      </w:r>
      <w:r>
        <w:rPr>
          <w:rFonts w:ascii="Arial" w:cs="Arial" w:eastAsia="Arial" w:hAnsi="Arial"/>
          <w:sz w:val="16"/>
          <w:szCs w:val="16"/>
          <w:color w:val="auto"/>
        </w:rPr>
        <w:t>rapidly adopt our technology across any type of workload running on a variety of endpoints. The agent is non-intrusive to the end user, requires no reboots and continues to protect the endpoint and track activity even when offline. Through our single lightweight agent approach, customers can adopt multiple platform modules to address their critical areas of risk without burdening the endpoint with multiple agents. Legacy approaches often require multiple agents as they layer on new capabilities. This can severely impact user performance and create barriers to security.</w:t>
      </w:r>
    </w:p>
    <w:p>
      <w:pPr>
        <w:spacing w:after="0" w:line="153" w:lineRule="exact"/>
        <w:rPr>
          <w:rFonts w:ascii="Arial" w:cs="Arial" w:eastAsia="Arial" w:hAnsi="Arial"/>
          <w:sz w:val="16"/>
          <w:szCs w:val="16"/>
          <w:color w:val="auto"/>
        </w:rPr>
      </w:pPr>
    </w:p>
    <w:p>
      <w:pPr>
        <w:ind w:left="660" w:right="4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Rapid Time to Value</w:t>
      </w:r>
      <w:r>
        <w:rPr>
          <w:rFonts w:ascii="Arial" w:cs="Arial" w:eastAsia="Arial" w:hAnsi="Arial"/>
          <w:sz w:val="18"/>
          <w:szCs w:val="18"/>
          <w:color w:val="auto"/>
        </w:rPr>
        <w:t>: Our cloud-native platform was built to rapidly scale industry leading protection across the entire enterprise, eliminating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lengthy implementation periods, and professional services engagements that next-gen and legacy competitors require. Our single agent approach enables us to activate new modules in real time.</w:t>
      </w:r>
    </w:p>
    <w:p>
      <w:pPr>
        <w:spacing w:after="0" w:line="175" w:lineRule="exact"/>
        <w:rPr>
          <w:rFonts w:ascii="Arial" w:cs="Arial" w:eastAsia="Arial" w:hAnsi="Arial"/>
          <w:sz w:val="18"/>
          <w:szCs w:val="18"/>
          <w:color w:val="auto"/>
        </w:rPr>
      </w:pPr>
    </w:p>
    <w:p>
      <w:pPr>
        <w:ind w:left="660" w:right="60" w:hanging="328"/>
        <w:spacing w:after="0" w:line="29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Elite Security Teams as a Force Multiplier: </w:t>
      </w:r>
      <w:r>
        <w:rPr>
          <w:rFonts w:ascii="Arial" w:cs="Arial" w:eastAsia="Arial" w:hAnsi="Arial"/>
          <w:sz w:val="16"/>
          <w:szCs w:val="16"/>
          <w:color w:val="auto"/>
        </w:rPr>
        <w:t>As adversaries continue to employ sophisticated non-malware attacks that exploit user credentials</w:t>
      </w:r>
      <w:r>
        <w:rPr>
          <w:rFonts w:ascii="Arial" w:cs="Arial" w:eastAsia="Arial" w:hAnsi="Arial"/>
          <w:sz w:val="16"/>
          <w:szCs w:val="16"/>
          <w:b w:val="1"/>
          <w:bCs w:val="1"/>
          <w:color w:val="auto"/>
        </w:rPr>
        <w:t xml:space="preserve"> </w:t>
      </w:r>
      <w:r>
        <w:rPr>
          <w:rFonts w:ascii="Arial" w:cs="Arial" w:eastAsia="Arial" w:hAnsi="Arial"/>
          <w:sz w:val="16"/>
          <w:szCs w:val="16"/>
          <w:color w:val="auto"/>
        </w:rPr>
        <w:t>and identities, automation and autonomous security are no longer sufficient on their own. Stopping today’s sophisticated attacks requires a combination of powerful automation and elite threat hunting. Our OverWatch threat hunting cloud module combines world-class human intelligence from our elite security experts with the power of the Security Cloud. OverWatch is a force multiplier that extends the capabilities and improves the productivity of our customers’ security teams. Because our world-class team can see attacks across our entire customer base, their expertise is enhanced by their constant visibility into the threat landscape. Additionally, the insights of our OverWatch team can then be leveraged by the Falcon platform to further enhance its autonomous capabilities, creating a positive feedback loop for our customers.</w:t>
      </w:r>
    </w:p>
    <w:p>
      <w:pPr>
        <w:spacing w:after="0" w:line="161" w:lineRule="exact"/>
        <w:rPr>
          <w:rFonts w:ascii="Arial" w:cs="Arial" w:eastAsia="Arial" w:hAnsi="Arial"/>
          <w:sz w:val="16"/>
          <w:szCs w:val="16"/>
          <w:color w:val="auto"/>
        </w:rPr>
      </w:pPr>
    </w:p>
    <w:p>
      <w:pPr>
        <w:ind w:left="660" w:right="4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Alleviating the Skills Shortage through Automation</w:t>
      </w:r>
      <w:r>
        <w:rPr>
          <w:rFonts w:ascii="Arial" w:cs="Arial" w:eastAsia="Arial" w:hAnsi="Arial"/>
          <w:sz w:val="18"/>
          <w:szCs w:val="18"/>
          <w:color w:val="auto"/>
        </w:rPr>
        <w:t>: CrowdStrike automates manual tasks to free security teams to focus on their most</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job - stopping the breach. Our Falcon Fusion module automates workflows to reduce the need to switch between different security tools and tasks, while our Falcon XDR module provides a unified solution that enables security teams to rapidly and efficiently identify, hunt, and eliminate threats across multiple security domains.</w:t>
      </w:r>
    </w:p>
    <w:p>
      <w:pPr>
        <w:spacing w:after="0" w:line="179" w:lineRule="exact"/>
        <w:rPr>
          <w:rFonts w:ascii="Arial" w:cs="Arial" w:eastAsia="Arial" w:hAnsi="Arial"/>
          <w:sz w:val="18"/>
          <w:szCs w:val="18"/>
          <w:color w:val="auto"/>
        </w:rPr>
      </w:pPr>
    </w:p>
    <w:p>
      <w:pPr>
        <w:ind w:left="660" w:right="160" w:hanging="328"/>
        <w:spacing w:after="0" w:line="314"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Lower Total Cost of Ownership</w:t>
      </w:r>
      <w:r>
        <w:rPr>
          <w:rFonts w:ascii="Arial" w:cs="Arial" w:eastAsia="Arial" w:hAnsi="Arial"/>
          <w:sz w:val="16"/>
          <w:szCs w:val="16"/>
          <w:color w:val="auto"/>
        </w:rPr>
        <w:t>: Our cloud-native platform eliminates our customers’ need for initial or ongoing purchases of hardware and</w:t>
      </w:r>
      <w:r>
        <w:rPr>
          <w:rFonts w:ascii="Arial" w:cs="Arial" w:eastAsia="Arial" w:hAnsi="Arial"/>
          <w:sz w:val="16"/>
          <w:szCs w:val="16"/>
          <w:b w:val="1"/>
          <w:bCs w:val="1"/>
          <w:color w:val="auto"/>
        </w:rPr>
        <w:t xml:space="preserve"> </w:t>
      </w:r>
      <w:r>
        <w:rPr>
          <w:rFonts w:ascii="Arial" w:cs="Arial" w:eastAsia="Arial" w:hAnsi="Arial"/>
          <w:sz w:val="16"/>
          <w:szCs w:val="16"/>
          <w:color w:val="auto"/>
        </w:rPr>
        <w:t>does not require their personnel to 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CrowdStrike Falcon Platform: Built to Innovate and Scale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platform approach allows us to rapidly innovate, build, and deploy highly integrated modules that address critical customer problems and access additional market opportunities. Our cloud modules integrate seamlessly with the Falcon platform that addresses use cases across corporate workload security, security and vulnerability management, managed security services, IT operations management, threat intelligence services, identity protection, and log management.</w:t>
      </w:r>
    </w:p>
    <w:p>
      <w:pPr>
        <w:spacing w:after="0" w:line="18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Falcon platform is composed of two tightly integrated proprietary technologies: our lightweight agent and our Security Cloud. The Falcon platform offers a unified set of cloud-delivered technologies that power a wide range of modules including next-generation antivirus, EDR, device control, host firewall management, managed threat hunting, IT hygiene, vulnerability management, and threat intelligence. The Falcon platform also encompasses recently acquired technologies where integration may be ongoing. We can rapidly and cost effectively develop and deliver additional cloud modules on our Falcon platform without the need for additional agents, and are expanding options for our new customers to test modules on a trial basis and in-application trials for existing customers.</w:t>
      </w:r>
    </w:p>
    <w:p>
      <w:pPr>
        <w:spacing w:after="0" w:line="192"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Our expanding set of open APIs allows customers and partners to build their own capabilities on top of the Falcon platform. With our Falcon platform, we can crowdsource data and deliver a variety of cloud modules to detect and stop breaches. Our modules address the most critical areas of enterprise risk and friction.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Cloud Modules</w:t>
      </w:r>
    </w:p>
    <w:p>
      <w:pPr>
        <w:spacing w:after="0" w:line="229"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Our cloud modules integrate seamlessly with the Falcon platform to provide functionality in the endpoint security, security and IT operations (including vulnerability management), and threat intelligence markets. Today, our cloud modules include: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Cloud Security</w:t>
      </w:r>
    </w:p>
    <w:p>
      <w:pPr>
        <w:spacing w:after="0" w:line="229" w:lineRule="exact"/>
        <w:rPr>
          <w:sz w:val="20"/>
          <w:szCs w:val="20"/>
          <w:color w:val="auto"/>
        </w:rPr>
      </w:pPr>
    </w:p>
    <w:p>
      <w:pPr>
        <w:ind w:left="660" w:right="14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Falcon Cloud Workload Protection—Cloud Runtime Protection. </w:t>
      </w:r>
      <w:r>
        <w:rPr>
          <w:rFonts w:ascii="Arial" w:cs="Arial" w:eastAsia="Arial" w:hAnsi="Arial"/>
          <w:sz w:val="18"/>
          <w:szCs w:val="18"/>
          <w:color w:val="auto"/>
        </w:rPr>
        <w:t>Falcon Cloud Workload Protection provides comprehensive breach protection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run-time for workloads and containers as well as detecting vulnerabilities before services and images are deployed. Falcon Cloud Workload Protection reduces the attack surface by automatically detecting vulnerabilities, hidden malware, secrets, keys, and more, enabling customers to build, run, and deploy secure applications with speed and confidence.</w:t>
      </w:r>
    </w:p>
    <w:p>
      <w:pPr>
        <w:spacing w:after="0" w:line="186" w:lineRule="exact"/>
        <w:rPr>
          <w:rFonts w:ascii="Arial" w:cs="Arial" w:eastAsia="Arial" w:hAnsi="Arial"/>
          <w:sz w:val="18"/>
          <w:szCs w:val="18"/>
          <w:color w:val="auto"/>
        </w:rPr>
      </w:pPr>
    </w:p>
    <w:p>
      <w:pPr>
        <w:ind w:left="660" w:right="180" w:hanging="328"/>
        <w:spacing w:after="0" w:line="286"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Falcon Horizon—Cloud Security Posture Management</w:t>
      </w:r>
      <w:r>
        <w:rPr>
          <w:rFonts w:ascii="Arial" w:cs="Arial" w:eastAsia="Arial" w:hAnsi="Arial"/>
          <w:sz w:val="17"/>
          <w:szCs w:val="17"/>
          <w:color w:val="auto"/>
        </w:rPr>
        <w:t>. Falcon Horizon delivers unified visibility, threat detection, and continuous monitoring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compliance for multi-cloud environments. Falcon Horizon automates the process to detect cloud related misconfigurations, vulnerabilities, and identity-based risks, providing step-by-step remediation and giving developers guardrails to avoid costly mistakes.</w:t>
      </w:r>
    </w:p>
    <w:p>
      <w:pPr>
        <w:spacing w:after="0" w:line="165" w:lineRule="exact"/>
        <w:rPr>
          <w:rFonts w:ascii="Arial" w:cs="Arial" w:eastAsia="Arial" w:hAnsi="Arial"/>
          <w:sz w:val="17"/>
          <w:szCs w:val="17"/>
          <w:color w:val="auto"/>
        </w:rPr>
      </w:pPr>
    </w:p>
    <w:p>
      <w:pPr>
        <w:ind w:left="660" w:right="20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Discover for Cloud and Containers—Cloud Service Discovery. </w:t>
      </w:r>
      <w:r>
        <w:rPr>
          <w:rFonts w:ascii="Arial" w:cs="Arial" w:eastAsia="Arial" w:hAnsi="Arial"/>
          <w:sz w:val="18"/>
          <w:szCs w:val="18"/>
          <w:color w:val="auto"/>
        </w:rPr>
        <w:t>Discover for Cloud and Containers delivers comprehensive visibility of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security configurations, workloads and containers across multi-cloud environments so customers can mitigate risks and reduce the attack surface.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Endpoint Security</w:t>
      </w:r>
    </w:p>
    <w:p>
      <w:pPr>
        <w:spacing w:after="0" w:line="229" w:lineRule="exact"/>
        <w:rPr>
          <w:sz w:val="20"/>
          <w:szCs w:val="20"/>
          <w:color w:val="auto"/>
        </w:rPr>
      </w:pPr>
    </w:p>
    <w:p>
      <w:pPr>
        <w:ind w:left="660" w:right="9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Falcon Prevent—Next-Generation Antivirus</w:t>
      </w:r>
      <w:r>
        <w:rPr>
          <w:rFonts w:ascii="Arial" w:cs="Arial" w:eastAsia="Arial" w:hAnsi="Arial"/>
          <w:sz w:val="18"/>
          <w:szCs w:val="18"/>
          <w:color w:val="auto"/>
        </w:rPr>
        <w:t>. Falcon Prevent provides next-generation antivirus capabilities to customers, delivering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protection to defend customers against both malware and fileless attacks.</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Falcon Insight—Endpoint Detection and Response</w:t>
      </w:r>
      <w:r>
        <w:rPr>
          <w:rFonts w:ascii="Arial" w:cs="Arial" w:eastAsia="Arial" w:hAnsi="Arial"/>
          <w:sz w:val="18"/>
          <w:szCs w:val="18"/>
          <w:color w:val="auto"/>
        </w:rPr>
        <w:t>. Falcon Insight provides EDR capabilities to customers, allowing for continuous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comprehensive visibility to notify our customers what is happening on their endpoints in real time.</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Falcon Device Control—Device Control</w:t>
      </w:r>
      <w:r>
        <w:rPr>
          <w:rFonts w:ascii="Arial" w:cs="Arial" w:eastAsia="Arial" w:hAnsi="Arial"/>
          <w:sz w:val="18"/>
          <w:szCs w:val="18"/>
          <w:color w:val="auto"/>
        </w:rPr>
        <w:t>. Falcon Device Control provides administrators with a high degree of visibility and granular control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USB peripheral devices.</w:t>
      </w:r>
    </w:p>
    <w:p>
      <w:pPr>
        <w:spacing w:after="0" w:line="170" w:lineRule="exact"/>
        <w:rPr>
          <w:rFonts w:ascii="Arial" w:cs="Arial" w:eastAsia="Arial" w:hAnsi="Arial"/>
          <w:sz w:val="18"/>
          <w:szCs w:val="18"/>
          <w:color w:val="auto"/>
        </w:rPr>
      </w:pPr>
    </w:p>
    <w:p>
      <w:pPr>
        <w:ind w:left="660" w:right="380" w:hanging="328"/>
        <w:spacing w:after="0" w:line="308"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Falcon Firewall Management—Host Firewall Management</w:t>
      </w:r>
      <w:r>
        <w:rPr>
          <w:rFonts w:ascii="Arial" w:cs="Arial" w:eastAsia="Arial" w:hAnsi="Arial"/>
          <w:sz w:val="17"/>
          <w:szCs w:val="17"/>
          <w:color w:val="auto"/>
        </w:rPr>
        <w:t>. Falcon Firewall Management provides centralized management of the firewall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native to the host operating system, allowing customers to create, enforce, and maintain host firewall policies.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Extended Detection and Response</w:t>
      </w:r>
    </w:p>
    <w:p>
      <w:pPr>
        <w:spacing w:after="0" w:line="229" w:lineRule="exact"/>
        <w:rPr>
          <w:sz w:val="20"/>
          <w:szCs w:val="20"/>
          <w:color w:val="auto"/>
        </w:rPr>
      </w:pPr>
    </w:p>
    <w:p>
      <w:pPr>
        <w:ind w:left="660" w:hanging="328"/>
        <w:spacing w:after="0" w:line="27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Falcon XDR - Extended Detection and Response</w:t>
      </w:r>
      <w:r>
        <w:rPr>
          <w:rFonts w:ascii="Arial" w:cs="Arial" w:eastAsia="Arial" w:hAnsi="Arial"/>
          <w:sz w:val="17"/>
          <w:szCs w:val="17"/>
          <w:color w:val="auto"/>
        </w:rPr>
        <w:t>. Falcon XDR extends our industry leading detection, investigation, and response capabilities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incorporating relevant third-party security data. We correlate signals from multiple disparate technologies to deliver XDR detections across the attack surface. We allow customers to investigate these detections and to search and hunt using data from CrowdStrike, as well as third party security sources such as email, cloud access security broker (“CASB”) network threat detection, and identity and firewall data. The CrowdXDR Alliance offers a first-of-its-kind technology ecosystem to enable unified, threat-centric detection and response across an organization’s security and technology ecosystem. We believe the CrowdXDR Alliance is differentiating - bringing together industry leaders and cutting-edge solutions to establish an open-source, common XDR ontology for data sharing. Falcon XDR is designed to enhance threat correlation and speeds response times against sophisticated attacks.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Security and IT Operations</w:t>
      </w:r>
    </w:p>
    <w:p>
      <w:pPr>
        <w:spacing w:after="0" w:line="229" w:lineRule="exact"/>
        <w:rPr>
          <w:sz w:val="20"/>
          <w:szCs w:val="20"/>
          <w:color w:val="auto"/>
        </w:rPr>
      </w:pPr>
    </w:p>
    <w:p>
      <w:pPr>
        <w:ind w:left="660" w:right="2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Falcon Discover—IT Hygiene</w:t>
      </w:r>
      <w:r>
        <w:rPr>
          <w:rFonts w:ascii="Arial" w:cs="Arial" w:eastAsia="Arial" w:hAnsi="Arial"/>
          <w:sz w:val="18"/>
          <w:szCs w:val="18"/>
          <w:color w:val="auto"/>
        </w:rPr>
        <w:t>. Falcon Discover identifies rogue systems and applications in our customers’ networks, and monitors the use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privileged user accounts anywhere in a customer’s environments. The module also enables use cases outside of security, such as application license management, AWS spend analysis, and asset inventory.</w:t>
      </w:r>
    </w:p>
    <w:p>
      <w:pPr>
        <w:spacing w:after="0" w:line="183" w:lineRule="exact"/>
        <w:rPr>
          <w:rFonts w:ascii="Arial" w:cs="Arial" w:eastAsia="Arial" w:hAnsi="Arial"/>
          <w:sz w:val="18"/>
          <w:szCs w:val="18"/>
          <w:color w:val="auto"/>
        </w:rPr>
      </w:pPr>
    </w:p>
    <w:p>
      <w:pPr>
        <w:ind w:left="660" w:right="24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Falcon Spotlight—Vulnerability Management</w:t>
      </w:r>
      <w:r>
        <w:rPr>
          <w:rFonts w:ascii="Arial" w:cs="Arial" w:eastAsia="Arial" w:hAnsi="Arial"/>
          <w:sz w:val="16"/>
          <w:szCs w:val="16"/>
          <w:color w:val="auto"/>
        </w:rPr>
        <w:t>. Falcon Spotlight identifies vulnerabilities in real time that exist across our customer endpoints.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module does not depend on scanning systems for vulnerabilities, a process that can often take days or weeks for an enterprise, and instead leverages data already collected by our agent to provide instant and accurate real-time visibility into an enterprise’s vulnerability exposure.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Falcon Forensics—Forensic Data for Analysis of Cybersecurity Incidents</w:t>
      </w:r>
      <w:r>
        <w:rPr>
          <w:rFonts w:ascii="Arial" w:cs="Arial" w:eastAsia="Arial" w:hAnsi="Arial"/>
          <w:sz w:val="18"/>
          <w:szCs w:val="18"/>
          <w:color w:val="auto"/>
        </w:rPr>
        <w:t>. Falcon Forensics streamlines the collection of point-in-time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 forensic triage data for robust analysis of cybersecurity incidents, enabling responders to quickly identify relevant data with preset dashboards and rapidly investigate.</w:t>
      </w:r>
    </w:p>
    <w:p>
      <w:pPr>
        <w:spacing w:after="0" w:line="183"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Falcon FileVantage—File Integrity Monitoring</w:t>
      </w:r>
      <w:r>
        <w:rPr>
          <w:rFonts w:ascii="Arial" w:cs="Arial" w:eastAsia="Arial" w:hAnsi="Arial"/>
          <w:sz w:val="18"/>
          <w:szCs w:val="18"/>
          <w:color w:val="auto"/>
        </w:rPr>
        <w:t>. Falcon FileVantage reduces compliance complexity by building in the services an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would normally provide, including being able to monitor all files on the protected systems. This in turn provides alerts and reports to help meet various compliance requirements imposed by PCI, CIS Controls, and Sarbanes-Oxley.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Managed Services</w:t>
      </w:r>
    </w:p>
    <w:p>
      <w:pPr>
        <w:spacing w:after="0" w:line="229" w:lineRule="exact"/>
        <w:rPr>
          <w:sz w:val="20"/>
          <w:szCs w:val="20"/>
          <w:color w:val="auto"/>
        </w:rPr>
      </w:pPr>
    </w:p>
    <w:p>
      <w:pPr>
        <w:ind w:left="660" w:right="14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Falcon Complete—Turnkey Security Solution</w:t>
      </w:r>
      <w:r>
        <w:rPr>
          <w:rFonts w:ascii="Arial" w:cs="Arial" w:eastAsia="Arial" w:hAnsi="Arial"/>
          <w:sz w:val="18"/>
          <w:szCs w:val="18"/>
          <w:color w:val="auto"/>
        </w:rPr>
        <w:t>. Falcon Complete provides comprehensive monitoring, management, response, and remediation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to our customers and is designed to bring enterprise level security to companies that may lack enterprise level resources. It is backed by an underwritten limited warranty policy for breaches. We also offer Falcon Cloud Workload Protection Complete and Falcon Identity Threat Protection Complete as add-ons to our Falcon Complete solution to extend its capabilities to include our cloud workload protection and identity protection modules.</w:t>
      </w:r>
    </w:p>
    <w:p>
      <w:pPr>
        <w:spacing w:after="0" w:line="18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Falcon OverWatch—Threat Hunting</w:t>
      </w:r>
      <w:r>
        <w:rPr>
          <w:rFonts w:ascii="Arial" w:cs="Arial" w:eastAsia="Arial" w:hAnsi="Arial"/>
          <w:sz w:val="18"/>
          <w:szCs w:val="18"/>
          <w:color w:val="auto"/>
        </w:rPr>
        <w:t>. Falcon OverWatch is a threat hunting solution that consists of an elite team of dedicated security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work with the power of Threat Graph to proactively identify threats for our customers.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Threat Intelligence</w:t>
      </w:r>
    </w:p>
    <w:p>
      <w:pPr>
        <w:spacing w:after="0" w:line="229" w:lineRule="exact"/>
        <w:rPr>
          <w:sz w:val="20"/>
          <w:szCs w:val="20"/>
          <w:color w:val="auto"/>
        </w:rPr>
      </w:pPr>
    </w:p>
    <w:p>
      <w:pPr>
        <w:ind w:left="660" w:right="24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Falcon X—Threat Intelligence</w:t>
      </w:r>
      <w:r>
        <w:rPr>
          <w:rFonts w:ascii="Arial" w:cs="Arial" w:eastAsia="Arial" w:hAnsi="Arial"/>
          <w:sz w:val="18"/>
          <w:szCs w:val="18"/>
          <w:color w:val="auto"/>
        </w:rPr>
        <w:t>. Falcon X integrates threat intelligence into endpoint protection and provides automated analysis of detected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threats to provide insight into the capabilities, motivation and attribution of attacks. In addition to the standard Falcon X offering, we also offer premium options that include global threat research and reporting from our team of intelligence analysts.</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Falcon Search Engine—Malware Search</w:t>
      </w:r>
      <w:r>
        <w:rPr>
          <w:rFonts w:ascii="Arial" w:cs="Arial" w:eastAsia="Arial" w:hAnsi="Arial"/>
          <w:sz w:val="18"/>
          <w:szCs w:val="18"/>
          <w:color w:val="auto"/>
        </w:rPr>
        <w:t>. Falcon Search Engine enables customers to search in real time across approximately 5.0 petabytes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malware collected in our Falcon platform and indexed by our proprietary binary data indexing technology.</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Falcon Sandbox—Malware Analysis</w:t>
      </w:r>
      <w:r>
        <w:rPr>
          <w:rFonts w:ascii="Arial" w:cs="Arial" w:eastAsia="Arial" w:hAnsi="Arial"/>
          <w:sz w:val="18"/>
          <w:szCs w:val="18"/>
          <w:color w:val="auto"/>
        </w:rPr>
        <w:t>. Falcon Sandbox allows our customers to analyze unknown files for malicious behavior by detonating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safely in virtual machines.</w:t>
      </w:r>
    </w:p>
    <w:p>
      <w:pPr>
        <w:spacing w:after="0" w:line="170"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Falcon X Recon—Situational Awareness</w:t>
      </w:r>
      <w:r>
        <w:rPr>
          <w:rFonts w:ascii="Arial" w:cs="Arial" w:eastAsia="Arial" w:hAnsi="Arial"/>
          <w:sz w:val="16"/>
          <w:szCs w:val="16"/>
          <w:color w:val="auto"/>
        </w:rPr>
        <w:t>. Falcon X Recon allows our customers to identify and mitigate digital risks on the hidden areas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clear, deep and dark web. These risks include, but are not limited to, digital fraud, data theft exposure, social media impersonations.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Identity Protection</w:t>
      </w:r>
    </w:p>
    <w:p>
      <w:pPr>
        <w:spacing w:after="0" w:line="229" w:lineRule="exact"/>
        <w:rPr>
          <w:sz w:val="20"/>
          <w:szCs w:val="20"/>
          <w:color w:val="auto"/>
        </w:rPr>
      </w:pPr>
    </w:p>
    <w:p>
      <w:pPr>
        <w:ind w:left="660" w:right="4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Falcon Zero Trust—Zero Trust Security</w:t>
      </w:r>
      <w:r>
        <w:rPr>
          <w:rFonts w:ascii="Arial" w:cs="Arial" w:eastAsia="Arial" w:hAnsi="Arial"/>
          <w:sz w:val="18"/>
          <w:szCs w:val="18"/>
          <w:color w:val="auto"/>
        </w:rPr>
        <w:t>. Frictionless Zero Trust security with real-time threat prevention and IT policy enforcement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identity, behavioral and risk analytics.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Falcon Identity Threat Detection—Identity Threat Detection</w:t>
      </w:r>
      <w:r>
        <w:rPr>
          <w:rFonts w:ascii="Arial" w:cs="Arial" w:eastAsia="Arial" w:hAnsi="Arial"/>
          <w:sz w:val="18"/>
          <w:szCs w:val="18"/>
          <w:color w:val="auto"/>
        </w:rPr>
        <w:t>. Visibility for identity-based attacks and anomalies, comparing live traffic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behavior baselines and rules to detect attacks and lateral movement.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Log Management</w:t>
      </w:r>
    </w:p>
    <w:p>
      <w:pPr>
        <w:spacing w:after="0" w:line="229" w:lineRule="exact"/>
        <w:rPr>
          <w:sz w:val="20"/>
          <w:szCs w:val="20"/>
          <w:color w:val="auto"/>
        </w:rPr>
      </w:pPr>
    </w:p>
    <w:p>
      <w:pPr>
        <w:ind w:left="660" w:right="1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Humio—Log Management</w:t>
      </w:r>
      <w:r>
        <w:rPr>
          <w:rFonts w:ascii="Arial" w:cs="Arial" w:eastAsia="Arial" w:hAnsi="Arial"/>
          <w:sz w:val="18"/>
          <w:szCs w:val="18"/>
          <w:color w:val="auto"/>
        </w:rPr>
        <w:t>. Humio is a high-performance, index-free cloud log management solution that allows customers to collect logs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data source and to search and query streaming data in real-time.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Acquired Technologies</w:t>
      </w:r>
    </w:p>
    <w:p>
      <w:pPr>
        <w:spacing w:after="0" w:line="229" w:lineRule="exact"/>
        <w:rPr>
          <w:sz w:val="20"/>
          <w:szCs w:val="20"/>
          <w:color w:val="auto"/>
        </w:rPr>
      </w:pPr>
    </w:p>
    <w:p>
      <w:pPr>
        <w:ind w:left="660" w:right="1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SecureCircle – Data Protection</w:t>
      </w:r>
      <w:r>
        <w:rPr>
          <w:rFonts w:ascii="Arial" w:cs="Arial" w:eastAsia="Arial" w:hAnsi="Arial"/>
          <w:sz w:val="18"/>
          <w:szCs w:val="18"/>
          <w:color w:val="auto"/>
        </w:rPr>
        <w:t>. SecureCircle is a recently acquired technology that extends Zero Trust security to data on the endpoint. As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drives business value for our customers, end users operate without obstacles,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while data is continuously secured against breaches and insider threats. Instead of relying on complex reactive measures, we believe integrating SecureCircle will help us simply secure data persistently in transit, at rest, and even in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Bringing CrowdStrike to the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primarily sell the Falcon platform through our direct sales team that leverages our network of channel partners to maximize effectiveness and scale.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a low friction land-and-expand sales strategy. Key elements of our growth strategy include:</w:t>
      </w:r>
    </w:p>
    <w:p>
      <w:pPr>
        <w:spacing w:after="0" w:line="220" w:lineRule="exact"/>
        <w:rPr>
          <w:sz w:val="20"/>
          <w:szCs w:val="20"/>
          <w:color w:val="auto"/>
        </w:rPr>
      </w:pPr>
    </w:p>
    <w:p>
      <w:pPr>
        <w:ind w:left="660" w:right="20" w:hanging="328"/>
        <w:spacing w:after="0" w:line="269" w:lineRule="auto"/>
        <w:tabs>
          <w:tab w:leader="none" w:pos="648" w:val="left"/>
        </w:tabs>
        <w:numPr>
          <w:ilvl w:val="0"/>
          <w:numId w:val="19"/>
        </w:numPr>
        <w:rPr>
          <w:rFonts w:ascii="Arial" w:cs="Arial" w:eastAsia="Arial" w:hAnsi="Arial"/>
          <w:sz w:val="19"/>
          <w:szCs w:val="19"/>
          <w:color w:val="auto"/>
        </w:rPr>
      </w:pPr>
      <w:r>
        <w:rPr>
          <w:rFonts w:ascii="Arial" w:cs="Arial" w:eastAsia="Arial" w:hAnsi="Arial"/>
          <w:sz w:val="17"/>
          <w:szCs w:val="17"/>
          <w:b w:val="1"/>
          <w:bCs w:val="1"/>
          <w:color w:val="auto"/>
        </w:rPr>
        <w:t xml:space="preserve">Growing Our Customer Base by Replacing Legacy and Other Endpoint Security Products. </w:t>
      </w:r>
      <w:r>
        <w:rPr>
          <w:rFonts w:ascii="Arial" w:cs="Arial" w:eastAsia="Arial" w:hAnsi="Arial"/>
          <w:sz w:val="17"/>
          <w:szCs w:val="17"/>
          <w:color w:val="auto"/>
        </w:rPr>
        <w:t>Given the limitations of existing legacy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endpoint security products, many organizations are replacing their existing legacy and other endpoint security products with our Falcon platform. We grew our subscription customer base by 6,429 customers from 9,896 at January 31, 2021, to 16,325 at January 31, 2022, representing a 65% increase. We will continue to invest in customer acquisition programs, including our channel partnerships and new programs, like our free trial program of Falcon Prevent that is easily downloaded from our website and AWS Marketplace.</w:t>
      </w:r>
    </w:p>
    <w:p>
      <w:pPr>
        <w:spacing w:after="0" w:line="174" w:lineRule="exact"/>
        <w:rPr>
          <w:rFonts w:ascii="Arial" w:cs="Arial" w:eastAsia="Arial" w:hAnsi="Arial"/>
          <w:sz w:val="19"/>
          <w:szCs w:val="19"/>
          <w:color w:val="auto"/>
        </w:rPr>
      </w:pPr>
    </w:p>
    <w:p>
      <w:pPr>
        <w:ind w:left="660" w:right="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Further Penetrating Existing Customers. </w:t>
      </w:r>
      <w:r>
        <w:rPr>
          <w:rFonts w:ascii="Arial" w:cs="Arial" w:eastAsia="Arial" w:hAnsi="Arial"/>
          <w:sz w:val="18"/>
          <w:szCs w:val="18"/>
          <w:color w:val="auto"/>
        </w:rPr>
        <w:t>Our growth will depend in part on our ability to continue to expand our relationships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by deploying on additional endpoints in their environment and cross 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 wide for all customers. The power of our land-and-expand strategy is evidenced by our 123.9% dollar-based net retention rate as of January 31, 2022.</w:t>
      </w:r>
    </w:p>
    <w:p>
      <w:pPr>
        <w:spacing w:after="0" w:line="18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Leveraging Our Falcon Platform to Enter New Markets. </w:t>
      </w:r>
      <w:r>
        <w:rPr>
          <w:rFonts w:ascii="Arial" w:cs="Arial" w:eastAsia="Arial" w:hAnsi="Arial"/>
          <w:sz w:val="17"/>
          <w:szCs w:val="17"/>
          <w:color w:val="auto"/>
        </w:rPr>
        <w:t>Because we leverage a single data model and open cloud architecture, we are</w:t>
      </w:r>
      <w:r>
        <w:rPr>
          <w:rFonts w:ascii="Arial" w:cs="Arial" w:eastAsia="Arial" w:hAnsi="Arial"/>
          <w:sz w:val="17"/>
          <w:szCs w:val="17"/>
          <w:b w:val="1"/>
          <w:bCs w:val="1"/>
          <w:color w:val="auto"/>
        </w:rPr>
        <w:t xml:space="preserve"> </w:t>
      </w:r>
      <w:r>
        <w:rPr>
          <w:rFonts w:ascii="Arial" w:cs="Arial" w:eastAsia="Arial" w:hAnsi="Arial"/>
          <w:sz w:val="17"/>
          <w:szCs w:val="17"/>
          <w:color w:val="auto"/>
        </w:rPr>
        <w:t>uniquely positioned to continue innovating and rapidly deploying new cloud modules on our platform. For example, Falcon Discover includes use cases outside of security, such as application license management, AWS spend analysis, and asset inventory. Because our lightweight agent collects diverse endpoint data once for repeated use, we can expand our addressable market by rapidly adding new cloud modules that leverage this data. We intend to continue to develop new cloud modules for broader endpoint use cases.</w:t>
      </w:r>
    </w:p>
    <w:p>
      <w:pPr>
        <w:spacing w:after="0" w:line="167" w:lineRule="exact"/>
        <w:rPr>
          <w:rFonts w:ascii="Arial" w:cs="Arial" w:eastAsia="Arial" w:hAnsi="Arial"/>
          <w:sz w:val="17"/>
          <w:szCs w:val="17"/>
          <w:color w:val="auto"/>
        </w:rPr>
      </w:pPr>
    </w:p>
    <w:p>
      <w:pPr>
        <w:ind w:left="660" w:right="8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Broadening Our Reach into New Customer Segments. </w:t>
      </w:r>
      <w:r>
        <w:rPr>
          <w:rFonts w:ascii="Arial" w:cs="Arial" w:eastAsia="Arial" w:hAnsi="Arial"/>
          <w:sz w:val="18"/>
          <w:szCs w:val="18"/>
          <w:color w:val="auto"/>
        </w:rPr>
        <w:t>While we initially targeted large sophisticated enterprises, we have expanded our go-to-market efforts to include customers of 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pacing w:after="0" w:line="187"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Extending Our Falcon Platform and Ecosystem. </w:t>
      </w:r>
      <w:r>
        <w:rPr>
          <w:rFonts w:ascii="Arial" w:cs="Arial" w:eastAsia="Arial" w:hAnsi="Arial"/>
          <w:sz w:val="18"/>
          <w:szCs w:val="18"/>
          <w:color w:val="auto"/>
        </w:rPr>
        <w:t>We designed our architecture to be open, interoperable, and highly extensible. We launched the</w:t>
      </w:r>
      <w:r>
        <w:rPr>
          <w:rFonts w:ascii="Arial" w:cs="Arial" w:eastAsia="Arial" w:hAnsi="Arial"/>
          <w:sz w:val="18"/>
          <w:szCs w:val="18"/>
          <w:b w:val="1"/>
          <w:bCs w:val="1"/>
          <w:color w:val="auto"/>
        </w:rPr>
        <w:t xml:space="preserve"> </w:t>
      </w:r>
      <w:r>
        <w:rPr>
          <w:rFonts w:ascii="Arial" w:cs="Arial" w:eastAsia="Arial" w:hAnsi="Arial"/>
          <w:sz w:val="18"/>
          <w:szCs w:val="18"/>
          <w:color w:val="auto"/>
        </w:rPr>
        <w:t>CrowdStrike Store, the first open cloud-based application PaaS for cybersecurity, which allows customers to purchase CrowdStrike products and provides an ecosystem of trusted partners and applications for our customers to choose from. In the future we plan to continue investing in the CrowdStrike Store to empower our partners by making it easier to build applications and to enable our customers to more easily discover, try, and purchase additional cloud modules from both trusted partners and us.</w:t>
      </w:r>
    </w:p>
    <w:p>
      <w:pPr>
        <w:spacing w:after="0" w:line="183"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Broadening Our Reach into the U.S. Federal Government Vertical. </w:t>
      </w:r>
      <w:r>
        <w:rPr>
          <w:rFonts w:ascii="Arial" w:cs="Arial" w:eastAsia="Arial" w:hAnsi="Arial"/>
          <w:sz w:val="18"/>
          <w:szCs w:val="18"/>
          <w:color w:val="auto"/>
        </w:rPr>
        <w:t>We are investing in the acquisition of customers in the U.S.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vertical. Our platform is authorized by several federal agencies via the Federal Risk and Authorization Management Program (“FedRAMP”). To further meet the compliance demands of the federal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80" w:hanging="328"/>
        <w:spacing w:after="0" w:line="28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Expanding Our International Footprint. </w:t>
      </w:r>
      <w:r>
        <w:rPr>
          <w:rFonts w:ascii="Arial" w:cs="Arial" w:eastAsia="Arial" w:hAnsi="Arial"/>
          <w:sz w:val="17"/>
          <w:szCs w:val="17"/>
          <w:color w:val="auto"/>
        </w:rPr>
        <w:t>We are expanding our international operations and intend to invest globally to broaden our</w:t>
      </w:r>
      <w:r>
        <w:rPr>
          <w:rFonts w:ascii="Arial" w:cs="Arial" w:eastAsia="Arial" w:hAnsi="Arial"/>
          <w:sz w:val="17"/>
          <w:szCs w:val="17"/>
          <w:b w:val="1"/>
          <w:bCs w:val="1"/>
          <w:color w:val="auto"/>
        </w:rPr>
        <w:t xml:space="preserve"> </w:t>
      </w:r>
      <w:r>
        <w:rPr>
          <w:rFonts w:ascii="Arial" w:cs="Arial" w:eastAsia="Arial" w:hAnsi="Arial"/>
          <w:sz w:val="17"/>
          <w:szCs w:val="17"/>
          <w:color w:val="auto"/>
        </w:rPr>
        <w:t>international footprint. We grew our international revenue from $247.0 million for fiscal 2021, to $405.1 million for fiscal 2022, representing an increase of 64%. We intend to grow our international customer base by increasing our investments in our overseas operations, including adding headcount in Europe, the Middle East, Asia-Pacific, including Japan and expanding current data centers overseas.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significant growth, with revenue increasing from $874.4 million in fiscal 2021 to $1.5 billion in fiscal 2022, representing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over-year growth of 66%, and from $481.4 million in fiscal 2020 to $874.4 million in fiscal 2021, representing year-over-year growth of 82%. Subscription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grew from $804.7 million in fiscal 2021 to $1.4 billion in fiscal 2022, a 69% increase, and from $436.3 million in fiscal 2020 to $804.7 million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2021, an 84% increase. Our Annual Recurring Revenue (“ARR”), has grown from a $1.1 billion as of January 31, 2021 to $1.7 billion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2022, a 65% increase, and from $600.5 million as of January 31, 2020 to $1.1 billion as of January 31, 2021, a 75% increase. We had net losses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$234.8 million, $92.6 million, and $141.8 million in fiscal 2022, fiscal 2021, and fiscal 2020, respectively. We expect to continue to incur net losses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foreseeable future as we continue to invest in our business, and in particular, our sales and research and development capabilities, to address our large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opportunity.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have designed an innovative architecture from the ground up to overcome the limitations of existing security products and deliver cloud-based solutions. The key design principles of our Falcon platform include:</w:t>
      </w:r>
    </w:p>
    <w:p>
      <w:pPr>
        <w:spacing w:after="0" w:line="166" w:lineRule="exact"/>
        <w:rPr>
          <w:sz w:val="20"/>
          <w:szCs w:val="20"/>
          <w:color w:val="auto"/>
        </w:rPr>
      </w:pPr>
    </w:p>
    <w:p>
      <w:pPr>
        <w:ind w:right="200" w:firstLine="324"/>
        <w:spacing w:after="0" w:line="303" w:lineRule="auto"/>
        <w:rPr>
          <w:sz w:val="20"/>
          <w:szCs w:val="20"/>
          <w:color w:val="auto"/>
        </w:rPr>
      </w:pPr>
      <w:r>
        <w:rPr>
          <w:rFonts w:ascii="Arial" w:cs="Arial" w:eastAsia="Arial" w:hAnsi="Arial"/>
          <w:sz w:val="16"/>
          <w:szCs w:val="16"/>
          <w:b w:val="1"/>
          <w:bCs w:val="1"/>
          <w:color w:val="auto"/>
        </w:rPr>
        <w:t xml:space="preserve">Cloud Native Architecture. </w:t>
      </w:r>
      <w:r>
        <w:rPr>
          <w:rFonts w:ascii="Arial" w:cs="Arial" w:eastAsia="Arial" w:hAnsi="Arial"/>
          <w:sz w:val="16"/>
          <w:szCs w:val="16"/>
          <w:color w:val="auto"/>
        </w:rPr>
        <w:t>We built the Falcon platform entirely in and for the cloud, enabling collection and analysis of a massive, crowdsourced</w:t>
      </w:r>
      <w:r>
        <w:rPr>
          <w:rFonts w:ascii="Arial" w:cs="Arial" w:eastAsia="Arial" w:hAnsi="Arial"/>
          <w:sz w:val="16"/>
          <w:szCs w:val="16"/>
          <w:b w:val="1"/>
          <w:bCs w:val="1"/>
          <w:color w:val="auto"/>
        </w:rPr>
        <w:t xml:space="preserve"> </w:t>
      </w:r>
      <w:r>
        <w:rPr>
          <w:rFonts w:ascii="Arial" w:cs="Arial" w:eastAsia="Arial" w:hAnsi="Arial"/>
          <w:sz w:val="16"/>
          <w:szCs w:val="16"/>
          <w:color w:val="auto"/>
        </w:rPr>
        <w:t>dataset from all of our customers to stop breaches. Our platform is designed to be redundant, resilient, and high 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5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Falcon Agent. </w:t>
      </w:r>
      <w:r>
        <w:rPr>
          <w:rFonts w:ascii="Arial" w:cs="Arial" w:eastAsia="Arial" w:hAnsi="Arial"/>
          <w:sz w:val="17"/>
          <w:szCs w:val="17"/>
          <w:color w:val="auto"/>
        </w:rPr>
        <w:t>We designed an intelligent lightweight agent that is installed on each endpoint or cloud workload. This agent incorporates identification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prevention of known malware, machine learning for unknown malware, exploit blocking and advanced behavioral techniques, to protect workloads across all endpoints while capturing and recording high fidelity endpoint data. Our agent continues to protect workloads running on endpoints even when offline. The agent recommences transmitting data to our Falcon platform when the connection to the cloud has been re-established. Our lightweight agent is built to support Windows, Mac, and Linux operating systems. The agent is hardened against attacks and uses a combination of kernel and user-mode modules to collect high fidelity endpoint events as they take place on a system. It correlates these events with a local situational model on the endpoint, analyzes via agent-based machine learning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in order to collect and analyze different events or take other actions.</w:t>
      </w:r>
    </w:p>
    <w:p>
      <w:pPr>
        <w:spacing w:after="0" w:line="177"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b w:val="1"/>
          <w:bCs w:val="1"/>
          <w:color w:val="auto"/>
        </w:rPr>
        <w:t xml:space="preserve">Threat Graph. </w:t>
      </w:r>
      <w:r>
        <w:rPr>
          <w:rFonts w:ascii="Arial" w:cs="Arial" w:eastAsia="Arial" w:hAnsi="Arial"/>
          <w:sz w:val="16"/>
          <w:szCs w:val="16"/>
          <w:color w:val="auto"/>
        </w:rPr>
        <w:t>Threat Graph is a proprietary, powerful, and dynamic graph database. Threat Graph continually looks for malicious activity by</w:t>
      </w:r>
      <w:r>
        <w:rPr>
          <w:rFonts w:ascii="Arial" w:cs="Arial" w:eastAsia="Arial" w:hAnsi="Arial"/>
          <w:sz w:val="16"/>
          <w:szCs w:val="16"/>
          <w:b w:val="1"/>
          <w:bCs w:val="1"/>
          <w:color w:val="auto"/>
        </w:rPr>
        <w:t xml:space="preserve"> </w:t>
      </w:r>
      <w:r>
        <w:rPr>
          <w:rFonts w:ascii="Arial" w:cs="Arial" w:eastAsia="Arial" w:hAnsi="Arial"/>
          <w:sz w:val="16"/>
          <w:szCs w:val="16"/>
          <w:color w:val="auto"/>
        </w:rPr>
        <w:t>combining AI with behavioral pattern-matching techniques to look beyond file features and track the behaviors of every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the AI algorithms to identify relationships between events that are not directly related but which could indicate an attack that would otherwise remain undetected. We believe that our AI algorithms are advantaged by the rich proprietary dataset that we use to train them. Threat Graph provides customers with complete real time and historical visibility and insight into events occurring on their endpoints for hunting and searching.</w:t>
      </w:r>
    </w:p>
    <w:p>
      <w:pPr>
        <w:spacing w:after="0" w:line="16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Threat Graph also provides query and hunting capability over the full set of high 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High Fidelity Data and Smart Filtering. </w:t>
      </w:r>
      <w:r>
        <w:rPr>
          <w:rFonts w:ascii="Arial" w:cs="Arial" w:eastAsia="Arial" w:hAnsi="Arial"/>
          <w:sz w:val="16"/>
          <w:szCs w:val="16"/>
          <w:color w:val="auto"/>
        </w:rPr>
        <w:t>Absent an intelligent agent, a typical endpoint generates approximately 100 gigabytes of unfiltered system</w:t>
      </w:r>
      <w:r>
        <w:rPr>
          <w:rFonts w:ascii="Arial" w:cs="Arial" w:eastAsia="Arial" w:hAnsi="Arial"/>
          <w:sz w:val="16"/>
          <w:szCs w:val="16"/>
          <w:b w:val="1"/>
          <w:bCs w:val="1"/>
          <w:color w:val="auto"/>
        </w:rPr>
        <w:t xml:space="preserve"> </w:t>
      </w:r>
      <w:r>
        <w:rPr>
          <w:rFonts w:ascii="Arial" w:cs="Arial" w:eastAsia="Arial" w:hAnsi="Arial"/>
          <w:sz w:val="16"/>
          <w:szCs w:val="16"/>
          <w:color w:val="auto"/>
        </w:rPr>
        <w:t>event data per day. After this data is compressed, or data shaped, a typical enterprise organization with 100,000 endpoints would generate over one petabyte of endpoint events daily. The presence of a local graph model in our agent enables it to track the state of the machine in real time, perform rapid machine learning and behavioral analysis, and provide efficient event streaming to the cloud. We call this “smart filtering.” This allows us to keep performance overhead on the endpoint to a minimum, dramatically reduce the bandwidth required for agent-cloud communication, efficiently process large volumes of data, and separate the signal from the noise. The Falcon agent collects and analyzes unfiltered data with local machine learning and behavioral algorithms on the endpoint but only streams high fidelity endpoint events to the cloud to only send what is necessary for detection, prevention and investigation of attacks. This smart filtering architecture allows us to reduce network load for customers to approximately five megabytes per endpoint per day.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61" w:lineRule="exact"/>
        <w:rPr>
          <w:sz w:val="20"/>
          <w:szCs w:val="20"/>
          <w:color w:val="auto"/>
        </w:rPr>
      </w:pPr>
    </w:p>
    <w:p>
      <w:pPr>
        <w:ind w:right="40" w:firstLine="324"/>
        <w:spacing w:after="0" w:line="289" w:lineRule="auto"/>
        <w:rPr>
          <w:sz w:val="20"/>
          <w:szCs w:val="20"/>
          <w:color w:val="auto"/>
        </w:rPr>
      </w:pPr>
      <w:r>
        <w:rPr>
          <w:rFonts w:ascii="Arial" w:cs="Arial" w:eastAsia="Arial" w:hAnsi="Arial"/>
          <w:sz w:val="17"/>
          <w:szCs w:val="17"/>
          <w:b w:val="1"/>
          <w:bCs w:val="1"/>
          <w:color w:val="auto"/>
        </w:rPr>
        <w:t xml:space="preserve">Management Interface. </w:t>
      </w:r>
      <w:r>
        <w:rPr>
          <w:rFonts w:ascii="Arial" w:cs="Arial" w:eastAsia="Arial" w:hAnsi="Arial"/>
          <w:sz w:val="17"/>
          <w:szCs w:val="17"/>
          <w:color w:val="auto"/>
        </w:rPr>
        <w:t>The Falcon platform management interface gives customers an intuitive and informative view of their complete environment,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timely alerts and detailed search capabilities. We provide real-time endpoint and cloud workload visibility to allow customers to review details and respond to threats instantly and effectively, from anywhere, and maintain an index of these events for future use.</w:t>
      </w:r>
    </w:p>
    <w:p>
      <w:pPr>
        <w:spacing w:after="0" w:line="1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APIs and Integrations. </w:t>
      </w:r>
      <w:r>
        <w:rPr>
          <w:rFonts w:ascii="Arial" w:cs="Arial" w:eastAsia="Arial" w:hAnsi="Arial"/>
          <w:sz w:val="18"/>
          <w:szCs w:val="18"/>
          <w:color w:val="auto"/>
        </w:rPr>
        <w:t>Our Falcon platform and architecture is built around a rich set of APIs that efficiently and effectively complement and expand</w:t>
      </w:r>
      <w:r>
        <w:rPr>
          <w:rFonts w:ascii="Arial" w:cs="Arial" w:eastAsia="Arial" w:hAnsi="Arial"/>
          <w:sz w:val="18"/>
          <w:szCs w:val="18"/>
          <w:b w:val="1"/>
          <w:bCs w:val="1"/>
          <w:color w:val="auto"/>
        </w:rPr>
        <w:t xml:space="preserve"> </w:t>
      </w:r>
      <w:r>
        <w:rPr>
          <w:rFonts w:ascii="Arial" w:cs="Arial" w:eastAsia="Arial" w:hAnsi="Arial"/>
          <w:sz w:val="18"/>
          <w:szCs w:val="18"/>
          <w:color w:val="auto"/>
        </w:rPr>
        <w:t>a customer’s existing security infrastructure, such as security information event management, or SIEMs, and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Center Operations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have data center co-location facilities throughout the United States and in Europe, and we also utilize AWS data centers located in the United States and Europe. Our technology infrastructure, combined with select use of AWS resources, provides us with a distributed and scalable architecture on a global scale.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In addition to our Falcon platform and cloud modules, we also offer incident response and forensic investigatory services, technical assessment and strategic advisory services, as well as training to assist organizations that have experienced a breach or are assessing their security posture and ability to respond to breaches.</w:t>
      </w:r>
    </w:p>
    <w:p>
      <w:pPr>
        <w:spacing w:after="0" w:line="180" w:lineRule="exact"/>
        <w:rPr>
          <w:sz w:val="20"/>
          <w:szCs w:val="20"/>
          <w:color w:val="auto"/>
        </w:rPr>
      </w:pPr>
    </w:p>
    <w:p>
      <w:pPr>
        <w:ind w:left="660" w:hanging="328"/>
        <w:spacing w:after="0" w:line="288" w:lineRule="auto"/>
        <w:tabs>
          <w:tab w:leader="none" w:pos="655" w:val="left"/>
        </w:tabs>
        <w:numPr>
          <w:ilvl w:val="0"/>
          <w:numId w:val="21"/>
        </w:numPr>
        <w:rPr>
          <w:rFonts w:ascii="Arial" w:cs="Arial" w:eastAsia="Arial" w:hAnsi="Arial"/>
          <w:sz w:val="16"/>
          <w:szCs w:val="16"/>
          <w:i w:val="1"/>
          <w:iCs w:val="1"/>
          <w:color w:val="auto"/>
        </w:rPr>
      </w:pPr>
      <w:r>
        <w:rPr>
          <w:rFonts w:ascii="Arial" w:cs="Arial" w:eastAsia="Arial" w:hAnsi="Arial"/>
          <w:sz w:val="16"/>
          <w:szCs w:val="16"/>
          <w:b w:val="1"/>
          <w:bCs w:val="1"/>
          <w:color w:val="auto"/>
        </w:rPr>
        <w:t xml:space="preserve">Incident Response and Forensics Services. </w:t>
      </w:r>
      <w:r>
        <w:rPr>
          <w:rFonts w:ascii="Arial" w:cs="Arial" w:eastAsia="Arial" w:hAnsi="Arial"/>
          <w:sz w:val="16"/>
          <w:szCs w:val="16"/>
          <w:color w:val="auto"/>
        </w:rPr>
        <w:t>Our incident response services typically begin by deploying our lightweight agent to a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endpoints to provide comprehensive visibility in order to determine if an attacker is currently in the environment, what assets have been compromised, and how much damage has been done. The Falcon platform’s next-gen prevention capabilities, cloud posture management and identity protection offerings can also be leveraged to enrich the response team’s visibility and understanding of the attack as well as help to slow down and prevent an active attacker from moving at-will throughout a compromised customer’s environment, increasing the risk and potential damage to the customer. We also provide customized remediation planning by providing a strategy to eject attackers out of the network, lock down credentials from further use,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 Among organizations who first became a customer after February 1, 2020, for each $1.00 spent by those customers on their initial engagement for our incident response or proactive services, as of January 31, 2022, we derived an average of $5.71 in ARR from those subscription contracts.</w:t>
      </w:r>
    </w:p>
    <w:p>
      <w:pPr>
        <w:spacing w:after="0" w:line="163" w:lineRule="exact"/>
        <w:rPr>
          <w:rFonts w:ascii="Arial" w:cs="Arial" w:eastAsia="Arial" w:hAnsi="Arial"/>
          <w:sz w:val="16"/>
          <w:szCs w:val="16"/>
          <w:i w:val="1"/>
          <w:iCs w:val="1"/>
          <w:color w:val="auto"/>
        </w:rPr>
      </w:pPr>
    </w:p>
    <w:p>
      <w:pPr>
        <w:ind w:left="660" w:right="160" w:hanging="328"/>
        <w:spacing w:after="0" w:line="266" w:lineRule="auto"/>
        <w:tabs>
          <w:tab w:leader="none" w:pos="655" w:val="left"/>
        </w:tabs>
        <w:numPr>
          <w:ilvl w:val="0"/>
          <w:numId w:val="21"/>
        </w:numPr>
        <w:rPr>
          <w:rFonts w:ascii="Arial" w:cs="Arial" w:eastAsia="Arial" w:hAnsi="Arial"/>
          <w:sz w:val="18"/>
          <w:szCs w:val="18"/>
          <w:i w:val="1"/>
          <w:iCs w:val="1"/>
          <w:color w:val="auto"/>
        </w:rPr>
      </w:pPr>
      <w:r>
        <w:rPr>
          <w:rFonts w:ascii="Arial" w:cs="Arial" w:eastAsia="Arial" w:hAnsi="Arial"/>
          <w:sz w:val="18"/>
          <w:szCs w:val="18"/>
          <w:b w:val="1"/>
          <w:bCs w:val="1"/>
          <w:color w:val="auto"/>
        </w:rPr>
        <w:t>Technical Assessment and Strategic Advisory Services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proactive security services include technical assessment services designed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understand their cyber maturity levels. These services include compromise assessments, cybersecurity maturity assessments, security program in-depth assessments, service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organization control assessments, cloud security assessments, IT hygiene assessments, and active directory security assessments. We also advise customers on readiness and preparation through the execution of table-top exercises, live fire exercises, red team/blue team assessments, and advanced adversary emulation exercises. These services are designed to evaluate our customers’ security profile so they can identify areas of vulnerability, secure their network, and improve their response if their defenses are breached.</w:t>
      </w:r>
    </w:p>
    <w:p>
      <w:pPr>
        <w:spacing w:after="0" w:line="167" w:lineRule="exact"/>
        <w:rPr>
          <w:sz w:val="20"/>
          <w:szCs w:val="20"/>
          <w:color w:val="auto"/>
        </w:rPr>
      </w:pPr>
    </w:p>
    <w:p>
      <w:pPr>
        <w:ind w:left="660" w:right="80" w:hanging="328"/>
        <w:spacing w:after="0" w:line="274" w:lineRule="auto"/>
        <w:tabs>
          <w:tab w:leader="none" w:pos="655" w:val="left"/>
        </w:tabs>
        <w:numPr>
          <w:ilvl w:val="0"/>
          <w:numId w:val="22"/>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Training. </w:t>
      </w:r>
      <w:r>
        <w:rPr>
          <w:rFonts w:ascii="Arial" w:cs="Arial" w:eastAsia="Arial" w:hAnsi="Arial"/>
          <w:sz w:val="17"/>
          <w:szCs w:val="17"/>
          <w:color w:val="auto"/>
        </w:rPr>
        <w:t>We offer training and certification services to customers and partners on CrowdStrike technologies and cybersecurity topics to facilitate</w:t>
      </w:r>
      <w:r>
        <w:rPr>
          <w:rFonts w:ascii="Arial" w:cs="Arial" w:eastAsia="Arial" w:hAnsi="Arial"/>
          <w:sz w:val="17"/>
          <w:szCs w:val="17"/>
          <w:b w:val="1"/>
          <w:bCs w:val="1"/>
          <w:color w:val="auto"/>
        </w:rPr>
        <w:t xml:space="preserve"> </w:t>
      </w:r>
      <w:r>
        <w:rPr>
          <w:rFonts w:ascii="Arial" w:cs="Arial" w:eastAsia="Arial" w:hAnsi="Arial"/>
          <w:sz w:val="17"/>
          <w:szCs w:val="17"/>
          <w:color w:val="auto"/>
        </w:rPr>
        <w:t>the adoption of CrowdStrike and to broaden and deepen their skills. CrowdStrike University is an online learning management system that organizes all CrowdStrike e-learning, instructor-led training and certification preparation courses in one place, providing a personalized learning experience for individuals who have an active training subscription. CrowdStrike currently offers proctored exam certifications through industry leading training partner Pearson Vue for its CrowdStrike Certified Falcon Administrator (“CCFA”), CrowdStrike Certified Falcon Responder (“CCFR”), and CrowdStrike Certified Falcon Hunter (“CCFH”) programs.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Some of the world’s largest enterprises, government organizations, and high profile brands trust us to protect their business. As of January 31, 2022, we had 16,325 subscription customers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Insight, and we intend to continue to develop new cloud modules based on our customer’s feedback. Our business is not dependent on any particular end customer.</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Our sales and marketing organizations work together closely to drive market awareness, build a strong sales pipeline and cultivate customer relationships to drive revenue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primarily sell subscriptions to our Falcon platform and cloud modules through our direct sales team, which is comprised of field sales and inside sales professionals who are segmented by a customer’s number of endpoints. Our sales team also leverages our network of channel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the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prospective customers to sign up for a free trial of the Falcon platform. Additionally, we engage in joint marketing activities with our channel and technology alliance partners.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Partnership Ecosystem</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work with a number of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launched the CrowdStrike Store, the first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open cloud-based application PaaS for cybersecurity and the industry’s first unified security cloud ecosystem of trusted third-party applications. In addition, Falcon for Amazon Web Services (“AWS”), available in the AWS Marketplace, allows customers to easily purchase and take advantage of the metered billing (pay-as-you-go) pricing option to scale their consumption as their business needs 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Our research and development organization is responsible for the design, architecture, operation and quality of our cloud native Falcon platform. In addition, the research and development organization works closely with our customer success teams to ensure customer satisfaction is the top priority.</w:t>
      </w:r>
    </w:p>
    <w:p>
      <w:pPr>
        <w:spacing w:after="0" w:line="124"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reports on emerging security issues. We invest substantial resources in research and development to enhance our Falcon platform, and develop new cloud modules, features and functionality. We believe timely development of new, and enhancement of our existing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16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research and development leadership team is located in Seattle, Washington and Sunnyvale, California. We also maintain research and development centers in Irvine, California, and Israel. We employ subject matter experts in a number of jurisdictions around the world. We plan to continue to dedicate significant resources to research and development.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primarily compete with established and emerging security product vendors. While the market for traditional endpoint and IT operations solutions has historically been intensely competitive, we believe that the architecture of our cloud-native, single agent platform fundamentally differentiates us compared to both next-gen and legacy competitors in the security industry. Additionally, as we look to enter into adjacent markets and expand our total addressable market, we may face new competitors. However, we do not believe any of our competitors currently have a true platform offering equivalent to the Falcon platform, which can be leveraged to win in legacy markets and define new categories.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competitors currently include the following by general category:</w:t>
      </w:r>
    </w:p>
    <w:p>
      <w:pPr>
        <w:spacing w:after="0" w:line="171" w:lineRule="exact"/>
        <w:rPr>
          <w:sz w:val="20"/>
          <w:szCs w:val="20"/>
          <w:color w:val="auto"/>
        </w:rPr>
      </w:pPr>
    </w:p>
    <w:p>
      <w:pPr>
        <w:ind w:left="660" w:right="22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legacy antivirus product providers, such as Trellix (formerly McAfee Enterprise), Broadcom Inc.’s Symantec Enterprise division, and Microsoft Corporation, who offer a broad range of approaches and solutions including traditional signature-based antivirus protection;</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VMware Carbon Black and SentinelOne, who generally offer a mix of on-premises and cloud-hosted products that rely heavily on malware-only or application whitelisting techniques;</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who are supplementing their core perimeter-based offerings with endpoint security solutions;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professional service providers, such as Mandiant and Microsoft Corporation, who offer cybersecurity response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on the basis of a number of factors, including but not limited to our:</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offer a unified and modular platform that enables rapid innovation, scaling, and deployment;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identify security threats and prevent security breaches;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integrate with other participants in the security ecosystem;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 to value, price, and total cost of ownership;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brand awareness, reputation, and trust in the provider’s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strength of sales, marketing, and channel partner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support, incident response, and proactive services.</w:t>
      </w:r>
    </w:p>
    <w:p>
      <w:pPr>
        <w:spacing w:after="0" w:line="225"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8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As of January 31, 2022, we had 132 issued patents and 90 pending patent applications in the United States and other countries. These patents and patent applications seek to protect our proprietary inventions relevant to our business. 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Intellectual Property, Legal, and Regulatory Matters—The success of our business depends in part on our ability to protect and enforce our intellectual property rights.”</w:t>
      </w:r>
    </w:p>
    <w:p>
      <w:pPr>
        <w:spacing w:after="0" w:line="16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consolidated financial statements, and are considered by us to be backlog. As of January 31, 2022, we had backlog of approximately $735.8 million.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100" w:firstLine="324"/>
        <w:spacing w:after="0" w:line="248" w:lineRule="auto"/>
        <w:rPr>
          <w:sz w:val="20"/>
          <w:szCs w:val="20"/>
          <w:color w:val="auto"/>
        </w:rPr>
      </w:pPr>
      <w:r>
        <w:rPr>
          <w:rFonts w:ascii="Arial" w:cs="Arial" w:eastAsia="Arial" w:hAnsi="Arial"/>
          <w:sz w:val="18"/>
          <w:szCs w:val="18"/>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experience seasonality in our operating margin, with a lower margin in the first half of our fiscal year due to a step up in costs for payroll taxes, new hires, and annual sales and marketing events. This also impacts the timing of operating cash flow.</w:t>
      </w:r>
    </w:p>
    <w:p>
      <w:pPr>
        <w:spacing w:after="0" w:line="16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31, 2022, we had 4,965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Retention, and Talent Development</w:t>
      </w:r>
    </w:p>
    <w:p>
      <w:pPr>
        <w:spacing w:after="0" w:line="229"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Supporting our people is a foundational value for CrowdStrike. We believe the company’s success depends on our ability to attract, develop and retain key personnel. The skills, experience and industry knowledge of key employees significantly benefit our operations and performance.</w:t>
      </w:r>
    </w:p>
    <w:p>
      <w:pPr>
        <w:spacing w:after="0" w:line="14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Our talent sourcing is aligned to our organizational strategy to provide the expertise and skills needed to move our mission forward. We have created a high performance talent model that pinpoints the top traits and qualities we look for in talent and that may already exist within the organization, then consistently use that model to develop interview questions, screen candidates, and make hiring decisions.</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continue to market to and recruit technical talent in diverse communities by engaging as a high-level sponsor or partner of professional conferences and organizations such as Grace Hopper, Society of Women Engineers, Afrotech - Blavity World, Hire Military, Black Girls Code, Thurgood Marshall College Foundation, and others.</w:t>
      </w:r>
    </w:p>
    <w:p>
      <w:pPr>
        <w:spacing w:after="0" w:line="18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To attract high performers, we have a team dedicated to building and promoting our employer brand focused on creating a strong employer value proposition:</w:t>
      </w:r>
    </w:p>
    <w:p>
      <w:pPr>
        <w:spacing w:after="0" w:line="1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Competitive pay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Flexible working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Role and task diversity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Professional development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Organizational reputation and culture</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provide robust compensation and benefits programs to help meet the needs of our employees. In addition to base salary, these programs (which vary by country/region) include annual bonuses or commission plans, equity awards, an employee stock purchase plan, a 401(k) plan, healthcare and insurance benefits, health savings and flexible spending accounts, paid time off, family leave, family care resources, flexible work schedules, adoption and infertility assistance, and employee assistance programs.</w:t>
      </w:r>
    </w:p>
    <w:p>
      <w:pPr>
        <w:spacing w:after="0" w:line="187"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We invest resources to develop the talent needed to remain a leader in cybersecurity. We deliver numerous training opportunities, provide rotational assignment opportunities, have expanded our focus on continuous learning and development, and implemented new methodologies to manage performance, provide feedback, and develop talent.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Remote-First Distributed Workforce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CrowdStrike, the ability to work remotely is a deliberate strategy that we believe fuels rapid innovation and attracts the best and brightest around the world, regardless of their specific location. Our culture is purpose-built around a remote-first way of working, creating a competitive advantage for both the company and its customers and minimizing disruption from localized issues such as natural disasters, political events, or health emergencies, such as the COVID-19 pandemic.</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CrowdStrike has had a distributed workforce since its inception. Even prior to the COVID-19 pandemic, roughly 70% of our workforce, including engineering and technology teams, worked on a remote basis. During the pandemic, we quickly went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 100% of our workforce working remotely. We have recently started to open offices again following the local guidelines, but have continued to encourage employees to follow local guidance on COVID-19 protocols to protect the health and safety of themselves and of those around them.</w:t>
      </w:r>
    </w:p>
    <w:p>
      <w:pPr>
        <w:spacing w:after="0" w:line="14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Since the beginning, we recognized that creating high-functioning, effective remote-first teams would require careful planning and system design to not only establish the culture but help it grow and evolve organically. We have designed our processes, systems, and teams so that people can perform their jobs without needing to be physically present in the same room or even in the same time zone. Part of supporting our remote-first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and Inclusion</w:t>
      </w:r>
    </w:p>
    <w:p>
      <w:pPr>
        <w:spacing w:after="0" w:line="229"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 diverse, equitable, and inclusive culture fuels creative excellence and innovation, helping people achieve their best work. We continue to strive to advance our efforts to build an equitable workplace and formally establish it as part of CrowdStrike’s mission and organization.</w:t>
      </w:r>
    </w:p>
    <w:p>
      <w:pPr>
        <w:spacing w:after="0" w:line="14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strive to create an environment where everyone feels seen, heard, and empowered to succeed. Through employee resource groups, internal training and development programs, allyship training, speaker series, and networking opportunities, we are empowered to come together to create a workplace that reflects the diverse communities around us.</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Setting a diverse workforce up for success requires a commitment to the practices of inclusion in everything we do. What a practice of inclusion means to us is that we are creating an environment and providing tools that help our people understand how to actively involve every employee’s ideas, knowledge, perspectives, approaches, and styles and how to engage all of our people via a mindful approach to organizational design and experiences that feels accessible and relevant to everyone.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Resource Groups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Employee Resource Groups are an integral component of our commitment to foster community, promote a sense of belonging, facilitate organizational change, and drive a greater understanding of the diversity of perspectives we have across CrowdStrike. In addition to the Embracing Equity majority ally group, we have five official Employee Resource Groups and we are anticipate additional groups in the future:</w:t>
      </w:r>
    </w:p>
    <w:p>
      <w:pPr>
        <w:spacing w:after="0" w:line="13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Women of CrowdStrike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Veterans of CrowdStrike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Pride Team (LGBTQ)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Green Team (Sustainability)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Team BELIEVE (Black employees)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Our Employee Resource Groups are employee led, self-directed, voluntary groups that align with our organizational mission, values, and goals that offer opportunities for groups to network, recommend business initiatives and process improvements, increase organizational awareness and allyship, and create opportunities for talent development. Employees who join an Employee Resource Group can:</w:t>
      </w:r>
    </w:p>
    <w:p>
      <w:pPr>
        <w:spacing w:after="0" w:line="11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Network and build community with people with similar interests, life circumstances or backgrounds.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 as champions for inclusion and belonging at CrowdStrike and help identify opportunities for us to become more inclusive.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Identify initiatives and best practices throughout the organization and make recommendations to the business to help spark and facilitate change.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with respect to our current executive officers as of March 16,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Age:</w:t>
            </w:r>
          </w:p>
        </w:tc>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24"/>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George Kurtz</w:t>
            </w:r>
          </w:p>
        </w:tc>
        <w:tc>
          <w:tcPr>
            <w:tcW w:w="100" w:type="dxa"/>
            <w:vAlign w:val="bottom"/>
          </w:tcPr>
          <w:p>
            <w:pPr>
              <w:spacing w:after="0"/>
              <w:rPr>
                <w:sz w:val="19"/>
                <w:szCs w:val="19"/>
                <w:color w:val="auto"/>
              </w:rPr>
            </w:pPr>
          </w:p>
        </w:tc>
        <w:tc>
          <w:tcPr>
            <w:tcW w:w="2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6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83"/>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Burt W. Podbere</w:t>
            </w:r>
          </w:p>
        </w:tc>
        <w:tc>
          <w:tcPr>
            <w:tcW w:w="2240" w:type="dxa"/>
            <w:vAlign w:val="bottom"/>
          </w:tcPr>
          <w:p>
            <w:pPr>
              <w:ind w:lef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84"/>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Shawn Henry</w:t>
            </w:r>
          </w:p>
        </w:tc>
        <w:tc>
          <w:tcPr>
            <w:tcW w:w="2240" w:type="dxa"/>
            <w:vAlign w:val="bottom"/>
          </w:tcPr>
          <w:p>
            <w:pPr>
              <w:ind w:left="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President, CrowdStrike Services and Chief Security Officer</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family relationship between any of our directors or executive officers and any other director or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George Kurtz - President, Chief Executive Officer, and Director</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as a board member, and as President for the CrowdStrike Foundation, a nonprofit established to support the next generation of talent and research in cybersecurity and artificial intelligence through scholarships, grants, and other activities. He has also served on the board of directors of Hewlett Packard Enterprise, an enterprise information technology company, since June 2019. Mr. Kurtz holds a B.S. in Accounting from Seton Hall University. Mr. Kurtz also holds a CPA license from the State of New Jersey with an inactive status.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Burt W. Podbere - Chief Financial Officer</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Shawn Henry - President, CrowdStrike Services and Chief Security Officer</w:t>
      </w:r>
    </w:p>
    <w:p>
      <w:pPr>
        <w:spacing w:after="0" w:line="243" w:lineRule="exact"/>
        <w:rPr>
          <w:sz w:val="20"/>
          <w:szCs w:val="20"/>
          <w:color w:val="auto"/>
        </w:rPr>
      </w:pPr>
    </w:p>
    <w:p>
      <w:pPr>
        <w:ind w:right="80" w:firstLine="324"/>
        <w:spacing w:after="0" w:line="238" w:lineRule="auto"/>
        <w:rPr>
          <w:sz w:val="20"/>
          <w:szCs w:val="20"/>
          <w:color w:val="auto"/>
        </w:rPr>
      </w:pPr>
      <w:r>
        <w:rPr>
          <w:rFonts w:ascii="Arial" w:cs="Arial" w:eastAsia="Arial" w:hAnsi="Arial"/>
          <w:sz w:val="18"/>
          <w:szCs w:val="18"/>
          <w:color w:val="auto"/>
        </w:rPr>
        <w:t>Mr. Henry has served as President of CrowdStrike Services and our Chief Security Officer since March 2012. Mr. Henry previously worked for the FBI from 1987 through March 2012, including most recently as Executive Assistant Director of the FBI’s Criminal, Cyber, Response and Services Branch. Since June 2016, Mr. Henry has served as a faculty member specializing in cybersecurity for the National Association of Corporate Directors, an organization providing training and education for private and public company directors. Mr. Henry previously served as a cybersecurity and national security analyst for NBC News. Since November 2021, Mr. Henry has served as a director of ShoulderUp Technology Acquisition Corp., a blank check company that completed its initial public offering in November 2021. Mr. Henry also serves on the board of directors of the Global Cyber Alliance, a nonprofit organization dedicated to making the Internet a safer place by reducing cyber risk, and on the advisory board of several organizations, including Hofstra University’s School of Engineering and Applied Science. Mr. Henry holds a B.B.A. from Hofstra University and an M.S. in Criminal Justice from Virginia Commonwealth University.</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Our principal executive offices are located at 206 E. 9th Street, Suite 1400, Austin, Texas 78701 and our telephone number is (888) 512-8906. Our website address is www.crowdstrike.com. Information contained on, or that can be accessed through, our website does not constitute part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https://ir.crowdstrike.com/financial-information/sec-filings, as soon as reasonably practicable after we file such material with, or furnish it to, the SEC. The SEC maintains a website that contains the materials we file with or furnish to the SEC at www.sec.gov.</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 Form 10-K, as well as the other information in this Annual Report on Form 10-K and the other filings that we make with the SEC.</w:t>
      </w:r>
    </w:p>
    <w:p>
      <w:pPr>
        <w:spacing w:after="0" w:line="146" w:lineRule="exact"/>
        <w:rPr>
          <w:sz w:val="20"/>
          <w:szCs w:val="20"/>
          <w:color w:val="auto"/>
        </w:rPr>
      </w:pPr>
    </w:p>
    <w:p>
      <w:pPr>
        <w:ind w:left="660" w:right="3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if we do not manage our future growth, our business and results of operations will be adversely affected.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 history of losses and may not be able to achieve or sustain profitability in the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COVID-19 pandemic could adversely affect global economic conditions and our business, operating results and future revenue.</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organizations do not adopt cloud-based SaaS-delivered endpoint security solutions, our ability to grow our business and results of operations may be adversely affected.</w:t>
      </w:r>
    </w:p>
    <w:p>
      <w:pPr>
        <w:spacing w:after="0" w:line="143" w:lineRule="exact"/>
        <w:rPr>
          <w:rFonts w:ascii="Arial" w:cs="Arial" w:eastAsia="Arial" w:hAnsi="Arial"/>
          <w:sz w:val="18"/>
          <w:szCs w:val="18"/>
          <w:color w:val="auto"/>
        </w:rPr>
      </w:pPr>
    </w:p>
    <w:p>
      <w:pPr>
        <w:ind w:left="660" w:right="48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attract new customers, our future results of operations could be harmed.</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customers do not renew their subscriptions for our products and add additional cloud modules to their subscriptions, our future results of operations could be harmed.</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face intense competition and could lose market share to our competitors, which could adversely affect our business, financial condition, and results of operations.</w:t>
      </w:r>
    </w:p>
    <w:p>
      <w:pPr>
        <w:spacing w:after="0" w:line="129"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29"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right="4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5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rely on our key technical, sales and management personnel to grow our business, and the loss of one or more key employees could harm our business.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are unable to attract and retain qualified personnel, our business could be harmed.</w:t>
      </w:r>
    </w:p>
    <w:p>
      <w:pPr>
        <w:spacing w:after="0" w:line="184"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which could make our future results difficult to predict and could cause our results of operations to fall below expectations.</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29" w:lineRule="exact"/>
        <w:rPr>
          <w:rFonts w:ascii="Arial" w:cs="Arial" w:eastAsia="Arial" w:hAnsi="Arial"/>
          <w:sz w:val="18"/>
          <w:szCs w:val="18"/>
          <w:color w:val="auto"/>
        </w:rPr>
      </w:pPr>
    </w:p>
    <w:p>
      <w:pPr>
        <w:ind w:left="660" w:right="54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We have experienced rapid revenue growth in recent periods and we expect to continue to invest broadly across our organization to support our growth. For example, our headcount grew from 2,309 employees as of January 31, 2020, to 4,965 employees as of January 31, 2022.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34" w:lineRule="exact"/>
        <w:rPr>
          <w:sz w:val="20"/>
          <w:szCs w:val="20"/>
          <w:color w:val="auto"/>
        </w:rPr>
      </w:pPr>
    </w:p>
    <w:p>
      <w:pPr>
        <w:ind w:left="980" w:right="1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29" w:lineRule="exact"/>
        <w:rPr>
          <w:rFonts w:ascii="Arial" w:cs="Arial" w:eastAsia="Arial" w:hAnsi="Arial"/>
          <w:sz w:val="18"/>
          <w:szCs w:val="18"/>
          <w:color w:val="auto"/>
        </w:rPr>
      </w:pPr>
    </w:p>
    <w:p>
      <w:pPr>
        <w:ind w:left="980" w:right="6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29"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have incurred net losses in all periods since our inception, and we may not achieve or maintain profitability in the future. We experienced net losses of $234.8 million, $92.6 million, and $141.8 million for fiscal 2022, fiscal 2021, and fiscal 2020, respectively. As of January 31, 2022, we had an accumulated deficit of $964.9 million. While we have experienced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operating results and future revenue.</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COVID-19 pandemic continues to impact worldwide economic activity and financial markets. In light of the uncertain and rapidly evolving situation relating to the spread of COVID-19, we have taken precautionary measures intended to mitigate the spread of the virus and minimize the risk to our employees, customers, partners, and the communities in which we operate. These precautionary measures could negatively affect our customer success efforts, delay and lengthen our sales cycles, impact our sales and marketing efforts, reduce employee efficiency and productivity, increase employee attrition, slow our international expansion efforts, increase cybersecurity risks, and create operational or other challenges, any of which could harm our business and results of operations. As we monitor the situation, taking into account uncertainties with respect to vaccination progress, disease variants and the efficacy of vaccines and treatments relating to such variants, infection rates and evolving public health guidance at local, state and country levels, planning and risk management relating to our work policies and office operations will require time from management and other employees, which may reduce the amount of time available for other initiatives. Moreover, due to our subscription-based business model, the effect of the COVID-19 pandemic may not be fully reflected in our results of operations until future periods, if at all.</w:t>
      </w:r>
    </w:p>
    <w:p>
      <w:pPr>
        <w:spacing w:after="0" w:line="18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addition, the COVID-19 pandemic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has adversely affected economies and financial markets globally, and continued uncertainty could lead to a prolonged economic downturn, which could result in a larger customer churn than we currently anticipate and reduced demand for our products and services, in which case our revenues could be significantly impacted. The impact of the COVID-19 pandemic may also exacerbate other risks discussed in this “Risk Factors” section and elsewhere in this Annual Report on Form 10-K. It is not possible at this time to estimate the impact that the COVID-19 pandemic could have on our business, as the impact will depend on future developments, which are highly uncertain and cannot be predicted.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7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9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in this regard may erode our competitive position, significantly impair our revenue growth, and negatively impact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8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market for security and IT operations solutions is intensely competitive, fragmented, and characterized by rapid changes in technology, customer requirements, industry standards, increasingly sophisticated attackers, and by frequent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7" w:lineRule="exact"/>
        <w:rPr>
          <w:sz w:val="20"/>
          <w:szCs w:val="20"/>
          <w:color w:val="auto"/>
        </w:rPr>
      </w:pPr>
    </w:p>
    <w:p>
      <w:pPr>
        <w:ind w:left="980" w:right="56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4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competitors include the following by general category:</w:t>
      </w:r>
    </w:p>
    <w:p>
      <w:pPr>
        <w:spacing w:after="0" w:line="185" w:lineRule="exact"/>
        <w:rPr>
          <w:sz w:val="20"/>
          <w:szCs w:val="20"/>
          <w:color w:val="auto"/>
        </w:rPr>
      </w:pPr>
    </w:p>
    <w:p>
      <w:pPr>
        <w:ind w:left="980" w:right="500" w:hanging="324"/>
        <w:spacing w:after="0" w:line="342" w:lineRule="auto"/>
        <w:tabs>
          <w:tab w:leader="none" w:pos="9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legacy antivirus product providers, such as Trellix (formerly McAfee Enterprise), Broadcom Inc.’s Symantec Enterprise division, and Microsoft Corporation, who offer a broad range of approaches and solutions including traditional signature-based anti-virus protection;</w:t>
      </w:r>
    </w:p>
    <w:p>
      <w:pPr>
        <w:spacing w:after="0" w:line="96" w:lineRule="exact"/>
        <w:rPr>
          <w:rFonts w:ascii="Arial" w:cs="Arial" w:eastAsia="Arial" w:hAnsi="Arial"/>
          <w:sz w:val="16"/>
          <w:szCs w:val="16"/>
          <w:color w:val="auto"/>
        </w:rPr>
      </w:pPr>
    </w:p>
    <w:p>
      <w:pPr>
        <w:ind w:left="980" w:right="22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VMware Carbon Black and SentinelOne, who generally offer a mix of on-premise and cloud-hosted products that rely heavily on malware-only or application whitelisting techniques;</w:t>
      </w:r>
    </w:p>
    <w:p>
      <w:pPr>
        <w:spacing w:after="0" w:line="129"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who are supplementing their core perimeter-based offerings with endpoint security solutions;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professional service providers, such as Mandiant and Microsoft Corporation, who offer cybersecurity response services.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8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6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7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68"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84"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factors, many of which are beyond our control, can affect the delivery, availability, and the performance of our Falcon platform:</w:t>
      </w:r>
    </w:p>
    <w:p>
      <w:pPr>
        <w:spacing w:after="0" w:line="210" w:lineRule="exact"/>
        <w:rPr>
          <w:sz w:val="20"/>
          <w:szCs w:val="20"/>
          <w:color w:val="auto"/>
        </w:rPr>
      </w:pPr>
    </w:p>
    <w:p>
      <w:pPr>
        <w:ind w:left="5540" w:right="5240" w:hanging="4884"/>
        <w:spacing w:after="0" w:line="1064" w:lineRule="auto"/>
        <w:tabs>
          <w:tab w:leader="none" w:pos="9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development and maintenance of the infrastructure of the internet;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54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43"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4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198"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results of operations will continue to vary as a result of a number of factors, many of which are outside of our control and may be difficult to predict, including:</w:t>
      </w:r>
    </w:p>
    <w:p>
      <w:pPr>
        <w:spacing w:after="0" w:line="130" w:lineRule="exact"/>
        <w:rPr>
          <w:sz w:val="20"/>
          <w:szCs w:val="20"/>
          <w:color w:val="auto"/>
        </w:rPr>
      </w:pPr>
    </w:p>
    <w:p>
      <w:pPr>
        <w:ind w:left="980" w:right="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the COVID-19 pandemic on our operations, financial results, and liquidity and capital resources, including on customers, sales, expenses, and employees;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184"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competitive developments, including consolidation among our customers or competitors;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level of awareness of cybersecurity threats, particularly advanced cyberattacks, and the market adoption of our Falcon platform;</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184"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media coverage or publicity;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events;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expansion of our business;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can be long and unpredictable, and our sales efforts require considerable time and expense.</w:t>
      </w:r>
    </w:p>
    <w:p>
      <w:pPr>
        <w:spacing w:after="0" w:line="22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7"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6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derived approximately 28%, 28%, and 26% of our total revenue from our international customers for fiscal 2022, fiscal 2021, fiscal 2020,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2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1"/>
          <w:szCs w:val="21"/>
          <w:color w:val="auto"/>
        </w:rPr>
      </w:pPr>
      <w:r>
        <w:rPr>
          <w:rFonts w:ascii="Arial" w:cs="Arial" w:eastAsia="Arial" w:hAnsi="Arial"/>
          <w:sz w:val="17"/>
          <w:szCs w:val="17"/>
          <w:color w:val="auto"/>
        </w:rPr>
        <w:t>greater difficulty in negotiating contracts with standard terms, enforcing contracts and managing collections, and longer collection periods;</w:t>
      </w:r>
    </w:p>
    <w:p>
      <w:pPr>
        <w:spacing w:after="0" w:line="242" w:lineRule="exact"/>
        <w:rPr>
          <w:rFonts w:ascii="Arial" w:cs="Arial" w:eastAsia="Arial" w:hAnsi="Arial"/>
          <w:sz w:val="21"/>
          <w:szCs w:val="21"/>
          <w:color w:val="auto"/>
        </w:rPr>
      </w:pPr>
    </w:p>
    <w:p>
      <w:pPr>
        <w:ind w:left="660" w:right="58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management communication and integration problems resulting from cultural and geographic dispersion;</w:t>
      </w:r>
    </w:p>
    <w:p>
      <w:pPr>
        <w:spacing w:after="0" w:line="242" w:lineRule="exact"/>
        <w:rPr>
          <w:rFonts w:ascii="Arial" w:cs="Arial" w:eastAsia="Arial" w:hAnsi="Arial"/>
          <w:sz w:val="22"/>
          <w:szCs w:val="22"/>
          <w:color w:val="auto"/>
        </w:rPr>
      </w:pPr>
    </w:p>
    <w:p>
      <w:pPr>
        <w:ind w:left="660" w:right="36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tariffs, and tax laws and treaties;</w:t>
      </w:r>
    </w:p>
    <w:p>
      <w:pPr>
        <w:spacing w:after="0" w:line="242" w:lineRule="exact"/>
        <w:rPr>
          <w:rFonts w:ascii="Arial" w:cs="Arial" w:eastAsia="Arial" w:hAnsi="Arial"/>
          <w:sz w:val="22"/>
          <w:szCs w:val="22"/>
          <w:color w:val="auto"/>
        </w:rPr>
      </w:pPr>
    </w:p>
    <w:p>
      <w:pPr>
        <w:ind w:left="660" w:hanging="328"/>
        <w:spacing w:after="0" w:line="238"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243" w:lineRule="exact"/>
        <w:rPr>
          <w:rFonts w:ascii="Arial" w:cs="Arial" w:eastAsia="Arial" w:hAnsi="Arial"/>
          <w:sz w:val="22"/>
          <w:szCs w:val="22"/>
          <w:color w:val="auto"/>
        </w:rPr>
      </w:pPr>
    </w:p>
    <w:p>
      <w:pPr>
        <w:ind w:left="660" w:right="20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political and economic instability in some countries;</w:t>
      </w:r>
    </w:p>
    <w:p>
      <w:pPr>
        <w:spacing w:after="0" w:line="242"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243"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243" w:lineRule="exact"/>
        <w:rPr>
          <w:rFonts w:ascii="Arial" w:cs="Arial" w:eastAsia="Arial" w:hAnsi="Arial"/>
          <w:sz w:val="22"/>
          <w:szCs w:val="22"/>
          <w:color w:val="auto"/>
        </w:rPr>
      </w:pPr>
    </w:p>
    <w:p>
      <w:pPr>
        <w:ind w:left="660" w:right="900" w:hanging="328"/>
        <w:spacing w:after="0" w:line="232" w:lineRule="auto"/>
        <w:tabs>
          <w:tab w:leader="none" w:pos="655"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232"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1"/>
          <w:szCs w:val="21"/>
          <w:color w:val="auto"/>
        </w:rPr>
      </w:pPr>
      <w:r>
        <w:rPr>
          <w:rFonts w:ascii="Arial" w:cs="Arial" w:eastAsia="Arial" w:hAnsi="Arial"/>
          <w:sz w:val="17"/>
          <w:szCs w:val="17"/>
          <w:color w:val="auto"/>
        </w:rPr>
        <w:t>greater difficulty in identifying, attracting and retaining local qualified personnel, and the costs and expenses associated with such activities;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differing employment practices and labor relations issues; and</w:t>
      </w:r>
    </w:p>
    <w:p>
      <w:pPr>
        <w:spacing w:after="0" w:line="242"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20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and Indian Rupee,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9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to such government entities include, but are not limited to, the following risks:</w:t>
      </w:r>
    </w:p>
    <w:p>
      <w:pPr>
        <w:spacing w:after="0" w:line="266" w:lineRule="exact"/>
        <w:rPr>
          <w:sz w:val="20"/>
          <w:szCs w:val="20"/>
          <w:color w:val="auto"/>
        </w:rPr>
      </w:pPr>
    </w:p>
    <w:p>
      <w:pPr>
        <w:ind w:left="660" w:right="140" w:hanging="328"/>
        <w:spacing w:after="0" w:line="232"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43"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243"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242"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9"/>
        </w:numPr>
        <w:rPr>
          <w:rFonts w:ascii="Arial" w:cs="Arial" w:eastAsia="Arial" w:hAnsi="Arial"/>
          <w:sz w:val="22"/>
          <w:szCs w:val="22"/>
          <w:color w:val="auto"/>
        </w:rPr>
      </w:pPr>
      <w:r>
        <w:rPr>
          <w:rFonts w:ascii="Arial" w:cs="Arial" w:eastAsia="Arial" w:hAnsi="Arial"/>
          <w:sz w:val="18"/>
          <w:szCs w:val="18"/>
          <w:color w:val="auto"/>
        </w:rPr>
        <w:t>government product requirements are often technically complex and assessors may require us to make costly changes to our products to meet such requirements without any assurance that such changes will generate a sale;</w:t>
      </w:r>
    </w:p>
    <w:p>
      <w:pPr>
        <w:spacing w:after="0" w:line="243" w:lineRule="exact"/>
        <w:rPr>
          <w:rFonts w:ascii="Arial" w:cs="Arial" w:eastAsia="Arial" w:hAnsi="Arial"/>
          <w:sz w:val="22"/>
          <w:szCs w:val="22"/>
          <w:color w:val="auto"/>
        </w:rPr>
      </w:pPr>
    </w:p>
    <w:p>
      <w:pPr>
        <w:ind w:left="660" w:right="120" w:hanging="328"/>
        <w:spacing w:after="0" w:line="285" w:lineRule="auto"/>
        <w:tabs>
          <w:tab w:leader="none" w:pos="655" w:val="left"/>
        </w:tabs>
        <w:numPr>
          <w:ilvl w:val="0"/>
          <w:numId w:val="39"/>
        </w:numPr>
        <w:rPr>
          <w:rFonts w:ascii="Arial" w:cs="Arial" w:eastAsia="Arial" w:hAnsi="Arial"/>
          <w:sz w:val="19"/>
          <w:szCs w:val="19"/>
          <w:color w:val="auto"/>
        </w:rPr>
      </w:pPr>
      <w:r>
        <w:rPr>
          <w:rFonts w:ascii="Arial" w:cs="Arial" w:eastAsia="Arial" w:hAnsi="Arial"/>
          <w:sz w:val="16"/>
          <w:szCs w:val="16"/>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right="80" w:hanging="328"/>
        <w:spacing w:after="0" w:line="232"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243" w:lineRule="exact"/>
        <w:rPr>
          <w:rFonts w:ascii="Arial" w:cs="Arial" w:eastAsia="Arial" w:hAnsi="Arial"/>
          <w:sz w:val="22"/>
          <w:szCs w:val="22"/>
          <w:color w:val="auto"/>
        </w:rPr>
      </w:pPr>
    </w:p>
    <w:p>
      <w:pPr>
        <w:ind w:left="660" w:right="640" w:hanging="328"/>
        <w:spacing w:after="0" w:line="251" w:lineRule="auto"/>
        <w:tabs>
          <w:tab w:leader="none" w:pos="655" w:val="left"/>
        </w:tabs>
        <w:numPr>
          <w:ilvl w:val="0"/>
          <w:numId w:val="40"/>
        </w:numPr>
        <w:rPr>
          <w:rFonts w:ascii="Arial" w:cs="Arial" w:eastAsia="Arial" w:hAnsi="Arial"/>
          <w:sz w:val="21"/>
          <w:szCs w:val="21"/>
          <w:color w:val="auto"/>
        </w:rPr>
      </w:pPr>
      <w:r>
        <w:rPr>
          <w:rFonts w:ascii="Arial" w:cs="Arial" w:eastAsia="Arial" w:hAnsi="Arial"/>
          <w:sz w:val="17"/>
          <w:szCs w:val="17"/>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231" w:lineRule="exact"/>
        <w:rPr>
          <w:rFonts w:ascii="Arial" w:cs="Arial" w:eastAsia="Arial" w:hAnsi="Arial"/>
          <w:sz w:val="21"/>
          <w:szCs w:val="21"/>
          <w:color w:val="auto"/>
        </w:rPr>
      </w:pPr>
    </w:p>
    <w:p>
      <w:pPr>
        <w:ind w:left="660" w:right="140" w:hanging="328"/>
        <w:spacing w:after="0" w:line="238"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220"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even if we are awarded a sale, the terms of such contracts may be unusually burdensome;</w:t>
      </w:r>
    </w:p>
    <w:p>
      <w:pPr>
        <w:spacing w:after="0" w:line="242" w:lineRule="exact"/>
        <w:rPr>
          <w:rFonts w:ascii="Arial" w:cs="Arial" w:eastAsia="Arial" w:hAnsi="Arial"/>
          <w:sz w:val="22"/>
          <w:szCs w:val="22"/>
          <w:color w:val="auto"/>
        </w:rPr>
      </w:pPr>
    </w:p>
    <w:p>
      <w:pPr>
        <w:ind w:left="660" w:right="340" w:hanging="328"/>
        <w:spacing w:after="0" w:line="238"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43" w:lineRule="exact"/>
        <w:rPr>
          <w:rFonts w:ascii="Arial" w:cs="Arial" w:eastAsia="Arial" w:hAnsi="Arial"/>
          <w:sz w:val="22"/>
          <w:szCs w:val="22"/>
          <w:color w:val="auto"/>
        </w:rPr>
      </w:pPr>
    </w:p>
    <w:p>
      <w:pPr>
        <w:ind w:left="660" w:right="380" w:hanging="328"/>
        <w:spacing w:after="0" w:line="238"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20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timely and cost-effectively scale and adapt our existing technology to meet our customers’ performance and other requirements.</w:t>
      </w:r>
    </w:p>
    <w:p>
      <w:pPr>
        <w:spacing w:after="0" w:line="2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7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projects to maintain the levels of service required by our customers. We may not be able to maintain or achieve cost savings from our investments, which could harm our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70"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6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8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6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9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64"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84"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1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information, including federal and state data privacy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may in the future consider, various proposals from time to time for comprehensive federal data privacy legislation to which we may become subject if passed. If we are found to have violated applicable laws or regulations, we may also be subject to penalties, fines, damages, injunctions or other outcomes that may adversely affect our operations and financial results.</w:t>
      </w:r>
    </w:p>
    <w:p>
      <w:pPr>
        <w:spacing w:after="0" w:line="19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At the state level, we are subject to laws and regulations such as the California Consumer Privacy Act (“CCPA”), which became effective on January 1, 2020.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 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Additionally, in November 2020, California voters passed the California Privacy Rights Act of 2020 (“CPRA”). Effective in most material respects starting on January 1, 2023, the CPRA imposes additional obligations on companies covered by the legislation and will significantly modify the CCPA, including by expanding the CCPA with additional data privacy compliance requirements that may impact our business. The CPRA also establishes a regulatory agency dedicated to enforcing the CCPA and the CPRA. Numerous other states, including Virginia and Colorado, have also enacted or are in the process of enacting or considering comprehensive state-level data privacy and security laws, rules and regulations.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171"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6"/>
          <w:szCs w:val="16"/>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became effective on May 25, 2018 and imposes stringent obligations regarding the collection, control, use, sharing, disclosure and other processing of personal data.</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Additionally, following the United Kingdom’s withdrawal from the EU, we also are subject to the U.K. General Data Protection Regulation (“U.K. GDPR”), a version of the GDPR as implemented into the laws of the United Kingdom (“U.K.”). Failure to comply with the GDPR or the U.K. GDPR can result in significant fines and other liability, including, under the GDPR, fines of up to EUR 20 million (or GBP 17.5 million under the U.K. GDPR) or four percent (4%) of global revenue, whichever is greater. The cost of compliance, and the potential for fines and penalties for non-compliance, with GDPR and U.K. GDPR may have a significant adverse effect on our business and operations.</w:t>
      </w:r>
    </w:p>
    <w:p>
      <w:pPr>
        <w:spacing w:after="0" w:line="191"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Recent legal developments in the European Economic Area (“EEA”),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on June 4, 2021, the European Commission adopted new SCCs, which impose on companies additional obligations relating to personal data transfers out of the EEA, including the obligation to update internal privacy practices, conduct transfer impact assessments and, as required, to implement additional security measures. The new SCCs may increase the legal risks and liabilities under EU laws associated with cross-border data transfers, and result in material increased compliance and operational costs.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7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121"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intellectual property rights;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our license to do business in the jurisdictions in which we operate;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4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74" w:lineRule="exact"/>
        <w:rPr>
          <w:sz w:val="20"/>
          <w:szCs w:val="20"/>
          <w:color w:val="auto"/>
        </w:rPr>
      </w:pPr>
    </w:p>
    <w:p>
      <w:pPr>
        <w:ind w:right="220" w:firstLine="324"/>
        <w:spacing w:after="0" w:line="273" w:lineRule="auto"/>
        <w:rPr>
          <w:sz w:val="20"/>
          <w:szCs w:val="20"/>
          <w:color w:val="auto"/>
        </w:rPr>
      </w:pPr>
      <w:r>
        <w:rPr>
          <w:rFonts w:ascii="Arial" w:cs="Arial" w:eastAsia="Arial" w:hAnsi="Arial"/>
          <w:sz w:val="17"/>
          <w:szCs w:val="17"/>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9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third-party business partners and intermediaries, our employees, representatives, contractors, channel partners, agents, intermediaries, and other third parties, even if we do not explicitly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1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7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9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12"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pay monetary damages or enter into royalty and licensing agreements that we would not normally find acceptable;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7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7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9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regardless of our operating performance, and you could lose all or part of your investment.</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33"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1"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right="2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 particularly with respect to Mr. Kurtz;</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w:t>
      </w:r>
    </w:p>
    <w:p>
      <w:pPr>
        <w:spacing w:after="0" w:line="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8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46"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February 28, 2022, we had 210,058,133 shares of Class A common stock outstanding and 20,709,727 shares of Class B common stock outstanding.</w:t>
      </w:r>
    </w:p>
    <w:p>
      <w:pPr>
        <w:spacing w:after="0" w:line="17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6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5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9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of January 31, 2022, our executive officers, directors, one of our current stockholders and its respective affiliates held, in aggregate, 49%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64"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84"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8" w:lineRule="exact"/>
        <w:rPr>
          <w:sz w:val="20"/>
          <w:szCs w:val="20"/>
          <w:color w:val="auto"/>
        </w:rPr>
      </w:pPr>
    </w:p>
    <w:p>
      <w:pPr>
        <w:ind w:left="980" w:right="140" w:hanging="324"/>
        <w:spacing w:after="0" w:line="263"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80" w:right="22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43" w:lineRule="exact"/>
        <w:rPr>
          <w:rFonts w:ascii="Arial" w:cs="Arial" w:eastAsia="Arial" w:hAnsi="Arial"/>
          <w:sz w:val="18"/>
          <w:szCs w:val="18"/>
          <w:color w:val="auto"/>
        </w:rPr>
      </w:pPr>
    </w:p>
    <w:p>
      <w:pPr>
        <w:ind w:left="980" w:right="220" w:hanging="324"/>
        <w:spacing w:after="0" w:line="342"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83" w:lineRule="exact"/>
        <w:rPr>
          <w:rFonts w:ascii="Arial" w:cs="Arial" w:eastAsia="Arial" w:hAnsi="Arial"/>
          <w:sz w:val="16"/>
          <w:szCs w:val="16"/>
          <w:color w:val="auto"/>
        </w:rPr>
      </w:pPr>
    </w:p>
    <w:p>
      <w:pPr>
        <w:ind w:left="980" w:right="520" w:hanging="324"/>
        <w:spacing w:after="0" w:line="342"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83" w:lineRule="exact"/>
        <w:rPr>
          <w:rFonts w:ascii="Arial" w:cs="Arial" w:eastAsia="Arial" w:hAnsi="Arial"/>
          <w:sz w:val="16"/>
          <w:szCs w:val="16"/>
          <w:color w:val="auto"/>
        </w:rPr>
      </w:pPr>
    </w:p>
    <w:p>
      <w:pPr>
        <w:ind w:left="980" w:right="140" w:hanging="324"/>
        <w:spacing w:after="0" w:line="259"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59" w:lineRule="exact"/>
        <w:rPr>
          <w:rFonts w:ascii="Arial" w:cs="Arial" w:eastAsia="Arial" w:hAnsi="Arial"/>
          <w:sz w:val="18"/>
          <w:szCs w:val="18"/>
          <w:color w:val="auto"/>
        </w:rPr>
      </w:pPr>
    </w:p>
    <w:p>
      <w:pPr>
        <w:ind w:left="980" w:right="60" w:hanging="324"/>
        <w:spacing w:after="0" w:line="286" w:lineRule="auto"/>
        <w:tabs>
          <w:tab w:leader="none" w:pos="9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24" w:lineRule="exact"/>
        <w:rPr>
          <w:rFonts w:ascii="Arial" w:cs="Arial" w:eastAsia="Arial" w:hAnsi="Arial"/>
          <w:sz w:val="17"/>
          <w:szCs w:val="17"/>
          <w:color w:val="auto"/>
        </w:rPr>
      </w:pPr>
    </w:p>
    <w:p>
      <w:pPr>
        <w:ind w:left="980" w:right="6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pacing w:after="0" w:line="129"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19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4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January 31, 2022, we had $750.0 million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43" w:lineRule="exact"/>
        <w:rPr>
          <w:sz w:val="20"/>
          <w:szCs w:val="20"/>
          <w:color w:val="auto"/>
        </w:rPr>
      </w:pPr>
    </w:p>
    <w:p>
      <w:pPr>
        <w:ind w:left="980" w:right="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143"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184"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revolving facility, are at variable rates of interest; and increasing our cost of borrowing.</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43"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 merge with, or sell all or substantially all of our assets to, another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covenants in the indenture and supplemental indenture that govern the Senior Notes are subject to exceptions and qualifications.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43"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withstand a future downturn in our business, the industry or the economy in general;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best interest;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These restrictions may affect our ability to expand our business, which could have a material adverse effect on our business, financial condition and results of operations.</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revolving facility and the indenture that governs our Senior Notes contain cross-default provisions that could result in the acceleration of all of our indebtedness.</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70"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0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part of our business strategy, we have in the past and expect to continue to make investments in and/or acquire complementary companies, services or technologies. Our ability as an organization to acquire and integrate other companies,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185"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integration of administrative systems, employee, product and service offerings;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relationships with strategic partners as a result of product acquisitions or strategic positioning resulting from the acquisition;</w:t>
      </w:r>
    </w:p>
    <w:p>
      <w:pPr>
        <w:spacing w:after="0" w:line="196" w:lineRule="exact"/>
        <w:rPr>
          <w:rFonts w:ascii="Arial" w:cs="Arial" w:eastAsia="Arial" w:hAnsi="Arial"/>
          <w:sz w:val="17"/>
          <w:szCs w:val="17"/>
          <w:color w:val="auto"/>
        </w:rPr>
      </w:pPr>
    </w:p>
    <w:p>
      <w:pPr>
        <w:ind w:left="980" w:right="2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legal, regulatory or compliance requirements;</w:t>
      </w:r>
    </w:p>
    <w:p>
      <w:pPr>
        <w:spacing w:after="0" w:line="198"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 not adequately address and that cause our reported results to be incorrect;</w:t>
      </w:r>
    </w:p>
    <w:p>
      <w:pPr>
        <w:spacing w:after="0" w:line="129"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29" w:lineRule="exact"/>
        <w:rPr>
          <w:rFonts w:ascii="Arial" w:cs="Arial" w:eastAsia="Arial" w:hAnsi="Arial"/>
          <w:sz w:val="18"/>
          <w:szCs w:val="18"/>
          <w:color w:val="auto"/>
        </w:rPr>
      </w:pPr>
    </w:p>
    <w:p>
      <w:pPr>
        <w:ind w:left="980" w:right="76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4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0"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Most recently, 137 jurisdictions joined a two-pillar plan to reform international taxation rules and ensure that multinational enterprises pay a fair share of tax wherever they operate. The first pillar is focused on the allocation of taxing rights between countries for in-scope multinational enterprises that sell goods and services into countries with little or no local physical presence and is intended to apply to multinational enterprises with global turnover above 20 billion euros. The second pillar is focused on developing a global minimum tax rate of at least 15 percent applicable to in-scope multinational enterprises and is intended to apply to multinational enterprises with annual consolidated group revenue in excess of 750 million euro.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9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 of January 31, 2022, we had aggregate U.S. federal and California net operating loss carryforwards of $1.6 billion and $168.9 million, respectively, which may be available to offset future taxable income for income tax purposes. If not utilized, the federal and California net operating loss carryforwards will begin to expire in fiscal 2031. As of January 31, 2022, we had net operating loss carryforwards for other states of $868.0 million that will begin to expire in fiscal 2023. As of January 31, 2022, we had federal and California research and development credit carryforwards of $65.6 million and $13.7 million, respectively. The federal research and development credit carryforwards will begin to expire in 2035, and the California carryforwards are carried forward indefinitely. As of January 31, 2022, we had aggregate United Kingdom net operating loss carryforwards of $81.1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pre-change net operating loss carryforwards to offset U.S. federal taxable income may be subject to limitations, which could potentially result in increased future tax liability to us.</w:t>
      </w:r>
    </w:p>
    <w:p>
      <w:pPr>
        <w:spacing w:after="0" w:line="15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37"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63"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7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Further, valuations of non-marketable equity investments are inherently complex due to the lack of readily available market data. In addition, we may experience additional volatility to our statements of operations due to changes in market prices of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70"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at this time to estimate the impact that the COVID-19 pandemic could have on our business, as the impact will depend on future developments, which are highly uncertain and cannot be predicted.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principal executive offices occupy approximately 36,385 square feet in Austin, Texas under a lease that expires in 2024. We also lease office space for our operations in various locations throughout the United States as well as office space in a number of countries in Europe, the Middle East, and the Asia-Pacific region.</w:t>
      </w:r>
    </w:p>
    <w:p>
      <w:pPr>
        <w:spacing w:after="0" w:line="184"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We believe that our existing facilities are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11, Commitments and Contingencies, in Part II, Item 8 of this Annual Report on Form 10-K.</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ITEM 5. MARKETS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Our Class A common stock has been listed and traded on the Nasdaq Global Select Market under the symbol “CRWD” since June 12, 2019. Prior to that date, there was no public market for our Class A common stock. There is no public market for our Class B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As of January 31, 2022, we had 34 holders of record of our Class A common stock and 84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information required by this item with respect to our equity compensation plans is incorporated by reference to our Proxy Statement for the 2022 Annual Meeting of Stockholders to be filed with the Securities and Exchange Commission within 120 days of the fiscal year ended January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 of Unregistered Equity Securities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November 29, 2021, we agreed to issue $10.7 million of shares of our Class A common stock, subject to service-based vesting and other conditions, to certain individual interest holders of Secure Circle LLC (“SecureCircle”) in connection with our acquisition of SecureCircle. The transaction was exempt from registration under Section 4(a)(2) of the Securities Act.</w:t>
      </w:r>
    </w:p>
    <w:p>
      <w:pPr>
        <w:spacing w:after="0" w:line="180" w:lineRule="exact"/>
        <w:rPr>
          <w:sz w:val="20"/>
          <w:szCs w:val="20"/>
          <w:color w:val="auto"/>
        </w:rPr>
      </w:pPr>
    </w:p>
    <w:p>
      <w:pPr>
        <w:ind w:left="340" w:right="6620" w:hanging="332"/>
        <w:spacing w:after="0" w:line="500" w:lineRule="auto"/>
        <w:tabs>
          <w:tab w:leader="none" w:pos="28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Public Offering of Common Stock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CrowdStrike Holdings, Inc. under the Securities Act or the Exchange Act.</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presented below the cumulative total return to our stockholders between June 12, 2019 (the date our common stock commenced trading on the Nasdaq) through January 31, 2022 in comparison to the Standard &amp; Poor’s 500 Index, Standard &amp; Poor Information Technology Index, and the Nasdaq 100 Index. All values assume a $100 initial investment and data for the Standard &amp; Poor’s 500 Index, Standard &amp; Poor Information Technology Index and the Nasdaq 100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128270</wp:posOffset>
            </wp:positionV>
            <wp:extent cx="5863590" cy="4860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3590" cy="486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 Index</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Base period</w:t>
            </w:r>
          </w:p>
        </w:tc>
        <w:tc>
          <w:tcPr>
            <w:tcW w:w="120" w:type="dxa"/>
            <w:vAlign w:val="bottom"/>
          </w:tcPr>
          <w:p>
            <w:pPr>
              <w:spacing w:after="0"/>
              <w:rPr>
                <w:sz w:val="12"/>
                <w:szCs w:val="12"/>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2"/>
              </w:rPr>
              <w:t>7/31/19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6"/>
              </w:rPr>
              <w:t>10/31/19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87"/>
              </w:rPr>
              <w:t>1/31/20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2"/>
              </w:rPr>
              <w:t>4/30/20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2"/>
              </w:rPr>
              <w:t>7/31/20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6"/>
              </w:rPr>
              <w:t>10/31/20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2"/>
              </w:rPr>
              <w:t>1/31/21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87"/>
              </w:rPr>
              <w:t>4/30/21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w w:val="92"/>
              </w:rPr>
              <w:t>7/31/21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w w:val="86"/>
              </w:rPr>
              <w:t>10/31/21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w w:val="92"/>
              </w:rPr>
              <w:t>1/31/22</w:t>
            </w:r>
          </w:p>
        </w:tc>
        <w:tc>
          <w:tcPr>
            <w:tcW w:w="0" w:type="dxa"/>
            <w:vAlign w:val="bottom"/>
          </w:tcPr>
          <w:p>
            <w:pPr>
              <w:spacing w:after="0"/>
              <w:rPr>
                <w:sz w:val="1"/>
                <w:szCs w:val="1"/>
                <w:color w:val="auto"/>
              </w:rPr>
            </w:pPr>
          </w:p>
        </w:tc>
      </w:tr>
      <w:tr>
        <w:trPr>
          <w:trHeight w:val="170"/>
        </w:trPr>
        <w:tc>
          <w:tcPr>
            <w:tcW w:w="19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6/12/19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CrowdStrike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195.17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311.45</w:t>
            </w:r>
          </w:p>
        </w:tc>
        <w:tc>
          <w:tcPr>
            <w:tcW w:w="0" w:type="dxa"/>
            <w:vAlign w:val="bottom"/>
          </w:tcPr>
          <w:p>
            <w:pPr>
              <w:spacing w:after="0"/>
              <w:rPr>
                <w:sz w:val="1"/>
                <w:szCs w:val="1"/>
                <w:color w:val="auto"/>
              </w:rPr>
            </w:pPr>
          </w:p>
        </w:tc>
      </w:tr>
      <w:tr>
        <w:trPr>
          <w:trHeight w:val="182"/>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S&amp;P 500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108.59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111.22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118.69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107.71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121.57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122.02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139.17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157.23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165.88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174.39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171.58</w:t>
            </w:r>
          </w:p>
        </w:tc>
        <w:tc>
          <w:tcPr>
            <w:tcW w:w="0" w:type="dxa"/>
            <w:vAlign w:val="bottom"/>
          </w:tcPr>
          <w:p>
            <w:pPr>
              <w:spacing w:after="0"/>
              <w:rPr>
                <w:sz w:val="1"/>
                <w:szCs w:val="1"/>
                <w:color w:val="auto"/>
              </w:rPr>
            </w:pPr>
          </w:p>
        </w:tc>
      </w:tr>
      <w:tr>
        <w:trPr>
          <w:trHeight w:val="19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S&amp;P Information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232.55</w:t>
            </w:r>
          </w:p>
        </w:tc>
        <w:tc>
          <w:tcPr>
            <w:tcW w:w="0" w:type="dxa"/>
            <w:vAlign w:val="bottom"/>
          </w:tcPr>
          <w:p>
            <w:pPr>
              <w:spacing w:after="0"/>
              <w:rPr>
                <w:sz w:val="1"/>
                <w:szCs w:val="1"/>
                <w:color w:val="auto"/>
              </w:rPr>
            </w:pPr>
          </w:p>
        </w:tc>
      </w:tr>
      <w:tr>
        <w:trPr>
          <w:trHeight w:val="175"/>
        </w:trPr>
        <w:tc>
          <w:tcPr>
            <w:tcW w:w="1980" w:type="dxa"/>
            <w:vAlign w:val="bottom"/>
            <w:gridSpan w:val="2"/>
          </w:tcPr>
          <w:p>
            <w:pPr>
              <w:ind w:left="20"/>
              <w:spacing w:after="0"/>
              <w:rPr>
                <w:sz w:val="20"/>
                <w:szCs w:val="20"/>
                <w:color w:val="auto"/>
              </w:rPr>
            </w:pPr>
            <w:r>
              <w:rPr>
                <w:rFonts w:ascii="Arial" w:cs="Arial" w:eastAsia="Arial" w:hAnsi="Arial"/>
                <w:sz w:val="13"/>
                <w:szCs w:val="13"/>
                <w:color w:val="auto"/>
              </w:rPr>
              <w:t>Nasdaq 100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110.24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113.85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126.96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127.41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154.74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157.13</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184.09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197.77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213.84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226.94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214.11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consolidated financial statements and related notes thereto included in Item 8 “Financial Statements and Supplementary Data” in this Annual Report on Form 10-K. This section of this Form 10-K generally discusses fiscal 2022 and 2021 items and year-over-year comparisons between fiscal 2022 and 2021. Discussions of fiscal 2020 items and year-over-year comparisons between fiscal 2021 and 2020 are not included in this Form 10-K, and can be found in “Management’s Discussion and Analysis of Financial Condition and Results of Operations” in Part II, Item 7 of our Annual Report on Form 10-K for the fiscal year ended January 31, 2021.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 Our fiscal years ended January 31, 2022, January 31, 2021, and January 31, 2020, are referred to herein as fiscal 2022, fiscal 2021, and fiscal 2020, respectively.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6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64"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March 2020, the World Health Organization declared the COVID-19 outbreak to be a pandemic. Since then, the COVID-19 pandemic has rapidly spread across the globe and has already resulted in significant volatility, uncertainty, and economic disruption. Since the pandemic commenced, we have implemented several measures to help protect the health and safety of our employees around the globe. In addition, in response to the uncertain macroeconomic environment, we converted all of our marketable securities to cash and cash equivalents during the three months ended April 30, 2020 and all of our investments were classified as cash and cash equivalents as of January 31, 2022. Thus far, the impact of the pandemic has been modest. Our gross retention rate for fiscal 2022 remained consistently high and our dollar-based net retention rate was above 120 percent throughout fiscal year 2022 as we continued to expand the number of endpoints and modules within existing customers.</w:t>
      </w:r>
    </w:p>
    <w:p>
      <w:pPr>
        <w:spacing w:after="0" w:line="17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 economy around the world; the possible resurgence in the spread of the virus; the development cycle of therapeutics and vaccines; the impact on our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customers and our sales cycles; the impact on our customer, employee, and industry events; and the effect on our vendors. Please see Part I, Item IA, “Risk Factors” for a further description of the material risks we currently face, including risks related to the COVID-19 pandemic.</w:t>
      </w:r>
    </w:p>
    <w:p>
      <w:pPr>
        <w:spacing w:after="0" w:line="170"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On March 5, 2021, we acquired Humio Limited (“Humio”), a privately-held company that is a leading provider of high-performance cloud log management and observability technology. The acquisition was accounted for as a business combination. The total consideration transferred was $370.3 million which consisted of $353.8 million in cash, net of $12.5 million cash acquired, and $4.0 million representing the fair value of replacement equity awards attributable to pre-acquisition service. The purchase price was allocated to identified intangible assets, which include developed technology, customer relationships and trade names, of $75.6 million, net tangible assets acquired of $3.4 million and goodwill of $291.3 million, representing the excess of the purchase price over the fair value of net tangible and intangible assets acquired.</w:t>
      </w:r>
    </w:p>
    <w:p>
      <w:pPr>
        <w:spacing w:after="0" w:line="17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On November 29, 2021, we acquired Secure Circle, LLC (“SecureCircle”), a SaaS-based cybersecurity service that extends Zero Trust security to data on, from and to the endpoint. The acquisition was accounted for as a business combination. The total consideration transferred was $60.8 million, which consisted solely of cash.. The purchase price was allocated, on a preliminary basis, to identified intangible assets, which include developed technology and customer relationships of $18.3 million, net tangible assets acquired of $(0.5) million and goodwill of $43.0 million, representing the excess of the purchase price over the fair value of net tangible and intangible assets acquired.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84"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b w:val="1"/>
          <w:bCs w:val="1"/>
          <w:i w:val="1"/>
          <w:iCs w:val="1"/>
          <w:color w:val="auto"/>
        </w:rPr>
        <w:t xml:space="preserve">Adoption of Our Solutions. </w:t>
      </w:r>
      <w:r>
        <w:rPr>
          <w:rFonts w:ascii="Arial" w:cs="Arial" w:eastAsia="Arial" w:hAnsi="Arial"/>
          <w:sz w:val="16"/>
          <w:szCs w:val="16"/>
          <w:color w:val="auto"/>
        </w:rPr>
        <w:t>We believe our future success depends in large part on the growth in the market for cloud-based SaaS-delivered endpoint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 to attract new customers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security solutions, and since our Falcon platform has offerings for organizations of all sizes, worldwide, and across industries, we believe this presents a significant opportunity for growth.</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 ability to retain our existing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increase the ARR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SKU cloud modules.</w:t>
      </w:r>
    </w:p>
    <w:p>
      <w:pPr>
        <w:spacing w:after="0" w:line="18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Invest in Growth. </w:t>
      </w:r>
      <w:r>
        <w:rPr>
          <w:rFonts w:ascii="Arial" w:cs="Arial" w:eastAsia="Arial" w:hAnsi="Arial"/>
          <w:sz w:val="16"/>
          <w:szCs w:val="16"/>
          <w:color w:val="auto"/>
        </w:rPr>
        <w:t>We believe that our market opportunity is large and requires us to continue to invest significantly in sales and marketing efforts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w w:val="97"/>
              </w:rPr>
              <w:t>As of January 31,</w:t>
            </w: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223"/>
        </w:trPr>
        <w:tc>
          <w:tcPr>
            <w:tcW w:w="5860" w:type="dxa"/>
            <w:vAlign w:val="bottom"/>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r>
      <w:tr>
        <w:trPr>
          <w:trHeight w:val="34"/>
        </w:trPr>
        <w:tc>
          <w:tcPr>
            <w:tcW w:w="5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customers</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16,325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9,896</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5,431</w:t>
            </w:r>
          </w:p>
        </w:tc>
        <w:tc>
          <w:tcPr>
            <w:tcW w:w="34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Year-over-year growth</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added 6,429 net new subscription customers during fiscal 2022, including 145 from the acquisitions of Humio and SecureCircle, for a total of 16,325 subscription customers as of January 31, 2022, representing 65% growth year-over-year.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Recurring Revenue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ARR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ARR as of the dates presented (dollars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As of January 31,</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r>
      <w:tr>
        <w:trPr>
          <w:trHeight w:val="34"/>
        </w:trPr>
        <w:tc>
          <w:tcPr>
            <w:tcW w:w="4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Annual recurring revenue</w:t>
            </w:r>
          </w:p>
        </w:tc>
        <w:tc>
          <w:tcPr>
            <w:tcW w:w="7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1,731,342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1,050,051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600,456</w:t>
            </w: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Year-over-year growth</w:t>
            </w:r>
          </w:p>
        </w:tc>
        <w:tc>
          <w:tcPr>
            <w:tcW w:w="74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ind w:left="620"/>
              <w:spacing w:after="0"/>
              <w:rPr>
                <w:sz w:val="20"/>
                <w:szCs w:val="20"/>
                <w:color w:val="auto"/>
              </w:rPr>
            </w:pPr>
            <w:r>
              <w:rPr>
                <w:rFonts w:ascii="Arial" w:cs="Arial" w:eastAsia="Arial" w:hAnsi="Arial"/>
                <w:sz w:val="18"/>
                <w:szCs w:val="18"/>
                <w:color w:val="auto"/>
              </w:rPr>
              <w:t>92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ARR increased 65% year-over-year and grew to $1.7 billion as of January 31, 2022, of which $681.3 million was net new ARR added during fiscal 2022, including $4.5 million from the acquisition of Humio and SecureCircle.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77"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Our dollar-based net retention rate was above 120% throughout fiscal years 2022, 2021 and 2020.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9"/>
              </w:rPr>
              <w:t>As of January 31,</w:t>
            </w:r>
          </w:p>
        </w:tc>
        <w:tc>
          <w:tcPr>
            <w:tcW w:w="1440" w:type="dxa"/>
            <w:vAlign w:val="bottom"/>
            <w:tcBorders>
              <w:bottom w:val="single" w:sz="8" w:color="auto"/>
            </w:tcBorders>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34"/>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retention rate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123.5 %</w:t>
            </w:r>
          </w:p>
        </w:tc>
      </w:tr>
    </w:tbl>
    <w:p>
      <w:pPr>
        <w:spacing w:after="0" w:line="28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 additional cloud modules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6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 and malware analysis, and</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based arrangements, revenue is recognized as services are performed. Fixed fee contracts account for an immaterial portion of our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87"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Professional Services Cost of Revenue. </w:t>
      </w:r>
      <w:r>
        <w:rPr>
          <w:rFonts w:ascii="Arial" w:cs="Arial" w:eastAsia="Arial" w:hAnsi="Arial"/>
          <w:sz w:val="16"/>
          <w:szCs w:val="16"/>
          <w:color w:val="auto"/>
        </w:rPr>
        <w:t>Professional services cost of revenue consists primarily of employee-related costs, such as salaries and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expense, technology, property and equipment depreciation, and an allocated portion of facilities and administrative costs.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8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 commissions, and bonuses. Sales</w:t>
      </w:r>
      <w:r>
        <w:rPr>
          <w:rFonts w:ascii="Arial" w:cs="Arial" w:eastAsia="Arial" w:hAnsi="Arial"/>
          <w:sz w:val="17"/>
          <w:szCs w:val="17"/>
          <w:i w:val="1"/>
          <w:iCs w:val="1"/>
          <w:color w:val="auto"/>
        </w:rPr>
        <w:t xml:space="preserve"> </w:t>
      </w:r>
      <w:r>
        <w:rPr>
          <w:rFonts w:ascii="Arial" w:cs="Arial" w:eastAsia="Arial" w:hAnsi="Arial"/>
          <w:sz w:val="17"/>
          <w:szCs w:val="17"/>
          <w:color w:val="auto"/>
        </w:rPr>
        <w:t>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capitalize and amortize any such expenses paid for the renewal of a subscription to sales and marketing expense over the term of the renewal.</w:t>
      </w:r>
    </w:p>
    <w:p>
      <w:pPr>
        <w:spacing w:after="0" w:line="1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 salaries and bonuses; 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4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 salaries and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49"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18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primarily of interest expense from amortization of debt issuance costs, contractual interest expense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issued in January 2021, and amortization of debt issuance costs on our secured revolving credit facility.</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consists primarily of income earned on our cash and cash equivalents, if any; gain on strategic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transaction gains and losses.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consists of state income taxes in the United States, foreign income taxes including taxes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intercompany sale of intellectual property from Humio and withholding taxes related to customer payments in certain foreign jurisdictions in which we conduct business. We maintain a full valuation allowance on our U.S. federal and state and UK deferred tax assets that we have determined are not realizable on a more likely than not basis.</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Net income attributable to non-controlling interest consists of the Falcon Funds’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share of mark-to-market gains and interest income from our strategic investments.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statements of operations for each period presented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4"/>
              </w:rPr>
              <w:t>Year Ended January 31,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4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480"/>
              <w:spacing w:after="0"/>
              <w:rPr>
                <w:sz w:val="20"/>
                <w:szCs w:val="20"/>
                <w:color w:val="auto"/>
              </w:rPr>
            </w:pPr>
            <w:r>
              <w:rPr>
                <w:rFonts w:ascii="Arial" w:cs="Arial" w:eastAsia="Arial" w:hAnsi="Arial"/>
                <w:sz w:val="18"/>
                <w:szCs w:val="18"/>
                <w:color w:val="auto"/>
              </w:rPr>
              <w:t>Subscription</w:t>
            </w:r>
          </w:p>
        </w:tc>
        <w:tc>
          <w:tcPr>
            <w:tcW w:w="2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1,359,537</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804,670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436,323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Professional services</w:t>
            </w:r>
          </w:p>
        </w:tc>
        <w:tc>
          <w:tcPr>
            <w:tcW w:w="1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45,090</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1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1,451,594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481,413</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460"/>
              <w:spacing w:after="0"/>
              <w:rPr>
                <w:sz w:val="20"/>
                <w:szCs w:val="20"/>
                <w:color w:val="auto"/>
              </w:rPr>
            </w:pPr>
            <w:r>
              <w:rPr>
                <w:rFonts w:ascii="Arial" w:cs="Arial" w:eastAsia="Arial" w:hAnsi="Arial"/>
                <w:sz w:val="18"/>
                <w:szCs w:val="18"/>
                <w:color w:val="auto"/>
              </w:rPr>
              <w:t>Subscription</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321,904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185,212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112,474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Professional services</w:t>
            </w:r>
          </w:p>
        </w:tc>
        <w:tc>
          <w:tcPr>
            <w:tcW w:w="1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 of revenue</w:t>
            </w:r>
          </w:p>
        </w:tc>
        <w:tc>
          <w:tcPr>
            <w:tcW w:w="1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141,627</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1,068,373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339,786</w:t>
            </w:r>
          </w:p>
        </w:tc>
        <w:tc>
          <w:tcPr>
            <w:tcW w:w="0" w:type="dxa"/>
            <w:vAlign w:val="bottom"/>
          </w:tcPr>
          <w:p>
            <w:pPr>
              <w:spacing w:after="0"/>
              <w:rPr>
                <w:sz w:val="1"/>
                <w:szCs w:val="1"/>
                <w:color w:val="auto"/>
              </w:rPr>
            </w:pPr>
          </w:p>
        </w:tc>
      </w:tr>
      <w:tr>
        <w:trPr>
          <w:trHeight w:val="209"/>
        </w:trPr>
        <w:tc>
          <w:tcPr>
            <w:tcW w:w="472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Sales and marketing</w:t>
            </w: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266,595</w:t>
            </w:r>
          </w:p>
        </w:tc>
        <w:tc>
          <w:tcPr>
            <w:tcW w:w="0" w:type="dxa"/>
            <w:vAlign w:val="bottom"/>
          </w:tcPr>
          <w:p>
            <w:pPr>
              <w:spacing w:after="0"/>
              <w:rPr>
                <w:sz w:val="1"/>
                <w:szCs w:val="1"/>
                <w:color w:val="auto"/>
              </w:rPr>
            </w:pPr>
          </w:p>
        </w:tc>
      </w:tr>
      <w:tr>
        <w:trPr>
          <w:trHeight w:val="229"/>
        </w:trPr>
        <w:tc>
          <w:tcPr>
            <w:tcW w:w="4720" w:type="dxa"/>
            <w:vAlign w:val="bottom"/>
          </w:tcPr>
          <w:p>
            <w:pPr>
              <w:ind w:left="46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371,283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130,188</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223,092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1,210,921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485,851</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(146,065)</w:t>
            </w:r>
          </w:p>
        </w:tc>
        <w:tc>
          <w:tcPr>
            <w:tcW w:w="0" w:type="dxa"/>
            <w:vAlign w:val="bottom"/>
          </w:tcPr>
          <w:p>
            <w:pPr>
              <w:spacing w:after="0"/>
              <w:rPr>
                <w:sz w:val="1"/>
                <w:szCs w:val="1"/>
                <w:color w:val="auto"/>
              </w:rPr>
            </w:pPr>
          </w:p>
        </w:tc>
      </w:tr>
      <w:tr>
        <w:trPr>
          <w:trHeight w:val="230"/>
        </w:trPr>
        <w:tc>
          <w:tcPr>
            <w:tcW w:w="472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net</w:t>
            </w:r>
          </w:p>
        </w:tc>
        <w:tc>
          <w:tcPr>
            <w:tcW w:w="1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(139,782)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income taxes</w:t>
            </w:r>
          </w:p>
        </w:tc>
        <w:tc>
          <w:tcPr>
            <w:tcW w:w="14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(232,378)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(141,779)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Net loss attributable to CrowdStrike</w:t>
            </w:r>
          </w:p>
        </w:tc>
        <w:tc>
          <w:tcPr>
            <w:tcW w:w="1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(234,802)</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(92,629)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(141,779)</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420" w:type="dxa"/>
            <w:vAlign w:val="bottom"/>
            <w:vMerge w:val="restart"/>
          </w:tcPr>
          <w:p>
            <w:pPr>
              <w:jc w:val="right"/>
              <w:ind w:right="330"/>
              <w:spacing w:after="0"/>
              <w:rPr>
                <w:sz w:val="20"/>
                <w:szCs w:val="20"/>
                <w:color w:val="auto"/>
              </w:rPr>
            </w:pPr>
            <w:r>
              <w:rPr>
                <w:rFonts w:ascii="Arial" w:cs="Arial" w:eastAsia="Arial" w:hAnsi="Arial"/>
                <w:sz w:val="18"/>
                <w:szCs w:val="18"/>
                <w:color w:val="auto"/>
              </w:rPr>
              <w:t>61</w:t>
            </w: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47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components of our consolidated statements of operations as a percentage of total revenue for the periods presented: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January 31,</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5960" w:type="dxa"/>
            <w:vAlign w:val="bottom"/>
          </w:tcPr>
          <w:p>
            <w:pPr>
              <w:ind w:left="480"/>
              <w:spacing w:after="0"/>
              <w:rPr>
                <w:sz w:val="20"/>
                <w:szCs w:val="20"/>
                <w:color w:val="auto"/>
              </w:rPr>
            </w:pPr>
            <w:r>
              <w:rPr>
                <w:rFonts w:ascii="Arial" w:cs="Arial" w:eastAsia="Arial" w:hAnsi="Arial"/>
                <w:sz w:val="18"/>
                <w:szCs w:val="18"/>
                <w:color w:val="auto"/>
              </w:rPr>
              <w:t>Subscription</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Professional services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680"/>
              <w:spacing w:after="0"/>
              <w:rPr>
                <w:sz w:val="20"/>
                <w:szCs w:val="20"/>
                <w:color w:val="auto"/>
              </w:rPr>
            </w:pPr>
            <w:r>
              <w:rPr>
                <w:rFonts w:ascii="Arial" w:cs="Arial" w:eastAsia="Arial" w:hAnsi="Arial"/>
                <w:sz w:val="18"/>
                <w:szCs w:val="18"/>
                <w:color w:val="auto"/>
              </w:rPr>
              <w:t>Total revenue</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5960" w:type="dxa"/>
            <w:vAlign w:val="bottom"/>
          </w:tcPr>
          <w:p>
            <w:pPr>
              <w:ind w:left="480"/>
              <w:spacing w:after="0"/>
              <w:rPr>
                <w:sz w:val="20"/>
                <w:szCs w:val="20"/>
                <w:color w:val="auto"/>
              </w:rPr>
            </w:pPr>
            <w:r>
              <w:rPr>
                <w:rFonts w:ascii="Arial" w:cs="Arial" w:eastAsia="Arial" w:hAnsi="Arial"/>
                <w:sz w:val="18"/>
                <w:szCs w:val="18"/>
                <w:color w:val="auto"/>
              </w:rPr>
              <w:t>Subscription</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Professional services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680"/>
              <w:spacing w:after="0"/>
              <w:rPr>
                <w:sz w:val="20"/>
                <w:szCs w:val="20"/>
                <w:color w:val="auto"/>
              </w:rPr>
            </w:pPr>
            <w:r>
              <w:rPr>
                <w:rFonts w:ascii="Arial" w:cs="Arial" w:eastAsia="Arial" w:hAnsi="Arial"/>
                <w:sz w:val="18"/>
                <w:szCs w:val="18"/>
                <w:color w:val="auto"/>
              </w:rPr>
              <w:t>Total cost of revenue</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30"/>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net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for income taxes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attributable to noncontrolling interest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Net loss attributable to CrowdStrike</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2022 and Fiscal 2021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80" w:firstLine="324"/>
        <w:spacing w:after="0" w:line="271" w:lineRule="auto"/>
        <w:rPr>
          <w:sz w:val="20"/>
          <w:szCs w:val="20"/>
          <w:color w:val="auto"/>
        </w:rPr>
      </w:pPr>
      <w:r>
        <w:rPr>
          <w:rFonts w:ascii="Arial" w:cs="Arial" w:eastAsia="Arial" w:hAnsi="Arial"/>
          <w:sz w:val="18"/>
          <w:szCs w:val="18"/>
          <w:color w:val="auto"/>
        </w:rPr>
        <w:t>The following shows total revenue from subscriptions and professional services for fiscal 2022, as compared to fiscal 2021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January 31,</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84"/>
              </w:rPr>
              <w:t>Change</w:t>
            </w:r>
          </w:p>
        </w:tc>
        <w:tc>
          <w:tcPr>
            <w:tcW w:w="3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4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1,359,537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804,670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554,867</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Professional services</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92,057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69,768</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22,289</w:t>
            </w:r>
          </w:p>
        </w:tc>
        <w:tc>
          <w:tcPr>
            <w:tcW w:w="6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1,451,594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874,438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577,156</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Total revenue increased by $577.2 million, or 66%, in fiscal 2022, compared to fiscal 2021. Subscription revenue accounted for 94% of our total revenue in fiscal 2022, and 92% in fiscal 2021. Professional services revenue accounted for 6% of our total revenue in fiscal 2022 and 8% in fiscal 2021.</w:t>
      </w:r>
    </w:p>
    <w:p>
      <w:pPr>
        <w:spacing w:after="0" w:line="124"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Subscription revenue increased by $554.9 million, or 69%, in fiscal 2022, compared to fiscal 2021. This increase was primarily attributable to the addition of new subscription customers, as we increased our customer base by 65%, from 9,896 subscription customers in fiscal 2021 to 16,325 subscription customers in fiscal 2022. Subscription revenue from new customers, subscription revenue from the renewal of existing customers, and subscription revenue from the sale of additional endpoints and additional modules to existing customers accounted for 34%, 42%, and 24% of total subscription revenue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fiscal 2022, respectively. Subscription revenue from new customers, subscription revenue from the renewal of existing customers, and subscription revenue from the sale of additional endpoints and additional modules to existing customers accounted for 33%, 36%, and 31% of total subscription revenue in fiscal 2021, respectively.</w:t>
      </w:r>
    </w:p>
    <w:p>
      <w:pPr>
        <w:spacing w:after="0" w:line="184" w:lineRule="exact"/>
        <w:rPr>
          <w:sz w:val="20"/>
          <w:szCs w:val="20"/>
          <w:color w:val="auto"/>
        </w:rPr>
      </w:pPr>
    </w:p>
    <w:p>
      <w:pPr>
        <w:ind w:right="480" w:firstLine="324"/>
        <w:spacing w:after="0" w:line="308" w:lineRule="auto"/>
        <w:rPr>
          <w:sz w:val="20"/>
          <w:szCs w:val="20"/>
          <w:color w:val="auto"/>
        </w:rPr>
      </w:pPr>
      <w:r>
        <w:rPr>
          <w:rFonts w:ascii="Arial" w:cs="Arial" w:eastAsia="Arial" w:hAnsi="Arial"/>
          <w:sz w:val="17"/>
          <w:szCs w:val="17"/>
          <w:color w:val="auto"/>
        </w:rPr>
        <w:t>Professional services revenue increased by $22.3 million, or 32%, in fiscal 2022, compared to fiscal 2021, which was primarily attributable to an increase in the number of professional service hours performed and increase in services offerings that are not based on billable hours.</w:t>
      </w:r>
    </w:p>
    <w:p>
      <w:pPr>
        <w:spacing w:after="0" w:line="146" w:lineRule="exact"/>
        <w:rPr>
          <w:sz w:val="20"/>
          <w:szCs w:val="20"/>
          <w:color w:val="auto"/>
        </w:rPr>
      </w:pPr>
    </w:p>
    <w:p>
      <w:pPr>
        <w:ind w:right="500" w:firstLine="324"/>
        <w:spacing w:after="0" w:line="271" w:lineRule="auto"/>
        <w:rPr>
          <w:sz w:val="20"/>
          <w:szCs w:val="20"/>
          <w:color w:val="auto"/>
        </w:rPr>
      </w:pPr>
      <w:r>
        <w:rPr>
          <w:rFonts w:ascii="Arial" w:cs="Arial" w:eastAsia="Arial" w:hAnsi="Arial"/>
          <w:sz w:val="18"/>
          <w:szCs w:val="18"/>
          <w:color w:val="auto"/>
        </w:rPr>
        <w:t>The following shows cost of revenue related to subscriptions and professional services for fiscal 2022, as compared to fiscal 2021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January 31,</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84"/>
              </w:rPr>
              <w:t>Change</w:t>
            </w:r>
          </w:p>
        </w:tc>
        <w:tc>
          <w:tcPr>
            <w:tcW w:w="36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5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29"/>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136,692</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Professional services</w:t>
            </w: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6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383,221</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229,545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153,676</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Total cost of revenue increased by $153.7 million, or 67%, in fiscal 2022, compared to fiscal 2021. Subscription cost of revenue increased by $136.7 million, or 74%, in fiscal 2022, compared to fiscal 2021. The increase in subscription cost of revenue was primarily due to an increase in cloud hosting and related services cost of $58.7 million driven by increased customer activity, an increase in employee-related expenses of $37.7 million driven by a 55% increase in average headcount, an increase in stock-based compensation expense of $10.3 million, an increase in amortization of intangible assets of $9.7 million, an increase in depreciation of data center equipment of $7.7 million, an increase in allocated overhead costs of $4.9 million, an increase in depreciation of internal-use software of $4.3 million, and an increase in employee health insurance costs of $1.8 million.</w:t>
      </w:r>
    </w:p>
    <w:p>
      <w:pPr>
        <w:spacing w:after="0" w:line="16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Professional services cost of revenue increased by $17.0 million, or 38%, in fiscal 2022, compared to fiscal 2021. The increase in professional services cost of revenue was primarily due to an increase in employee-related expenses of $10.0 million driven by an increase in average headcount of 43%, an increase in stock-based compensation expense of $4.0 million, an increase in allocated overhead costs of $0.8 million, and an increase in employee health insurance costs of $0.6 million.</w:t>
      </w:r>
    </w:p>
    <w:p>
      <w:pPr>
        <w:spacing w:after="0" w:line="187" w:lineRule="exact"/>
        <w:rPr>
          <w:sz w:val="20"/>
          <w:szCs w:val="20"/>
          <w:color w:val="auto"/>
        </w:rPr>
      </w:pPr>
    </w:p>
    <w:p>
      <w:pPr>
        <w:ind w:right="780" w:firstLine="324"/>
        <w:spacing w:after="0" w:line="271" w:lineRule="auto"/>
        <w:rPr>
          <w:sz w:val="20"/>
          <w:szCs w:val="20"/>
          <w:color w:val="auto"/>
        </w:rPr>
      </w:pPr>
      <w:r>
        <w:rPr>
          <w:rFonts w:ascii="Arial" w:cs="Arial" w:eastAsia="Arial" w:hAnsi="Arial"/>
          <w:sz w:val="18"/>
          <w:szCs w:val="18"/>
          <w:color w:val="auto"/>
        </w:rPr>
        <w:t>The following shows gross profit and gross margin for subscriptions and professional services for fiscal 2022, as compared to fiscal 2021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January 31,</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2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84"/>
              </w:rPr>
              <w:t>Change</w:t>
            </w:r>
          </w:p>
        </w:tc>
        <w:tc>
          <w:tcPr>
            <w:tcW w:w="36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4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gross profit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1,037,633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418,175</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Professional services gross profit</w:t>
            </w: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25,435</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5,305</w:t>
            </w:r>
          </w:p>
        </w:tc>
        <w:tc>
          <w:tcPr>
            <w:tcW w:w="6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gross profit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1,068,373</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644,893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423,480</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4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4"/>
              </w:rPr>
              <w:t>Year Ended January 31,</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960" w:type="dxa"/>
            <w:vAlign w:val="bottom"/>
          </w:tcPr>
          <w:p>
            <w:pPr>
              <w:ind w:left="540"/>
              <w:spacing w:after="0"/>
              <w:rPr>
                <w:sz w:val="20"/>
                <w:szCs w:val="20"/>
                <w:color w:val="auto"/>
              </w:rPr>
            </w:pPr>
            <w:r>
              <w:rPr>
                <w:rFonts w:ascii="Arial" w:cs="Arial" w:eastAsia="Arial" w:hAnsi="Arial"/>
                <w:sz w:val="18"/>
                <w:szCs w:val="18"/>
                <w:b w:val="1"/>
                <w:bCs w:val="1"/>
                <w:color w:val="auto"/>
                <w:w w:val="99"/>
              </w:rPr>
              <w:t>2022</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34"/>
        </w:trPr>
        <w:tc>
          <w:tcPr>
            <w:tcW w:w="67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3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 gross margin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Professional services gross margin</w:t>
            </w:r>
          </w:p>
        </w:tc>
        <w:tc>
          <w:tcPr>
            <w:tcW w:w="46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gross margin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9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Subscription gross margin slightly decreased by 1%, in fiscal 2022, compared to fiscal 2021. The decrease in subscription gross margin was primarily due to higher intangibles amortization resulting from acquisitions, higher stock-based compensation expense, and higher cloud services costs per sensor, partially offset by continued expansion of module adoption during fiscal 2022, compared to fiscal 2021. As of January 31, 2022, 69% of our customer base had adopted four or more modules, 57% of our customer base had adopted five or more modules, and 34% of our customer base had adopted six or more modules. As of January 31, 2021, 63% of our customer base had adopted four or more modules, 47% of our customer base had adopted five or more modules, and 24% of our customer base had adopted six or more modules.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324"/>
        <w:spacing w:after="0" w:line="311" w:lineRule="auto"/>
        <w:rPr>
          <w:sz w:val="20"/>
          <w:szCs w:val="20"/>
          <w:color w:val="auto"/>
        </w:rPr>
      </w:pPr>
      <w:r>
        <w:rPr>
          <w:rFonts w:ascii="Arial" w:cs="Arial" w:eastAsia="Arial" w:hAnsi="Arial"/>
          <w:sz w:val="16"/>
          <w:szCs w:val="16"/>
          <w:color w:val="auto"/>
        </w:rPr>
        <w:t>Professional services gross margin decreased by 3% in fiscal 2022, compared to fiscal 2021. The decrease in professional services gross margin was primarily due to higher employee-related expenses and higher stock-based compensation, partially offset with an increase in the number of professional service hours performed and increase in services offerings that are not based on billable hours during fiscal 2022 compared to fiscal 2021.</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sales and marketing expenses for fiscal 2022, as compared to fiscal 2021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January 31,</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87"/>
              </w:rPr>
              <w:t>Change</w:t>
            </w:r>
          </w:p>
        </w:tc>
        <w:tc>
          <w:tcPr>
            <w:tcW w:w="3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5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616,546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401,316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215,230</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Sales and marketing expenses increased by $215.2 million, or 54%, in fiscal 2022, compared to fiscal 2021. The increase in sales and marketing expenses was primarily due to an increase in employee-related expenses of $109.3 million driven by an increase in sales and marketing average headcount of 35%, an increase in marketing programs of $42.0 million, an increase in stock-based compensation of $39.1 million, an increase in allocated overhead costs of $8.2 million, and an increase in employee health insurance costs of $3.2 million during fiscal 2022.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shows research and development expenses for fiscal 2022, as compared to fiscal 2021 (in thousands, except percentages):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January 31,</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87"/>
              </w:rPr>
              <w:t>Change</w:t>
            </w:r>
          </w:p>
        </w:tc>
        <w:tc>
          <w:tcPr>
            <w:tcW w:w="3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5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371,283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156,613</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Research and development expenses increased by $156.6 million, or 73% in fiscal 2022, compared to fiscal 2021. This increase was primarily due to an increase in employee-related expenses of $81.2 million driven by an increase in research and development average headcount of 58%, an increase in stock-based compensation of $61.8 million, an increase in allocated overhead costs of $9.3 million, an increase in cloud hosting and related costs of $4.4 million, and an increase in employee health insurance costs of $2.6 million, partially offset by an increase of $9.6 million in software capitalization.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shows general and administrative expenses for fiscal 2022, as compared to fiscal 2021 (in thousands, except percentages):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January 31,</w:t>
            </w: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w w:val="87"/>
              </w:rPr>
              <w:t>Change</w:t>
            </w:r>
          </w:p>
        </w:tc>
        <w:tc>
          <w:tcPr>
            <w:tcW w:w="36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5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29"/>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101,656</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General and administrative expenses increased by $101.7 million, or 84%, in fiscal 2022, compared to fiscal 2021. The increase in general and administrative expenses was primarily due to an increase in stock-based compensation expense of $45.1 million, an increase in employee-related expenses of $18.5 million driven by an increase in general and administrative average headcount of 47%, an increase in legal expense of $14.1 million, an increase in consulting expense of $4.7 million, an increase in allocated overhead costs of $2.4 million, an increase in tax and licenses of $2.4 million, an increase in term-based software licenses of $2.3 million, an increase in corporate insurance costs of $2.0 million, and an increase in employee health insurance costs of $1.3 million during fiscal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and Other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interest and other expense, net, for fiscal 2022, as compared to fiscal 2021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8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January 31,</w:t>
            </w:r>
          </w:p>
        </w:tc>
        <w:tc>
          <w:tcPr>
            <w:tcW w:w="660" w:type="dxa"/>
            <w:vAlign w:val="bottom"/>
          </w:tcPr>
          <w:p>
            <w:pPr>
              <w:spacing w:after="0"/>
              <w:rPr>
                <w:sz w:val="20"/>
                <w:szCs w:val="20"/>
                <w:color w:val="auto"/>
              </w:rPr>
            </w:pPr>
          </w:p>
        </w:tc>
        <w:tc>
          <w:tcPr>
            <w:tcW w:w="1620" w:type="dxa"/>
            <w:vAlign w:val="bottom"/>
            <w:gridSpan w:val="3"/>
          </w:tcPr>
          <w:p>
            <w:pPr>
              <w:ind w:left="90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spacing w:after="0"/>
              <w:rPr>
                <w:sz w:val="19"/>
                <w:szCs w:val="19"/>
                <w:color w:val="auto"/>
              </w:rPr>
            </w:pPr>
          </w:p>
        </w:tc>
      </w:tr>
      <w:tr>
        <w:trPr>
          <w:trHeight w:val="34"/>
        </w:trPr>
        <w:tc>
          <w:tcPr>
            <w:tcW w:w="4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7,756</w:t>
            </w:r>
          </w:p>
        </w:tc>
        <w:tc>
          <w:tcPr>
            <w:tcW w:w="12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Interest expense consists primarily of interest expense from the amortization of debt issuance costs, contractual interest expense and accretion of debt discount for our Senior Notes issued in January 2021.</w:t>
      </w:r>
    </w:p>
    <w:p>
      <w:pPr>
        <w:spacing w:after="0" w:line="170"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change in other income, net, during fiscal 2022 compared to fiscal 2021, was primarily due an increase in fair value adjustments for our strategic investments, partially offset by the lower interest income earned on cash, cash equivalents and investments and fluctuations in foreign currency transaction gains and losses.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shows the provision for income taxes for fiscal 2022, as compared to fiscal 2021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4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January 31,</w:t>
            </w: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spacing w:after="0"/>
              <w:rPr>
                <w:sz w:val="19"/>
                <w:szCs w:val="19"/>
                <w:color w:val="auto"/>
              </w:rPr>
            </w:pPr>
          </w:p>
        </w:tc>
      </w:tr>
      <w:tr>
        <w:trPr>
          <w:trHeight w:val="34"/>
        </w:trPr>
        <w:tc>
          <w:tcPr>
            <w:tcW w:w="45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r>
      <w:tr>
        <w:trPr>
          <w:trHeight w:val="230"/>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increase in the provision for income taxes of $67.6 million during fiscal 2022 compared to fiscal 2021 was primarily driven by the intercompany sale of intellectual property from Humio of $57.2 million and an increase in pre-tax foreign earnings.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primary sources of liquidity as of January 31, 2022, consisted of: (i) $2.0 billion in cash and cash equivalents, (ii) cash we expect to generate from operations, and (iii) available capacity under our $750.0 million senior secured revolving credit facility (the “A&amp;R Credit Agreement”). We expect that the combination of our existing cash and cash equivalents, cash flows from operations, and the A&amp;R Credit Agreement will be sufficient to meet our anticipated cash needs for working capital and capital expenditures for at least the next 12 months.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short-term and long-term liquidity requirements primarily arise from: (i) business acquisitions and investments we may make from time to time,</w:t>
      </w:r>
    </w:p>
    <w:p>
      <w:pPr>
        <w:spacing w:after="0" w:line="46" w:lineRule="exact"/>
        <w:rPr>
          <w:sz w:val="20"/>
          <w:szCs w:val="20"/>
          <w:color w:val="auto"/>
        </w:rPr>
      </w:pPr>
    </w:p>
    <w:p>
      <w:pPr>
        <w:ind w:right="20" w:firstLine="8"/>
        <w:spacing w:after="0" w:line="253"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working capital requirements, (iii) interest and principal payments related to our outstanding indebtedness, (iv) research and development and capital expenditure needs, and (vi)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9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Since our inception, we have generated operating losses, as reflected in our accumulated deficit of $964.9 million as of January 31, 2022.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14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typically invoice our subscription customers annually in advance.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2022, we had deferred revenue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$1.5 billion, of which $1.1 billion was recorded as a current liability and is expected to be recorded as revenue in the next 12 months, provided all other revenue recognition criteria have been met.</w:t>
      </w:r>
    </w:p>
    <w:p>
      <w:pPr>
        <w:spacing w:after="0" w:line="170"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In January 2021, we issued and sold an aggregate principal amount of $750.0 million of 3.000% Senior Notes due 2029. The net proceeds from the debt offering were $738.0 million after deducting the underwriting commissions of $9.4 million and $2.6 million of issuance costs.</w:t>
      </w:r>
    </w:p>
    <w:p>
      <w:pPr>
        <w:spacing w:after="0" w:line="146"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In January 2021, we amended and restated our existing senior secured revolving credit facility (the “A&amp;R Credit Agreement”) and increased the size of the credit facility from $150.0 million to $750.0 million, including a letter of credit sub-facility in the aggregate amount of $100.0 million, and a swingline sub-facility in the aggregate amount of $50.0 million. In January 2022, we modified the A&amp;R Credit Agreement (the “Amended A&amp;R Credit Agreement”) to replace LIBOR with the Secured Overnight Finance Rate (“SOFR”) as the Eurodollar rate. There were no changes to the borrowing amounts or maturity date. No amounts were outstanding under the Amended A&amp;R Credit Agreement as of January 31, 2022.</w:t>
      </w:r>
    </w:p>
    <w:p>
      <w:pPr>
        <w:spacing w:after="0" w:line="176" w:lineRule="exact"/>
        <w:rPr>
          <w:sz w:val="20"/>
          <w:szCs w:val="20"/>
          <w:color w:val="auto"/>
        </w:rPr>
      </w:pPr>
    </w:p>
    <w:p>
      <w:pPr>
        <w:ind w:right="220" w:firstLine="324"/>
        <w:spacing w:after="0" w:line="248"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4"/>
              </w:rPr>
              <w:t>Year Ended January 31,</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34"/>
        </w:trPr>
        <w:tc>
          <w:tcPr>
            <w:tcW w:w="6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574,784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99,943</w:t>
            </w:r>
          </w:p>
        </w:tc>
      </w:tr>
      <w:tr>
        <w:trPr>
          <w:trHeight w:val="229"/>
        </w:trPr>
        <w:tc>
          <w:tcPr>
            <w:tcW w:w="6100" w:type="dxa"/>
            <w:vAlign w:val="bottom"/>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(564,516)</w:t>
            </w:r>
          </w:p>
        </w:tc>
        <w:tc>
          <w:tcPr>
            <w:tcW w:w="1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495,427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(629,631)</w:t>
            </w: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706,144</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Net cash provided by operating activities during fiscal 2022 was $574.8 million, which resulted from a net loss of $232.4 million, adjusted for non-cash charges of $485.4 million and net cash inflow of $321.7 million from changes in operating assets and liabilities. Non-cash charges primarily consisted of $310.0 million in stock-based compensation expense, $113.9 million of amortization of deferred contract acquisition costs, $55.9 million of depreciation and amortization, $12.9 million of amortization for intangibles assets, $9.1 million of non-cash operating lease costs and $2.5 million of non-cash interest expense, partially offset by a $14.0 million change in deferred income taxes and a $4.8 million change in the fair value of strategic investments. The net cash inflow from changes in operating assets and liabilities was primarily due to a $616.4 million increase in deferred revenue, a $38.5 million increase in accrued expenses and other liabilities, a $33.2 million increase in accounts payable, and a $32.7 million increase in accrued payroll and benefits, partially offset by a $234.3 million increase in deferred contract acquisition costs, a $125.4 million increase in accounts receivable, net, a $29.5 million increase in prepaid expenses and other assets, and a $9.9 million decrease in operating lease liabilities.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operating activities during fiscal 2021 was $356.6 million, which resulted from a net loss of $92.6 million, adjusted for non-cash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charges of $262.7 million and net cash inflow of $186.5 million from changes in operating assets and liabilities. Non-cash charges primarily consisted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$149.7 million in stock-based compensation expense, $66.4 million of amortization of deferred contract acquisition costs, $38.7 million of depreciation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and $7.8 million of non-cash operating lease costs. The net cash inflow from changes in operating assets and liabilities was primarily due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$338.8 million increase in deferred revenue, a $33.2 million increase in accrued payroll and benefits, a $33.1 million increase in accrued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liabilities and a $11.3 million increase in accounts payable, partially offset by $151.0 million increase in deferred contract acquisition costs and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$73.0 million increase in accounts receivable, net.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Net cash used in investing activities during fiscal 2022 of $564.5 million was primarily due to the acquisitions of Humio and SecureCircle, net of cash acquired, of $414.5 million, purchases of property and equipment of $112.1 million, capitalized internal-use software and website development costs of $20.9 million, and purchase of strategic investments of $16.3 million.</w:t>
      </w:r>
    </w:p>
    <w:p>
      <w:pPr>
        <w:spacing w:after="0" w:line="184"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Net cash provided by investing activities during fiscal 2021 of $495.4 million was primarily due to the sale of marketable securities of $639.6 million and the maturities of marketable securities of $91.6 million, partially offset by our acquisition of Preempt Security, net of cash acquired, of $85.5 million, purchases of marketable securities of $84.9 million, purchases of property and equipment of $52.8 million, and capitalized internal-use software of $10.9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Net cash provided by financing activities of $72.5 million during fiscal 2022 was primarily due to our proceeds from employee stock purchase plan of $50.3 million, proceeds from the exercise of stock options of $15.9 million, and $8.2 million capital contributions from non-controlling interest.</w:t>
      </w:r>
    </w:p>
    <w:p>
      <w:pPr>
        <w:spacing w:after="0" w:line="14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cash provided by financing activities of $800.1 million during fiscal 2021 was primarily due to $739.6 million related to the issuance of our Senior Notes, after deducting the underwriting commissions and issuance costs paid as of January 31, 2021, proceeds from our employee stock purchase plan of $34.3 million, and proceeds from the exercise of stock options of $28.8 million, partially offset by $3.3 million debt issuance costs related to the revolving credit facility.</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229" w:lineRule="exact"/>
        <w:rPr>
          <w:sz w:val="20"/>
          <w:szCs w:val="20"/>
          <w:color w:val="auto"/>
        </w:rPr>
      </w:pPr>
    </w:p>
    <w:p>
      <w:pPr>
        <w:jc w:val="both"/>
        <w:ind w:right="360" w:firstLine="324"/>
        <w:spacing w:after="0" w:line="311" w:lineRule="auto"/>
        <w:rPr>
          <w:sz w:val="20"/>
          <w:szCs w:val="20"/>
          <w:color w:val="auto"/>
        </w:rPr>
      </w:pPr>
      <w:r>
        <w:rPr>
          <w:rFonts w:ascii="Arial" w:cs="Arial" w:eastAsia="Arial" w:hAnsi="Arial"/>
          <w:sz w:val="16"/>
          <w:szCs w:val="16"/>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5, Debt, in Part II, Item 8 of this Annual Report on Form 10-K, for a brief description of the Senior Notes.</w:t>
      </w:r>
    </w:p>
    <w:p>
      <w:pPr>
        <w:spacing w:after="0" w:line="14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8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consolidated revenue, and there are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w:t>
            </w: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29"/>
        </w:trPr>
        <w:tc>
          <w:tcPr>
            <w:tcW w:w="4080" w:type="dxa"/>
            <w:vAlign w:val="bottom"/>
            <w:vMerge w:val="continue"/>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January 31, 2022</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(in thousands)</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1,450,908</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402,022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1,223,452</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(174,565)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(207,274)</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Net loss attributable to CrowdStrike</w:t>
            </w:r>
          </w:p>
        </w:tc>
        <w:tc>
          <w:tcPr>
            <w:tcW w:w="5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(207,274)</w:t>
            </w:r>
          </w:p>
        </w:tc>
        <w:tc>
          <w:tcPr>
            <w:tcW w:w="0" w:type="dxa"/>
            <w:vAlign w:val="bottom"/>
          </w:tcPr>
          <w:p>
            <w:pPr>
              <w:spacing w:after="0"/>
              <w:rPr>
                <w:sz w:val="1"/>
                <w:szCs w:val="1"/>
                <w:color w:val="auto"/>
              </w:rPr>
            </w:pPr>
          </w:p>
        </w:tc>
      </w:tr>
      <w:tr>
        <w:trPr>
          <w:trHeight w:val="863"/>
        </w:trPr>
        <w:tc>
          <w:tcPr>
            <w:tcW w:w="4080" w:type="dxa"/>
            <w:vAlign w:val="bottom"/>
          </w:tcPr>
          <w:p>
            <w:pPr>
              <w:spacing w:after="0"/>
              <w:rPr>
                <w:sz w:val="24"/>
                <w:szCs w:val="24"/>
                <w:color w:val="auto"/>
              </w:rPr>
            </w:pPr>
          </w:p>
        </w:tc>
        <w:tc>
          <w:tcPr>
            <w:tcW w:w="5440" w:type="dxa"/>
            <w:vAlign w:val="bottom"/>
          </w:tcPr>
          <w:p>
            <w:pPr>
              <w:jc w:val="right"/>
              <w:ind w:right="371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20"/>
              <w:spacing w:after="0"/>
              <w:rPr>
                <w:sz w:val="20"/>
                <w:szCs w:val="20"/>
                <w:color w:val="auto"/>
              </w:rPr>
            </w:pPr>
            <w:r>
              <w:rPr>
                <w:rFonts w:ascii="Arial" w:cs="Arial" w:eastAsia="Arial" w:hAnsi="Arial"/>
                <w:sz w:val="18"/>
                <w:szCs w:val="18"/>
                <w:b w:val="1"/>
                <w:bCs w:val="1"/>
                <w:color w:val="auto"/>
              </w:rPr>
              <w:t>Balance Sheets</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January 31, 2022</w:t>
            </w:r>
          </w:p>
        </w:tc>
      </w:tr>
      <w:tr>
        <w:trPr>
          <w:trHeight w:val="228"/>
        </w:trPr>
        <w:tc>
          <w:tcPr>
            <w:tcW w:w="9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(in thousands)</w:t>
            </w:r>
          </w:p>
        </w:tc>
      </w:tr>
      <w:tr>
        <w:trPr>
          <w:trHeight w:val="49"/>
        </w:trPr>
        <w:tc>
          <w:tcPr>
            <w:tcW w:w="9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 (excluding intercompany receivables from non-Guarantors)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2,499,941</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Intercompany receivables from non-Guarantors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11,900</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1,201,620</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1,363,873</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(excluding intercompany payable to non-Guarantors)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1,165,807</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Intercompany payable to non-Guarantors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276,919</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the Falcon Fund II. Further, entities associated with Accel also agreed to commit up to $10.0 million and $50.0 million, respectively, to the Original Falcon Fund and the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Our commitments consist of obligations under non-cancellable real estate arrangements on an undiscounted basis, of which $10.5 million is due in the next 12 months and $27.9 million is due thereafter. In addition, we have debt obligations related to $750.0 million aggregate principal amount of Senior Notes due in fiscal 2030 and the interest payments associated with the Senior Notes of $22.5 million due in the next 12 months and $146.3 million due thereafter. As of January 31, 2022, we have non-cancellable data center commitments payments of $20.8 million due in the next 12 months and</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$33.0 million due thereafter. Also, as of January 31, 2022, we have non-cancelable purchase commitments with various parties to purchase products and services entered in the normal course of business payments of $62.7 million due in the next 12 months and $77.7 million due thereafter. We expect to fund these obligations with cash flows from operations and cash on our balance sheet.</w:t>
      </w:r>
    </w:p>
    <w:p>
      <w:pPr>
        <w:spacing w:after="0" w:line="190"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contractual commitment amounts above are associated with agreements that are enforceable and legally binding. Obligations under contracts, including purchase orders, that we can cancel without a significant penalty are excluded. Purchase orders issued in the ordinary course of business are not included above, as such purchase orders represent authorizations to purchase rather than binding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January 31, 2022, we have utilized $53.2 million of this commitment. We expect to meet our remaining commitment with AWS.</w:t>
      </w:r>
    </w:p>
    <w:p>
      <w:pPr>
        <w:spacing w:after="0" w:line="14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As of January 31, 2022, our unrecognized tax benefits included $1.9 million which were classified as long-term liabilities due to the inherent uncertainty with respect to the timing of future cash outflows associated with our unrecognized tax benefits.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sheets as of January 31, 2022 or January 31, 2021.</w:t>
      </w:r>
    </w:p>
    <w:p>
      <w:pPr>
        <w:spacing w:after="0" w:line="17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sheets as of January 31, 2022 or January 31, 2021.</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See Note 2, Summary of Significant Accounting Policies to our consolidated financial statements included in Item 8, Financial Statements and Supplementary Data of this Annual Report on Form 10-K.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6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76"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We derive our revenue predominately from subscription revenue which is primarily based on the solutions subscribed for by the customer. We recognize subscription revenue ratably over the contract term. Our professional services are available through time and material and fixed fee agreements. Revenue from professional services is recognized as services are performed.</w:t>
      </w:r>
    </w:p>
    <w:p>
      <w:pPr>
        <w:spacing w:after="0" w:line="1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enter into revenue contracts with multiple performance obligations in which a customer may purchase combinations of subscriptions, support, training and consulting service. Judgment is required when considering the terms and conditions of these contracts. The transaction price for these contracts is allocated to the separate performance obligations on a relative standalone selling price (“SSP”) basis. The SSP is the price at which we would sell promised subscription or professional services separately to a customer.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we believe the 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8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Our assumptions, judgments and estimates relative to the current provision for income taxes take into account current tax laws, our interpretation of current tax laws and possible outcomes of current and future audits conducted by foreign and domestic tax authorities. We have established reserves for income taxes to address potential exposures involving tax positions that could be challenged by tax authorities. In addition, we are subject to the continual examination of our income tax returns by the U.S. Internal Revenue Service (“IRS”) and other domestic and foreign tax authorities. We regularly assess the likelihood of outcomes resulting from these examinations to determine the adequacy of our provision for income taxes and have reserved for potential adjustments that may result from such examinations. We believe such estimates to be reasonable; however, the final determination of any of these examinations could significantly impact the amounts provided for income taxes in our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See Note 2, Summary of Significant Accounting Policies, included in Part II, Item 8 of this Annual Report on Form 10-K for more information about the impact of certain recent accounting pronouncements on our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cash and cash equivalents primarily consist of cash on hand and highly liquid investments in bank deposits and money market funds. Our investments are exposed to market risk due to fluctuations in interest rates, which may affect our interest income and the fair value of our investments. As of January 31, 2022, we had cash and cash equivalents of $2.0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Due to the short-term nature of our investment portfolio, the effect of a hypothetical 100 basis point change in interest rates would not have had a material effect on the fair market value of our portfolio as of January 31, 2022. We therefore do not expect our results of operations or cash flows to be materially affected by a sudden change in market interest rates.</w:t>
      </w:r>
    </w:p>
    <w:p>
      <w:pPr>
        <w:spacing w:after="0" w:line="178"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Our debt obligations consist of a variety of financial instruments that expose us to interest rate risk, including, but not limited to our revolving credit facility and the Senior Notes. The interest on the revolving credit facility is tied to short term interest rate benchmarks including the Term SOFR. The interest rate on the Senior Notes is fixed.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A hypothetical 10% adverse change in the U.S. dollar against other currencies would have resulted in an increase in operating loss of approximately $36.3 million and $17.2 million for the fiscal years ended January 31, 2022 and January 31, 2021, respectively. We have not entered into derivative or hedging transactions, but we may do so in the future if our exposure to foreign currency becomes more 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conditions or results of operations during the fiscal year ended January 31, 2022.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6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380" w:type="dxa"/>
            <w:vAlign w:val="bottom"/>
            <w:gridSpan w:val="6"/>
          </w:tcPr>
          <w:p>
            <w:pPr>
              <w:jc w:val="center"/>
              <w:ind w:right="250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500" w:type="dxa"/>
            <w:vAlign w:val="bottom"/>
            <w:gridSpan w:val="8"/>
          </w:tcPr>
          <w:p>
            <w:pPr>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660" w:type="dxa"/>
            <w:vAlign w:val="bottom"/>
            <w:tcBorders>
              <w:top w:val="single" w:sz="8" w:color="auto"/>
            </w:tcBorders>
            <w:gridSpan w:val="3"/>
          </w:tcPr>
          <w:p>
            <w:pPr>
              <w:jc w:val="right"/>
              <w:ind w:right="20"/>
              <w:spacing w:after="0" w:line="182" w:lineRule="exact"/>
              <w:rPr>
                <w:rFonts w:ascii="Arial" w:cs="Arial" w:eastAsia="Arial" w:hAnsi="Arial"/>
                <w:sz w:val="18"/>
                <w:szCs w:val="18"/>
                <w:color w:val="0000FF"/>
              </w:rPr>
            </w:pPr>
            <w:hyperlink w:anchor="page73">
              <w:r>
                <w:rPr>
                  <w:rFonts w:ascii="Arial" w:cs="Arial" w:eastAsia="Arial" w:hAnsi="Arial"/>
                  <w:sz w:val="18"/>
                  <w:szCs w:val="18"/>
                  <w:color w:val="0000FF"/>
                </w:rPr>
                <w:t>73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 w:type="dxa"/>
            <w:vAlign w:val="bottom"/>
          </w:tcPr>
          <w:p>
            <w:pPr>
              <w:spacing w:after="0"/>
              <w:rPr>
                <w:sz w:val="21"/>
                <w:szCs w:val="21"/>
                <w:color w:val="auto"/>
              </w:rPr>
            </w:pPr>
          </w:p>
        </w:tc>
        <w:tc>
          <w:tcPr>
            <w:tcW w:w="1050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10500" w:type="dxa"/>
            <w:vAlign w:val="bottom"/>
            <w:gridSpan w:val="8"/>
          </w:tcPr>
          <w:p>
            <w:pPr>
              <w:spacing w:after="0" w:line="190" w:lineRule="exact"/>
              <w:rPr>
                <w:rFonts w:ascii="Arial" w:cs="Arial" w:eastAsia="Arial" w:hAnsi="Arial"/>
                <w:sz w:val="18"/>
                <w:szCs w:val="18"/>
                <w:color w:val="0000FF"/>
              </w:rPr>
            </w:pPr>
            <w:hyperlink w:anchor="page75">
              <w:r>
                <w:rPr>
                  <w:rFonts w:ascii="Arial" w:cs="Arial" w:eastAsia="Arial" w:hAnsi="Arial"/>
                  <w:sz w:val="18"/>
                  <w:szCs w:val="18"/>
                  <w:color w:val="0000FF"/>
                </w:rPr>
                <w:t>Consolidated Balance Sheets as of January 31, 2022 and 2021</w:t>
              </w:r>
            </w:hyperlink>
          </w:p>
        </w:tc>
        <w:tc>
          <w:tcPr>
            <w:tcW w:w="660" w:type="dxa"/>
            <w:vAlign w:val="bottom"/>
            <w:gridSpan w:val="3"/>
          </w:tcPr>
          <w:p>
            <w:pPr>
              <w:jc w:val="right"/>
              <w:ind w:right="20"/>
              <w:spacing w:after="0" w:line="190" w:lineRule="exact"/>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660" w:type="dxa"/>
            <w:vAlign w:val="bottom"/>
            <w:gridSpan w:val="5"/>
          </w:tcPr>
          <w:p>
            <w:pPr>
              <w:spacing w:after="0"/>
              <w:rPr>
                <w:rFonts w:ascii="Arial" w:cs="Arial" w:eastAsia="Arial" w:hAnsi="Arial"/>
                <w:sz w:val="18"/>
                <w:szCs w:val="18"/>
                <w:color w:val="0000FF"/>
                <w:w w:val="88"/>
              </w:rPr>
            </w:pPr>
            <w:hyperlink w:anchor="page76">
              <w:r>
                <w:rPr>
                  <w:rFonts w:ascii="Arial" w:cs="Arial" w:eastAsia="Arial" w:hAnsi="Arial"/>
                  <w:sz w:val="18"/>
                  <w:szCs w:val="18"/>
                  <w:color w:val="0000FF"/>
                  <w:w w:val="88"/>
                </w:rPr>
                <w:t>Consolidated Statements of Operations for the years ended January 31, 2022, 2021 and 2020</w:t>
              </w:r>
            </w:hyperlink>
          </w:p>
        </w:tc>
        <w:tc>
          <w:tcPr>
            <w:tcW w:w="38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76">
              <w:r>
                <w:rPr>
                  <w:rFonts w:ascii="Arial" w:cs="Arial" w:eastAsia="Arial" w:hAnsi="Arial"/>
                  <w:sz w:val="18"/>
                  <w:szCs w:val="18"/>
                  <w:color w:val="0000FF"/>
                  <w:w w:val="79"/>
                </w:rPr>
                <w:t>76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380" w:type="dxa"/>
            <w:vAlign w:val="bottom"/>
            <w:gridSpan w:val="6"/>
          </w:tcPr>
          <w:p>
            <w:pPr>
              <w:spacing w:after="0"/>
              <w:rPr>
                <w:rFonts w:ascii="Arial" w:cs="Arial" w:eastAsia="Arial" w:hAnsi="Arial"/>
                <w:sz w:val="18"/>
                <w:szCs w:val="18"/>
                <w:color w:val="0000FF"/>
                <w:w w:val="88"/>
              </w:rPr>
            </w:pPr>
            <w:hyperlink w:anchor="page77">
              <w:r>
                <w:rPr>
                  <w:rFonts w:ascii="Arial" w:cs="Arial" w:eastAsia="Arial" w:hAnsi="Arial"/>
                  <w:sz w:val="18"/>
                  <w:szCs w:val="18"/>
                  <w:color w:val="0000FF"/>
                  <w:w w:val="88"/>
                </w:rPr>
                <w:t>Consolidated Statements of Comprehensive Loss for the years ended January 31, 2022, 2021 and 2020</w:t>
              </w:r>
            </w:hyperlink>
          </w:p>
        </w:tc>
        <w:tc>
          <w:tcPr>
            <w:tcW w:w="31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77">
              <w:r>
                <w:rPr>
                  <w:rFonts w:ascii="Arial" w:cs="Arial" w:eastAsia="Arial" w:hAnsi="Arial"/>
                  <w:sz w:val="18"/>
                  <w:szCs w:val="18"/>
                  <w:color w:val="0000FF"/>
                  <w:w w:val="79"/>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500" w:type="dxa"/>
            <w:vAlign w:val="bottom"/>
            <w:gridSpan w:val="8"/>
          </w:tcPr>
          <w:p>
            <w:pPr>
              <w:spacing w:after="0"/>
              <w:rPr>
                <w:rFonts w:ascii="Arial" w:cs="Arial" w:eastAsia="Arial" w:hAnsi="Arial"/>
                <w:sz w:val="18"/>
                <w:szCs w:val="18"/>
                <w:color w:val="0000FF"/>
                <w:w w:val="92"/>
              </w:rPr>
            </w:pPr>
            <w:hyperlink w:anchor="page78">
              <w:r>
                <w:rPr>
                  <w:rFonts w:ascii="Arial" w:cs="Arial" w:eastAsia="Arial" w:hAnsi="Arial"/>
                  <w:sz w:val="18"/>
                  <w:szCs w:val="18"/>
                  <w:color w:val="0000FF"/>
                  <w:w w:val="92"/>
                </w:rPr>
                <w:t>Consolidated Statements of Redeemable Convertible Preferred Stock and Stockholders’ Equity (Deficit) for the years ended January 31, 2022,</w:t>
              </w:r>
            </w:hyperlink>
          </w:p>
        </w:tc>
        <w:tc>
          <w:tcPr>
            <w:tcW w:w="660" w:type="dxa"/>
            <w:vAlign w:val="bottom"/>
            <w:gridSpan w:val="3"/>
            <w:vMerge w:val="restart"/>
          </w:tcPr>
          <w:p>
            <w:pPr>
              <w:jc w:val="right"/>
              <w:ind w:right="20"/>
              <w:spacing w:after="0"/>
              <w:rPr>
                <w:rFonts w:ascii="Arial" w:cs="Arial" w:eastAsia="Arial" w:hAnsi="Arial"/>
                <w:sz w:val="18"/>
                <w:szCs w:val="18"/>
                <w:color w:val="0000FF"/>
              </w:rPr>
            </w:pPr>
            <w:hyperlink w:anchor="page78">
              <w:r>
                <w:rPr>
                  <w:rFonts w:ascii="Arial" w:cs="Arial" w:eastAsia="Arial" w:hAnsi="Arial"/>
                  <w:sz w:val="18"/>
                  <w:szCs w:val="18"/>
                  <w:color w:val="0000FF"/>
                </w:rPr>
                <w:t>78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02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78">
              <w:r>
                <w:rPr>
                  <w:rFonts w:ascii="Arial" w:cs="Arial" w:eastAsia="Arial" w:hAnsi="Arial"/>
                  <w:sz w:val="18"/>
                  <w:szCs w:val="18"/>
                  <w:color w:val="0000FF"/>
                </w:rPr>
                <w:t>2021 and 2020</w:t>
              </w:r>
            </w:hyperlink>
          </w:p>
        </w:tc>
        <w:tc>
          <w:tcPr>
            <w:tcW w:w="26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0500" w:type="dxa"/>
            <w:vAlign w:val="bottom"/>
            <w:gridSpan w:val="8"/>
          </w:tcPr>
          <w:p>
            <w:pPr>
              <w:spacing w:after="0"/>
              <w:rPr>
                <w:rFonts w:ascii="Arial" w:cs="Arial" w:eastAsia="Arial" w:hAnsi="Arial"/>
                <w:sz w:val="18"/>
                <w:szCs w:val="18"/>
                <w:color w:val="0000FF"/>
              </w:rPr>
            </w:pPr>
            <w:hyperlink w:anchor="page79">
              <w:r>
                <w:rPr>
                  <w:rFonts w:ascii="Arial" w:cs="Arial" w:eastAsia="Arial" w:hAnsi="Arial"/>
                  <w:sz w:val="18"/>
                  <w:szCs w:val="18"/>
                  <w:color w:val="0000FF"/>
                </w:rPr>
                <w:t>Consolidated Statements of Cash Flows for the years ended January 31, 2022, 2021 and 2020</w:t>
              </w:r>
            </w:hyperlink>
          </w:p>
        </w:tc>
        <w:tc>
          <w:tcPr>
            <w:tcW w:w="660" w:type="dxa"/>
            <w:vAlign w:val="bottom"/>
            <w:gridSpan w:val="3"/>
          </w:tcPr>
          <w:p>
            <w:pPr>
              <w:jc w:val="right"/>
              <w:ind w:right="20"/>
              <w:spacing w:after="0"/>
              <w:rPr>
                <w:rFonts w:ascii="Arial" w:cs="Arial" w:eastAsia="Arial" w:hAnsi="Arial"/>
                <w:sz w:val="18"/>
                <w:szCs w:val="18"/>
                <w:color w:val="0000FF"/>
              </w:rPr>
            </w:pPr>
            <w:hyperlink w:anchor="page79">
              <w:r>
                <w:rPr>
                  <w:rFonts w:ascii="Arial" w:cs="Arial" w:eastAsia="Arial" w:hAnsi="Arial"/>
                  <w:sz w:val="18"/>
                  <w:szCs w:val="18"/>
                  <w:color w:val="0000FF"/>
                </w:rPr>
                <w:t>79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660" w:type="dxa"/>
            <w:vAlign w:val="bottom"/>
            <w:gridSpan w:val="5"/>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Notes to Consolidated Financial Statements</w:t>
              </w:r>
            </w:hyperlink>
          </w:p>
        </w:tc>
        <w:tc>
          <w:tcPr>
            <w:tcW w:w="38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ind w:right="20"/>
              <w:spacing w:after="0"/>
              <w:rPr>
                <w:rFonts w:ascii="Arial" w:cs="Arial" w:eastAsia="Arial" w:hAnsi="Arial"/>
                <w:sz w:val="18"/>
                <w:szCs w:val="18"/>
                <w:color w:val="0000FF"/>
                <w:w w:val="79"/>
              </w:rPr>
            </w:pPr>
            <w:hyperlink w:anchor="page80">
              <w:r>
                <w:rPr>
                  <w:rFonts w:ascii="Arial" w:cs="Arial" w:eastAsia="Arial" w:hAnsi="Arial"/>
                  <w:sz w:val="18"/>
                  <w:szCs w:val="18"/>
                  <w:color w:val="0000FF"/>
                  <w:w w:val="79"/>
                </w:rPr>
                <w:t>80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5"/>
        </w:trPr>
        <w:tc>
          <w:tcPr>
            <w:tcW w:w="60" w:type="dxa"/>
            <w:vAlign w:val="bottom"/>
          </w:tcPr>
          <w:p>
            <w:pPr>
              <w:spacing w:after="0"/>
              <w:rPr>
                <w:sz w:val="24"/>
                <w:szCs w:val="24"/>
                <w:color w:val="auto"/>
              </w:rPr>
            </w:pPr>
          </w:p>
        </w:tc>
        <w:tc>
          <w:tcPr>
            <w:tcW w:w="3120" w:type="dxa"/>
            <w:vAlign w:val="bottom"/>
            <w:tcBorders>
              <w:top w:val="single" w:sz="8" w:color="0000FF"/>
            </w:tcBorders>
            <w:gridSpan w:val="2"/>
          </w:tcPr>
          <w:p>
            <w:pPr>
              <w:spacing w:after="0"/>
              <w:rPr>
                <w:sz w:val="24"/>
                <w:szCs w:val="24"/>
                <w:color w:val="auto"/>
              </w:rPr>
            </w:pPr>
          </w:p>
        </w:tc>
        <w:tc>
          <w:tcPr>
            <w:tcW w:w="3540" w:type="dxa"/>
            <w:vAlign w:val="bottom"/>
            <w:gridSpan w:val="3"/>
          </w:tcPr>
          <w:p>
            <w:pPr>
              <w:jc w:val="right"/>
              <w:ind w:right="1000"/>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CrowdStrike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CrowdStrike Holdings, Inc. and its subsidiaries (the “Company”) as of January 31, 2022 and 2021, and the related consolidated statements of operations, of comprehensive loss, of redeemable convertible preferred stock and stockholders’ equity (deficit) and of cash flows for each of the three years in the period ended January 31, 2022, including the related notes (collectively referred to as the “consolidated financial statements”). We also have audited the Company’s internal control over financial reporting as of January 31, 2022, based on criteria established in Internal Control - Integrated Framework (2013) issued by the Committee of Sponsoring Organizations of the Treadway Commission (COSO).</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 Also in our opinion, the Company maintained, in all material respects, effective internal control over financial reporting as of January 31, 2022,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Principles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2021 and the manner in which it accounts for revenues from contracts with customers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Identification and Evaluation for Terms and Conditions in Contracts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described in Note 2 to the consolidated financial statements, the Company generates its revenue from contracts with customers for subscriptions and professional services. Management considers the terms and conditions of contracts with customers and the Company’s customary business practices in identifying contracts. Management determines the Company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Revenue is recognized when control of the promised services is transferred to the customer, in an amount that reflects the consideration expected to be received in exchange for those services. The Company’s consolidated revenue for the year ended January 31, 2022 was $1,452 million.</w:t>
      </w:r>
    </w:p>
    <w:p>
      <w:pPr>
        <w:spacing w:after="0" w:line="1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specifically the identification and evaluation of terms and conditions in contracts, is a critical audit matter are the high degree of auditor subjectivity and effort in performing procedures and evaluating evidence relating to the identification and evaluation of terms and conditions in contracts.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identification and evaluation of terms and conditions in contracts. These procedures also included, among others, (i) testing management’s process for identifying and evaluating terms and conditions in contracts, including evaluating management’s determination of the impact of those terms and conditions on revenue recognition, and (ii) testing the completeness and accuracy of management’s identification and evaluation of terms and conditions in contracts by examining revenue transactions on a test basis.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January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1,996,633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1,918,608</w:t>
            </w:r>
          </w:p>
        </w:tc>
        <w:tc>
          <w:tcPr>
            <w:tcW w:w="0" w:type="dxa"/>
            <w:vAlign w:val="bottom"/>
          </w:tcPr>
          <w:p>
            <w:pPr>
              <w:spacing w:after="0"/>
              <w:rPr>
                <w:sz w:val="1"/>
                <w:szCs w:val="1"/>
                <w:color w:val="auto"/>
              </w:rPr>
            </w:pPr>
          </w:p>
        </w:tc>
      </w:tr>
      <w:tr>
        <w:trPr>
          <w:trHeight w:val="135"/>
        </w:trPr>
        <w:tc>
          <w:tcPr>
            <w:tcW w:w="8480" w:type="dxa"/>
            <w:vAlign w:val="bottom"/>
          </w:tcPr>
          <w:p>
            <w:pPr>
              <w:ind w:left="140"/>
              <w:spacing w:after="0" w:line="135" w:lineRule="exact"/>
              <w:rPr>
                <w:sz w:val="20"/>
                <w:szCs w:val="20"/>
                <w:color w:val="auto"/>
              </w:rPr>
            </w:pPr>
            <w:r>
              <w:rPr>
                <w:rFonts w:ascii="Arial" w:cs="Arial" w:eastAsia="Arial" w:hAnsi="Arial"/>
                <w:sz w:val="14"/>
                <w:szCs w:val="14"/>
                <w:color w:val="auto"/>
              </w:rPr>
              <w:t>Accounts receivable, net of allowance for credit losses of $1.6 million and</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368,145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239,199</w:t>
            </w: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$1.2 million as of January 31, 2022 and January 31, 2021, respectively</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contract acquisition costs, current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126,822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80,850</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79,352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53,617</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2,570,952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2,292,274</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Strategic investments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23,632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260,577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167,014</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36,484</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192,358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117,906</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416,445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97,336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15,677</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long-term assets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25,346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17,112</w:t>
            </w:r>
          </w:p>
        </w:tc>
        <w:tc>
          <w:tcPr>
            <w:tcW w:w="0" w:type="dxa"/>
            <w:vAlign w:val="bottom"/>
          </w:tcPr>
          <w:p>
            <w:pPr>
              <w:spacing w:after="0"/>
              <w:rPr>
                <w:sz w:val="1"/>
                <w:szCs w:val="1"/>
                <w:color w:val="auto"/>
              </w:rPr>
            </w:pPr>
          </w:p>
        </w:tc>
      </w:tr>
      <w:tr>
        <w:trPr>
          <w:trHeight w:val="211"/>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3,618,381</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2,732,533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47,634</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12,065</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83,382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51,117</w:t>
            </w: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Accrued payroll and benefits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104,563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71,907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liabilities, current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8,977</w:t>
            </w:r>
          </w:p>
        </w:tc>
        <w:tc>
          <w:tcPr>
            <w:tcW w:w="0" w:type="dxa"/>
            <w:vAlign w:val="bottom"/>
          </w:tcPr>
          <w:p>
            <w:pPr>
              <w:spacing w:after="0"/>
              <w:rPr>
                <w:sz w:val="1"/>
                <w:szCs w:val="1"/>
                <w:color w:val="auto"/>
              </w:rPr>
            </w:pPr>
          </w:p>
        </w:tc>
      </w:tr>
      <w:tr>
        <w:trPr>
          <w:trHeight w:val="186"/>
        </w:trPr>
        <w:tc>
          <w:tcPr>
            <w:tcW w:w="8480" w:type="dxa"/>
            <w:vAlign w:val="bottom"/>
          </w:tcPr>
          <w:p>
            <w:pPr>
              <w:ind w:left="14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1,136,502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701,988</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24,929</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17,499</w:t>
            </w:r>
          </w:p>
        </w:tc>
        <w:tc>
          <w:tcPr>
            <w:tcW w:w="0" w:type="dxa"/>
            <w:vAlign w:val="bottom"/>
          </w:tcPr>
          <w:p>
            <w:pPr>
              <w:spacing w:after="0"/>
              <w:rPr>
                <w:sz w:val="1"/>
                <w:szCs w:val="1"/>
                <w:color w:val="auto"/>
              </w:rPr>
            </w:pPr>
          </w:p>
        </w:tc>
      </w:tr>
      <w:tr>
        <w:trPr>
          <w:trHeight w:val="179"/>
        </w:trPr>
        <w:tc>
          <w:tcPr>
            <w:tcW w:w="84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1,406,830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863,553</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739,517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738,029</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392,819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209,907</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31,986</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17,184</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2,580,738</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1,860,659</w:t>
            </w:r>
          </w:p>
        </w:tc>
        <w:tc>
          <w:tcPr>
            <w:tcW w:w="0" w:type="dxa"/>
            <w:vAlign w:val="bottom"/>
          </w:tcPr>
          <w:p>
            <w:pPr>
              <w:spacing w:after="0"/>
              <w:rPr>
                <w:sz w:val="1"/>
                <w:szCs w:val="1"/>
                <w:color w:val="auto"/>
              </w:rPr>
            </w:pPr>
          </w:p>
        </w:tc>
      </w:tr>
      <w:tr>
        <w:trPr>
          <w:trHeight w:val="166"/>
        </w:trPr>
        <w:tc>
          <w:tcPr>
            <w:tcW w:w="848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80" w:type="dxa"/>
            <w:vAlign w:val="bottom"/>
          </w:tcPr>
          <w:p>
            <w:pPr>
              <w:ind w:left="20"/>
              <w:spacing w:after="0" w:line="135" w:lineRule="exact"/>
              <w:rPr>
                <w:sz w:val="20"/>
                <w:szCs w:val="20"/>
                <w:color w:val="auto"/>
              </w:rPr>
            </w:pPr>
            <w:r>
              <w:rPr>
                <w:rFonts w:ascii="Arial" w:cs="Arial" w:eastAsia="Arial" w:hAnsi="Arial"/>
                <w:sz w:val="14"/>
                <w:szCs w:val="14"/>
                <w:color w:val="auto"/>
                <w:w w:val="91"/>
              </w:rPr>
              <w:t>Preferred stock, $0.0005 par value; 100,000 shares authorized as of January 31, 2022 and January 31, 2021; no shares issued and outstanding as of</w:t>
            </w:r>
          </w:p>
        </w:tc>
        <w:tc>
          <w:tcPr>
            <w:tcW w:w="3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January 31, 2022 and January 31, 2021</w:t>
            </w:r>
          </w:p>
        </w:tc>
        <w:tc>
          <w:tcPr>
            <w:tcW w:w="3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Class A common stock, $0.0005 par value; 2,000,000 shares authorized as of January 31, 2022 and January 31, 2021; 209,996 shares, and</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4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195,039 shares issued and outstanding as of January 31, 2022 and January 31, 2021, respectively; Class B common stock, $0.0005 par value;</w:t>
            </w: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0"/>
              </w:rPr>
              <w:t>300,000 shares authorized as of January 31, 2022 and January 31, 2021; 20,710 shares, and 28,685 shares issued and outstanding as of January 31,</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and January 31, 2021, respectively</w:t>
            </w: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1,991,807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1,598,259</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(964,918)</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(730,116)</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 income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w:t>
            </w:r>
          </w:p>
        </w:tc>
        <w:tc>
          <w:tcPr>
            <w:tcW w:w="0" w:type="dxa"/>
            <w:vAlign w:val="bottom"/>
          </w:tcPr>
          <w:p>
            <w:pPr>
              <w:spacing w:after="0"/>
              <w:rPr>
                <w:sz w:val="1"/>
                <w:szCs w:val="1"/>
                <w:color w:val="auto"/>
              </w:rPr>
            </w:pPr>
          </w:p>
        </w:tc>
      </w:tr>
      <w:tr>
        <w:trPr>
          <w:trHeight w:val="186"/>
        </w:trPr>
        <w:tc>
          <w:tcPr>
            <w:tcW w:w="8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CrowdStrike Holdings, Inc. stockholders’ equity</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1,025,764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870,574</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1,037,643</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871,874</w:t>
            </w:r>
          </w:p>
        </w:tc>
        <w:tc>
          <w:tcPr>
            <w:tcW w:w="0" w:type="dxa"/>
            <w:vAlign w:val="bottom"/>
          </w:tcPr>
          <w:p>
            <w:pPr>
              <w:spacing w:after="0"/>
              <w:rPr>
                <w:sz w:val="1"/>
                <w:szCs w:val="1"/>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3,618,381</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2,732,533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January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Subscription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1,359,537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804,670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436,323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481,413</w:t>
            </w:r>
          </w:p>
        </w:tc>
        <w:tc>
          <w:tcPr>
            <w:tcW w:w="0" w:type="dxa"/>
            <w:vAlign w:val="bottom"/>
          </w:tcPr>
          <w:p>
            <w:pPr>
              <w:spacing w:after="0"/>
              <w:rPr>
                <w:sz w:val="1"/>
                <w:szCs w:val="1"/>
                <w:color w:val="auto"/>
              </w:rPr>
            </w:pPr>
          </w:p>
        </w:tc>
      </w:tr>
      <w:tr>
        <w:trPr>
          <w:trHeight w:val="250"/>
        </w:trPr>
        <w:tc>
          <w:tcPr>
            <w:tcW w:w="7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112,474</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Professional services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141,627</w:t>
            </w: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339,786</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266,595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1,210,921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485,851</w:t>
            </w: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(146,065)</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(139,782)</w:t>
            </w: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CrowdStrike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CrowdStrike common stockholders,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Weighted-average shares used in computing net loss per share attributable to CrowdStrike</w:t>
            </w: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227,142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217,756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148,062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stockholders, basic and diluted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January 31,</w:t>
            </w:r>
          </w:p>
        </w:tc>
        <w:tc>
          <w:tcPr>
            <w:tcW w:w="110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Reversal of unrealized gain upon sale of debt securities, net of tax</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securities, net of tax</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w:t>
            </w:r>
          </w:p>
        </w:tc>
      </w:tr>
      <w:tr>
        <w:trPr>
          <w:trHeight w:val="22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Total comprehensive loss attributable to CrowdStrike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(238,361)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(91,319)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(140,868)</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CrowdStrike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Redeemable Convertible Preferred Stock and Stockholders’ Equity (Deficit)</w:t>
      </w:r>
    </w:p>
    <w:p>
      <w:pPr>
        <w:jc w:val="center"/>
        <w:spacing w:after="0"/>
        <w:rPr>
          <w:sz w:val="20"/>
          <w:szCs w:val="20"/>
          <w:color w:val="auto"/>
        </w:rPr>
      </w:pPr>
      <w:r>
        <w:rPr>
          <w:rFonts w:ascii="Arial" w:cs="Arial" w:eastAsia="Arial" w:hAnsi="Arial"/>
          <w:sz w:val="13"/>
          <w:szCs w:val="13"/>
          <w:i w:val="1"/>
          <w:i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860" w:type="dxa"/>
            <w:vAlign w:val="bottom"/>
            <w:gridSpan w:val="6"/>
          </w:tcPr>
          <w:p>
            <w:pPr>
              <w:jc w:val="center"/>
              <w:ind w:right="140"/>
              <w:spacing w:after="0"/>
              <w:rPr>
                <w:sz w:val="20"/>
                <w:szCs w:val="20"/>
                <w:color w:val="auto"/>
              </w:rPr>
            </w:pPr>
            <w:r>
              <w:rPr>
                <w:rFonts w:ascii="Arial" w:cs="Arial" w:eastAsia="Arial" w:hAnsi="Arial"/>
                <w:sz w:val="11"/>
                <w:szCs w:val="11"/>
                <w:b w:val="1"/>
                <w:bCs w:val="1"/>
                <w:color w:val="auto"/>
                <w:w w:val="86"/>
              </w:rPr>
              <w:t>Redeemable</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860" w:type="dxa"/>
            <w:vAlign w:val="bottom"/>
            <w:gridSpan w:val="6"/>
            <w:vMerge w:val="restart"/>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Convertible</w:t>
            </w: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1860" w:type="dxa"/>
            <w:vAlign w:val="bottom"/>
            <w:gridSpan w:val="6"/>
            <w:vMerge w:val="continue"/>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restart"/>
          </w:tcPr>
          <w:p>
            <w:pPr>
              <w:jc w:val="center"/>
              <w:ind w:right="200"/>
              <w:spacing w:after="0" w:line="108"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Other</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vMerge w:val="restart"/>
          </w:tcPr>
          <w:p>
            <w:pPr>
              <w:jc w:val="center"/>
              <w:ind w:right="26"/>
              <w:spacing w:after="0" w:line="108"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860" w:type="dxa"/>
            <w:vAlign w:val="bottom"/>
            <w:gridSpan w:val="6"/>
            <w:vMerge w:val="restart"/>
          </w:tcPr>
          <w:p>
            <w:pPr>
              <w:jc w:val="center"/>
              <w:ind w:right="140"/>
              <w:spacing w:after="0"/>
              <w:rPr>
                <w:sz w:val="20"/>
                <w:szCs w:val="20"/>
                <w:color w:val="auto"/>
              </w:rPr>
            </w:pPr>
            <w:r>
              <w:rPr>
                <w:rFonts w:ascii="Arial" w:cs="Arial" w:eastAsia="Arial" w:hAnsi="Arial"/>
                <w:sz w:val="11"/>
                <w:szCs w:val="11"/>
                <w:b w:val="1"/>
                <w:bCs w:val="1"/>
                <w:color w:val="auto"/>
                <w:w w:val="87"/>
              </w:rPr>
              <w:t>Preferred Stock</w:t>
            </w:r>
          </w:p>
        </w:tc>
        <w:tc>
          <w:tcPr>
            <w:tcW w:w="1500" w:type="dxa"/>
            <w:vAlign w:val="bottom"/>
            <w:gridSpan w:val="3"/>
            <w:vMerge w:val="restart"/>
          </w:tcPr>
          <w:p>
            <w:pPr>
              <w:jc w:val="right"/>
              <w:ind w:right="23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3000" w:type="dxa"/>
            <w:vAlign w:val="bottom"/>
          </w:tcPr>
          <w:p>
            <w:pPr>
              <w:spacing w:after="0"/>
              <w:rPr>
                <w:sz w:val="6"/>
                <w:szCs w:val="6"/>
                <w:color w:val="auto"/>
              </w:rPr>
            </w:pPr>
          </w:p>
        </w:tc>
        <w:tc>
          <w:tcPr>
            <w:tcW w:w="1860" w:type="dxa"/>
            <w:vAlign w:val="bottom"/>
            <w:gridSpan w:val="6"/>
            <w:vMerge w:val="continue"/>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center"/>
              <w:ind w:right="200"/>
              <w:spacing w:after="0" w:line="88"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6"/>
                <w:szCs w:val="6"/>
                <w:color w:val="auto"/>
              </w:rPr>
            </w:pPr>
          </w:p>
        </w:tc>
        <w:tc>
          <w:tcPr>
            <w:tcW w:w="820" w:type="dxa"/>
            <w:vAlign w:val="bottom"/>
            <w:gridSpan w:val="2"/>
            <w:vMerge w:val="restart"/>
          </w:tcPr>
          <w:p>
            <w:pPr>
              <w:jc w:val="center"/>
              <w:ind w:right="160"/>
              <w:spacing w:after="0" w:line="88" w:lineRule="exact"/>
              <w:rPr>
                <w:sz w:val="20"/>
                <w:szCs w:val="20"/>
                <w:color w:val="auto"/>
              </w:rPr>
            </w:pPr>
            <w:r>
              <w:rPr>
                <w:rFonts w:ascii="Arial" w:cs="Arial" w:eastAsia="Arial" w:hAnsi="Arial"/>
                <w:sz w:val="10"/>
                <w:szCs w:val="10"/>
                <w:b w:val="1"/>
                <w:bCs w:val="1"/>
                <w:color w:val="auto"/>
                <w:w w:val="98"/>
              </w:rPr>
              <w:t>Accumulated</w:t>
            </w:r>
          </w:p>
        </w:tc>
        <w:tc>
          <w:tcPr>
            <w:tcW w:w="80" w:type="dxa"/>
            <w:vAlign w:val="bottom"/>
          </w:tcPr>
          <w:p>
            <w:pPr>
              <w:spacing w:after="0"/>
              <w:rPr>
                <w:sz w:val="6"/>
                <w:szCs w:val="6"/>
                <w:color w:val="auto"/>
              </w:rPr>
            </w:pPr>
          </w:p>
        </w:tc>
        <w:tc>
          <w:tcPr>
            <w:tcW w:w="860" w:type="dxa"/>
            <w:vAlign w:val="bottom"/>
            <w:gridSpan w:val="2"/>
            <w:vMerge w:val="restart"/>
          </w:tcPr>
          <w:p>
            <w:pPr>
              <w:jc w:val="center"/>
              <w:ind w:right="14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900" w:type="dxa"/>
            <w:vAlign w:val="bottom"/>
            <w:gridSpan w:val="3"/>
            <w:vMerge w:val="restart"/>
          </w:tcPr>
          <w:p>
            <w:pPr>
              <w:jc w:val="center"/>
              <w:ind w:right="60"/>
              <w:spacing w:after="0" w:line="88" w:lineRule="exact"/>
              <w:rPr>
                <w:sz w:val="20"/>
                <w:szCs w:val="20"/>
                <w:color w:val="auto"/>
              </w:rPr>
            </w:pPr>
            <w:r>
              <w:rPr>
                <w:rFonts w:ascii="Arial" w:cs="Arial" w:eastAsia="Arial" w:hAnsi="Arial"/>
                <w:sz w:val="10"/>
                <w:szCs w:val="10"/>
                <w:b w:val="1"/>
                <w:bCs w:val="1"/>
                <w:color w:val="auto"/>
                <w:w w:val="96"/>
              </w:rPr>
              <w:t>Non-controlling</w:t>
            </w:r>
          </w:p>
        </w:tc>
        <w:tc>
          <w:tcPr>
            <w:tcW w:w="100" w:type="dxa"/>
            <w:vAlign w:val="bottom"/>
          </w:tcPr>
          <w:p>
            <w:pPr>
              <w:spacing w:after="0"/>
              <w:rPr>
                <w:sz w:val="6"/>
                <w:szCs w:val="6"/>
                <w:color w:val="auto"/>
              </w:rPr>
            </w:pPr>
          </w:p>
        </w:tc>
        <w:tc>
          <w:tcPr>
            <w:tcW w:w="840" w:type="dxa"/>
            <w:vAlign w:val="bottom"/>
            <w:vMerge w:val="restart"/>
          </w:tcPr>
          <w:p>
            <w:pPr>
              <w:jc w:val="center"/>
              <w:ind w:right="26"/>
              <w:spacing w:after="0" w:line="88"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90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60" w:type="dxa"/>
            <w:vAlign w:val="bottom"/>
            <w:tcBorders>
              <w:right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92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1"/>
                <w:szCs w:val="11"/>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Deficit</w:t>
            </w:r>
          </w:p>
        </w:tc>
        <w:tc>
          <w:tcPr>
            <w:tcW w:w="8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60" w:type="dxa"/>
            <w:vAlign w:val="bottom"/>
          </w:tcPr>
          <w:p>
            <w:pPr>
              <w:spacing w:after="0"/>
              <w:rPr>
                <w:sz w:val="11"/>
                <w:szCs w:val="11"/>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Interest</w:t>
            </w:r>
          </w:p>
        </w:tc>
        <w:tc>
          <w:tcPr>
            <w:tcW w:w="100" w:type="dxa"/>
            <w:vAlign w:val="bottom"/>
          </w:tcPr>
          <w:p>
            <w:pPr>
              <w:spacing w:after="0"/>
              <w:rPr>
                <w:sz w:val="11"/>
                <w:szCs w:val="11"/>
                <w:color w:val="auto"/>
              </w:rPr>
            </w:pPr>
          </w:p>
        </w:tc>
        <w:tc>
          <w:tcPr>
            <w:tcW w:w="840" w:type="dxa"/>
            <w:vAlign w:val="bottom"/>
          </w:tcPr>
          <w:p>
            <w:pPr>
              <w:jc w:val="center"/>
              <w:ind w:right="26"/>
              <w:spacing w:after="0"/>
              <w:rPr>
                <w:sz w:val="20"/>
                <w:szCs w:val="20"/>
                <w:color w:val="auto"/>
              </w:rPr>
            </w:pPr>
            <w:r>
              <w:rPr>
                <w:rFonts w:ascii="Arial" w:cs="Arial" w:eastAsia="Arial" w:hAnsi="Arial"/>
                <w:sz w:val="11"/>
                <w:szCs w:val="11"/>
                <w:b w:val="1"/>
                <w:bCs w:val="1"/>
                <w:color w:val="auto"/>
                <w:w w:val="92"/>
              </w:rPr>
              <w:t>Equity (Deficit)</w:t>
            </w:r>
          </w:p>
        </w:tc>
        <w:tc>
          <w:tcPr>
            <w:tcW w:w="0" w:type="dxa"/>
            <w:vAlign w:val="bottom"/>
          </w:tcPr>
          <w:p>
            <w:pPr>
              <w:spacing w:after="0"/>
              <w:rPr>
                <w:sz w:val="1"/>
                <w:szCs w:val="1"/>
                <w:color w:val="auto"/>
              </w:rPr>
            </w:pP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300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Balances at January 31, 2019</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131,268</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557,912</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47,421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24</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31,211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(519,126)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98</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(487,793)</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Cumulative effect of accounting change- ASC 606</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23,418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23,418</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00" w:type="dxa"/>
            <w:vAlign w:val="bottom"/>
            <w:shd w:val="clear" w:color="auto" w:fill="CCEEFF"/>
          </w:tcPr>
          <w:p>
            <w:pPr>
              <w:ind w:left="300"/>
              <w:spacing w:after="0" w:line="112" w:lineRule="exact"/>
              <w:rPr>
                <w:sz w:val="20"/>
                <w:szCs w:val="20"/>
                <w:color w:val="auto"/>
              </w:rPr>
            </w:pPr>
            <w:r>
              <w:rPr>
                <w:rFonts w:ascii="Arial" w:cs="Arial" w:eastAsia="Arial" w:hAnsi="Arial"/>
                <w:sz w:val="11"/>
                <w:szCs w:val="11"/>
                <w:color w:val="auto"/>
                <w:w w:val="92"/>
              </w:rPr>
              <w:t>Issuance of common stock upon initial public offering, net of</w:t>
            </w:r>
          </w:p>
        </w:tc>
        <w:tc>
          <w:tcPr>
            <w:tcW w:w="9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tcBorders>
              <w:right w:val="single" w:sz="8" w:color="auto"/>
            </w:tcBorders>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20,700</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659,207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659,218</w:t>
            </w:r>
          </w:p>
        </w:tc>
        <w:tc>
          <w:tcPr>
            <w:tcW w:w="0" w:type="dxa"/>
            <w:vAlign w:val="bottom"/>
          </w:tcPr>
          <w:p>
            <w:pPr>
              <w:spacing w:after="0"/>
              <w:rPr>
                <w:sz w:val="1"/>
                <w:szCs w:val="1"/>
                <w:color w:val="auto"/>
              </w:rPr>
            </w:pPr>
          </w:p>
        </w:tc>
      </w:tr>
      <w:tr>
        <w:trPr>
          <w:trHeight w:val="138"/>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underwriting discounts and issuance costs</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00" w:type="dxa"/>
            <w:vAlign w:val="bottom"/>
          </w:tcPr>
          <w:p>
            <w:pPr>
              <w:ind w:left="300"/>
              <w:spacing w:after="0" w:line="112" w:lineRule="exact"/>
              <w:rPr>
                <w:sz w:val="20"/>
                <w:szCs w:val="20"/>
                <w:color w:val="auto"/>
              </w:rPr>
            </w:pPr>
            <w:r>
              <w:rPr>
                <w:rFonts w:ascii="Arial" w:cs="Arial" w:eastAsia="Arial" w:hAnsi="Arial"/>
                <w:sz w:val="11"/>
                <w:szCs w:val="11"/>
                <w:color w:val="auto"/>
                <w:w w:val="97"/>
              </w:rPr>
              <w:t>Conversion of redeemable convertible preferred stock to</w:t>
            </w:r>
          </w:p>
        </w:tc>
        <w:tc>
          <w:tcPr>
            <w:tcW w:w="820" w:type="dxa"/>
            <w:vAlign w:val="bottom"/>
          </w:tcPr>
          <w:p>
            <w:pPr>
              <w:jc w:val="right"/>
              <w:spacing w:after="0" w:line="112" w:lineRule="exact"/>
              <w:rPr>
                <w:sz w:val="20"/>
                <w:szCs w:val="20"/>
                <w:color w:val="auto"/>
              </w:rPr>
            </w:pPr>
            <w:r>
              <w:rPr>
                <w:rFonts w:ascii="Arial" w:cs="Arial" w:eastAsia="Arial" w:hAnsi="Arial"/>
                <w:sz w:val="11"/>
                <w:szCs w:val="11"/>
                <w:color w:val="auto"/>
              </w:rPr>
              <w:t>(131,268)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(557,912)</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right"/>
              <w:ind w:right="6"/>
              <w:spacing w:after="0" w:line="112" w:lineRule="exact"/>
              <w:rPr>
                <w:sz w:val="20"/>
                <w:szCs w:val="20"/>
                <w:color w:val="auto"/>
              </w:rPr>
            </w:pPr>
            <w:r>
              <w:rPr>
                <w:rFonts w:ascii="Arial" w:cs="Arial" w:eastAsia="Arial" w:hAnsi="Arial"/>
                <w:sz w:val="11"/>
                <w:szCs w:val="11"/>
                <w:color w:val="auto"/>
              </w:rPr>
              <w:t>131,268</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jc w:val="right"/>
              <w:ind w:right="6"/>
              <w:spacing w:after="0" w:line="112" w:lineRule="exact"/>
              <w:rPr>
                <w:sz w:val="20"/>
                <w:szCs w:val="20"/>
                <w:color w:val="auto"/>
              </w:rPr>
            </w:pPr>
            <w:r>
              <w:rPr>
                <w:rFonts w:ascii="Arial" w:cs="Arial" w:eastAsia="Arial" w:hAnsi="Arial"/>
                <w:sz w:val="11"/>
                <w:szCs w:val="11"/>
                <w:color w:val="auto"/>
              </w:rPr>
              <w:t>66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6"/>
              <w:spacing w:after="0" w:line="112" w:lineRule="exact"/>
              <w:rPr>
                <w:sz w:val="20"/>
                <w:szCs w:val="20"/>
                <w:color w:val="auto"/>
              </w:rPr>
            </w:pPr>
            <w:r>
              <w:rPr>
                <w:rFonts w:ascii="Arial" w:cs="Arial" w:eastAsia="Arial" w:hAnsi="Arial"/>
                <w:sz w:val="11"/>
                <w:szCs w:val="11"/>
                <w:color w:val="auto"/>
              </w:rPr>
              <w:t>557,846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tcPr>
          <w:p>
            <w:pPr>
              <w:jc w:val="right"/>
              <w:ind w:right="6"/>
              <w:spacing w:after="0" w:line="112" w:lineRule="exact"/>
              <w:rPr>
                <w:sz w:val="20"/>
                <w:szCs w:val="20"/>
                <w:color w:val="auto"/>
              </w:rPr>
            </w:pPr>
            <w:r>
              <w:rPr>
                <w:rFonts w:ascii="Arial" w:cs="Arial" w:eastAsia="Arial" w:hAnsi="Arial"/>
                <w:sz w:val="11"/>
                <w:szCs w:val="11"/>
                <w:color w:val="auto"/>
              </w:rPr>
              <w:t>557,912</w:t>
            </w:r>
          </w:p>
        </w:tc>
        <w:tc>
          <w:tcPr>
            <w:tcW w:w="0" w:type="dxa"/>
            <w:vAlign w:val="bottom"/>
          </w:tcPr>
          <w:p>
            <w:pPr>
              <w:spacing w:after="0"/>
              <w:rPr>
                <w:sz w:val="1"/>
                <w:szCs w:val="1"/>
                <w:color w:val="auto"/>
              </w:rPr>
            </w:pPr>
          </w:p>
        </w:tc>
      </w:tr>
      <w:tr>
        <w:trPr>
          <w:trHeight w:val="136"/>
        </w:trPr>
        <w:tc>
          <w:tcPr>
            <w:tcW w:w="3000" w:type="dxa"/>
            <w:vAlign w:val="bottom"/>
          </w:tcPr>
          <w:p>
            <w:pPr>
              <w:ind w:left="300"/>
              <w:spacing w:after="0"/>
              <w:rPr>
                <w:sz w:val="20"/>
                <w:szCs w:val="20"/>
                <w:color w:val="auto"/>
              </w:rPr>
            </w:pPr>
            <w:r>
              <w:rPr>
                <w:rFonts w:ascii="Arial" w:cs="Arial" w:eastAsia="Arial" w:hAnsi="Arial"/>
                <w:sz w:val="11"/>
                <w:szCs w:val="11"/>
                <w:color w:val="auto"/>
              </w:rPr>
              <w:t>common stock upon initial public offering</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00" w:type="dxa"/>
            <w:vAlign w:val="bottom"/>
            <w:shd w:val="clear" w:color="auto" w:fill="CCEEFF"/>
          </w:tcPr>
          <w:p>
            <w:pPr>
              <w:ind w:left="300"/>
              <w:spacing w:after="0" w:line="112" w:lineRule="exact"/>
              <w:rPr>
                <w:sz w:val="20"/>
                <w:szCs w:val="20"/>
                <w:color w:val="auto"/>
              </w:rPr>
            </w:pPr>
            <w:r>
              <w:rPr>
                <w:rFonts w:ascii="Arial" w:cs="Arial" w:eastAsia="Arial" w:hAnsi="Arial"/>
                <w:sz w:val="11"/>
                <w:szCs w:val="11"/>
                <w:color w:val="auto"/>
                <w:w w:val="94"/>
              </w:rPr>
              <w:t>Reclassification of redeemable convertible preferred stock</w:t>
            </w:r>
          </w:p>
        </w:tc>
        <w:tc>
          <w:tcPr>
            <w:tcW w:w="9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tcBorders>
              <w:right w:val="single" w:sz="8" w:color="auto"/>
            </w:tcBorders>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10,559</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10,559</w:t>
            </w:r>
          </w:p>
        </w:tc>
        <w:tc>
          <w:tcPr>
            <w:tcW w:w="0" w:type="dxa"/>
            <w:vAlign w:val="bottom"/>
          </w:tcPr>
          <w:p>
            <w:pPr>
              <w:spacing w:after="0"/>
              <w:rPr>
                <w:sz w:val="1"/>
                <w:szCs w:val="1"/>
                <w:color w:val="auto"/>
              </w:rPr>
            </w:pPr>
          </w:p>
        </w:tc>
      </w:tr>
      <w:tr>
        <w:trPr>
          <w:trHeight w:val="108"/>
        </w:trPr>
        <w:tc>
          <w:tcPr>
            <w:tcW w:w="3000" w:type="dxa"/>
            <w:vAlign w:val="bottom"/>
            <w:shd w:val="clear" w:color="auto" w:fill="CCEEFF"/>
          </w:tcPr>
          <w:p>
            <w:pPr>
              <w:ind w:left="300"/>
              <w:spacing w:after="0" w:line="108" w:lineRule="exact"/>
              <w:rPr>
                <w:sz w:val="20"/>
                <w:szCs w:val="20"/>
                <w:color w:val="auto"/>
              </w:rPr>
            </w:pPr>
            <w:r>
              <w:rPr>
                <w:rFonts w:ascii="Arial" w:cs="Arial" w:eastAsia="Arial" w:hAnsi="Arial"/>
                <w:sz w:val="11"/>
                <w:szCs w:val="11"/>
                <w:color w:val="auto"/>
              </w:rPr>
              <w:t>warrant liability to additional paid-in capital upon initial</w:t>
            </w: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public offering</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Net exercise of common stock warrants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322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Issuance of common stock upon exercise of options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10,645</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21,507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21,512</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Issuance of common stock under RSU release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1,127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00" w:type="dxa"/>
            <w:vAlign w:val="bottom"/>
            <w:shd w:val="clear" w:color="auto" w:fill="CCEEFF"/>
          </w:tcPr>
          <w:p>
            <w:pPr>
              <w:ind w:left="300"/>
              <w:spacing w:after="0" w:line="112" w:lineRule="exact"/>
              <w:rPr>
                <w:sz w:val="20"/>
                <w:szCs w:val="20"/>
                <w:color w:val="auto"/>
              </w:rPr>
            </w:pPr>
            <w:r>
              <w:rPr>
                <w:rFonts w:ascii="Arial" w:cs="Arial" w:eastAsia="Arial" w:hAnsi="Arial"/>
                <w:sz w:val="11"/>
                <w:szCs w:val="11"/>
                <w:color w:val="auto"/>
                <w:w w:val="92"/>
              </w:rPr>
              <w:t>Issuance of common stock under employee stock purchase</w:t>
            </w:r>
          </w:p>
        </w:tc>
        <w:tc>
          <w:tcPr>
            <w:tcW w:w="9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tcBorders>
              <w:right w:val="single" w:sz="8" w:color="auto"/>
            </w:tcBorders>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428</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12,365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12,365</w:t>
            </w:r>
          </w:p>
        </w:tc>
        <w:tc>
          <w:tcPr>
            <w:tcW w:w="0" w:type="dxa"/>
            <w:vAlign w:val="bottom"/>
          </w:tcPr>
          <w:p>
            <w:pPr>
              <w:spacing w:after="0"/>
              <w:rPr>
                <w:sz w:val="1"/>
                <w:szCs w:val="1"/>
                <w:color w:val="auto"/>
              </w:rPr>
            </w:pPr>
          </w:p>
        </w:tc>
      </w:tr>
      <w:tr>
        <w:trPr>
          <w:trHeight w:val="138"/>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plan</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w w:val="90"/>
              </w:rPr>
              <w:t>Issuance of common stock related to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1,037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Vesting of early exercised options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2,704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2,704</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Stock-based compensation expense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79,940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79,940</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Capitalized 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857</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w w:val="95"/>
              </w:rPr>
              <w:t>Settlement related to stockholders short-swing trade profit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2,283</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Net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(141,779)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(141,779)</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Non-controlling interest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w w:val="89"/>
              </w:rPr>
              <w:t>Unrealized net gain on available-for-sale-securities, net of tax</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1,321</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1,321</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Foreign currency translation adjustments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(410)</w:t>
            </w:r>
          </w:p>
        </w:tc>
        <w:tc>
          <w:tcPr>
            <w:tcW w:w="0" w:type="dxa"/>
            <w:vAlign w:val="bottom"/>
          </w:tcPr>
          <w:p>
            <w:pPr>
              <w:spacing w:after="0"/>
              <w:rPr>
                <w:sz w:val="1"/>
                <w:szCs w:val="1"/>
                <w:color w:val="auto"/>
              </w:rPr>
            </w:pP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Balances at January 31, 2020</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212,948</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76"/>
              </w:rPr>
              <w:t>106</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1,378,479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(637,487)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1,009</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500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742,607</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Issuance of common stock upon exercise of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7,752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28,825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28,831</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Issuance of common stock under RSU release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1,994</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3000" w:type="dxa"/>
            <w:vAlign w:val="bottom"/>
          </w:tcPr>
          <w:p>
            <w:pPr>
              <w:ind w:left="300"/>
              <w:spacing w:after="0" w:line="112" w:lineRule="exact"/>
              <w:rPr>
                <w:sz w:val="20"/>
                <w:szCs w:val="20"/>
                <w:color w:val="auto"/>
              </w:rPr>
            </w:pPr>
            <w:r>
              <w:rPr>
                <w:rFonts w:ascii="Arial" w:cs="Arial" w:eastAsia="Arial" w:hAnsi="Arial"/>
                <w:sz w:val="11"/>
                <w:szCs w:val="11"/>
                <w:color w:val="auto"/>
                <w:w w:val="92"/>
              </w:rPr>
              <w:t>Issuance of common stock under employee stock purchase</w:t>
            </w:r>
          </w:p>
        </w:tc>
        <w:tc>
          <w:tcPr>
            <w:tcW w:w="90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tcBorders>
              <w:right w:val="single" w:sz="8" w:color="auto"/>
            </w:tcBorders>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840" w:type="dxa"/>
            <w:vAlign w:val="bottom"/>
          </w:tcPr>
          <w:p>
            <w:pPr>
              <w:jc w:val="right"/>
              <w:ind w:right="6"/>
              <w:spacing w:after="0" w:line="112" w:lineRule="exact"/>
              <w:rPr>
                <w:sz w:val="20"/>
                <w:szCs w:val="20"/>
                <w:color w:val="auto"/>
              </w:rPr>
            </w:pPr>
            <w:r>
              <w:rPr>
                <w:rFonts w:ascii="Arial" w:cs="Arial" w:eastAsia="Arial" w:hAnsi="Arial"/>
                <w:sz w:val="11"/>
                <w:szCs w:val="11"/>
                <w:color w:val="auto"/>
              </w:rPr>
              <w:t>1,030</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00" w:type="dxa"/>
            <w:vAlign w:val="bottom"/>
          </w:tcPr>
          <w:p>
            <w:pPr>
              <w:jc w:val="right"/>
              <w:ind w:right="6"/>
              <w:spacing w:after="0" w:line="112" w:lineRule="exact"/>
              <w:rPr>
                <w:sz w:val="20"/>
                <w:szCs w:val="20"/>
                <w:color w:val="auto"/>
              </w:rPr>
            </w:pPr>
            <w:r>
              <w:rPr>
                <w:rFonts w:ascii="Arial" w:cs="Arial" w:eastAsia="Arial" w:hAnsi="Arial"/>
                <w:sz w:val="11"/>
                <w:szCs w:val="11"/>
                <w:color w:val="auto"/>
              </w:rPr>
              <w:t>34,263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tcPr>
          <w:p>
            <w:pPr>
              <w:jc w:val="right"/>
              <w:ind w:right="6"/>
              <w:spacing w:after="0" w:line="112" w:lineRule="exact"/>
              <w:rPr>
                <w:sz w:val="20"/>
                <w:szCs w:val="20"/>
                <w:color w:val="auto"/>
              </w:rPr>
            </w:pPr>
            <w:r>
              <w:rPr>
                <w:rFonts w:ascii="Arial" w:cs="Arial" w:eastAsia="Arial" w:hAnsi="Arial"/>
                <w:sz w:val="11"/>
                <w:szCs w:val="11"/>
                <w:color w:val="auto"/>
              </w:rPr>
              <w:t>34,263</w:t>
            </w:r>
          </w:p>
        </w:tc>
        <w:tc>
          <w:tcPr>
            <w:tcW w:w="0" w:type="dxa"/>
            <w:vAlign w:val="bottom"/>
          </w:tcPr>
          <w:p>
            <w:pPr>
              <w:spacing w:after="0"/>
              <w:rPr>
                <w:sz w:val="1"/>
                <w:szCs w:val="1"/>
                <w:color w:val="auto"/>
              </w:rPr>
            </w:pPr>
          </w:p>
        </w:tc>
      </w:tr>
      <w:tr>
        <w:trPr>
          <w:trHeight w:val="136"/>
        </w:trPr>
        <w:tc>
          <w:tcPr>
            <w:tcW w:w="3000" w:type="dxa"/>
            <w:vAlign w:val="bottom"/>
          </w:tcPr>
          <w:p>
            <w:pPr>
              <w:ind w:left="300"/>
              <w:spacing w:after="0"/>
              <w:rPr>
                <w:sz w:val="20"/>
                <w:szCs w:val="20"/>
                <w:color w:val="auto"/>
              </w:rPr>
            </w:pPr>
            <w:r>
              <w:rPr>
                <w:rFonts w:ascii="Arial" w:cs="Arial" w:eastAsia="Arial" w:hAnsi="Arial"/>
                <w:sz w:val="11"/>
                <w:szCs w:val="11"/>
                <w:color w:val="auto"/>
              </w:rPr>
              <w:t>plan</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Vesting of early exercised options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3,318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3,318</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Stock-based compensation expense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149,375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149,375</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Capitalized stock-based compensation</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3,686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3,686</w:t>
            </w:r>
          </w:p>
        </w:tc>
        <w:tc>
          <w:tcPr>
            <w:tcW w:w="0" w:type="dxa"/>
            <w:vAlign w:val="bottom"/>
          </w:tcPr>
          <w:p>
            <w:pPr>
              <w:spacing w:after="0"/>
              <w:rPr>
                <w:sz w:val="1"/>
                <w:szCs w:val="1"/>
                <w:color w:val="auto"/>
              </w:rPr>
            </w:pPr>
          </w:p>
        </w:tc>
      </w:tr>
      <w:tr>
        <w:trPr>
          <w:trHeight w:val="112"/>
        </w:trPr>
        <w:tc>
          <w:tcPr>
            <w:tcW w:w="3000" w:type="dxa"/>
            <w:vAlign w:val="bottom"/>
          </w:tcPr>
          <w:p>
            <w:pPr>
              <w:ind w:left="300"/>
              <w:spacing w:after="0" w:line="112" w:lineRule="exact"/>
              <w:rPr>
                <w:sz w:val="20"/>
                <w:szCs w:val="20"/>
                <w:color w:val="auto"/>
              </w:rPr>
            </w:pPr>
            <w:r>
              <w:rPr>
                <w:rFonts w:ascii="Arial" w:cs="Arial" w:eastAsia="Arial" w:hAnsi="Arial"/>
                <w:sz w:val="11"/>
                <w:szCs w:val="11"/>
                <w:color w:val="auto"/>
                <w:w w:val="93"/>
              </w:rPr>
              <w:t>Fair value of replacement equity awards attributable to pre-</w:t>
            </w:r>
          </w:p>
        </w:tc>
        <w:tc>
          <w:tcPr>
            <w:tcW w:w="90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tcBorders>
              <w:right w:val="single" w:sz="8" w:color="auto"/>
            </w:tcBorders>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92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580" w:type="dxa"/>
            <w:vAlign w:val="bottom"/>
          </w:tcPr>
          <w:p>
            <w:pPr>
              <w:spacing w:after="0"/>
              <w:rPr>
                <w:sz w:val="9"/>
                <w:szCs w:val="9"/>
                <w:color w:val="auto"/>
              </w:rPr>
            </w:pPr>
          </w:p>
        </w:tc>
        <w:tc>
          <w:tcPr>
            <w:tcW w:w="30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700" w:type="dxa"/>
            <w:vAlign w:val="bottom"/>
          </w:tcPr>
          <w:p>
            <w:pPr>
              <w:jc w:val="right"/>
              <w:ind w:right="6"/>
              <w:spacing w:after="0" w:line="112" w:lineRule="exact"/>
              <w:rPr>
                <w:sz w:val="20"/>
                <w:szCs w:val="20"/>
                <w:color w:val="auto"/>
              </w:rPr>
            </w:pPr>
            <w:r>
              <w:rPr>
                <w:rFonts w:ascii="Arial" w:cs="Arial" w:eastAsia="Arial" w:hAnsi="Arial"/>
                <w:sz w:val="11"/>
                <w:szCs w:val="11"/>
                <w:color w:val="auto"/>
              </w:rPr>
              <w:t>313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60" w:type="dxa"/>
            <w:vAlign w:val="bottom"/>
            <w:gridSpan w:val="2"/>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74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840" w:type="dxa"/>
            <w:vAlign w:val="bottom"/>
          </w:tcPr>
          <w:p>
            <w:pPr>
              <w:jc w:val="right"/>
              <w:ind w:right="6"/>
              <w:spacing w:after="0" w:line="112" w:lineRule="exact"/>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36"/>
        </w:trPr>
        <w:tc>
          <w:tcPr>
            <w:tcW w:w="3000" w:type="dxa"/>
            <w:vAlign w:val="bottom"/>
          </w:tcPr>
          <w:p>
            <w:pPr>
              <w:ind w:left="300"/>
              <w:spacing w:after="0"/>
              <w:rPr>
                <w:sz w:val="20"/>
                <w:szCs w:val="20"/>
                <w:color w:val="auto"/>
              </w:rPr>
            </w:pPr>
            <w:r>
              <w:rPr>
                <w:rFonts w:ascii="Arial" w:cs="Arial" w:eastAsia="Arial" w:hAnsi="Arial"/>
                <w:sz w:val="11"/>
                <w:szCs w:val="11"/>
                <w:color w:val="auto"/>
              </w:rPr>
              <w:t>acquisition service</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Net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(92,629)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(92,629)</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Non-controlling interest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Other comprehensive loss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1,310</w:t>
            </w:r>
          </w:p>
        </w:tc>
        <w:tc>
          <w:tcPr>
            <w:tcW w:w="0" w:type="dxa"/>
            <w:vAlign w:val="bottom"/>
          </w:tcPr>
          <w:p>
            <w:pPr>
              <w:spacing w:after="0"/>
              <w:rPr>
                <w:sz w:val="1"/>
                <w:szCs w:val="1"/>
                <w:color w:val="auto"/>
              </w:rPr>
            </w:pPr>
          </w:p>
        </w:tc>
      </w:tr>
      <w:tr>
        <w:trPr>
          <w:trHeight w:val="134"/>
        </w:trPr>
        <w:tc>
          <w:tcPr>
            <w:tcW w:w="30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Balances at January 31, 2021</w:t>
            </w:r>
          </w:p>
        </w:tc>
        <w:tc>
          <w:tcPr>
            <w:tcW w:w="8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223,724</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76"/>
              </w:rPr>
              <w:t>112</w:t>
            </w: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1,598,259</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(730,116)</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2,319</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1,300</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871,874</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Issuance of common stock upon exercise of options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2,598</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15,898</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15,899</w:t>
            </w:r>
          </w:p>
        </w:tc>
        <w:tc>
          <w:tcPr>
            <w:tcW w:w="0" w:type="dxa"/>
            <w:vAlign w:val="bottom"/>
          </w:tcPr>
          <w:p>
            <w:pPr>
              <w:spacing w:after="0"/>
              <w:rPr>
                <w:sz w:val="1"/>
                <w:szCs w:val="1"/>
                <w:color w:val="auto"/>
              </w:rPr>
            </w:pPr>
          </w:p>
        </w:tc>
      </w:tr>
      <w:tr>
        <w:trPr>
          <w:trHeight w:val="153"/>
        </w:trPr>
        <w:tc>
          <w:tcPr>
            <w:tcW w:w="3000" w:type="dxa"/>
            <w:vAlign w:val="bottom"/>
          </w:tcPr>
          <w:p>
            <w:pPr>
              <w:ind w:left="300"/>
              <w:spacing w:after="0"/>
              <w:rPr>
                <w:sz w:val="20"/>
                <w:szCs w:val="20"/>
                <w:color w:val="auto"/>
              </w:rPr>
            </w:pPr>
            <w:r>
              <w:rPr>
                <w:rFonts w:ascii="Arial" w:cs="Arial" w:eastAsia="Arial" w:hAnsi="Arial"/>
                <w:sz w:val="11"/>
                <w:szCs w:val="11"/>
                <w:color w:val="auto"/>
                <w:w w:val="97"/>
              </w:rPr>
              <w:t>Issuance of common stock under RSU and PSU release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3,408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00" w:type="dxa"/>
            <w:vAlign w:val="bottom"/>
            <w:shd w:val="clear" w:color="auto" w:fill="CCEEFF"/>
          </w:tcPr>
          <w:p>
            <w:pPr>
              <w:ind w:left="300"/>
              <w:spacing w:after="0"/>
              <w:rPr>
                <w:sz w:val="20"/>
                <w:szCs w:val="20"/>
                <w:color w:val="auto"/>
              </w:rPr>
            </w:pPr>
            <w:r>
              <w:rPr>
                <w:rFonts w:ascii="Arial" w:cs="Arial" w:eastAsia="Arial" w:hAnsi="Arial"/>
                <w:sz w:val="11"/>
                <w:szCs w:val="11"/>
                <w:color w:val="auto"/>
                <w:w w:val="92"/>
              </w:rPr>
              <w:t>Issuance of common stock under employee stock purchase</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904</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50,277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50,277</w:t>
            </w:r>
          </w:p>
        </w:tc>
        <w:tc>
          <w:tcPr>
            <w:tcW w:w="0" w:type="dxa"/>
            <w:vAlign w:val="bottom"/>
          </w:tcPr>
          <w:p>
            <w:pPr>
              <w:spacing w:after="0"/>
              <w:rPr>
                <w:sz w:val="1"/>
                <w:szCs w:val="1"/>
                <w:color w:val="auto"/>
              </w:rPr>
            </w:pPr>
          </w:p>
        </w:tc>
      </w:tr>
      <w:tr>
        <w:trPr>
          <w:trHeight w:val="138"/>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plan</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300"/>
              <w:spacing w:after="0"/>
              <w:rPr>
                <w:sz w:val="20"/>
                <w:szCs w:val="20"/>
                <w:color w:val="auto"/>
              </w:rPr>
            </w:pPr>
            <w:r>
              <w:rPr>
                <w:rFonts w:ascii="Arial" w:cs="Arial" w:eastAsia="Arial" w:hAnsi="Arial"/>
                <w:sz w:val="11"/>
                <w:szCs w:val="11"/>
                <w:color w:val="auto"/>
                <w:w w:val="90"/>
              </w:rPr>
              <w:t>Issuance of common stock related to early exercised options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Vesting of early exercised options</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3,165</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3,165</w:t>
            </w:r>
          </w:p>
        </w:tc>
        <w:tc>
          <w:tcPr>
            <w:tcW w:w="0" w:type="dxa"/>
            <w:vAlign w:val="bottom"/>
          </w:tcPr>
          <w:p>
            <w:pPr>
              <w:spacing w:after="0"/>
              <w:rPr>
                <w:sz w:val="1"/>
                <w:szCs w:val="1"/>
                <w:color w:val="auto"/>
              </w:rPr>
            </w:pPr>
          </w:p>
        </w:tc>
      </w:tr>
      <w:tr>
        <w:trPr>
          <w:trHeight w:val="139"/>
        </w:trPr>
        <w:tc>
          <w:tcPr>
            <w:tcW w:w="3000" w:type="dxa"/>
            <w:vAlign w:val="bottom"/>
          </w:tcPr>
          <w:p>
            <w:pPr>
              <w:ind w:left="300"/>
              <w:spacing w:after="0"/>
              <w:rPr>
                <w:sz w:val="20"/>
                <w:szCs w:val="20"/>
                <w:color w:val="auto"/>
              </w:rPr>
            </w:pPr>
            <w:r>
              <w:rPr>
                <w:rFonts w:ascii="Arial" w:cs="Arial" w:eastAsia="Arial" w:hAnsi="Arial"/>
                <w:sz w:val="11"/>
                <w:szCs w:val="11"/>
                <w:color w:val="auto"/>
                <w:w w:val="91"/>
              </w:rPr>
              <w:t>Issuance of common stock for founders holdbacks related to</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3,528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3,528</w:t>
            </w:r>
          </w:p>
        </w:tc>
        <w:tc>
          <w:tcPr>
            <w:tcW w:w="0" w:type="dxa"/>
            <w:vAlign w:val="bottom"/>
          </w:tcPr>
          <w:p>
            <w:pPr>
              <w:spacing w:after="0"/>
              <w:rPr>
                <w:sz w:val="1"/>
                <w:szCs w:val="1"/>
                <w:color w:val="auto"/>
              </w:rPr>
            </w:pPr>
          </w:p>
        </w:tc>
      </w:tr>
      <w:tr>
        <w:trPr>
          <w:trHeight w:val="136"/>
        </w:trPr>
        <w:tc>
          <w:tcPr>
            <w:tcW w:w="3000" w:type="dxa"/>
            <w:vAlign w:val="bottom"/>
          </w:tcPr>
          <w:p>
            <w:pPr>
              <w:ind w:left="300"/>
              <w:spacing w:after="0"/>
              <w:rPr>
                <w:sz w:val="20"/>
                <w:szCs w:val="20"/>
                <w:color w:val="auto"/>
              </w:rPr>
            </w:pPr>
            <w:r>
              <w:rPr>
                <w:rFonts w:ascii="Arial" w:cs="Arial" w:eastAsia="Arial" w:hAnsi="Arial"/>
                <w:sz w:val="11"/>
                <w:szCs w:val="11"/>
                <w:color w:val="auto"/>
              </w:rPr>
              <w:t>acquisitions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Stock-based compensation expense</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305,792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305,792</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Capitalized 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10,879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10,879</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000" w:type="dxa"/>
            <w:vAlign w:val="bottom"/>
            <w:shd w:val="clear" w:color="auto" w:fill="CCEEFF"/>
          </w:tcPr>
          <w:p>
            <w:pPr>
              <w:ind w:left="300"/>
              <w:spacing w:after="0" w:line="112" w:lineRule="exact"/>
              <w:rPr>
                <w:sz w:val="20"/>
                <w:szCs w:val="20"/>
                <w:color w:val="auto"/>
              </w:rPr>
            </w:pPr>
            <w:r>
              <w:rPr>
                <w:rFonts w:ascii="Arial" w:cs="Arial" w:eastAsia="Arial" w:hAnsi="Arial"/>
                <w:sz w:val="11"/>
                <w:szCs w:val="11"/>
                <w:color w:val="auto"/>
                <w:w w:val="93"/>
              </w:rPr>
              <w:t>Fair value of replacement equity awards attributable to pre-</w:t>
            </w:r>
          </w:p>
        </w:tc>
        <w:tc>
          <w:tcPr>
            <w:tcW w:w="9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760" w:type="dxa"/>
            <w:vAlign w:val="bottom"/>
            <w:tcBorders>
              <w:right w:val="single" w:sz="8" w:color="auto"/>
            </w:tcBorders>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4,011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140"/>
              <w:spacing w:after="0" w:line="11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ind w:right="6"/>
              <w:spacing w:after="0" w:line="112" w:lineRule="exact"/>
              <w:rPr>
                <w:sz w:val="20"/>
                <w:szCs w:val="20"/>
                <w:color w:val="auto"/>
              </w:rPr>
            </w:pPr>
            <w:r>
              <w:rPr>
                <w:rFonts w:ascii="Arial" w:cs="Arial" w:eastAsia="Arial" w:hAnsi="Arial"/>
                <w:sz w:val="11"/>
                <w:szCs w:val="11"/>
                <w:color w:val="auto"/>
              </w:rPr>
              <w:t>4,011</w:t>
            </w:r>
          </w:p>
        </w:tc>
        <w:tc>
          <w:tcPr>
            <w:tcW w:w="0" w:type="dxa"/>
            <w:vAlign w:val="bottom"/>
          </w:tcPr>
          <w:p>
            <w:pPr>
              <w:spacing w:after="0"/>
              <w:rPr>
                <w:sz w:val="1"/>
                <w:szCs w:val="1"/>
                <w:color w:val="auto"/>
              </w:rPr>
            </w:pPr>
          </w:p>
        </w:tc>
      </w:tr>
      <w:tr>
        <w:trPr>
          <w:trHeight w:val="138"/>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acquisition service</w:t>
            </w: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Net income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(234,802)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(232,378)</w:t>
            </w:r>
          </w:p>
        </w:tc>
        <w:tc>
          <w:tcPr>
            <w:tcW w:w="0" w:type="dxa"/>
            <w:vAlign w:val="bottom"/>
          </w:tcPr>
          <w:p>
            <w:pPr>
              <w:spacing w:after="0"/>
              <w:rPr>
                <w:sz w:val="1"/>
                <w:szCs w:val="1"/>
                <w:color w:val="auto"/>
              </w:rPr>
            </w:pPr>
          </w:p>
        </w:tc>
      </w:tr>
      <w:tr>
        <w:trPr>
          <w:trHeight w:val="22"/>
        </w:trPr>
        <w:tc>
          <w:tcPr>
            <w:tcW w:w="3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Non-controlling interest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8,155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8,155</w:t>
            </w:r>
          </w:p>
        </w:tc>
        <w:tc>
          <w:tcPr>
            <w:tcW w:w="0" w:type="dxa"/>
            <w:vAlign w:val="bottom"/>
          </w:tcPr>
          <w:p>
            <w:pPr>
              <w:spacing w:after="0"/>
              <w:rPr>
                <w:sz w:val="1"/>
                <w:szCs w:val="1"/>
                <w:color w:val="auto"/>
              </w:rPr>
            </w:pPr>
          </w:p>
        </w:tc>
      </w:tr>
      <w:tr>
        <w:trPr>
          <w:trHeight w:val="140"/>
        </w:trPr>
        <w:tc>
          <w:tcPr>
            <w:tcW w:w="3000" w:type="dxa"/>
            <w:vAlign w:val="bottom"/>
          </w:tcPr>
          <w:p>
            <w:pPr>
              <w:ind w:left="300"/>
              <w:spacing w:after="0"/>
              <w:rPr>
                <w:sz w:val="20"/>
                <w:szCs w:val="20"/>
                <w:color w:val="auto"/>
              </w:rPr>
            </w:pPr>
            <w:r>
              <w:rPr>
                <w:rFonts w:ascii="Arial" w:cs="Arial" w:eastAsia="Arial" w:hAnsi="Arial"/>
                <w:sz w:val="11"/>
                <w:szCs w:val="11"/>
                <w:color w:val="auto"/>
              </w:rPr>
              <w:t>Other comprehensive loss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(3,559)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(3,559)</w:t>
            </w:r>
          </w:p>
        </w:tc>
        <w:tc>
          <w:tcPr>
            <w:tcW w:w="0" w:type="dxa"/>
            <w:vAlign w:val="bottom"/>
          </w:tcPr>
          <w:p>
            <w:pPr>
              <w:spacing w:after="0"/>
              <w:rPr>
                <w:sz w:val="1"/>
                <w:szCs w:val="1"/>
                <w:color w:val="auto"/>
              </w:rPr>
            </w:pPr>
          </w:p>
        </w:tc>
      </w:tr>
      <w:tr>
        <w:trPr>
          <w:trHeight w:val="22"/>
        </w:trPr>
        <w:tc>
          <w:tcPr>
            <w:tcW w:w="30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00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Balances at January 31, 2022</w:t>
            </w:r>
          </w:p>
        </w:tc>
        <w:tc>
          <w:tcPr>
            <w:tcW w:w="8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230,706</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76"/>
              </w:rPr>
              <w:t>115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1,991,807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(964,918)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(1,240)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b w:val="1"/>
                <w:bCs w:val="1"/>
                <w:color w:val="auto"/>
                <w:w w:val="97"/>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11,879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1,037,643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January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(232,378)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(92,629)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(141,779)</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55,908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38,710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23,026</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Amortization of deferred contract acquisition costs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113,884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66,425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35,459</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operating lease cost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Change in fair value of redeemable convertible preferred stock warrant liability</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6,022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79,940</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(13,956)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on sale of debt securities, net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Amortization (accretion) of marketable securities purchased at a premium (discount)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86"/>
        </w:trPr>
        <w:tc>
          <w:tcPr>
            <w:tcW w:w="7700" w:type="dxa"/>
            <w:vAlign w:val="bottom"/>
          </w:tcPr>
          <w:p>
            <w:pPr>
              <w:ind w:left="220"/>
              <w:spacing w:after="0"/>
              <w:rPr>
                <w:sz w:val="20"/>
                <w:szCs w:val="20"/>
                <w:color w:val="auto"/>
              </w:rPr>
            </w:pPr>
            <w:r>
              <w:rPr>
                <w:rFonts w:ascii="Arial" w:cs="Arial" w:eastAsia="Arial" w:hAnsi="Arial"/>
                <w:sz w:val="14"/>
                <w:szCs w:val="14"/>
                <w:color w:val="auto"/>
              </w:rPr>
              <w:t>Other non-cash charges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fair value of strategic investments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 net of impact of acquisitions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(125,354)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(72,511)</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Deferred contract acquisition costs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(234,308)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(150,975)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(86,594)</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(44,008)</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Accrued payroll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32,681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33,212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17,526</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616,408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338,803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280,768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99,943</w:t>
            </w: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(112,143)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(52,799)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(80,198)</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Capitalized internal-use software and website development costs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(7,289)</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strategic investments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Business acquisitions, net of cash acquired</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(414,518)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(85,517)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intangible assets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Purchases of marketable securities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(84,904)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(779,701)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sales of marketable securities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639,586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9,581</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Maturities of marketable securities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91,605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228,976</w:t>
            </w:r>
          </w:p>
        </w:tc>
        <w:tc>
          <w:tcPr>
            <w:tcW w:w="0" w:type="dxa"/>
            <w:vAlign w:val="bottom"/>
          </w:tcPr>
          <w:p>
            <w:pPr>
              <w:spacing w:after="0"/>
              <w:rPr>
                <w:sz w:val="1"/>
                <w:szCs w:val="1"/>
                <w:color w:val="auto"/>
              </w:rPr>
            </w:pPr>
          </w:p>
        </w:tc>
      </w:tr>
      <w:tr>
        <w:trPr>
          <w:trHeight w:val="186"/>
        </w:trPr>
        <w:tc>
          <w:tcPr>
            <w:tcW w:w="770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cash (used in) provided by investing activities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(564,516)</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495,427</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(629,631)</w:t>
            </w: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issuance of common stock upon initial public offering, net of underwriting discounts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665,092</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Payments of debt issuance costs related to revolving line of credit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debt issuance costs related to Senior Notes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issuance of Senior Notes, net of debt financing costs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739,569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deferred offering costs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(5,872)</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15,899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28,831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21,512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the issuance of common stock upon exercise of early exercisable stock options</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10,264</w:t>
            </w:r>
          </w:p>
        </w:tc>
        <w:tc>
          <w:tcPr>
            <w:tcW w:w="0" w:type="dxa"/>
            <w:vAlign w:val="bottom"/>
          </w:tcPr>
          <w:p>
            <w:pPr>
              <w:spacing w:after="0"/>
              <w:rPr>
                <w:sz w:val="1"/>
                <w:szCs w:val="1"/>
                <w:color w:val="auto"/>
              </w:rPr>
            </w:pPr>
          </w:p>
        </w:tc>
      </w:tr>
      <w:tr>
        <w:trPr>
          <w:trHeight w:val="186"/>
        </w:trPr>
        <w:tc>
          <w:tcPr>
            <w:tcW w:w="7700" w:type="dxa"/>
            <w:vAlign w:val="bottom"/>
          </w:tcPr>
          <w:p>
            <w:pPr>
              <w:ind w:left="140"/>
              <w:spacing w:after="0"/>
              <w:rPr>
                <w:sz w:val="20"/>
                <w:szCs w:val="20"/>
                <w:color w:val="auto"/>
              </w:rPr>
            </w:pPr>
            <w:r>
              <w:rPr>
                <w:rFonts w:ascii="Arial" w:cs="Arial" w:eastAsia="Arial" w:hAnsi="Arial"/>
                <w:sz w:val="14"/>
                <w:szCs w:val="14"/>
                <w:color w:val="auto"/>
              </w:rPr>
              <w:t>Proceeds from issuance of common stock under the employee stock purchase plan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50,277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34,263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12,365</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Settlement related to stockholder short-swing trade profit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Capital contributions from non-controlling interest holders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800,135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706,144</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78,025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1,653,810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176,390</w:t>
            </w:r>
          </w:p>
        </w:tc>
        <w:tc>
          <w:tcPr>
            <w:tcW w:w="0" w:type="dxa"/>
            <w:vAlign w:val="bottom"/>
          </w:tcPr>
          <w:p>
            <w:pPr>
              <w:spacing w:after="0"/>
              <w:rPr>
                <w:sz w:val="1"/>
                <w:szCs w:val="1"/>
                <w:color w:val="auto"/>
              </w:rPr>
            </w:pPr>
          </w:p>
        </w:tc>
      </w:tr>
      <w:tr>
        <w:trPr>
          <w:trHeight w:val="17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1,918,608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264,798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88,408</w:t>
            </w:r>
          </w:p>
        </w:tc>
        <w:tc>
          <w:tcPr>
            <w:tcW w:w="0" w:type="dxa"/>
            <w:vAlign w:val="bottom"/>
          </w:tcPr>
          <w:p>
            <w:pPr>
              <w:spacing w:after="0"/>
              <w:rPr>
                <w:sz w:val="1"/>
                <w:szCs w:val="1"/>
                <w:color w:val="auto"/>
              </w:rPr>
            </w:pPr>
          </w:p>
        </w:tc>
      </w:tr>
      <w:tr>
        <w:trPr>
          <w:trHeight w:val="20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1,996,633</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1,918,608</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264,798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7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paid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Income taxes paid, net of refunds received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74,677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557,912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Conversion of redeemable convertible preferred stock warrant liabilities reclassified to additional paid-in capital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10,559</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Net decrease in deferred offering costs, accrued but not paid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increase (decrease) in property and equipment included in accounts payable and accrued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Vesting of early exercised stock options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3,165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3,318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Equity consideration for acquisitions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360"/>
              <w:spacing w:after="0"/>
              <w:rPr>
                <w:sz w:val="20"/>
                <w:szCs w:val="20"/>
                <w:color w:val="auto"/>
              </w:rPr>
            </w:pPr>
            <w:r>
              <w:rPr>
                <w:rFonts w:ascii="Arial" w:cs="Arial" w:eastAsia="Arial" w:hAnsi="Arial"/>
                <w:sz w:val="14"/>
                <w:szCs w:val="14"/>
                <w:color w:val="auto"/>
              </w:rPr>
              <w:t>Debt financing costs, accrued but not paid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 arising from obtaining operating right of-use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40"/>
          </w:cols>
          <w:pgMar w:left="320" w:top="125" w:right="339" w:bottom="682"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682"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right="7280" w:hanging="332"/>
        <w:spacing w:after="0" w:line="500" w:lineRule="auto"/>
        <w:tabs>
          <w:tab w:leader="none" w:pos="196"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Business and Basis of Presentation Business</w:t>
      </w:r>
    </w:p>
    <w:p>
      <w:pPr>
        <w:spacing w:after="0" w:line="2"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CrowdStrike Holdings, Inc. (the “Company”) was formed on November 7, 2011. The Company provides a leading cloud-delivered solution for next-generation endpoint and cloud workload protection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Company’s principal executive offices are in Austin, Texas. The Company conducts its business in the United States, as well as locations internationally, including in Australia, Germany, India, Israel, Romania, and the United Kingdom.</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(“U.S. GAAP”). Certain prior year amounts in the consolidated statements of cash flows were reclassified to conform to the current period presentation. These reclassifications had no effect on net cash provided by (used in) operating, investing, and financing activities and cash and cash equivalent amounts. Effective February 1, 2020, the Company adopted the Accounting Standards Update (“ASU”) 2016-02, Leases (Topic 842). Prior periods were not retrospectively recast, and accordingly, the consolidated statements of operations for the fiscal year ended January 31, 2020 was prepared using the prior lease accounting standard referred to as Accounting Standard Codification (“ASC”) Topic 840. Upon adoption, the Company recorded operating lease ROU assets of $37.4 million and corresponding operating lease liabilities of $37.4 million on its consolidated balance sheet.</w:t>
      </w:r>
    </w:p>
    <w:p>
      <w:pPr>
        <w:spacing w:after="0" w:line="166" w:lineRule="exact"/>
        <w:rPr>
          <w:sz w:val="20"/>
          <w:szCs w:val="20"/>
          <w:color w:val="auto"/>
        </w:rPr>
      </w:pPr>
    </w:p>
    <w:p>
      <w:pPr>
        <w:ind w:left="340" w:right="7680" w:hanging="332"/>
        <w:spacing w:after="0" w:line="500" w:lineRule="auto"/>
        <w:tabs>
          <w:tab w:leader="none" w:pos="196"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Principles of Consolidation</w:t>
      </w:r>
    </w:p>
    <w:p>
      <w:pPr>
        <w:spacing w:after="0" w:line="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 could be material to the Company’s consolidated financial statements.</w:t>
      </w:r>
    </w:p>
    <w:p>
      <w:pPr>
        <w:spacing w:after="0" w:line="157"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for business combinations.</w:t>
      </w:r>
    </w:p>
    <w:p>
      <w:pPr>
        <w:spacing w:after="0" w:line="188"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January 31, 2022. While there was not a material impact to the Company’s consolidated financial statements as of and for the year ended January 31, 2022, these estimates may change, as new events occur and additional information is obtained, as well as other factors related to COVID-19 that could result in material impacts to the Company’s consolidated financial statements in future reporting periods.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cash equivalents, accounts receivable, and strategic investments. The Company’s cash is placed with high-credit-quality financial institutions and issuers, and at times exceed federally insured limits. The Company has not experienced any credit loss relating to its cash equivalents and strategic investments. The Company performs periodic credit evaluations of its customers and generally does not require collateral.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Channel partners or direct customers who represented 10% or more of the Company’s accounts receivable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January 31,</w:t>
            </w: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19"/>
                <w:szCs w:val="19"/>
                <w:color w:val="auto"/>
              </w:rPr>
            </w:pPr>
          </w:p>
        </w:tc>
      </w:tr>
      <w:tr>
        <w:trPr>
          <w:trHeight w:val="223"/>
        </w:trPr>
        <w:tc>
          <w:tcPr>
            <w:tcW w:w="7320" w:type="dxa"/>
            <w:vAlign w:val="bottom"/>
            <w:shd w:val="clear" w:color="auto" w:fill="CCEEFF"/>
          </w:tcPr>
          <w:p>
            <w:pPr>
              <w:ind w:left="360"/>
              <w:spacing w:after="0" w:line="223" w:lineRule="exact"/>
              <w:rPr>
                <w:sz w:val="20"/>
                <w:szCs w:val="20"/>
                <w:color w:val="auto"/>
              </w:rPr>
            </w:pPr>
            <w:r>
              <w:rPr>
                <w:rFonts w:ascii="Arial" w:cs="Arial" w:eastAsia="Arial" w:hAnsi="Arial"/>
                <w:sz w:val="18"/>
                <w:szCs w:val="18"/>
                <w:color w:val="auto"/>
              </w:rPr>
              <w:t>Channel partner A</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7320" w:type="dxa"/>
            <w:vAlign w:val="bottom"/>
          </w:tcPr>
          <w:p>
            <w:pPr>
              <w:ind w:left="360"/>
              <w:spacing w:after="0"/>
              <w:rPr>
                <w:sz w:val="20"/>
                <w:szCs w:val="20"/>
                <w:color w:val="auto"/>
              </w:rPr>
            </w:pPr>
            <w:r>
              <w:rPr>
                <w:rFonts w:ascii="Arial" w:cs="Arial" w:eastAsia="Arial" w:hAnsi="Arial"/>
                <w:sz w:val="18"/>
                <w:szCs w:val="18"/>
                <w:color w:val="auto"/>
              </w:rPr>
              <w:t>Customer A</w:t>
            </w:r>
            <w:r>
              <w:rPr>
                <w:rFonts w:ascii="Arial" w:cs="Arial" w:eastAsia="Arial" w:hAnsi="Arial"/>
                <w:sz w:val="23"/>
                <w:szCs w:val="23"/>
                <w:color w:val="auto"/>
                <w:vertAlign w:val="superscript"/>
              </w:rPr>
              <w:t>(1)</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Channel Partner A and Customer A are controlled by the same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Channel partners who represented 10% or more of the Company’s total revenue were as follows:</w:t>
      </w:r>
    </w:p>
    <w:p>
      <w:pPr>
        <w:spacing w:after="0" w:line="26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19"/>
                <w:szCs w:val="19"/>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172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b w:val="1"/>
                <w:bCs w:val="1"/>
                <w:color w:val="auto"/>
              </w:rPr>
              <w:t>2020</w:t>
            </w:r>
          </w:p>
        </w:tc>
      </w:tr>
      <w:tr>
        <w:trPr>
          <w:trHeight w:val="21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 partner B</w:t>
            </w:r>
          </w:p>
        </w:tc>
        <w:tc>
          <w:tcPr>
            <w:tcW w:w="1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r>
    </w:tbl>
    <w:p>
      <w:pPr>
        <w:spacing w:after="0" w:line="283"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There were no direct customers who represented 10% or more of the Company’s total revenue during the fiscal years ended January 31, 2022, January 31, 2021, and January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date of purchase to be cash equivalents. As of January 31, 2022, the Company had $950.6 million of cash equivalents. As of January 31, 2021, the Company did not have any cash equivalents.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July 2019, the Company agreed to commit up to $10.0 million to a newly formed entity, CrowdStrike Falcon Fund LLC (the “Original Falcon Fund”) in exchange for 50% of the sharing percentage of any distribution by the Original Falcon Fund. In December 2021, the Company agreed to commit an additional $50.0 million to a newly formed entity, CrowdStrike Falcon Fund II LLC (“Falcon Fund II”) in exchange for 50% of the sharing percentage of any distribution by the Falcon Fund II. Further, entities associated with Accel also agreed to commit up to $10.0 million and $50.0 million, respectively, to the Original Falcon Fund and the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Funds and controls the investment decisions and day-to-day operations and accordingly has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8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The Company elected the measurement alternative for the non-marketable equity investments of the Falcon Funds where eligible. Under the measurement alternative, the non-marketable equity investments are measured at cost, less any impairment, plus or minus adjustments resulting from price changes from observable transactions of identical or similar securities of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same issuer. All gains and losses on strategic investments, realized and unrealized, are recognized in Other income (expense), net. Strategic investments are classified within Level 3 in the fair value hierarchy as only an impairment of observable adjustment is recognized based on price changes from observable transactions of identical or similar securities of the same issuer and other unobservable inputs including volatility, rights, and obligations of the investments. The Company classifies the investments in the Falcon Funds as a non-current asset called Strategic Investments on the consolidated balance sheets as of January 31, 2022. The Company has recognized an unrealized gain for its portion of ownership of the strategic investments in the amount of $2.4 million, net of gain attributable to non-controlling interest of $2.4 million, during the fiscal year ended January 31, 2022.</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Company’s financial instruments consist of cash equivalents, strategic investments, accounts receivable, accounts payable, accrued expenses, the redeemable convertible preferred stock warrant liability, and the Senior Notes. The carrying values of cash equivalents, accounts receivable, accounts payable, and accrued expenses approximate fair value due to their short-term nature. The Senior Notes are carried at the initially allocated liability value less unamortized debt discount and issuance costs on the Company’s consolidated balance sheet. The Company discloses the fair value of the Senior Notes at each reporting period for disclosure purposes only. Refer to Note 3, Investments and Fair Value Measurements, regarding the fair value of the Company’s non-marketable securities and Note 5, Debt, for the fair value of the Company’s Senior Notes.</w:t>
      </w:r>
    </w:p>
    <w:p>
      <w:pPr>
        <w:spacing w:after="0" w:line="16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reports the redeemable convertible preferred stock warrant liability at fair value (see Note 3, Investments and Fair Value Measurements). The warrants issued by the Company for redeemable convertible preferred stock in January 2015, December 2016, and March 2017 have been recorded as a liability based on “Level 3” inputs, which consist of unobservable inputs and reflect management’s estimates of assumptions that market participants would use in pricing the liability. The fair value of the warrants was determined using the Black-Scholes option-pricing model, which is affected by changes in inputs to that model including the Company’s stock price, expected stock price volatility, risk-free rate, and contractual term.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upon the closing of the IPO.</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Accounts receivable are recorded at the invoiced amount and are non-interest bearing. Accounts receivable are stated at their net realizable value, net of the allowance for credit losses.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credit loss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credit loss. As of January 31, 2022 and January 31, 2021, the allowance for credit loss was $1.6 million and $1.2 million,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Implementation Costs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contracts with third party information technology providers for various service arrangements including software, platform, and information technology infrastructure. The Company capitalizes the implementation cost incurred to develop or obtain internal-use software in such arrangements which are recorded as part of property and equipment, net in the consolidated balance sheets. All capitalized implementation costs are amortized over the term of the arrangement which includes reasonably certain renewals. Costs incurred during the preliminary project and post implement stage are expensed as the activities are performed.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Deferred offering costs consisted of fees and expenses incurred in connection with the sale of the Company’s common stock in an IPO, including legal, accounting, printing and other IPO-related costs. Upon the close of the IPO on June 14, 2019, total deferred offering costs of $5.9 million were reclassified to stockholders’ equity and recorded against the proceeds from the offering.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0" w:firstLine="324"/>
        <w:spacing w:after="0" w:line="274"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 center and other computer equipment</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Furniture and equipment</w:t>
            </w:r>
          </w:p>
        </w:tc>
        <w:tc>
          <w:tcPr>
            <w:tcW w:w="55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43"/>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 software</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Capitalized internal-use software and website development</w:t>
            </w:r>
          </w:p>
        </w:tc>
        <w:tc>
          <w:tcPr>
            <w:tcW w:w="556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5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Estimated useful life or term of the lease, whichever is shorter</w:t>
            </w:r>
          </w:p>
        </w:tc>
      </w:tr>
    </w:tbl>
    <w:p>
      <w:pPr>
        <w:spacing w:after="0" w:line="296"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Expenditures for routine maintenance and repairs are charged to operating expense as incurred. Major renewals and improvements are capitalized and depreciated over their estimated useful lives. Upon retirement or other disposition of property and equipment, the cost and accumulated depreciation are removed from the accounts, and any gain or loss is recorded in operating expenses in the consolidated statement of operations.</w:t>
      </w:r>
    </w:p>
    <w:p>
      <w:pPr>
        <w:spacing w:after="0" w:line="14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fiscal years ended January 31, 2022, January 31, 2021, and January 31, 2020.</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Capitalized Internal-Use Software and Website Development Costs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capitalizes certain development costs incurred in connection with its internal-use software and website development. These capitalized costs are primarily related to the Company’s cloud-delivered solution for next-generation endpoint protection as well as redefining, redesigning, and rebuilding crowdstrike.com. Costs incurred in the preliminary stages of development are expensed as incurred. Once an application has reached the development stage, internal and external costs, if direct, are capitalized until the software and website are substantially complete and ready for its intended use.</w:t>
      </w:r>
    </w:p>
    <w:p>
      <w:pPr>
        <w:spacing w:after="0" w:line="188"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and website development costs are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Under ASC 340-40, Other Assets and Deferred Costs - Contracts with Customers,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six months.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 for future years of multi-year non-cancellable contracts that have not yet been billed.</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Warrants related to the Company’s redeemable convertible preferred stock are classified as liabilities on the Company’s consolidated balance sheets. The warrants are subject to reassessment at each balance sheet date, and any change in fair value is recognized as a component of Other income (expense), net, in the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such that they qualify for equity classification and no further remeasurement is required.</w:t>
      </w:r>
    </w:p>
    <w:p>
      <w:pPr>
        <w:spacing w:after="0" w:line="17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Within the same month, the Company received notice from the holders of 336,386 warrants as to their intentions to exercise the warrants for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In accordance with ASU 2014-09,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Identify the contract with a customer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the terms and conditions of contracts with customers and its customary business practices in identifying contracts under ASC</w:t>
      </w:r>
    </w:p>
    <w:p>
      <w:pPr>
        <w:spacing w:after="0" w:line="46" w:lineRule="exact"/>
        <w:rPr>
          <w:sz w:val="20"/>
          <w:szCs w:val="20"/>
          <w:color w:val="auto"/>
        </w:rPr>
      </w:pPr>
    </w:p>
    <w:p>
      <w:pPr>
        <w:ind w:right="100" w:firstLine="8"/>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0" w:lineRule="exact"/>
        <w:rPr>
          <w:rFonts w:ascii="Arial" w:cs="Arial" w:eastAsia="Arial" w:hAnsi="Arial"/>
          <w:sz w:val="18"/>
          <w:szCs w:val="18"/>
          <w:color w:val="auto"/>
        </w:rPr>
      </w:pPr>
    </w:p>
    <w:p>
      <w:pPr>
        <w:ind w:left="640" w:hanging="308"/>
        <w:spacing w:after="0"/>
        <w:tabs>
          <w:tab w:leader="none" w:pos="6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5"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whereby the transfer of the services is separately identifiable from other promises in the contract. The Company’s performance obligations consist of</w:t>
      </w:r>
    </w:p>
    <w:p>
      <w:pPr>
        <w:spacing w:after="0" w:line="35"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subscriptions and (ii) professional services.</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transaction price is determined based on the consideration which the Company is expected to be entitled to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 Allocate the transaction price to performance obligations in the contract</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 Recognize revenue when or as performance obligations are satisfied</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The Company’s Falcon Platform technology solutions are subscription,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7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typical subscription term is one to three years. The Company’s contracts with customers typically include a fixed amount of consideration and are generally non-cancellable and without any refund-type provisions.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Revenue</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Company’s professional services are available through time and material and fixed fee agreements. Revenue for time and material agreements is recognized as services are performed. Fixed fee contracts account for an immaterial portion of the Company’s revenue.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Revenue from sales is recorded at the net sales price, which is the transaction price, and may include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6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87"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The Company provides rebates and other credits within its contracts with certain resellers, which are estimated based on the expected value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All advertising costs are expensed as incurred and are included in sales and marketing expense in the consolidated statements of operations. The Company incurred $50.5 million, $27.9 million, and $8.0 million of advertising costs during the fiscal years ended January 31, 2022, January 31, 2021, and January 31, 2020,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Compensation related to stock-based awards to employees and directors are measured and recognized in the Company’s consolidated statements of operations based on the fair value of the awards granted. The Company estimates the fair value of its stock options using the Black-Scholes option-pricing model. The stock-based compensation expense relating to stock options are recognized on a straight-line basis over the period during which the employee or director is required to provide service in exchange for the award, usually the vesting period, which is generally four years.</w:t>
      </w:r>
    </w:p>
    <w:p>
      <w:pPr>
        <w:spacing w:after="0" w:line="157"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Restricted stock units (“RSUs”) are generally subject to a service-based vesting condition. The service-based vesting condition is generally with a vesting term of four years. The valuation of such RSUs is based solely on the fair value of the Company’s stock price on the date of grant and the corresponding compensation expense are being amortized on a straight-line basis.</w:t>
      </w:r>
    </w:p>
    <w:p>
      <w:pPr>
        <w:spacing w:after="0" w:line="184" w:lineRule="exact"/>
        <w:rPr>
          <w:sz w:val="20"/>
          <w:szCs w:val="20"/>
          <w:color w:val="auto"/>
        </w:rPr>
      </w:pPr>
    </w:p>
    <w:p>
      <w:pPr>
        <w:ind w:right="260" w:firstLine="324"/>
        <w:spacing w:after="0" w:line="301" w:lineRule="auto"/>
        <w:rPr>
          <w:sz w:val="20"/>
          <w:szCs w:val="20"/>
          <w:color w:val="auto"/>
        </w:rPr>
      </w:pPr>
      <w:r>
        <w:rPr>
          <w:rFonts w:ascii="Arial" w:cs="Arial" w:eastAsia="Arial" w:hAnsi="Arial"/>
          <w:sz w:val="16"/>
          <w:szCs w:val="16"/>
          <w:color w:val="auto"/>
        </w:rPr>
        <w:t>Performance-based stock units (“PSUs”) are generally subject to both a service-based vesting condition and a performance-based vesting condition. The fair value of the award is equal to the grant date fair market value of the Company’s stock price. PSUs generally vest over a four-year period and subject to continued service through the applicable vesting dates. The stock-based compensation expense relating to PSUs are recognized using the accelerated attribution method over the requisite service period when it is probable that the performance condition will be satisfied.</w:t>
      </w:r>
    </w:p>
    <w:p>
      <w:pPr>
        <w:spacing w:after="0" w:line="157"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The Special PSU Awards are subject to the Company’s achievement of specified stock price hurdles and a service-based vesting condition. The Company measured the fair value of the Special PSU Awards using a Monte Carlo simulation valuation model. The stock-based compensation expense relating to the Special PSU Awards are recognized using the accelerated attribution method over the requisite service period.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Employee Stock Purchase Plan (“ESPP”) grants are measured based on grant date at fair value using the Black-Scholes option-pricing model. The resulting fair value is recognized using the accelerated attribution method over a two-year offering period and accounted for as having four separate tranches starting on the same initial enrollment date. The requisite service periods for the four tranches are approximately 6, 12, 18, and 24 months.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forfeitures as they occur for all stock-based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evaluates and tests the recoverability of goodwill for impairment at least annually, on January 31, or more frequently if circumstances indicate that goodwill may not be recoverable. A qualitative assessment is performed to determine whether the existence of events or circumstances leads to a determination that it is more likely than not that the fair value of its one reporting unit is less than its carrying value.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If the Company determines it is more likely than not that the fair value of its one reporting unit is less than its carrying value, a quantitative test is performed by estimating the fair value of its reporting unit, including goodwill, and comparing it to its carrying value. If the fair value is lower than the carrying value, the excess is recognized as an impairment loss. No impairment was recorded during the fiscal years ended January 31, 2022, January 31, 2021, or January 31, 2020. The change in the goodwill balance during the fiscal year ended January 31, 2022 was due to the acquisitions of Humio Limited (“Humio”) and Secure Circle, LLC (“SecureCircle”) and changes in foreign currency exchange rates. The change in the goodwill balance during the fiscal year ended January 31, 2021 was due to the acquisition of Preempt Security, Inc. (“Preempt Security”) and changes in foreign currency exchange rates. See Note 4, Balance Sheet Components, and Note 14, Acquisitions, to the consolidated financial statements for more information.</w:t>
      </w:r>
    </w:p>
    <w:p>
      <w:pPr>
        <w:spacing w:after="0" w:line="16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Intangible assets, net, consisting of developed technology, customer relationships, and other acquired intangibles, are stated at cost less accumulated amortization on the consolidated balance sheets. All intangible assets have been determined to have definite lives and are amortized on a straight-line basis over their estimated economic lives, which are generally one to 20 years. Amortization expense related to developed technology is included in cost of revenue, amortization expense related to customer relationships is included in sales and marketing expenses, and amortization expense related to other acquired intangibles is included in cost of revenue, research and development expense and general and administrative expense.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spacing w:after="0" w:line="18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6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 uses the non-cancelable lease term when recognizing the right-of-use (“ROU”) assets and lease liabilities, unless it is reasonably certain that a renewal or termination option will be exercised. The Company accounts for lease components and non-lease components as a single lease component.</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Leases with a term of twelve months or less are not recognized on the consolidated balance sheets but are recognized as expense on a straight-line basis over the term of the lease.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Debt issuance costs incurred in connection with securing the Company’s financing arrangements are generally presented in the consolidated balance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sheets as a direct deduction from the carrying amount of the outstanding borrowings, consistent with debt discounts. However, the Company has chosen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debt issuance costs under “other long-term assets” for its revolving credit facility on the consolidated balance sheets regardless of whether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has any outstanding borrowings on the revolving credit facility. Debt issuance costs, net of accumulated amortization, were $4.6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 million as of January 31, 2022 and January 31, 2021, respectively. Debt issuance cost associated with the Senior Notes are recorded as a reduction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the Senior Notes on the consolidated balance sheets. The unamortized issuance costs relating to the Senior Notes were $2.3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January 31, 2022.</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All deferred financing costs are being amortized to interest expense. The effective interest method is used for debt issuance cost related to the Senior Notes. Debt issuance costs related to the revolving credit facility are being amortized over the term of the financing arrangement under the straight-line method. The Company’s amortization of these costs were $1.0 million, $0.8 million and $0.4 million for the fiscal years ended January 31, 2022, 2021 and 2020,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functional currencies of the Company’s foreign subsidiaries are each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consolidated statements of operations within Other income (expense), net, and have not been material for all periods presented.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Company’s assumptions, judgments and estimates relative to the current provision for income taxes take into account current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tax laws, the Company’s interpretation of current tax laws and possible outcomes of current and future audits conducted by foreign and domestic tax authorities. The Company has established reserves for income taxes to address potential exposures involving tax positions that could be challenged by tax authorities. In addition, the Company is subject to the continual examination of its income tax returns by the U.S. Internal Revenue Service (“IRS”) and other domestic and foreign tax authorities. The Company regularly assess the likelihood of outcomes resulting from these examinations to determine the adequacy of its provision for income taxes and have reserved for potential adjustments that may result from such examinations. The Company believes such estimates to be reasonable; however, the final determination of any of these examinations could significantly impact the amounts provided for income taxes in the Company’s consolidated financial statements.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340" w:firstLine="324"/>
        <w:spacing w:after="0" w:line="263" w:lineRule="auto"/>
        <w:rPr>
          <w:sz w:val="20"/>
          <w:szCs w:val="20"/>
          <w:color w:val="auto"/>
        </w:rPr>
      </w:pPr>
      <w:r>
        <w:rPr>
          <w:rFonts w:ascii="Arial" w:cs="Arial" w:eastAsia="Arial" w:hAnsi="Arial"/>
          <w:sz w:val="18"/>
          <w:szCs w:val="18"/>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computes basic and diluted net loss per share attributable to common stockholders for Class A and Class B common stock using the two-class method required for participating securities.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Diluted earnings per share attributable to common stockholders adjusts basic earnings per share for the potentially dilutive impact of outstanding stock options, RSUs, PSUs, ESPP obligations, and founder holdbacks. As the Company has reported losses for all periods presented, all potentially dilutive securities are antidilutive and accordingly, basic net loss per share equals diluted net loss per share.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2019, the Financial Accounting Standards Board (the “FASB”) issued Accounting Standards Update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Company adopted this guidance on February 1, 2021, which did not have a material effect on its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The Company is currently evaluating the impact of the adoption of this ASU on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Investments and Fair Value Measurements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follows ASC 820, Fair Value Measurements, with respect to cash equivalents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Assets and liabilities whose values are based on unadjusted quoted market prices for identical assets and liabilities in active markets</w:t>
      </w:r>
    </w:p>
    <w:p>
      <w:pPr>
        <w:spacing w:after="0" w:line="225" w:lineRule="exact"/>
        <w:rPr>
          <w:sz w:val="20"/>
          <w:szCs w:val="20"/>
          <w:color w:val="auto"/>
        </w:rPr>
      </w:pPr>
    </w:p>
    <w:p>
      <w:pPr>
        <w:ind w:left="1300" w:right="900" w:hanging="647"/>
        <w:spacing w:after="0" w:line="277" w:lineRule="auto"/>
        <w:tabs>
          <w:tab w:leader="none" w:pos="1280" w:val="left"/>
        </w:tabs>
        <w:rPr>
          <w:sz w:val="20"/>
          <w:szCs w:val="20"/>
          <w:color w:val="auto"/>
        </w:rPr>
      </w:pPr>
      <w:r>
        <w:rPr>
          <w:rFonts w:ascii="Arial" w:cs="Arial" w:eastAsia="Arial" w:hAnsi="Arial"/>
          <w:sz w:val="18"/>
          <w:szCs w:val="18"/>
          <w:color w:val="auto"/>
        </w:rPr>
        <w:t>Level 2</w:t>
        <w:tab/>
        <w:t>Assets and liabilities whose values are based on quoted prices in markets that are not active or inputs that are observable for substantially the full term of the asset or liability</w:t>
      </w:r>
    </w:p>
    <w:p>
      <w:pPr>
        <w:spacing w:after="0" w:line="170" w:lineRule="exact"/>
        <w:rPr>
          <w:sz w:val="20"/>
          <w:szCs w:val="20"/>
          <w:color w:val="auto"/>
        </w:rPr>
      </w:pPr>
    </w:p>
    <w:p>
      <w:pPr>
        <w:ind w:left="1300" w:right="620" w:hanging="647"/>
        <w:spacing w:after="0" w:line="277" w:lineRule="auto"/>
        <w:tabs>
          <w:tab w:leader="none" w:pos="1280" w:val="left"/>
        </w:tabs>
        <w:rPr>
          <w:sz w:val="20"/>
          <w:szCs w:val="20"/>
          <w:color w:val="auto"/>
        </w:rPr>
      </w:pPr>
      <w:r>
        <w:rPr>
          <w:rFonts w:ascii="Arial" w:cs="Arial" w:eastAsia="Arial" w:hAnsi="Arial"/>
          <w:sz w:val="18"/>
          <w:szCs w:val="18"/>
          <w:color w:val="auto"/>
        </w:rPr>
        <w:t>Level 3</w:t>
        <w:tab/>
        <w:t>Assets and liabilities whose values are based on prices or valuation techniques that require inputs that are both unobservable and significant to the overall fair value measurement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right="720" w:firstLine="324"/>
        <w:spacing w:after="0" w:line="271" w:lineRule="auto"/>
        <w:rPr>
          <w:sz w:val="20"/>
          <w:szCs w:val="20"/>
          <w:color w:val="auto"/>
        </w:rPr>
      </w:pPr>
      <w:r>
        <w:rPr>
          <w:rFonts w:ascii="Arial" w:cs="Arial" w:eastAsia="Arial" w:hAnsi="Arial"/>
          <w:sz w:val="18"/>
          <w:szCs w:val="18"/>
          <w:color w:val="auto"/>
        </w:rPr>
        <w:t>The Company’s fair value hierarchy for its financial assets and liabilities that are measured at fair value on a recurring basis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1"/>
              </w:rPr>
              <w:t>January 31, 2022</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1"/>
              </w:rPr>
              <w:t>January 31, 2021</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160" w:type="dxa"/>
            <w:vAlign w:val="bottom"/>
            <w:gridSpan w:val="3"/>
          </w:tcPr>
          <w:p>
            <w:pPr>
              <w:ind w:left="420"/>
              <w:spacing w:after="0"/>
              <w:rPr>
                <w:sz w:val="20"/>
                <w:szCs w:val="20"/>
                <w:color w:val="auto"/>
              </w:rPr>
            </w:pPr>
            <w:r>
              <w:rPr>
                <w:rFonts w:ascii="Arial" w:cs="Arial" w:eastAsia="Arial" w:hAnsi="Arial"/>
                <w:sz w:val="18"/>
                <w:szCs w:val="18"/>
                <w:b w:val="1"/>
                <w:bCs w:val="1"/>
                <w:color w:val="auto"/>
              </w:rPr>
              <w:t>Level 2</w:t>
            </w:r>
          </w:p>
        </w:tc>
        <w:tc>
          <w:tcPr>
            <w:tcW w:w="1140" w:type="dxa"/>
            <w:vAlign w:val="bottom"/>
            <w:gridSpan w:val="3"/>
          </w:tcPr>
          <w:p>
            <w:pPr>
              <w:ind w:left="400"/>
              <w:spacing w:after="0"/>
              <w:rPr>
                <w:sz w:val="20"/>
                <w:szCs w:val="20"/>
                <w:color w:val="auto"/>
              </w:rPr>
            </w:pPr>
            <w:r>
              <w:rPr>
                <w:rFonts w:ascii="Arial" w:cs="Arial" w:eastAsia="Arial" w:hAnsi="Arial"/>
                <w:sz w:val="18"/>
                <w:szCs w:val="18"/>
                <w:b w:val="1"/>
                <w:bCs w:val="1"/>
                <w:color w:val="auto"/>
              </w:rPr>
              <w:t>Level 3</w:t>
            </w:r>
          </w:p>
        </w:tc>
        <w:tc>
          <w:tcPr>
            <w:tcW w:w="56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160" w:type="dxa"/>
            <w:vAlign w:val="bottom"/>
            <w:gridSpan w:val="3"/>
          </w:tcPr>
          <w:p>
            <w:pPr>
              <w:ind w:left="420"/>
              <w:spacing w:after="0"/>
              <w:rPr>
                <w:sz w:val="20"/>
                <w:szCs w:val="20"/>
                <w:color w:val="auto"/>
              </w:rPr>
            </w:pPr>
            <w:r>
              <w:rPr>
                <w:rFonts w:ascii="Arial" w:cs="Arial" w:eastAsia="Arial" w:hAnsi="Arial"/>
                <w:sz w:val="18"/>
                <w:szCs w:val="18"/>
                <w:b w:val="1"/>
                <w:bCs w:val="1"/>
                <w:color w:val="auto"/>
              </w:rPr>
              <w:t>Level 1</w:t>
            </w:r>
          </w:p>
        </w:tc>
        <w:tc>
          <w:tcPr>
            <w:tcW w:w="1160" w:type="dxa"/>
            <w:vAlign w:val="bottom"/>
            <w:gridSpan w:val="3"/>
          </w:tcPr>
          <w:p>
            <w:pPr>
              <w:ind w:left="420"/>
              <w:spacing w:after="0"/>
              <w:rPr>
                <w:sz w:val="20"/>
                <w:szCs w:val="20"/>
                <w:color w:val="auto"/>
              </w:rPr>
            </w:pPr>
            <w:r>
              <w:rPr>
                <w:rFonts w:ascii="Arial" w:cs="Arial" w:eastAsia="Arial" w:hAnsi="Arial"/>
                <w:sz w:val="18"/>
                <w:szCs w:val="18"/>
                <w:b w:val="1"/>
                <w:bCs w:val="1"/>
                <w:color w:val="auto"/>
              </w:rPr>
              <w:t>Level 2</w:t>
            </w:r>
          </w:p>
        </w:tc>
        <w:tc>
          <w:tcPr>
            <w:tcW w:w="1160" w:type="dxa"/>
            <w:vAlign w:val="bottom"/>
            <w:gridSpan w:val="3"/>
          </w:tcPr>
          <w:p>
            <w:pPr>
              <w:ind w:left="42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40" w:type="dxa"/>
            <w:vAlign w:val="bottom"/>
          </w:tcPr>
          <w:p>
            <w:pPr>
              <w:ind w:left="360"/>
              <w:spacing w:after="0" w:line="176" w:lineRule="exact"/>
              <w:rPr>
                <w:sz w:val="20"/>
                <w:szCs w:val="20"/>
                <w:color w:val="auto"/>
              </w:rPr>
            </w:pPr>
            <w:r>
              <w:rPr>
                <w:rFonts w:ascii="Arial" w:cs="Arial" w:eastAsia="Arial" w:hAnsi="Arial"/>
                <w:sz w:val="18"/>
                <w:szCs w:val="18"/>
                <w:color w:val="auto"/>
              </w:rPr>
              <w:t>Cash</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color w:val="auto"/>
              </w:rPr>
              <w:t>equivalents</w:t>
            </w:r>
            <w:r>
              <w:rPr>
                <w:rFonts w:ascii="Arial" w:cs="Arial" w:eastAsia="Arial" w:hAnsi="Arial"/>
                <w:sz w:val="9"/>
                <w:szCs w:val="9"/>
                <w:color w:val="auto"/>
              </w:rPr>
              <w:t>(1)</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Money</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300,027</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300,027</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funds</w:t>
            </w: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40" w:type="dxa"/>
            <w:vAlign w:val="bottom"/>
          </w:tcPr>
          <w:p>
            <w:pPr>
              <w:ind w:left="680"/>
              <w:spacing w:after="0" w:line="156" w:lineRule="exact"/>
              <w:rPr>
                <w:sz w:val="20"/>
                <w:szCs w:val="20"/>
                <w:color w:val="auto"/>
              </w:rPr>
            </w:pPr>
            <w:r>
              <w:rPr>
                <w:rFonts w:ascii="Arial" w:cs="Arial" w:eastAsia="Arial" w:hAnsi="Arial"/>
                <w:sz w:val="18"/>
                <w:szCs w:val="18"/>
                <w:color w:val="auto"/>
              </w:rPr>
              <w:t>Total</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300,027</w:t>
            </w:r>
          </w:p>
        </w:tc>
        <w:tc>
          <w:tcPr>
            <w:tcW w:w="100" w:type="dxa"/>
            <w:vAlign w:val="bottom"/>
          </w:tcPr>
          <w:p>
            <w:pPr>
              <w:spacing w:after="0"/>
              <w:rPr>
                <w:sz w:val="13"/>
                <w:szCs w:val="13"/>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300,027</w:t>
            </w:r>
          </w:p>
        </w:tc>
        <w:tc>
          <w:tcPr>
            <w:tcW w:w="100" w:type="dxa"/>
            <w:vAlign w:val="bottom"/>
          </w:tcPr>
          <w:p>
            <w:pPr>
              <w:spacing w:after="0"/>
              <w:rPr>
                <w:sz w:val="13"/>
                <w:szCs w:val="13"/>
                <w:color w:val="auto"/>
              </w:rPr>
            </w:pPr>
          </w:p>
        </w:tc>
        <w:tc>
          <w:tcPr>
            <w:tcW w:w="62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40" w:type="dxa"/>
            <w:vAlign w:val="bottom"/>
          </w:tcPr>
          <w:p>
            <w:pPr>
              <w:ind w:left="360"/>
              <w:spacing w:after="0" w:line="202" w:lineRule="exact"/>
              <w:rPr>
                <w:sz w:val="20"/>
                <w:szCs w:val="20"/>
                <w:color w:val="auto"/>
              </w:rPr>
            </w:pPr>
            <w:r>
              <w:rPr>
                <w:rFonts w:ascii="Arial" w:cs="Arial" w:eastAsia="Arial" w:hAnsi="Arial"/>
                <w:sz w:val="18"/>
                <w:szCs w:val="18"/>
                <w:color w:val="auto"/>
              </w:rPr>
              <w:t>assets</w:t>
            </w:r>
          </w:p>
        </w:tc>
        <w:tc>
          <w:tcPr>
            <w:tcW w:w="5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2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Included in “Cash and cash equivalents” on the consolidated balance sheets.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the levels of the fair value hierarchy during the periods presented.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changes in strategic investments, which are Level 3 within the fair value hierarchy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 Ended January 31</w:t>
            </w:r>
          </w:p>
        </w:tc>
      </w:tr>
      <w:tr>
        <w:trPr>
          <w:trHeight w:val="223"/>
        </w:trPr>
        <w:tc>
          <w:tcPr>
            <w:tcW w:w="76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7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initial cost</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gains due to changes in fair value</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Carrying value</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changes in the redeemable convertible preferred stock warrant liability, which is classified as a Level 3 instrument: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Year Ended January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175"/>
        </w:trPr>
        <w:tc>
          <w:tcPr>
            <w:tcW w:w="6640" w:type="dxa"/>
            <w:vAlign w:val="bottom"/>
          </w:tcPr>
          <w:p>
            <w:pPr>
              <w:ind w:left="20"/>
              <w:spacing w:after="0" w:line="176" w:lineRule="exact"/>
              <w:rPr>
                <w:sz w:val="20"/>
                <w:szCs w:val="20"/>
                <w:color w:val="auto"/>
              </w:rPr>
            </w:pPr>
            <w:r>
              <w:rPr>
                <w:rFonts w:ascii="Arial" w:cs="Arial" w:eastAsia="Arial" w:hAnsi="Arial"/>
                <w:sz w:val="18"/>
                <w:szCs w:val="18"/>
                <w:color w:val="auto"/>
                <w:w w:val="92"/>
              </w:rPr>
              <w:t>Adjustment resulting from change in fair value recognized in the consolidated statement of</w:t>
            </w:r>
          </w:p>
        </w:tc>
        <w:tc>
          <w:tcPr>
            <w:tcW w:w="1100" w:type="dxa"/>
            <w:vAlign w:val="bottom"/>
          </w:tcPr>
          <w:p>
            <w:pPr>
              <w:spacing w:after="0"/>
              <w:rPr>
                <w:sz w:val="15"/>
                <w:szCs w:val="15"/>
                <w:color w:val="auto"/>
              </w:rPr>
            </w:pPr>
          </w:p>
        </w:tc>
        <w:tc>
          <w:tcPr>
            <w:tcW w:w="5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20" w:type="dxa"/>
            <w:vAlign w:val="bottom"/>
            <w:gridSpan w:val="2"/>
            <w:vMerge w:val="restart"/>
          </w:tcPr>
          <w:p>
            <w:pPr>
              <w:ind w:left="8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1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Reclassification of redeemable convertible preferred stock warrant liability to additional</w:t>
            </w:r>
          </w:p>
        </w:tc>
        <w:tc>
          <w:tcPr>
            <w:tcW w:w="110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paid-in capital upon IPO</w:t>
            </w:r>
          </w:p>
        </w:tc>
        <w:tc>
          <w:tcPr>
            <w:tcW w:w="11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contractual term. A loss of $6.0 million was recorded as a component of Other income (expense), net, because of the remeasurement of the redeemable convertible preferred stock warrant liability during the fiscal year ended January 31, 2020.</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auto"/>
              </w:rPr>
              <w:t>4. Balance Sheet Components</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tcPr>
          <w:p>
            <w:pPr>
              <w:ind w:left="500"/>
              <w:spacing w:after="0"/>
              <w:rPr>
                <w:sz w:val="20"/>
                <w:szCs w:val="20"/>
                <w:color w:val="auto"/>
              </w:rPr>
            </w:pPr>
            <w:r>
              <w:rPr>
                <w:rFonts w:ascii="Arial" w:cs="Arial" w:eastAsia="Arial" w:hAnsi="Arial"/>
                <w:sz w:val="18"/>
                <w:szCs w:val="18"/>
                <w:color w:val="auto"/>
                <w:w w:val="98"/>
              </w:rPr>
              <w:t>Prepaid expenses and other current assets consisted of the following (in thousands):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January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software licenses</w:t>
            </w: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0" w:type="dxa"/>
            <w:vAlign w:val="bottom"/>
          </w:tcPr>
          <w:p>
            <w:pPr>
              <w:spacing w:after="0"/>
              <w:rPr>
                <w:sz w:val="1"/>
                <w:szCs w:val="1"/>
                <w:color w:val="auto"/>
              </w:rPr>
            </w:pPr>
          </w:p>
        </w:tc>
      </w:tr>
      <w:tr>
        <w:trPr>
          <w:trHeight w:val="229"/>
        </w:trPr>
        <w:tc>
          <w:tcPr>
            <w:tcW w:w="7180" w:type="dxa"/>
            <w:vAlign w:val="bottom"/>
          </w:tcPr>
          <w:p>
            <w:pPr>
              <w:ind w:left="5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marketing</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w:t>
            </w:r>
          </w:p>
        </w:tc>
        <w:tc>
          <w:tcPr>
            <w:tcW w:w="0" w:type="dxa"/>
            <w:vAlign w:val="bottom"/>
          </w:tcPr>
          <w:p>
            <w:pPr>
              <w:spacing w:after="0"/>
              <w:rPr>
                <w:sz w:val="1"/>
                <w:szCs w:val="1"/>
                <w:color w:val="auto"/>
              </w:rPr>
            </w:pPr>
          </w:p>
        </w:tc>
      </w:tr>
      <w:tr>
        <w:trPr>
          <w:trHeight w:val="230"/>
        </w:trPr>
        <w:tc>
          <w:tcPr>
            <w:tcW w:w="718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hosting services</w:t>
            </w: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0" w:type="dxa"/>
            <w:vAlign w:val="bottom"/>
          </w:tcPr>
          <w:p>
            <w:pPr>
              <w:spacing w:after="0"/>
              <w:rPr>
                <w:sz w:val="1"/>
                <w:szCs w:val="1"/>
                <w:color w:val="auto"/>
              </w:rPr>
            </w:pPr>
          </w:p>
        </w:tc>
      </w:tr>
      <w:tr>
        <w:trPr>
          <w:trHeight w:val="223"/>
        </w:trPr>
        <w:tc>
          <w:tcPr>
            <w:tcW w:w="718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79,352</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53,617</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80" w:type="dxa"/>
            <w:vAlign w:val="bottom"/>
          </w:tcPr>
          <w:p>
            <w:pPr>
              <w:ind w:left="3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January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 center and other computer equipment</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198,297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146,220</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Arial" w:cs="Arial" w:eastAsia="Arial" w:hAnsi="Arial"/>
                <w:sz w:val="18"/>
                <w:szCs w:val="18"/>
                <w:color w:val="auto"/>
              </w:rPr>
              <w:t>Capitalized internal-use software and website development costs</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70,476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44,358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22,029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19,733</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Furniture and equipment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Construction in process</w:t>
            </w: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99,030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35,528</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402,355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255,548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(141,778)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(88,534)</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260,577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Construction in process mainly includes data center equipment purchased that has not yet been placed in service. Data center equipment that was purchased but not yet been placed into service was $89.8 million and $30.0 million as of January 31, 2022 and January 31, 2021, respectively.</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Depreciation and amortization expense of property and equipment was $54.4 million, $38.7 million, and $23.0 million, during the fiscal years ended January 31, 2022, January 31, 2021, and January 31, 2020, respectively.</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There were no impairments for property and equipment during the fiscal years ended January 31, 2022, January 31, 2021, and January 31, 2020. The Company capitalized $30.7 million, $14.0 million, and $8.1 million in internal-use software and website development costs during the fiscal years ended January 31, 2022, January 31, 2021, and January 31, 2020, respectively. Amortization expense associated with internal-use software and website development costs totaled $12.4 million, $7.9 million and $6.2 million during the fiscal years ended January 31, 2022, January 31, 2021, and January 31, 2020, respectively. The net book value of capitalized internal-use software and website development costs was $38.6 million and $19.5 million as of January 31, 2022 and January 31, 2021,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Intangible Assets, Net</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00" w:type="dxa"/>
            <w:vAlign w:val="bottom"/>
            <w:gridSpan w:val="6"/>
          </w:tcPr>
          <w:p>
            <w:pPr>
              <w:ind w:left="340"/>
              <w:spacing w:after="0"/>
              <w:rPr>
                <w:sz w:val="20"/>
                <w:szCs w:val="20"/>
                <w:color w:val="auto"/>
              </w:rPr>
            </w:pPr>
            <w:r>
              <w:rPr>
                <w:rFonts w:ascii="Arial" w:cs="Arial" w:eastAsia="Arial" w:hAnsi="Arial"/>
                <w:sz w:val="18"/>
                <w:szCs w:val="18"/>
                <w:color w:val="auto"/>
                <w:w w:val="98"/>
              </w:rPr>
              <w:t>Total intangible assets, net consisted of the following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4"/>
              </w:rPr>
              <w:t>January 31, 2022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2200" w:type="dxa"/>
            <w:vAlign w:val="bottom"/>
            <w:gridSpan w:val="5"/>
            <w:vMerge w:val="restart"/>
          </w:tcPr>
          <w:p>
            <w:pPr>
              <w:jc w:val="right"/>
              <w:ind w:right="560"/>
              <w:spacing w:after="0"/>
              <w:rPr>
                <w:sz w:val="20"/>
                <w:szCs w:val="20"/>
                <w:color w:val="auto"/>
              </w:rPr>
            </w:pPr>
            <w:r>
              <w:rPr>
                <w:rFonts w:ascii="Arial" w:cs="Arial" w:eastAsia="Arial" w:hAnsi="Arial"/>
                <w:sz w:val="18"/>
                <w:szCs w:val="18"/>
                <w:b w:val="1"/>
                <w:bCs w:val="1"/>
                <w:color w:val="auto"/>
              </w:rPr>
              <w:t>Gross Carrying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22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Net 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22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9"/>
                <w:szCs w:val="19"/>
                <w:color w:val="auto"/>
              </w:rPr>
            </w:pPr>
          </w:p>
        </w:tc>
        <w:tc>
          <w:tcPr>
            <w:tcW w:w="158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6"/>
              </w:rPr>
              <w:t>Amortization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(in months)</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85,668</w:t>
            </w:r>
          </w:p>
        </w:tc>
        <w:tc>
          <w:tcPr>
            <w:tcW w:w="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10,072</w:t>
            </w:r>
          </w:p>
        </w:tc>
        <w:tc>
          <w:tcPr>
            <w:tcW w:w="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acquired intangible assets</w:t>
            </w:r>
          </w:p>
        </w:tc>
        <w:tc>
          <w:tcPr>
            <w:tcW w:w="6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Borders>
              <w:bottom w:val="single" w:sz="8" w:color="auto"/>
            </w:tcBorders>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100" w:type="dxa"/>
            <w:vAlign w:val="bottom"/>
          </w:tcPr>
          <w:p>
            <w:pPr>
              <w:ind w:left="48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97,336</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January 31, 2021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3"/>
              </w:rPr>
              <w:t>Gross Carrying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Remaining Useful</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Amortization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months)</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14,513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3,120</w:t>
            </w:r>
          </w:p>
        </w:tc>
        <w:tc>
          <w:tcPr>
            <w:tcW w:w="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acquired intangible assets</w:t>
            </w:r>
          </w:p>
        </w:tc>
        <w:tc>
          <w:tcPr>
            <w:tcW w:w="6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4100" w:type="dxa"/>
            <w:vAlign w:val="bottom"/>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18,681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3,004</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Amortization expense of intangible assets was $12.9 million, $1.4 million, and $0.5 million, during the fiscal years ended January 31, 2022,</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January 31, 2021, and January 31, 2020, respectively. Amortization expense of other acquired intangible assets is recorded within cost of revenue, research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 and general and administrative expense in the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340"/>
              <w:spacing w:after="0"/>
              <w:rPr>
                <w:sz w:val="20"/>
                <w:szCs w:val="20"/>
                <w:color w:val="auto"/>
              </w:rPr>
            </w:pPr>
            <w:r>
              <w:rPr>
                <w:rFonts w:ascii="Arial" w:cs="Arial" w:eastAsia="Arial" w:hAnsi="Arial"/>
                <w:sz w:val="18"/>
                <w:szCs w:val="18"/>
                <w:color w:val="auto"/>
                <w:w w:val="90"/>
              </w:rPr>
              <w:t>The estimated aggregate future amortization expense of intangible assets as of January 31, 2022 is as follows (in thousands):</w:t>
            </w: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9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23"/>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2023</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Fiscal 2024</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15,608</w:t>
            </w:r>
          </w:p>
        </w:tc>
      </w:tr>
      <w:tr>
        <w:trPr>
          <w:trHeight w:val="229"/>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2025</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15,524</w:t>
            </w: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Fiscal 2026</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14,437</w:t>
            </w:r>
          </w:p>
        </w:tc>
      </w:tr>
      <w:tr>
        <w:trPr>
          <w:trHeight w:val="23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2027</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r>
      <w:tr>
        <w:trPr>
          <w:trHeight w:val="230"/>
        </w:trPr>
        <w:tc>
          <w:tcPr>
            <w:tcW w:w="9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23,206</w:t>
            </w:r>
          </w:p>
        </w:tc>
      </w:tr>
      <w:tr>
        <w:trPr>
          <w:trHeight w:val="248"/>
        </w:trPr>
        <w:tc>
          <w:tcPr>
            <w:tcW w:w="9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developed technology, customer relationships, and other acquired intangible assets are amortized over their estimated useful lives, generally on a straight-line basis for periods ranging from 2 to 20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Goodwill</w:t>
            </w: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400" w:type="dxa"/>
            <w:vAlign w:val="bottom"/>
          </w:tcPr>
          <w:p>
            <w:pPr>
              <w:ind w:left="340"/>
              <w:spacing w:after="0"/>
              <w:rPr>
                <w:sz w:val="20"/>
                <w:szCs w:val="20"/>
                <w:color w:val="auto"/>
              </w:rPr>
            </w:pPr>
            <w:r>
              <w:rPr>
                <w:rFonts w:ascii="Arial" w:cs="Arial" w:eastAsia="Arial" w:hAnsi="Arial"/>
                <w:sz w:val="18"/>
                <w:szCs w:val="18"/>
                <w:color w:val="auto"/>
              </w:rPr>
              <w:t>The changes in goodwill during the fiscal year ended January 31, 2022 consisted of the following (in thousands):</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7"/>
        </w:trPr>
        <w:tc>
          <w:tcPr>
            <w:tcW w:w="94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Amounts</w:t>
            </w:r>
          </w:p>
        </w:tc>
      </w:tr>
      <w:tr>
        <w:trPr>
          <w:trHeight w:val="223"/>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as of January 31, 2021</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83,566</w:t>
            </w:r>
          </w:p>
        </w:tc>
      </w:tr>
      <w:tr>
        <w:trPr>
          <w:trHeight w:val="230"/>
        </w:trPr>
        <w:tc>
          <w:tcPr>
            <w:tcW w:w="9400" w:type="dxa"/>
            <w:vAlign w:val="bottom"/>
          </w:tcPr>
          <w:p>
            <w:pPr>
              <w:ind w:left="460"/>
              <w:spacing w:after="0" w:line="230" w:lineRule="exact"/>
              <w:rPr>
                <w:sz w:val="20"/>
                <w:szCs w:val="20"/>
                <w:color w:val="auto"/>
              </w:rPr>
            </w:pPr>
            <w:r>
              <w:rPr>
                <w:rFonts w:ascii="Arial" w:cs="Arial" w:eastAsia="Arial" w:hAnsi="Arial"/>
                <w:sz w:val="18"/>
                <w:szCs w:val="18"/>
                <w:color w:val="auto"/>
              </w:rPr>
              <w:t>Goodwill acquired</w:t>
            </w:r>
            <w:r>
              <w:rPr>
                <w:rFonts w:ascii="Arial" w:cs="Arial" w:eastAsia="Arial" w:hAnsi="Arial"/>
                <w:sz w:val="23"/>
                <w:szCs w:val="23"/>
                <w:color w:val="auto"/>
                <w:vertAlign w:val="superscript"/>
              </w:rPr>
              <w:t>(1)</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334,294</w:t>
            </w:r>
          </w:p>
        </w:tc>
      </w:tr>
      <w:tr>
        <w:trPr>
          <w:trHeight w:val="229"/>
        </w:trPr>
        <w:tc>
          <w:tcPr>
            <w:tcW w:w="94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3"/>
        </w:trPr>
        <w:tc>
          <w:tcPr>
            <w:tcW w:w="9400" w:type="dxa"/>
            <w:vAlign w:val="bottom"/>
          </w:tcPr>
          <w:p>
            <w:pPr>
              <w:ind w:left="360"/>
              <w:spacing w:after="0"/>
              <w:rPr>
                <w:sz w:val="20"/>
                <w:szCs w:val="20"/>
                <w:color w:val="auto"/>
              </w:rPr>
            </w:pPr>
            <w:r>
              <w:rPr>
                <w:rFonts w:ascii="Arial" w:cs="Arial" w:eastAsia="Arial" w:hAnsi="Arial"/>
                <w:sz w:val="18"/>
                <w:szCs w:val="18"/>
                <w:color w:val="auto"/>
              </w:rPr>
              <w:t>Goodwill as of January 31, 2022</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416,445</w:t>
            </w:r>
          </w:p>
        </w:tc>
      </w:tr>
      <w:tr>
        <w:trPr>
          <w:trHeight w:val="21"/>
        </w:trPr>
        <w:tc>
          <w:tcPr>
            <w:tcW w:w="9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w:t>
      </w:r>
    </w:p>
    <w:p>
      <w:pPr>
        <w:spacing w:after="0" w:line="12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Goodwill acquired resulted from the acquisition of Humio and SecureCircle. Refer to Note 14, Acquisitions, for additional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Other Assets, Noncurrent</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20" w:type="dxa"/>
            <w:vAlign w:val="bottom"/>
            <w:gridSpan w:val="2"/>
          </w:tcPr>
          <w:p>
            <w:pPr>
              <w:ind w:left="340"/>
              <w:spacing w:after="0"/>
              <w:rPr>
                <w:sz w:val="20"/>
                <w:szCs w:val="20"/>
                <w:color w:val="auto"/>
              </w:rPr>
            </w:pPr>
            <w:r>
              <w:rPr>
                <w:rFonts w:ascii="Arial" w:cs="Arial" w:eastAsia="Arial" w:hAnsi="Arial"/>
                <w:sz w:val="18"/>
                <w:szCs w:val="18"/>
                <w:color w:val="auto"/>
              </w:rPr>
              <w:t>Other assets, noncurrent consisted of the following (in thousands):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Deferred income tax asset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finance cost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Deposits</w:t>
            </w:r>
          </w:p>
        </w:tc>
        <w:tc>
          <w:tcPr>
            <w:tcW w:w="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2,576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 noncurrent</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25,346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Accrued Expenses</w:t>
            </w: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5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ind w:left="340"/>
              <w:spacing w:after="0"/>
              <w:rPr>
                <w:sz w:val="20"/>
                <w:szCs w:val="20"/>
                <w:color w:val="auto"/>
              </w:rPr>
            </w:pPr>
            <w:r>
              <w:rPr>
                <w:rFonts w:ascii="Arial" w:cs="Arial" w:eastAsia="Arial" w:hAnsi="Arial"/>
                <w:sz w:val="18"/>
                <w:szCs w:val="18"/>
                <w:color w:val="auto"/>
              </w:rPr>
              <w:t>Accrued expenses consisted of the following (in thousands):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Web hosting services</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Other accrued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legal and accounting</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Accrued purchases of property and equipment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interest expense</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Accrued marketing</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b w:val="1"/>
                <w:bCs w:val="1"/>
                <w:i w:val="1"/>
                <w:iCs w:val="1"/>
                <w:color w:val="auto"/>
              </w:rPr>
              <w:t>Accrued Payroll and Benefits</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5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ind w:left="340"/>
              <w:spacing w:after="0"/>
              <w:rPr>
                <w:sz w:val="20"/>
                <w:szCs w:val="20"/>
                <w:color w:val="auto"/>
              </w:rPr>
            </w:pPr>
            <w:r>
              <w:rPr>
                <w:rFonts w:ascii="Arial" w:cs="Arial" w:eastAsia="Arial" w:hAnsi="Arial"/>
                <w:sz w:val="18"/>
                <w:szCs w:val="18"/>
                <w:color w:val="auto"/>
              </w:rPr>
              <w:t>Accrued payroll and benefits consisted of the following (in thousands):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5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commissions</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w:t>
            </w: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Accrued payroll and related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bonuses</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Employee Stock Purchase Plan</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w:t>
            </w: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Accrued payroll and benefits</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71,907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April 2020, the Company began deferring payment on its share of payroll taxes owed, as permitted by the CARES Act, through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2022, the Company had deferred $5.1 million of payroll taxes in other current liabilities.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Other Current Liabilities</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8"/>
        </w:trPr>
        <w:tc>
          <w:tcPr>
            <w:tcW w:w="8080" w:type="dxa"/>
            <w:vAlign w:val="bottom"/>
          </w:tcPr>
          <w:p>
            <w:pPr>
              <w:ind w:left="34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0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2"/>
                <w:szCs w:val="22"/>
                <w:color w:val="auto"/>
              </w:rPr>
            </w:pPr>
          </w:p>
        </w:tc>
      </w:tr>
      <w:tr>
        <w:trPr>
          <w:trHeight w:val="223"/>
        </w:trPr>
        <w:tc>
          <w:tcPr>
            <w:tcW w:w="80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34"/>
        </w:trPr>
        <w:tc>
          <w:tcPr>
            <w:tcW w:w="8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Income tax payable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2,639</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deposits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24,929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Revolving Credit Facility</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8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64"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w:t>
      </w:r>
    </w:p>
    <w:p>
      <w:pPr>
        <w:spacing w:after="0" w:line="1" w:lineRule="exact"/>
        <w:rPr>
          <w:sz w:val="20"/>
          <w:szCs w:val="20"/>
          <w:color w:val="auto"/>
        </w:rPr>
      </w:pPr>
    </w:p>
    <w:p>
      <w:pPr>
        <w:ind w:right="120" w:firstLine="8"/>
        <w:spacing w:after="0" w:line="298" w:lineRule="auto"/>
        <w:tabs>
          <w:tab w:leader="none" w:pos="24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Term Secured Overnight Finance Rate (the “Term SOFR”) for a one-month tenor in effect on such day plus 1.00%, in each case plus a margin between (0.25)% and 0.25%, depending on the senior secured leverage ratio. The Company will be charged a commitment fee of 0.15% to 0.25% per year</w:t>
      </w:r>
    </w:p>
    <w:p>
      <w:pPr>
        <w:spacing w:after="0" w:line="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for committed but unused amounts, depending on the senior 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the financial covenants as of January 31, 2022.</w:t>
      </w:r>
    </w:p>
    <w:p>
      <w:pPr>
        <w:spacing w:after="0" w:line="162" w:lineRule="exact"/>
        <w:rPr>
          <w:sz w:val="20"/>
          <w:szCs w:val="20"/>
          <w:color w:val="auto"/>
        </w:rPr>
      </w:pPr>
    </w:p>
    <w:p>
      <w:pPr>
        <w:ind w:right="300" w:firstLine="324"/>
        <w:spacing w:after="0" w:line="242" w:lineRule="auto"/>
        <w:rPr>
          <w:sz w:val="20"/>
          <w:szCs w:val="20"/>
          <w:color w:val="auto"/>
        </w:rPr>
      </w:pPr>
      <w:r>
        <w:rPr>
          <w:rFonts w:ascii="Arial" w:cs="Arial" w:eastAsia="Arial" w:hAnsi="Arial"/>
          <w:sz w:val="17"/>
          <w:szCs w:val="17"/>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amounts were outstanding under the Amended A&amp;R Credit Agreement as of January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January 20, 2021, the Company issued $750.0 million in aggregate principal amount of 3.00% Senior Notes maturing in February 2029. The Senior</w:t>
      </w:r>
    </w:p>
    <w:p>
      <w:pPr>
        <w:spacing w:after="0" w:line="7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to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66" w:lineRule="exact"/>
        <w:rPr>
          <w:sz w:val="20"/>
          <w:szCs w:val="20"/>
          <w:color w:val="auto"/>
        </w:rPr>
      </w:pPr>
    </w:p>
    <w:p>
      <w:pPr>
        <w:jc w:val="both"/>
        <w:ind w:right="560" w:firstLine="324"/>
        <w:spacing w:after="0" w:line="255" w:lineRule="auto"/>
        <w:rPr>
          <w:sz w:val="20"/>
          <w:szCs w:val="20"/>
          <w:color w:val="auto"/>
        </w:rPr>
      </w:pPr>
      <w:r>
        <w:rPr>
          <w:rFonts w:ascii="Arial" w:cs="Arial" w:eastAsia="Arial" w:hAnsi="Arial"/>
          <w:sz w:val="18"/>
          <w:szCs w:val="18"/>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w:t>
      </w:r>
    </w:p>
    <w:p>
      <w:pPr>
        <w:spacing w:after="0" w:line="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costs and accretion of debt discount was $24.0 million and $0.8 million, respectively, during the fiscal year ended January 31, 2022 and January 31, 2021, respectively.</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84"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January 31, 2022, the Company was in compliance with all of its financial covenants under the Indenture associated with the Senior Notes.</w:t>
      </w:r>
    </w:p>
    <w:p>
      <w:pPr>
        <w:spacing w:after="0" w:line="237"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Based on the trading prices of the Senior Notes, the fair value of the Senior Notes as of January 31, 2022 was approximately $708.7 million. While the Senior Notes are recorded at cost, the fair value of the Senior Notes was determined based on quoted prices in markets that are not active; accordingly, the Senior Notes is categorized as Level 2 for purposes of the fair value measurement hierarchy.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225"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The Company’s geographical breakdown of its loss before provision for income taxes for the fiscal years ended January 31, 2022, January 31, 2021, and January 31, 2020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6"/>
              </w:rPr>
              <w:t>Year Ended January 31,</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34"/>
        </w:trPr>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Domestic</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(149,807)</w:t>
            </w:r>
          </w:p>
        </w:tc>
      </w:tr>
      <w:tr>
        <w:trPr>
          <w:trHeight w:val="23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10,025</w:t>
            </w:r>
          </w:p>
        </w:tc>
      </w:tr>
      <w:tr>
        <w:trPr>
          <w:trHeight w:val="248"/>
        </w:trPr>
        <w:tc>
          <w:tcPr>
            <w:tcW w:w="5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before provision for income taxes</w:t>
            </w: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firstLine="324"/>
        <w:spacing w:after="0" w:line="271" w:lineRule="auto"/>
        <w:rPr>
          <w:sz w:val="20"/>
          <w:szCs w:val="20"/>
          <w:color w:val="auto"/>
        </w:rPr>
      </w:pPr>
      <w:r>
        <w:rPr>
          <w:rFonts w:ascii="Arial" w:cs="Arial" w:eastAsia="Arial" w:hAnsi="Arial"/>
          <w:sz w:val="18"/>
          <w:szCs w:val="18"/>
          <w:color w:val="auto"/>
        </w:rPr>
        <w:t>The components of the provision for income taxes during the fiscal years ended January 31, 2022, January 31, 2021, and January 31,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Year Ended January 31,</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34"/>
        </w:trPr>
        <w:tc>
          <w:tcPr>
            <w:tcW w:w="5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Current</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85,700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w:t>
            </w:r>
          </w:p>
        </w:tc>
      </w:tr>
      <w:tr>
        <w:trPr>
          <w:trHeight w:val="223"/>
        </w:trPr>
        <w:tc>
          <w:tcPr>
            <w:tcW w:w="5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r>
      <w:tr>
        <w:trPr>
          <w:trHeight w:val="209"/>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Deferred</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5700" w:type="dxa"/>
            <w:vAlign w:val="bottom"/>
          </w:tcPr>
          <w:p>
            <w:pPr>
              <w:ind w:left="360"/>
              <w:spacing w:after="0"/>
              <w:rPr>
                <w:sz w:val="20"/>
                <w:szCs w:val="20"/>
                <w:color w:val="auto"/>
              </w:rPr>
            </w:pPr>
            <w:r>
              <w:rPr>
                <w:rFonts w:ascii="Arial" w:cs="Arial" w:eastAsia="Arial" w:hAnsi="Arial"/>
                <w:sz w:val="18"/>
                <w:szCs w:val="18"/>
                <w:color w:val="auto"/>
              </w:rPr>
              <w:t>State</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57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deferred</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48"/>
        </w:trPr>
        <w:tc>
          <w:tcPr>
            <w:tcW w:w="5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firstLine="324"/>
        <w:spacing w:after="0" w:line="271" w:lineRule="auto"/>
        <w:rPr>
          <w:sz w:val="20"/>
          <w:szCs w:val="20"/>
          <w:color w:val="auto"/>
        </w:rPr>
      </w:pPr>
      <w:r>
        <w:rPr>
          <w:rFonts w:ascii="Arial" w:cs="Arial" w:eastAsia="Arial" w:hAnsi="Arial"/>
          <w:sz w:val="18"/>
          <w:szCs w:val="18"/>
          <w:color w:val="auto"/>
        </w:rPr>
        <w:t>The following table provides a reconciliation between income taxes computed at the federal statutory rate and the provision for income taxes during the fiscal years ended January 31, 2022, January 31, 2021, and January 31,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9"/>
              </w:rPr>
              <w:t>As of January 31,</w:t>
            </w: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56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34"/>
        </w:trPr>
        <w:tc>
          <w:tcPr>
            <w:tcW w:w="5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 at statutory rate</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(29,354)</w:t>
            </w: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State income taxes, net of federal benefits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tax rate differential</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Research and other credits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(145,964)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(140,489)</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(43,477)</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Non-deductible expenses</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unrecognized tax benefits</w:t>
            </w:r>
          </w:p>
        </w:tc>
        <w:tc>
          <w:tcPr>
            <w:tcW w:w="6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210,680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168,869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77,016</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impact of restructuring</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Company recognized an income tax expense of $72.4 million, $4.8 million, and $2.0 million for the fiscal years January 31, 2022, January 31, 2021 and January 31, 2020, respectively. The tax expense for the fiscal years ended January 31, 2021 and January 31, 2020 was primarily attributable to pre-tax foreign earnings and withholding taxes related to customer payments in certain foreign jurisdictions in which the Company conducts business. The tax expense for the fiscal year ended January 31, 2022 was primarily attributable to pre-tax foreign earnings and the intercompany sale of intellectual property from Humio. The Company transferred acquired intellectual property from the foreign subsidiary to the U.S. Although the transfer of the intellectual property between consolidated entities did not result in any gain in the consolidated statement of operations, the Company generated a taxable gain in the foreign jurisdiction resulting in an additional tax expense of $57.2 million.</w:t>
      </w:r>
    </w:p>
    <w:p>
      <w:pPr>
        <w:spacing w:after="0" w:line="17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Significant components of the Company’s deferred tax assets and liabilities as of January 31, 2022 and January 31, 2021 are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January 31,</w:t>
            </w:r>
          </w:p>
        </w:tc>
        <w:tc>
          <w:tcPr>
            <w:tcW w:w="980" w:type="dxa"/>
            <w:vAlign w:val="bottom"/>
            <w:tcBorders>
              <w:bottom w:val="single" w:sz="8" w:color="auto"/>
            </w:tcBorders>
          </w:tcPr>
          <w:p>
            <w:pPr>
              <w:spacing w:after="0"/>
              <w:rPr>
                <w:sz w:val="20"/>
                <w:szCs w:val="20"/>
                <w:color w:val="auto"/>
              </w:rPr>
            </w:pPr>
          </w:p>
        </w:tc>
      </w:tr>
      <w:tr>
        <w:trPr>
          <w:trHeight w:val="223"/>
        </w:trPr>
        <w:tc>
          <w:tcPr>
            <w:tcW w:w="74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2021</w:t>
            </w:r>
          </w:p>
        </w:tc>
      </w:tr>
      <w:tr>
        <w:trPr>
          <w:trHeight w:val="34"/>
        </w:trPr>
        <w:tc>
          <w:tcPr>
            <w:tcW w:w="7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Deferred tax assets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428,238</w:t>
            </w:r>
          </w:p>
        </w:tc>
        <w:tc>
          <w:tcPr>
            <w:tcW w:w="12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289,889</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other credit carryforwards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22,778</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61,008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34,425</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21,595</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10,718</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research and development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154,625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63,158</w:t>
            </w:r>
          </w:p>
        </w:tc>
      </w:tr>
      <w:tr>
        <w:trPr>
          <w:trHeight w:val="229"/>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deferred assets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795,245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436,083</w:t>
            </w:r>
          </w:p>
        </w:tc>
      </w:tr>
      <w:tr>
        <w:trPr>
          <w:trHeight w:val="229"/>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Valuation allowance</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(770,861)</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(413,828)</w:t>
            </w:r>
          </w:p>
        </w:tc>
      </w:tr>
      <w:tr>
        <w:trPr>
          <w:trHeight w:val="223"/>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b w:val="1"/>
                <w:bCs w:val="1"/>
                <w:color w:val="auto"/>
              </w:rPr>
              <w:t>Deferred tax liabilities</w:t>
            </w: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Capitalized Commissions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(2,960)</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6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Operating right-of-use assets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(9,610)</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6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6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(19,657)</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(21,015)</w:t>
            </w:r>
          </w:p>
        </w:tc>
      </w:tr>
      <w:tr>
        <w:trPr>
          <w:trHeight w:val="248"/>
        </w:trPr>
        <w:tc>
          <w:tcPr>
            <w:tcW w:w="74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Net deferred tax assets (liabilities)</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At each reporting date, the Company has established a valuation allowance against its U.S. net deferred tax assets due to the uncertainty surrounding the realization of those assets. During the fiscal year ended January 31, 2020, the Company has established a valuation allowance against its net U.K. deferred tax assets due to uncertainty surrounding the realization of those assets. The Company periodically evaluates the recoverability of the deferred tax assets and, when it is determined to be more-likely-than-not that the deferred tax assets are realizable, the valuation allowance is reduced. During the fiscal years ended January 31, 2022, January 31, 2021, and January 31, 2020, the valuation allowance increased by $357.0 million, $206.2 million, and $87.2 million, respectively. The increase in the valuation allowance during the fiscal years ended January 31, 2022, January 31, 2021 and January 31, 2020 was primarily driven by losses generated in the United States and United Kingdom. As of January 31, 2022, January 31, 2021, and January 31, 2020 the valuation allowance for deferred taxes balance was $770.9 million, $413.8 million, and $207.6 million, respectively.</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January 31, 2022, the Company had aggregate federal and California net operating loss carryforwards of $1.6 billion and $168.9 million, respectively, which may be available to offset future taxable income for income tax purposes. The federal and California net operating loss carryforwards begin to expire in fiscal 2031 through fiscal 2042. In addition, for federal losses generated after December 31, 2017, the Tax Cuts and Jobs Act of 2017 (“Tax Act”) modified the maximum deduction of net operating loss, eliminated carryback, and provided an indefinite carryforward. As of January 31, 2022, net operating loss carryforwards for other states total $868.0 million which begin to expire in fiscal 2023 through fiscal 2042. As of January 31, 2022, net operating loss carryforwards for United Kingdom total $81.1 million which are carried forward indefinitely.</w:t>
      </w:r>
    </w:p>
    <w:p>
      <w:pPr>
        <w:spacing w:after="0" w:line="178"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January 31, 2022, the Company had federal and California research and development credit (“R&amp;D credit”) carryforwards of $65.6 million and $13.7 million, respectively. The federal R&amp;D credit carryforwards will begin to expire in fiscal 2035 though fiscal 2042. The California R&amp;D credits are carried forward indefinitely.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Realization of these net operating loss and research and development credit carryforwards depends on future income, and there is a risk that the Company’s existing carryforwards could expire unused and be unavailable to offset future income tax liabilities.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Internal Revenue Code imposes limitations on a corporation’s ability to utilize net operating loss (“NOLs”) and credit carryovers if it experiences an ownership change as defined in Section 382. 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 The Company’s net operating losses and credit carryovers are not currently subject to a limitation due to an ownership change.</w:t>
      </w:r>
    </w:p>
    <w:p>
      <w:pPr>
        <w:spacing w:after="0" w:line="18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The total gross unrecognized tax benefit as of January 31, 2022, January 31, 2021 and January 31, 2020 were $26.3 million, $24.4 million, and $5.5 million, respectively. As of January 31, 2022, the Company had $1.9 million of unrecognized tax benefits, which, if recognized, would affect the Company’s effective tax rate. The Company’s policy is to classify interest and penalties related to unrecognized tax benefits as part of the income tax provision in the consolidated statements of operations. The Company had incurred insignificant amounts of interest and penalties related to unrecognized tax benefits as of January 31, 2022 and did not accrue interest and penalties in prior periods. During the fiscal years ended January 31, 2022 and 2021, the net increase in uncertain tax benefits was a result of research and development credits. During the fiscal year ended January 31, 2020, the uncertain tax benefits balance decreased due to the application of IRS directive in determining the research credit. The potential change in unrecognized tax benefits during the next 12 months is not expected to be material.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rollforward of the total gross unrecognized tax benefits for the fiscal years ended January 31, 2022, January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 (in thousands):</w:t>
      </w:r>
    </w:p>
    <w:p>
      <w:pPr>
        <w:sectPr>
          <w:pgSz w:w="11900" w:h="16838" w:orient="portrait"/>
          <w:cols w:equalWidth="0" w:num="1">
            <w:col w:w="11220"/>
          </w:cols>
          <w:pgMar w:left="320" w:top="125" w:right="359" w:bottom="1440" w:gutter="0" w:footer="0" w:header="0"/>
        </w:sectPr>
      </w:pP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Balance as of February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Balance as of January 31, 2020</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Increase in current period tax positions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Balance 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Increases in prior period tax positions</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Increase in current period tax positions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Balance as of January 31, 2022</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244" w:hanging="1244"/>
        <w:spacing w:after="0"/>
        <w:tabs>
          <w:tab w:leader="none" w:pos="12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8,128</w:t>
      </w:r>
    </w:p>
    <w:p>
      <w:pPr>
        <w:spacing w:after="0" w:line="23" w:lineRule="exact"/>
        <w:rPr>
          <w:rFonts w:ascii="Arial" w:cs="Arial" w:eastAsia="Arial" w:hAnsi="Arial"/>
          <w:sz w:val="18"/>
          <w:szCs w:val="18"/>
          <w:color w:val="auto"/>
        </w:rPr>
      </w:pPr>
    </w:p>
    <w:p>
      <w:pPr>
        <w:ind w:left="1164"/>
        <w:spacing w:after="0"/>
        <w:rPr>
          <w:rFonts w:ascii="Arial" w:cs="Arial" w:eastAsia="Arial" w:hAnsi="Arial"/>
          <w:sz w:val="18"/>
          <w:szCs w:val="18"/>
          <w:color w:val="auto"/>
        </w:rPr>
      </w:pPr>
      <w:r>
        <w:rPr>
          <w:rFonts w:ascii="Arial" w:cs="Arial" w:eastAsia="Arial" w:hAnsi="Arial"/>
          <w:sz w:val="17"/>
          <w:szCs w:val="17"/>
          <w:color w:val="auto"/>
        </w:rPr>
        <w:t>(2,659)</w:t>
      </w:r>
    </w:p>
    <w:p>
      <w:pPr>
        <w:spacing w:after="0" w:line="46"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8"/>
          <w:szCs w:val="18"/>
          <w:color w:val="auto"/>
        </w:rPr>
        <w:t>5,469</w:t>
      </w:r>
    </w:p>
    <w:p>
      <w:pPr>
        <w:spacing w:after="0" w:line="23" w:lineRule="exact"/>
        <w:rPr>
          <w:rFonts w:ascii="Arial" w:cs="Arial" w:eastAsia="Arial" w:hAnsi="Arial"/>
          <w:sz w:val="18"/>
          <w:szCs w:val="18"/>
          <w:color w:val="auto"/>
        </w:rPr>
      </w:pPr>
    </w:p>
    <w:p>
      <w:pPr>
        <w:ind w:left="1244"/>
        <w:spacing w:after="0"/>
        <w:rPr>
          <w:rFonts w:ascii="Arial" w:cs="Arial" w:eastAsia="Arial" w:hAnsi="Arial"/>
          <w:sz w:val="18"/>
          <w:szCs w:val="18"/>
          <w:color w:val="auto"/>
        </w:rPr>
      </w:pPr>
      <w:r>
        <w:rPr>
          <w:rFonts w:ascii="Arial" w:cs="Arial" w:eastAsia="Arial" w:hAnsi="Arial"/>
          <w:sz w:val="18"/>
          <w:szCs w:val="18"/>
          <w:color w:val="auto"/>
        </w:rPr>
        <w:t>6,926</w:t>
      </w:r>
    </w:p>
    <w:p>
      <w:pPr>
        <w:spacing w:after="0" w:line="22" w:lineRule="exact"/>
        <w:rPr>
          <w:rFonts w:ascii="Arial" w:cs="Arial" w:eastAsia="Arial" w:hAnsi="Arial"/>
          <w:sz w:val="18"/>
          <w:szCs w:val="18"/>
          <w:color w:val="auto"/>
        </w:rPr>
      </w:pPr>
    </w:p>
    <w:p>
      <w:pPr>
        <w:ind w:left="1164"/>
        <w:spacing w:after="0"/>
        <w:rPr>
          <w:rFonts w:ascii="Arial" w:cs="Arial" w:eastAsia="Arial" w:hAnsi="Arial"/>
          <w:sz w:val="18"/>
          <w:szCs w:val="18"/>
          <w:color w:val="auto"/>
        </w:rPr>
      </w:pPr>
      <w:r>
        <w:rPr>
          <w:rFonts w:ascii="Arial" w:cs="Arial" w:eastAsia="Arial" w:hAnsi="Arial"/>
          <w:sz w:val="17"/>
          <w:szCs w:val="17"/>
          <w:color w:val="auto"/>
        </w:rPr>
        <w:t>12,052</w:t>
      </w:r>
    </w:p>
    <w:p>
      <w:pPr>
        <w:spacing w:after="0" w:line="46" w:lineRule="exact"/>
        <w:rPr>
          <w:rFonts w:ascii="Arial" w:cs="Arial" w:eastAsia="Arial" w:hAnsi="Arial"/>
          <w:sz w:val="18"/>
          <w:szCs w:val="18"/>
          <w:color w:val="auto"/>
        </w:rPr>
      </w:pPr>
    </w:p>
    <w:p>
      <w:pPr>
        <w:ind w:left="1164"/>
        <w:spacing w:after="0"/>
        <w:rPr>
          <w:rFonts w:ascii="Arial" w:cs="Arial" w:eastAsia="Arial" w:hAnsi="Arial"/>
          <w:sz w:val="18"/>
          <w:szCs w:val="18"/>
          <w:color w:val="auto"/>
        </w:rPr>
      </w:pPr>
      <w:r>
        <w:rPr>
          <w:rFonts w:ascii="Arial" w:cs="Arial" w:eastAsia="Arial" w:hAnsi="Arial"/>
          <w:sz w:val="17"/>
          <w:szCs w:val="17"/>
          <w:color w:val="auto"/>
        </w:rPr>
        <w:t>24,447</w:t>
      </w:r>
    </w:p>
    <w:p>
      <w:pPr>
        <w:spacing w:after="0" w:line="34" w:lineRule="exact"/>
        <w:rPr>
          <w:rFonts w:ascii="Arial" w:cs="Arial" w:eastAsia="Arial" w:hAnsi="Arial"/>
          <w:sz w:val="18"/>
          <w:szCs w:val="18"/>
          <w:color w:val="auto"/>
        </w:rPr>
      </w:pPr>
    </w:p>
    <w:p>
      <w:pPr>
        <w:ind w:left="1384"/>
        <w:spacing w:after="0"/>
        <w:rPr>
          <w:rFonts w:ascii="Arial" w:cs="Arial" w:eastAsia="Arial" w:hAnsi="Arial"/>
          <w:sz w:val="18"/>
          <w:szCs w:val="18"/>
          <w:color w:val="auto"/>
        </w:rPr>
      </w:pPr>
      <w:r>
        <w:rPr>
          <w:rFonts w:ascii="Arial" w:cs="Arial" w:eastAsia="Arial" w:hAnsi="Arial"/>
          <w:sz w:val="18"/>
          <w:szCs w:val="18"/>
          <w:color w:val="auto"/>
        </w:rPr>
        <w:t>186</w:t>
      </w:r>
    </w:p>
    <w:p>
      <w:pPr>
        <w:spacing w:after="0" w:line="22" w:lineRule="exact"/>
        <w:rPr>
          <w:rFonts w:ascii="Arial" w:cs="Arial" w:eastAsia="Arial" w:hAnsi="Arial"/>
          <w:sz w:val="18"/>
          <w:szCs w:val="18"/>
          <w:color w:val="auto"/>
        </w:rPr>
      </w:pPr>
    </w:p>
    <w:p>
      <w:pPr>
        <w:ind w:left="1164"/>
        <w:spacing w:after="0"/>
        <w:rPr>
          <w:rFonts w:ascii="Arial" w:cs="Arial" w:eastAsia="Arial" w:hAnsi="Arial"/>
          <w:sz w:val="18"/>
          <w:szCs w:val="18"/>
          <w:color w:val="auto"/>
        </w:rPr>
      </w:pPr>
      <w:r>
        <w:rPr>
          <w:rFonts w:ascii="Arial" w:cs="Arial" w:eastAsia="Arial" w:hAnsi="Arial"/>
          <w:sz w:val="17"/>
          <w:szCs w:val="17"/>
          <w:color w:val="auto"/>
        </w:rPr>
        <w:t>(9,772)</w:t>
      </w:r>
    </w:p>
    <w:p>
      <w:pPr>
        <w:spacing w:after="0" w:line="34" w:lineRule="exact"/>
        <w:rPr>
          <w:rFonts w:ascii="Arial" w:cs="Arial" w:eastAsia="Arial" w:hAnsi="Arial"/>
          <w:sz w:val="18"/>
          <w:szCs w:val="18"/>
          <w:color w:val="auto"/>
        </w:rPr>
      </w:pPr>
    </w:p>
    <w:p>
      <w:pPr>
        <w:ind w:left="1164"/>
        <w:spacing w:after="0"/>
        <w:rPr>
          <w:rFonts w:ascii="Arial" w:cs="Arial" w:eastAsia="Arial" w:hAnsi="Arial"/>
          <w:sz w:val="18"/>
          <w:szCs w:val="18"/>
          <w:color w:val="auto"/>
        </w:rPr>
      </w:pPr>
      <w:r>
        <w:rPr>
          <w:rFonts w:ascii="Arial" w:cs="Arial" w:eastAsia="Arial" w:hAnsi="Arial"/>
          <w:sz w:val="17"/>
          <w:szCs w:val="17"/>
          <w:color w:val="auto"/>
        </w:rPr>
        <w:t>11,463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21590</wp:posOffset>
            </wp:positionV>
            <wp:extent cx="13112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1127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-568960</wp:posOffset>
            </wp:positionV>
            <wp:extent cx="13112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7" w:lineRule="exact"/>
        <w:rPr>
          <w:sz w:val="20"/>
          <w:szCs w:val="20"/>
          <w:color w:val="auto"/>
        </w:rPr>
      </w:pPr>
    </w:p>
    <w:p>
      <w:pPr>
        <w:ind w:left="1164" w:hanging="1164"/>
        <w:spacing w:after="0"/>
        <w:tabs>
          <w:tab w:leader="none" w:pos="11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26,324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22225</wp:posOffset>
            </wp:positionV>
            <wp:extent cx="13112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1127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47625</wp:posOffset>
            </wp:positionV>
            <wp:extent cx="13112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796" w:space="720"/>
            <w:col w:w="1704"/>
          </w:cols>
          <w:pgMar w:left="320" w:top="125" w:right="359" w:bottom="1440" w:gutter="0" w:footer="0" w:header="0"/>
          <w:type w:val="continuous"/>
        </w:sectPr>
      </w:pPr>
    </w:p>
    <w:p>
      <w:pPr>
        <w:spacing w:after="0" w:line="14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and various state jurisdictions. Tax years 2011 and onwards remain subject to examination by U.S. taxing authorities due to the Company’s net operating losses and R&amp;D credit carryforwards.</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The Company does not provide for federal and state income taxes on the undistributed earnings of its foreign subsidiaries as such earnings are to be reinvested offshore indefinitely. As a result of the Tax Act, if the Company repatriated these earnings, the tax impact of future distributions of foreign earnings would generally be limited to withholding tax from local jurisdictions, and the resulting income tax liability would be insignificant.</w:t>
      </w:r>
    </w:p>
    <w:p>
      <w:pPr>
        <w:spacing w:after="0" w:line="257" w:lineRule="exact"/>
        <w:rPr>
          <w:sz w:val="20"/>
          <w:szCs w:val="20"/>
          <w:color w:val="auto"/>
        </w:rPr>
      </w:pPr>
    </w:p>
    <w:p>
      <w:pPr>
        <w:ind w:left="340" w:right="9540" w:hanging="332"/>
        <w:spacing w:after="0" w:line="601" w:lineRule="auto"/>
        <w:tabs>
          <w:tab w:leader="none" w:pos="196" w:val="left"/>
        </w:tabs>
        <w:numPr>
          <w:ilvl w:val="0"/>
          <w:numId w:val="6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Equity Transactions Common Stock</w:t>
      </w:r>
    </w:p>
    <w:p>
      <w:pPr>
        <w:ind w:right="60" w:firstLine="324"/>
        <w:spacing w:after="0" w:line="275" w:lineRule="auto"/>
        <w:rPr>
          <w:sz w:val="20"/>
          <w:szCs w:val="20"/>
          <w:color w:val="auto"/>
        </w:rPr>
      </w:pPr>
      <w:r>
        <w:rPr>
          <w:rFonts w:ascii="Arial" w:cs="Arial" w:eastAsia="Arial" w:hAnsi="Arial"/>
          <w:sz w:val="17"/>
          <w:szCs w:val="17"/>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into one share of Class A common stock. Class A and Class B common stockholders are not entitled to receive dividends unless declared by the Company’s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Claims Settlement</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December 2019, a security holder paid the Company $2.3 million to settle a claim under Section 16(b) of the Securities Exchange Act of 1934. Section 16(b) requires certain persons and entities whose securities trading activities result in “short swing” profits to repay such profits to the issuer of the security. This payment was recorded as an increase to stockholders’ equity and as cash provided by financing activities in the consolidated statement of cash flows for the fiscal year ended January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Leases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has entered into non-cancelable operating lease agreements with various expiration dates through fiscal 2027. Certain lease agreements include options to renew or terminate the lease, which are not reasonably certain to be exercised and therefore are not factored into the determination of lease payments.</w:t>
      </w:r>
    </w:p>
    <w:p>
      <w:pPr>
        <w:spacing w:after="0" w:line="184"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were $11.8 million and $11.0 million for the fiscal years ended January 31, 2022 and January 31, 2021, respectively. Operating lease liabilities arising from obtaining operating right of-use assets were $4.9 million and $6.2 million for the fiscal years ended January 31, 2022 and January 31, 2021, respectively.</w:t>
      </w:r>
    </w:p>
    <w:p>
      <w:pPr>
        <w:spacing w:after="0" w:line="184" w:lineRule="exact"/>
        <w:rPr>
          <w:sz w:val="20"/>
          <w:szCs w:val="20"/>
          <w:color w:val="auto"/>
        </w:rPr>
      </w:pPr>
    </w:p>
    <w:p>
      <w:pPr>
        <w:jc w:val="both"/>
        <w:ind w:right="460" w:firstLine="324"/>
        <w:spacing w:after="0" w:line="277" w:lineRule="auto"/>
        <w:rPr>
          <w:sz w:val="20"/>
          <w:szCs w:val="20"/>
          <w:color w:val="auto"/>
        </w:rPr>
      </w:pPr>
      <w:r>
        <w:rPr>
          <w:rFonts w:ascii="Arial" w:cs="Arial" w:eastAsia="Arial" w:hAnsi="Arial"/>
          <w:sz w:val="18"/>
          <w:szCs w:val="18"/>
          <w:color w:val="auto"/>
        </w:rPr>
        <w:t>The weighted-average remaining lease term are 3.0 years and 4.1 years as of January 31, 2022 and January 31, 2021, respectively. The weighted-average discount rates are 5.4% and 5.9% as of January 31, 2022 and January 31, 2021,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rPr>
              <w:t>The component of lease costs was as follows (in thousands):</w:t>
            </w: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6"/>
        </w:trPr>
        <w:tc>
          <w:tcPr>
            <w:tcW w:w="7080" w:type="dxa"/>
            <w:vAlign w:val="bottom"/>
          </w:tcPr>
          <w:p>
            <w:pPr>
              <w:spacing w:after="0"/>
              <w:rPr>
                <w:sz w:val="22"/>
                <w:szCs w:val="22"/>
                <w:color w:val="auto"/>
              </w:rPr>
            </w:pPr>
          </w:p>
        </w:tc>
        <w:tc>
          <w:tcPr>
            <w:tcW w:w="35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Year Ended January 31,</w:t>
            </w:r>
          </w:p>
        </w:tc>
        <w:tc>
          <w:tcPr>
            <w:tcW w:w="620" w:type="dxa"/>
            <w:vAlign w:val="bottom"/>
            <w:tcBorders>
              <w:bottom w:val="single" w:sz="8" w:color="auto"/>
            </w:tcBorders>
          </w:tcPr>
          <w:p>
            <w:pPr>
              <w:spacing w:after="0"/>
              <w:rPr>
                <w:sz w:val="22"/>
                <w:szCs w:val="22"/>
                <w:color w:val="auto"/>
              </w:rPr>
            </w:pPr>
          </w:p>
        </w:tc>
      </w:tr>
      <w:tr>
        <w:trPr>
          <w:trHeight w:val="223"/>
        </w:trPr>
        <w:tc>
          <w:tcPr>
            <w:tcW w:w="70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r>
      <w:tr>
        <w:trPr>
          <w:trHeight w:val="21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Lease cost</w:t>
            </w:r>
          </w:p>
        </w:tc>
        <w:tc>
          <w:tcPr>
            <w:tcW w:w="1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080" w:type="dxa"/>
            <w:vAlign w:val="bottom"/>
          </w:tcPr>
          <w:p>
            <w:pPr>
              <w:ind w:left="360"/>
              <w:spacing w:after="0"/>
              <w:rPr>
                <w:sz w:val="20"/>
                <w:szCs w:val="20"/>
                <w:color w:val="auto"/>
              </w:rPr>
            </w:pPr>
            <w:r>
              <w:rPr>
                <w:rFonts w:ascii="Arial" w:cs="Arial" w:eastAsia="Arial" w:hAnsi="Arial"/>
                <w:sz w:val="18"/>
                <w:szCs w:val="18"/>
                <w:color w:val="auto"/>
              </w:rPr>
              <w:t>Operating lease cost</w:t>
            </w:r>
          </w:p>
        </w:tc>
        <w:tc>
          <w:tcPr>
            <w:tcW w:w="1400" w:type="dxa"/>
            <w:vAlign w:val="bottom"/>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11,262</w:t>
            </w:r>
          </w:p>
        </w:tc>
        <w:tc>
          <w:tcPr>
            <w:tcW w:w="100" w:type="dxa"/>
            <w:vAlign w:val="bottom"/>
          </w:tcPr>
          <w:p>
            <w:pPr>
              <w:spacing w:after="0"/>
              <w:rPr>
                <w:sz w:val="19"/>
                <w:szCs w:val="19"/>
                <w:color w:val="auto"/>
              </w:rPr>
            </w:pPr>
          </w:p>
        </w:tc>
        <w:tc>
          <w:tcPr>
            <w:tcW w:w="142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10,308</w:t>
            </w:r>
          </w:p>
        </w:tc>
      </w:tr>
      <w:tr>
        <w:trPr>
          <w:trHeight w:val="230"/>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lease cost</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Variable lease cost</w:t>
            </w:r>
          </w:p>
        </w:tc>
        <w:tc>
          <w:tcPr>
            <w:tcW w:w="1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r>
      <w:tr>
        <w:trPr>
          <w:trHeight w:val="248"/>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lease cost</w:t>
            </w:r>
          </w:p>
        </w:tc>
        <w:tc>
          <w:tcPr>
            <w:tcW w:w="140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18,054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15,272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Total rent expense recognized prior to the adoption of Topic 842 were $10.3 million for the year ended January 31, 2020. There was no sublease income for the fiscal year ended January 31, 2022 or January 31, 2021. As of January 31, 2022, the Company has not entered into any non-cancelable operating leases with a term greater than 12 months that have not yet commenced.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maturities of the Company’s non-cancelable operating lease liabilities are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January 31, 2022</w:t>
            </w:r>
          </w:p>
        </w:tc>
        <w:tc>
          <w:tcPr>
            <w:tcW w:w="0" w:type="dxa"/>
            <w:vAlign w:val="bottom"/>
          </w:tcPr>
          <w:p>
            <w:pPr>
              <w:spacing w:after="0"/>
              <w:rPr>
                <w:sz w:val="1"/>
                <w:szCs w:val="1"/>
                <w:color w:val="auto"/>
              </w:rPr>
            </w:pPr>
          </w:p>
        </w:tc>
      </w:tr>
      <w:tr>
        <w:trPr>
          <w:trHeight w:val="34"/>
        </w:trPr>
        <w:tc>
          <w:tcPr>
            <w:tcW w:w="45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2023</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w:t>
            </w:r>
          </w:p>
        </w:tc>
        <w:tc>
          <w:tcPr>
            <w:tcW w:w="0" w:type="dxa"/>
            <w:vAlign w:val="bottom"/>
          </w:tcPr>
          <w:p>
            <w:pPr>
              <w:spacing w:after="0"/>
              <w:rPr>
                <w:sz w:val="1"/>
                <w:szCs w:val="1"/>
                <w:color w:val="auto"/>
              </w:rPr>
            </w:pPr>
          </w:p>
        </w:tc>
      </w:tr>
      <w:tr>
        <w:trPr>
          <w:trHeight w:val="229"/>
        </w:trPr>
        <w:tc>
          <w:tcPr>
            <w:tcW w:w="4500" w:type="dxa"/>
            <w:vAlign w:val="bottom"/>
          </w:tcPr>
          <w:p>
            <w:pPr>
              <w:ind w:left="360"/>
              <w:spacing w:after="0"/>
              <w:rPr>
                <w:sz w:val="20"/>
                <w:szCs w:val="20"/>
                <w:color w:val="auto"/>
              </w:rPr>
            </w:pPr>
            <w:r>
              <w:rPr>
                <w:rFonts w:ascii="Arial" w:cs="Arial" w:eastAsia="Arial" w:hAnsi="Arial"/>
                <w:sz w:val="18"/>
                <w:szCs w:val="18"/>
                <w:color w:val="auto"/>
              </w:rPr>
              <w:t>Fiscal 2024</w:t>
            </w:r>
          </w:p>
        </w:tc>
        <w:tc>
          <w:tcPr>
            <w:tcW w:w="4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2025</w:t>
            </w:r>
          </w:p>
        </w:tc>
        <w:tc>
          <w:tcPr>
            <w:tcW w:w="4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30"/>
        </w:trPr>
        <w:tc>
          <w:tcPr>
            <w:tcW w:w="4500" w:type="dxa"/>
            <w:vAlign w:val="bottom"/>
          </w:tcPr>
          <w:p>
            <w:pPr>
              <w:ind w:left="360"/>
              <w:spacing w:after="0"/>
              <w:rPr>
                <w:sz w:val="20"/>
                <w:szCs w:val="20"/>
                <w:color w:val="auto"/>
              </w:rPr>
            </w:pPr>
            <w:r>
              <w:rPr>
                <w:rFonts w:ascii="Arial" w:cs="Arial" w:eastAsia="Arial" w:hAnsi="Arial"/>
                <w:sz w:val="18"/>
                <w:szCs w:val="18"/>
                <w:color w:val="auto"/>
              </w:rPr>
              <w:t>Fiscal 2026</w:t>
            </w:r>
          </w:p>
        </w:tc>
        <w:tc>
          <w:tcPr>
            <w:tcW w:w="4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2027</w:t>
            </w:r>
          </w:p>
        </w:tc>
        <w:tc>
          <w:tcPr>
            <w:tcW w:w="46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Total operating lease payments</w:t>
            </w:r>
          </w:p>
        </w:tc>
        <w:tc>
          <w:tcPr>
            <w:tcW w:w="4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38,477</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imputed interest</w:t>
            </w:r>
          </w:p>
        </w:tc>
        <w:tc>
          <w:tcPr>
            <w:tcW w:w="46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23"/>
        </w:trPr>
        <w:tc>
          <w:tcPr>
            <w:tcW w:w="4500" w:type="dxa"/>
            <w:vAlign w:val="bottom"/>
          </w:tcPr>
          <w:p>
            <w:pPr>
              <w:ind w:left="460"/>
              <w:spacing w:after="0"/>
              <w:rPr>
                <w:sz w:val="20"/>
                <w:szCs w:val="20"/>
                <w:color w:val="auto"/>
              </w:rPr>
            </w:pPr>
            <w:r>
              <w:rPr>
                <w:rFonts w:ascii="Arial" w:cs="Arial" w:eastAsia="Arial" w:hAnsi="Arial"/>
                <w:sz w:val="18"/>
                <w:szCs w:val="18"/>
                <w:color w:val="auto"/>
              </w:rPr>
              <w:t>Present value of operating lease liabilities</w:t>
            </w:r>
          </w:p>
        </w:tc>
        <w:tc>
          <w:tcPr>
            <w:tcW w:w="46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35,199</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4680" w:type="dxa"/>
            <w:vAlign w:val="bottom"/>
            <w:vMerge w:val="restart"/>
          </w:tcPr>
          <w:p>
            <w:pPr>
              <w:jc w:val="right"/>
              <w:ind w:right="3370"/>
              <w:spacing w:after="0"/>
              <w:rPr>
                <w:sz w:val="20"/>
                <w:szCs w:val="20"/>
                <w:color w:val="auto"/>
              </w:rPr>
            </w:pPr>
            <w:r>
              <w:rPr>
                <w:rFonts w:ascii="Arial" w:cs="Arial" w:eastAsia="Arial" w:hAnsi="Arial"/>
                <w:sz w:val="18"/>
                <w:szCs w:val="18"/>
                <w:color w:val="auto"/>
              </w:rPr>
              <w:t>99</w:t>
            </w: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50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right="9020" w:hanging="332"/>
        <w:spacing w:after="0" w:line="601" w:lineRule="auto"/>
        <w:tabs>
          <w:tab w:leader="none" w:pos="196" w:val="left"/>
        </w:tabs>
        <w:numPr>
          <w:ilvl w:val="0"/>
          <w:numId w:val="6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Stock-Based Compensation Stock Incentive Plan</w:t>
      </w:r>
    </w:p>
    <w:p>
      <w:pPr>
        <w:ind w:firstLine="324"/>
        <w:spacing w:after="0" w:line="272" w:lineRule="auto"/>
        <w:rPr>
          <w:sz w:val="20"/>
          <w:szCs w:val="20"/>
          <w:color w:val="auto"/>
        </w:rPr>
      </w:pPr>
      <w:r>
        <w:rPr>
          <w:rFonts w:ascii="Arial" w:cs="Arial" w:eastAsia="Arial" w:hAnsi="Arial"/>
          <w:sz w:val="17"/>
          <w:szCs w:val="17"/>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77" w:lineRule="exact"/>
        <w:rPr>
          <w:sz w:val="20"/>
          <w:szCs w:val="20"/>
          <w:color w:val="auto"/>
        </w:rPr>
      </w:pPr>
    </w:p>
    <w:p>
      <w:pPr>
        <w:jc w:val="both"/>
        <w:ind w:right="320" w:firstLine="324"/>
        <w:spacing w:after="0" w:line="311" w:lineRule="auto"/>
        <w:rPr>
          <w:sz w:val="20"/>
          <w:szCs w:val="20"/>
          <w:color w:val="auto"/>
        </w:rPr>
      </w:pPr>
      <w:r>
        <w:rPr>
          <w:rFonts w:ascii="Arial" w:cs="Arial" w:eastAsia="Arial" w:hAnsi="Arial"/>
          <w:sz w:val="16"/>
          <w:szCs w:val="16"/>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option was estimated on the date of grant using the following assumptions during the period: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Expected term (in years)</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Risk-free interest rate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Expected stock price volatility</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 yield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Year Ended January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9"/>
                <w:szCs w:val="19"/>
                <w:color w:val="auto"/>
              </w:rPr>
            </w:pPr>
          </w:p>
        </w:tc>
      </w:tr>
      <w:tr>
        <w:trPr>
          <w:trHeight w:val="276"/>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3.82 – 5.63</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3.17 – 6.05</w:t>
            </w:r>
          </w:p>
        </w:tc>
        <w:tc>
          <w:tcPr>
            <w:tcW w:w="1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30"/>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0.6% – 1.0%</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0.2% – 0.4%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 – 2.4%</w:t>
            </w:r>
          </w:p>
        </w:tc>
      </w:tr>
      <w:tr>
        <w:trPr>
          <w:trHeight w:val="243"/>
        </w:trPr>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36.1% – 37.1%</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35.8% – 37.3%</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37.7% – 37.9%</w:t>
            </w:r>
          </w:p>
        </w:tc>
      </w:tr>
      <w:tr>
        <w:trPr>
          <w:trHeight w:val="243"/>
        </w:trPr>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-608330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-299720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60"/>
          </w:cols>
          <w:pgMar w:left="320" w:top="125" w:right="339" w:bottom="1440" w:gutter="0" w:footer="0" w:header="0"/>
          <w:type w:val="continuous"/>
        </w:sectPr>
      </w:pP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stock option activity for the fiscal year ended January 31,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291"/>
              <w:spacing w:after="0"/>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jc w:val="center"/>
              <w:ind w:right="411"/>
              <w:spacing w:after="0" w:line="162" w:lineRule="exact"/>
              <w:rPr>
                <w:sz w:val="20"/>
                <w:szCs w:val="20"/>
                <w:color w:val="auto"/>
              </w:rPr>
            </w:pPr>
            <w:r>
              <w:rPr>
                <w:rFonts w:ascii="Arial" w:cs="Arial" w:eastAsia="Arial" w:hAnsi="Arial"/>
                <w:sz w:val="17"/>
                <w:szCs w:val="17"/>
                <w:b w:val="1"/>
                <w:bCs w:val="1"/>
                <w:color w:val="auto"/>
                <w:w w:val="89"/>
              </w:rPr>
              <w:t>Average</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7"/>
                <w:szCs w:val="17"/>
                <w:b w:val="1"/>
                <w:bCs w:val="1"/>
                <w:color w:val="auto"/>
                <w:w w:val="89"/>
              </w:rPr>
              <w:t>Exercise Price</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520" w:type="dxa"/>
            <w:vAlign w:val="bottom"/>
            <w:tcBorders>
              <w:bottom w:val="single" w:sz="8" w:color="auto"/>
            </w:tcBorders>
          </w:tcPr>
          <w:p>
            <w:pPr>
              <w:jc w:val="right"/>
              <w:ind w:right="432"/>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411"/>
              <w:spacing w:after="0"/>
              <w:rPr>
                <w:sz w:val="20"/>
                <w:szCs w:val="20"/>
                <w:color w:val="auto"/>
              </w:rPr>
            </w:pPr>
            <w:r>
              <w:rPr>
                <w:rFonts w:ascii="Arial" w:cs="Arial" w:eastAsia="Arial" w:hAnsi="Arial"/>
                <w:sz w:val="17"/>
                <w:szCs w:val="17"/>
                <w:b w:val="1"/>
                <w:bCs w:val="1"/>
                <w:color w:val="auto"/>
                <w:w w:val="90"/>
              </w:rPr>
              <w:t>Per Share</w:t>
            </w:r>
          </w:p>
        </w:tc>
        <w:tc>
          <w:tcPr>
            <w:tcW w:w="0" w:type="dxa"/>
            <w:vAlign w:val="bottom"/>
          </w:tcPr>
          <w:p>
            <w:pPr>
              <w:spacing w:after="0"/>
              <w:rPr>
                <w:sz w:val="1"/>
                <w:szCs w:val="1"/>
                <w:color w:val="auto"/>
              </w:rPr>
            </w:pPr>
          </w:p>
        </w:tc>
      </w:tr>
      <w:tr>
        <w:trPr>
          <w:trHeight w:val="207"/>
        </w:trPr>
        <w:tc>
          <w:tcPr>
            <w:tcW w:w="778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Options outstanding at January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Options outstanding at January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tcPr>
          <w:p>
            <w:pPr>
              <w:ind w:left="360"/>
              <w:spacing w:after="0" w:line="203" w:lineRule="exact"/>
              <w:rPr>
                <w:sz w:val="20"/>
                <w:szCs w:val="20"/>
                <w:color w:val="auto"/>
              </w:rPr>
            </w:pPr>
            <w:r>
              <w:rPr>
                <w:rFonts w:ascii="Arial" w:cs="Arial" w:eastAsia="Arial" w:hAnsi="Arial"/>
                <w:sz w:val="18"/>
                <w:szCs w:val="18"/>
                <w:b w:val="1"/>
                <w:bCs w:val="1"/>
                <w:color w:val="auto"/>
              </w:rPr>
              <w:t>Options vested and expected to vest at January 31, 2022</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3,938</w:t>
            </w:r>
          </w:p>
        </w:tc>
        <w:tc>
          <w:tcPr>
            <w:tcW w:w="6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Options exercisable at January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outstanding include 362,406 options that were unvested as of January 31, 2022.</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aggregate intrinsic value of options vested and exercisable was $480.5 million, $711.4 million, and $469.6 million as of January 31, 2022, January 31, 2021, and January 31, 2020, respectively. The weighted-average remaining contractual term of</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options vested and exercisable was 5.7 years, 6.4 years, and 6.7 years as of January 31, 2022, January 31, 2021, and January 31, 2020, respectively.</w:t>
      </w:r>
    </w:p>
    <w:p>
      <w:pPr>
        <w:spacing w:after="0" w:line="24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weighted-average grant date fair values of all options granted was $180.08, $66.31, and $9.51 per share during the fiscal years ended January 31, 2022, January 31, 2021, and January 31, 2020, respectively. The total intrinsic value of all options exercised was $570.9 million, $847.5 million, and $407.9 million during the fiscal years ended January 31, 2022, January 31, 2021, and January 31, 2020, respectively.</w:t>
      </w:r>
    </w:p>
    <w:p>
      <w:pPr>
        <w:spacing w:after="0" w:line="16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aggregate intrinsic value of stock options outstanding as of January 31, 2022, January 31, 2021, and January 31, 2020 was $678.0 million, $1.4 billion, and $816.3 million, respectively, which represents the excess of the fair value of the Company’s common stock over the exercise price of the options multiplied by the number of options outstanding. The weighted-average remaining contractual term of stock options outstanding was 6.1 years, 7.0 years, and 7.4 years as of January 31, 2022, January 31, 2021, and January 31, 2020, respectively.</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Total unrecognized stock-based compensation expense related to unvested options was $16.6 million as of January 31, 2022. This expense is expected to be amortized on a straight-line basis over a weighted-average vesting period of 1.4 years. Total unrecognized stock-based compensation expense related to unvested options was $24.3 million as of January 31, 2021. This expense is expected to be amortized on a straight-line basis over a weighted-average vesting period of 1.7 years.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fiscal year ended January 31, 2022 or January 31, 2021. As of January 31, 2022, the number of shares of common stock related to early exercised stock options subject to repurchase was 197,994 shares for $2.2 million. As of January 31, 2021, the number of shares of common stock related to early exercised stock options subject to repurchase was 548,028 shares for $5.4 million. Common stock purchased pursuant to an early exercise of stock options is not deemed to be outstanding for accounting purposes until those shares vest. The Company includes unvested shares subject to repurchase in the number of shares outstanding in the consolidated balance sheet and statements of stockholders’ equity (deficit).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Restricted Stock Units (“RSUs”) granted under the 2019 Plan are generally subject to only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sixteen quarterly installments with 10% in the first year, 15% in the second year, 25% in the third year and 50% in the fourth year, subject to continued service. The valuation of such RSUs is based solely on the fair value of the Company’s stock price on the date of grant.</w:t>
      </w:r>
    </w:p>
    <w:p>
      <w:pPr>
        <w:spacing w:after="0" w:line="17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Expense for RSUs are generally amortized on a straight-line basis. Total unrecognized stock-based compensation expense related to unvested RSUs was $702.3 million as of January 31, 2022. This expense is expected to be amortized (subject to acceleration or straight-line basis) over a weighted-average vesting period of 2.3 years. Total unrecognized stock-based compensation expense related to unvested RSUs was $393.9 million as of January 31, 2021. This expense is expected to be amortized on an accelerated attribution method over a weighted-average vesting period of 2.6 years.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Stock Units</w:t>
      </w:r>
    </w:p>
    <w:p>
      <w:pPr>
        <w:spacing w:after="0" w:line="225" w:lineRule="exact"/>
        <w:rPr>
          <w:sz w:val="20"/>
          <w:szCs w:val="20"/>
          <w:color w:val="auto"/>
        </w:rPr>
      </w:pPr>
    </w:p>
    <w:p>
      <w:pPr>
        <w:ind w:right="940" w:firstLine="324"/>
        <w:spacing w:after="0" w:line="261" w:lineRule="auto"/>
        <w:rPr>
          <w:sz w:val="20"/>
          <w:szCs w:val="20"/>
          <w:color w:val="auto"/>
        </w:rPr>
      </w:pPr>
      <w:r>
        <w:rPr>
          <w:rFonts w:ascii="Arial" w:cs="Arial" w:eastAsia="Arial" w:hAnsi="Arial"/>
          <w:sz w:val="18"/>
          <w:szCs w:val="18"/>
          <w:color w:val="auto"/>
        </w:rPr>
        <w:t>Performance-based stock units (“PSUs”) granted under the 2019 Plan are generally subject to both a service-based vesting condition and a performance-based vesting condition. PSUs will vest upon the achievement of specified performance targets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and subject to continued service through the applicable vesting dates. The compensation cost is recognized over the requisite service period when it is probable that the performance condition will be satisfied.</w:t>
      </w:r>
    </w:p>
    <w:p>
      <w:pPr>
        <w:spacing w:after="0" w:line="157" w:lineRule="exact"/>
        <w:rPr>
          <w:sz w:val="20"/>
          <w:szCs w:val="20"/>
          <w:color w:val="auto"/>
        </w:rPr>
      </w:pPr>
    </w:p>
    <w:p>
      <w:pPr>
        <w:ind w:right="100" w:firstLine="324"/>
        <w:spacing w:after="0" w:line="246" w:lineRule="auto"/>
        <w:rPr>
          <w:sz w:val="20"/>
          <w:szCs w:val="20"/>
          <w:color w:val="auto"/>
        </w:rPr>
      </w:pPr>
      <w:r>
        <w:rPr>
          <w:rFonts w:ascii="Arial" w:cs="Arial" w:eastAsia="Arial" w:hAnsi="Arial"/>
          <w:sz w:val="18"/>
          <w:szCs w:val="18"/>
          <w:color w:val="auto"/>
        </w:rPr>
        <w:t>Expense for PSUs is being amortized under the accelerated attribution method and may be adjusted over the vesting period based on interim estimates of performance against pre-set objectives.</w:t>
      </w:r>
    </w:p>
    <w:p>
      <w:pPr>
        <w:spacing w:after="0" w:line="183"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Total unrecognized stock-based compensation expense related to unvested PSUs was $42.9 million as of January 31, 2022. This expense is expected to be amortized over a weighted-average vesting period of 1.2 years. Total unrecognized stock-based compensation expense related to unvested PSUs was $24.8 million as of January 31, 2021. This expense is expected to be amortized over a weighted-average vesting period of 1.3 years.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PSU Awards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is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(i.e., February 1, 2022, February 1, 2023, February 1, 2024 and February 1, 2025) and (ii) the remaining PSUs with respect to such tranche will thereafter service vest in four equal quarterly installments of 12.5%.</w:t>
      </w:r>
    </w:p>
    <w:p>
      <w:pPr>
        <w:spacing w:after="0" w:line="17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measured the fair value of the Special PSU Awards using a Monte Carlo simulation valuation model. The risk-free interest rates used were 0.85% - 1.51%, which was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2.21 - 2.58 year look-back from the grant date and 50% weight based on the Company’s implied volatility as of the grant date.</w:t>
      </w:r>
    </w:p>
    <w:p>
      <w:pPr>
        <w:spacing w:after="0" w:line="18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Stock-based compensation expense relating to the Special PSU Awards are recognized using the accelerated attribution method over the longer of the derived service period and the explicit service period.</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Total unrecognized stock-based compensation expense related to the unvested portion of the Special PSU Awards was $118.4 million as of January 31, 2022. This expense is expected to be amortized over a weighted-average vesting period of 2.8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is a summary of RSUs, PSUs and the Special PSU Awards activities for the fiscal year ended January 31,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center"/>
              <w:ind w:right="391"/>
              <w:spacing w:after="0" w:line="162"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jc w:val="center"/>
              <w:ind w:right="391"/>
              <w:spacing w:after="0" w:line="162" w:lineRule="exact"/>
              <w:rPr>
                <w:sz w:val="20"/>
                <w:szCs w:val="20"/>
                <w:color w:val="auto"/>
              </w:rPr>
            </w:pPr>
            <w:r>
              <w:rPr>
                <w:rFonts w:ascii="Arial" w:cs="Arial" w:eastAsia="Arial" w:hAnsi="Arial"/>
                <w:sz w:val="17"/>
                <w:szCs w:val="17"/>
                <w:b w:val="1"/>
                <w:bCs w:val="1"/>
                <w:color w:val="auto"/>
                <w:w w:val="93"/>
              </w:rPr>
              <w:t>Fair Value</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520" w:type="dxa"/>
            <w:vAlign w:val="bottom"/>
            <w:tcBorders>
              <w:bottom w:val="single" w:sz="8" w:color="auto"/>
            </w:tcBorders>
          </w:tcPr>
          <w:p>
            <w:pPr>
              <w:jc w:val="right"/>
              <w:ind w:right="432"/>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91"/>
              <w:spacing w:after="0"/>
              <w:rPr>
                <w:sz w:val="20"/>
                <w:szCs w:val="20"/>
                <w:color w:val="auto"/>
              </w:rPr>
            </w:pPr>
            <w:r>
              <w:rPr>
                <w:rFonts w:ascii="Arial" w:cs="Arial" w:eastAsia="Arial" w:hAnsi="Arial"/>
                <w:sz w:val="17"/>
                <w:szCs w:val="17"/>
                <w:b w:val="1"/>
                <w:bCs w:val="1"/>
                <w:color w:val="auto"/>
                <w:w w:val="90"/>
              </w:rPr>
              <w:t>Per Share</w:t>
            </w:r>
          </w:p>
        </w:tc>
        <w:tc>
          <w:tcPr>
            <w:tcW w:w="0" w:type="dxa"/>
            <w:vAlign w:val="bottom"/>
          </w:tcPr>
          <w:p>
            <w:pPr>
              <w:spacing w:after="0"/>
              <w:rPr>
                <w:sz w:val="1"/>
                <w:szCs w:val="1"/>
                <w:color w:val="auto"/>
              </w:rPr>
            </w:pPr>
          </w:p>
        </w:tc>
      </w:tr>
      <w:tr>
        <w:trPr>
          <w:trHeight w:val="207"/>
        </w:trPr>
        <w:tc>
          <w:tcPr>
            <w:tcW w:w="778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RSUs and PSUs outstanding at January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3,387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224.19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30"/>
        </w:trPr>
        <w:tc>
          <w:tcPr>
            <w:tcW w:w="7780" w:type="dxa"/>
            <w:vAlign w:val="bottom"/>
          </w:tcPr>
          <w:p>
            <w:pPr>
              <w:ind w:left="360"/>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8"/>
                <w:szCs w:val="18"/>
                <w:color w:val="auto"/>
              </w:rPr>
              <w:t>153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b w:val="1"/>
                <w:bCs w:val="1"/>
                <w:color w:val="auto"/>
              </w:rPr>
              <w:t>RSUs and PSUs outstanding at January 31, 2022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RSUs and PSUs expected to vest at January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100" w:hanging="328"/>
        <w:spacing w:after="0" w:line="275"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Performance adjustment represents adjustments in shares outstanding due to the actual achievement of performance-based awards, the achievement of which was based upon predefined financial performance targets.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ESPP provides for consecutive offering periods that will typically have a duration of approximately 24 months in length and is comprised</w:t>
      </w:r>
    </w:p>
    <w:p>
      <w:pPr>
        <w:spacing w:after="0" w:line="3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85"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incremental expense is then amortized over the remaining purchase period. Incremental expense as a result of such modification was $6.2 million and $3.5 million for the fiscal years ended January 31, 2022 and January 31, 2021, respectively.</w:t>
      </w:r>
    </w:p>
    <w:p>
      <w:pPr>
        <w:spacing w:after="0" w:line="168" w:lineRule="exact"/>
        <w:rPr>
          <w:sz w:val="20"/>
          <w:szCs w:val="20"/>
          <w:color w:val="auto"/>
        </w:rPr>
      </w:pPr>
    </w:p>
    <w:p>
      <w:pPr>
        <w:ind w:right="140" w:firstLine="324"/>
        <w:spacing w:after="0" w:line="262" w:lineRule="auto"/>
        <w:rPr>
          <w:sz w:val="20"/>
          <w:szCs w:val="20"/>
          <w:color w:val="auto"/>
        </w:rPr>
      </w:pPr>
      <w:r>
        <w:rPr>
          <w:rFonts w:ascii="Arial" w:cs="Arial" w:eastAsia="Arial" w:hAnsi="Arial"/>
          <w:sz w:val="17"/>
          <w:szCs w:val="17"/>
          <w:color w:val="auto"/>
        </w:rPr>
        <w:t>The ESPP offers a two-year look-back feature as well as a rollover feature that provides for an offering period to be rolled over to a new lower-priced offering if the offering price of the new offering period is less than that of the current offering period. An ESPP rollover occurred when the Company’s closing stock price on December 10, 2021 was below the closing stock price on June 11, 2021, which triggered a new 24-month offering period through December 10, 2023 and resulted in an immaterial modification charge during the fiscal year ended January 31, 2022.</w:t>
      </w:r>
    </w:p>
    <w:p>
      <w:pPr>
        <w:spacing w:after="0" w:line="17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Employee payroll contributions ultimately used to purchase shares are reclassified to stockholders’ equity on the purchase date. ESPP employee payroll contributions accrued of $14.8 million and $11.0 million as of January 31, 2022 and January 31, 2021, respectively, and are included within accrued payroll and benefits in the consolidated balance sheets.</w:t>
      </w:r>
    </w:p>
    <w:p>
      <w:pPr>
        <w:spacing w:after="0" w:line="184" w:lineRule="exact"/>
        <w:rPr>
          <w:sz w:val="20"/>
          <w:szCs w:val="20"/>
          <w:color w:val="auto"/>
        </w:rPr>
      </w:pPr>
    </w:p>
    <w:p>
      <w:pPr>
        <w:ind w:right="220" w:firstLine="324"/>
        <w:spacing w:after="0" w:line="271" w:lineRule="auto"/>
        <w:rPr>
          <w:sz w:val="20"/>
          <w:szCs w:val="20"/>
          <w:color w:val="auto"/>
        </w:rPr>
      </w:pPr>
      <w:r>
        <w:rPr>
          <w:rFonts w:ascii="Arial" w:cs="Arial" w:eastAsia="Arial" w:hAnsi="Arial"/>
          <w:sz w:val="18"/>
          <w:szCs w:val="18"/>
          <w:color w:val="auto"/>
        </w:rPr>
        <w:t>The following table summarizes the assumptions used in the Black-Scholes option-pricing model to determine fair value of the Company’s common shares to be issued under the ESPP for the offering periods beginning in June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Year Ended January 31,</w:t>
            </w: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9"/>
                <w:szCs w:val="19"/>
                <w:color w:val="auto"/>
              </w:rPr>
            </w:pPr>
          </w:p>
        </w:tc>
        <w:tc>
          <w:tcPr>
            <w:tcW w:w="15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78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term (in years)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10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0.5 – 2.0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 – 2.0</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Risk-free interest rate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 – 1.9%</w:t>
            </w:r>
          </w:p>
        </w:tc>
        <w:tc>
          <w:tcPr>
            <w:tcW w:w="100" w:type="dxa"/>
            <w:vAlign w:val="bottom"/>
          </w:tcPr>
          <w:p>
            <w:pPr>
              <w:spacing w:after="0"/>
              <w:rPr>
                <w:sz w:val="19"/>
                <w:szCs w:val="19"/>
                <w:color w:val="auto"/>
              </w:rPr>
            </w:pP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0.1% – 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 – 2.2%</w:t>
            </w:r>
          </w:p>
        </w:tc>
        <w:tc>
          <w:tcPr>
            <w:tcW w:w="0" w:type="dxa"/>
            <w:vAlign w:val="bottom"/>
          </w:tcPr>
          <w:p>
            <w:pPr>
              <w:spacing w:after="0"/>
              <w:rPr>
                <w:sz w:val="1"/>
                <w:szCs w:val="1"/>
                <w:color w:val="auto"/>
              </w:rPr>
            </w:pPr>
          </w:p>
        </w:tc>
      </w:tr>
      <w:tr>
        <w:trPr>
          <w:trHeight w:val="175"/>
        </w:trPr>
        <w:tc>
          <w:tcPr>
            <w:tcW w:w="578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Expected stock price volatility</w:t>
            </w:r>
          </w:p>
        </w:tc>
        <w:tc>
          <w:tcPr>
            <w:tcW w:w="1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33.0% – 55.9%</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right"/>
              <w:ind w:right="640"/>
              <w:spacing w:after="0" w:line="176" w:lineRule="exact"/>
              <w:rPr>
                <w:sz w:val="20"/>
                <w:szCs w:val="20"/>
                <w:color w:val="auto"/>
              </w:rPr>
            </w:pPr>
            <w:r>
              <w:rPr>
                <w:rFonts w:ascii="Arial" w:cs="Arial" w:eastAsia="Arial" w:hAnsi="Arial"/>
                <w:sz w:val="18"/>
                <w:szCs w:val="18"/>
                <w:color w:val="auto"/>
              </w:rPr>
              <w:t>30.1% –</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30.1% – 35.7%</w:t>
            </w:r>
          </w:p>
        </w:tc>
        <w:tc>
          <w:tcPr>
            <w:tcW w:w="0" w:type="dxa"/>
            <w:vAlign w:val="bottom"/>
          </w:tcPr>
          <w:p>
            <w:pPr>
              <w:spacing w:after="0"/>
              <w:rPr>
                <w:sz w:val="1"/>
                <w:szCs w:val="1"/>
                <w:color w:val="auto"/>
              </w:rPr>
            </w:pPr>
          </w:p>
        </w:tc>
      </w:tr>
      <w:tr>
        <w:trPr>
          <w:trHeight w:val="229"/>
        </w:trPr>
        <w:tc>
          <w:tcPr>
            <w:tcW w:w="5780" w:type="dxa"/>
            <w:vAlign w:val="bottom"/>
            <w:vMerge w:val="continue"/>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9680" w:type="dxa"/>
            <w:vAlign w:val="bottom"/>
            <w:gridSpan w:val="8"/>
          </w:tcPr>
          <w:p>
            <w:pPr>
              <w:ind w:left="340"/>
              <w:spacing w:after="0"/>
              <w:rPr>
                <w:sz w:val="20"/>
                <w:szCs w:val="20"/>
                <w:color w:val="auto"/>
              </w:rPr>
            </w:pPr>
            <w:r>
              <w:rPr>
                <w:rFonts w:ascii="Arial" w:cs="Arial" w:eastAsia="Arial" w:hAnsi="Arial"/>
                <w:sz w:val="18"/>
                <w:szCs w:val="18"/>
                <w:color w:val="auto"/>
                <w:w w:val="98"/>
              </w:rPr>
              <w:t>Stock-based compensation expense included in the consolidated statements of operations is as follows (in thousands):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7"/>
        </w:trPr>
        <w:tc>
          <w:tcPr>
            <w:tcW w:w="56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6"/>
              </w:rPr>
              <w:t>Year Ended January 31,</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23"/>
        </w:trPr>
        <w:tc>
          <w:tcPr>
            <w:tcW w:w="56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34"/>
        </w:trPr>
        <w:tc>
          <w:tcPr>
            <w:tcW w:w="5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Subscription cost of revenue</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r>
      <w:tr>
        <w:trPr>
          <w:trHeight w:val="229"/>
        </w:trPr>
        <w:tc>
          <w:tcPr>
            <w:tcW w:w="5680" w:type="dxa"/>
            <w:vAlign w:val="bottom"/>
          </w:tcPr>
          <w:p>
            <w:pPr>
              <w:ind w:left="360"/>
              <w:spacing w:after="0"/>
              <w:rPr>
                <w:sz w:val="20"/>
                <w:szCs w:val="20"/>
                <w:color w:val="auto"/>
              </w:rPr>
            </w:pPr>
            <w:r>
              <w:rPr>
                <w:rFonts w:ascii="Arial" w:cs="Arial" w:eastAsia="Arial" w:hAnsi="Arial"/>
                <w:sz w:val="18"/>
                <w:szCs w:val="18"/>
                <w:color w:val="auto"/>
              </w:rPr>
              <w:t>Professional services cost of revenue</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2,486</w:t>
            </w: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89,634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w:t>
            </w: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102,027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15,403</w:t>
            </w:r>
          </w:p>
        </w:tc>
      </w:tr>
      <w:tr>
        <w:trPr>
          <w:trHeight w:val="229"/>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86,197</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32,906</w:t>
            </w:r>
          </w:p>
        </w:tc>
      </w:tr>
      <w:tr>
        <w:trPr>
          <w:trHeight w:val="223"/>
        </w:trPr>
        <w:tc>
          <w:tcPr>
            <w:tcW w:w="5680" w:type="dxa"/>
            <w:vAlign w:val="bottom"/>
          </w:tcPr>
          <w:p>
            <w:pPr>
              <w:ind w:left="480"/>
              <w:spacing w:after="0"/>
              <w:rPr>
                <w:sz w:val="20"/>
                <w:szCs w:val="20"/>
                <w:color w:val="auto"/>
              </w:rPr>
            </w:pPr>
            <w:r>
              <w:rPr>
                <w:rFonts w:ascii="Arial" w:cs="Arial" w:eastAsia="Arial" w:hAnsi="Arial"/>
                <w:sz w:val="18"/>
                <w:szCs w:val="18"/>
                <w:color w:val="auto"/>
              </w:rPr>
              <w:t>Total stock-based compensation expense</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309,952</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79,940</w:t>
            </w:r>
          </w:p>
        </w:tc>
      </w:tr>
      <w:tr>
        <w:trPr>
          <w:trHeight w:val="20"/>
        </w:trPr>
        <w:tc>
          <w:tcPr>
            <w:tcW w:w="5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Revenue, Deferred Revenue and Remaining Performance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revenue from contracts by type of customer (in thousands, except percentages):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6"/>
                <w:szCs w:val="16"/>
                <w:b w:val="1"/>
                <w:bCs w:val="1"/>
                <w:color w:val="auto"/>
              </w:rPr>
              <w:t>Year Ended January 31,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2022</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4"/>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4"/>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 Revenue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6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6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Channel</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1,093,336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75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655,031</w:t>
            </w:r>
          </w:p>
        </w:tc>
        <w:tc>
          <w:tcPr>
            <w:tcW w:w="1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254"/>
              <w:spacing w:after="0"/>
              <w:rPr>
                <w:sz w:val="20"/>
                <w:szCs w:val="20"/>
                <w:color w:val="auto"/>
              </w:rPr>
            </w:pPr>
            <w:r>
              <w:rPr>
                <w:rFonts w:ascii="Arial" w:cs="Arial" w:eastAsia="Arial" w:hAnsi="Arial"/>
                <w:sz w:val="18"/>
                <w:szCs w:val="18"/>
                <w:color w:val="auto"/>
              </w:rPr>
              <w:t>75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331,279</w:t>
            </w:r>
          </w:p>
        </w:tc>
        <w:tc>
          <w:tcPr>
            <w:tcW w:w="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234"/>
              <w:spacing w:after="0"/>
              <w:rPr>
                <w:sz w:val="20"/>
                <w:szCs w:val="20"/>
                <w:color w:val="auto"/>
              </w:rPr>
            </w:pPr>
            <w:r>
              <w:rPr>
                <w:rFonts w:ascii="Arial" w:cs="Arial" w:eastAsia="Arial" w:hAnsi="Arial"/>
                <w:sz w:val="18"/>
                <w:szCs w:val="18"/>
                <w:color w:val="auto"/>
              </w:rPr>
              <w:t>69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88"/>
              </w:rPr>
              <w:t>Partners</w:t>
            </w:r>
          </w:p>
        </w:tc>
        <w:tc>
          <w:tcPr>
            <w:tcW w:w="5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460" w:type="dxa"/>
            <w:vAlign w:val="bottom"/>
          </w:tcPr>
          <w:p>
            <w:pPr>
              <w:jc w:val="right"/>
              <w:ind w:right="570"/>
              <w:spacing w:after="0" w:line="176" w:lineRule="exact"/>
              <w:rPr>
                <w:sz w:val="20"/>
                <w:szCs w:val="20"/>
                <w:color w:val="auto"/>
              </w:rPr>
            </w:pPr>
            <w:r>
              <w:rPr>
                <w:rFonts w:ascii="Arial" w:cs="Arial" w:eastAsia="Arial" w:hAnsi="Arial"/>
                <w:sz w:val="18"/>
                <w:szCs w:val="18"/>
                <w:color w:val="auto"/>
              </w:rPr>
              <w:t>Direct</w:t>
            </w: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358,258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8"/>
                <w:szCs w:val="18"/>
                <w:color w:val="auto"/>
              </w:rPr>
              <w:t>25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219,407</w:t>
            </w:r>
          </w:p>
        </w:tc>
        <w:tc>
          <w:tcPr>
            <w:tcW w:w="100" w:type="dxa"/>
            <w:vAlign w:val="bottom"/>
          </w:tcPr>
          <w:p>
            <w:pPr>
              <w:spacing w:after="0"/>
              <w:rPr>
                <w:sz w:val="15"/>
                <w:szCs w:val="15"/>
                <w:color w:val="auto"/>
              </w:rPr>
            </w:pPr>
          </w:p>
        </w:tc>
        <w:tc>
          <w:tcPr>
            <w:tcW w:w="1420" w:type="dxa"/>
            <w:vAlign w:val="bottom"/>
            <w:vMerge w:val="restart"/>
          </w:tcPr>
          <w:p>
            <w:pPr>
              <w:jc w:val="right"/>
              <w:ind w:right="254"/>
              <w:spacing w:after="0"/>
              <w:rPr>
                <w:sz w:val="20"/>
                <w:szCs w:val="20"/>
                <w:color w:val="auto"/>
              </w:rPr>
            </w:pPr>
            <w:r>
              <w:rPr>
                <w:rFonts w:ascii="Arial" w:cs="Arial" w:eastAsia="Arial" w:hAnsi="Arial"/>
                <w:sz w:val="18"/>
                <w:szCs w:val="18"/>
                <w:color w:val="auto"/>
              </w:rPr>
              <w:t>25</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150,134</w:t>
            </w:r>
          </w:p>
        </w:tc>
        <w:tc>
          <w:tcPr>
            <w:tcW w:w="80" w:type="dxa"/>
            <w:vAlign w:val="bottom"/>
          </w:tcPr>
          <w:p>
            <w:pPr>
              <w:spacing w:after="0"/>
              <w:rPr>
                <w:sz w:val="15"/>
                <w:szCs w:val="15"/>
                <w:color w:val="auto"/>
              </w:rPr>
            </w:pPr>
          </w:p>
        </w:tc>
        <w:tc>
          <w:tcPr>
            <w:tcW w:w="1420" w:type="dxa"/>
            <w:vAlign w:val="bottom"/>
            <w:vMerge w:val="restart"/>
          </w:tcPr>
          <w:p>
            <w:pPr>
              <w:jc w:val="right"/>
              <w:ind w:right="234"/>
              <w:spacing w:after="0"/>
              <w:rPr>
                <w:sz w:val="20"/>
                <w:szCs w:val="20"/>
                <w:color w:val="auto"/>
              </w:rPr>
            </w:pPr>
            <w:r>
              <w:rPr>
                <w:rFonts w:ascii="Arial" w:cs="Arial" w:eastAsia="Arial" w:hAnsi="Arial"/>
                <w:sz w:val="18"/>
                <w:szCs w:val="18"/>
                <w:color w:val="auto"/>
              </w:rPr>
              <w:t>31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bottom w:val="single" w:sz="8" w:color="CCEEFF"/>
            </w:tcBorders>
          </w:tcPr>
          <w:p>
            <w:pPr>
              <w:jc w:val="right"/>
              <w:ind w:right="570"/>
              <w:spacing w:after="0"/>
              <w:rPr>
                <w:sz w:val="20"/>
                <w:szCs w:val="20"/>
                <w:color w:val="auto"/>
              </w:rPr>
            </w:pPr>
            <w:r>
              <w:rPr>
                <w:rFonts w:ascii="Arial" w:cs="Arial" w:eastAsia="Arial" w:hAnsi="Arial"/>
                <w:sz w:val="18"/>
                <w:szCs w:val="18"/>
                <w:color w:val="auto"/>
                <w:w w:val="89"/>
              </w:rPr>
              <w:t>Customers</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jc w:val="right"/>
              <w:ind w:right="530"/>
              <w:spacing w:after="0" w:line="156" w:lineRule="exact"/>
              <w:rPr>
                <w:sz w:val="20"/>
                <w:szCs w:val="20"/>
                <w:color w:val="auto"/>
              </w:rPr>
            </w:pPr>
            <w:r>
              <w:rPr>
                <w:rFonts w:ascii="Arial" w:cs="Arial" w:eastAsia="Arial" w:hAnsi="Arial"/>
                <w:sz w:val="18"/>
                <w:szCs w:val="18"/>
                <w:color w:val="auto"/>
              </w:rPr>
              <w:t>Total</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1,451,594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100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54"/>
              <w:spacing w:after="0"/>
              <w:rPr>
                <w:sz w:val="20"/>
                <w:szCs w:val="20"/>
                <w:color w:val="auto"/>
              </w:rPr>
            </w:pPr>
            <w:r>
              <w:rPr>
                <w:rFonts w:ascii="Arial" w:cs="Arial" w:eastAsia="Arial" w:hAnsi="Arial"/>
                <w:sz w:val="18"/>
                <w:szCs w:val="18"/>
                <w:color w:val="auto"/>
              </w:rPr>
              <w:t>100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481,413</w:t>
            </w:r>
          </w:p>
        </w:tc>
        <w:tc>
          <w:tcPr>
            <w:tcW w:w="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34"/>
              <w:spacing w:after="0"/>
              <w:rPr>
                <w:sz w:val="20"/>
                <w:szCs w:val="20"/>
                <w:color w:val="auto"/>
              </w:rPr>
            </w:pPr>
            <w:r>
              <w:rPr>
                <w:rFonts w:ascii="Arial" w:cs="Arial" w:eastAsia="Arial" w:hAnsi="Arial"/>
                <w:sz w:val="18"/>
                <w:szCs w:val="18"/>
                <w:color w:val="auto"/>
              </w:rPr>
              <w:t>100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revenue</w:t>
            </w: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80" w:firstLine="324"/>
        <w:spacing w:after="0" w:line="275"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6"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84" w:lineRule="exact"/>
        <w:rPr>
          <w:sz w:val="20"/>
          <w:szCs w:val="20"/>
          <w:color w:val="auto"/>
        </w:rPr>
      </w:pPr>
    </w:p>
    <w:p>
      <w:pPr>
        <w:ind w:right="20" w:firstLine="324"/>
        <w:spacing w:after="0" w:line="274"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platform or service (in thousands, except percentages):</w:t>
      </w:r>
    </w:p>
    <w:tbl>
      <w:tblPr>
        <w:tblLayout w:type="fixed"/>
        <w:tblInd w:w="0" w:type="dxa"/>
        <w:tblCellMar>
          <w:top w:w="0" w:type="dxa"/>
          <w:left w:w="0" w:type="dxa"/>
          <w:bottom w:w="0" w:type="dxa"/>
          <w:right w:w="0" w:type="dxa"/>
        </w:tblCellMar>
      </w:tblPr>
      <w:tr>
        <w:trPr>
          <w:trHeight w:val="213"/>
        </w:trPr>
        <w:tc>
          <w:tcPr>
            <w:tcW w:w="14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6"/>
                <w:szCs w:val="16"/>
                <w:b w:val="1"/>
                <w:bCs w:val="1"/>
                <w:color w:val="auto"/>
              </w:rPr>
              <w:t>Year Ended January 31,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2022</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3"/>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Amount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 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 Revenue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60" w:type="dxa"/>
            <w:vAlign w:val="bottom"/>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United States</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356,513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460" w:type="dxa"/>
            <w:vAlign w:val="bottom"/>
          </w:tcPr>
          <w:p>
            <w:pPr>
              <w:ind w:left="360"/>
              <w:spacing w:after="0" w:line="176" w:lineRule="exact"/>
              <w:rPr>
                <w:sz w:val="20"/>
                <w:szCs w:val="20"/>
                <w:color w:val="auto"/>
              </w:rPr>
            </w:pPr>
            <w:r>
              <w:rPr>
                <w:rFonts w:ascii="Arial" w:cs="Arial" w:eastAsia="Arial" w:hAnsi="Arial"/>
                <w:sz w:val="18"/>
                <w:szCs w:val="18"/>
                <w:color w:val="auto"/>
              </w:rPr>
              <w:t>Europe,</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line="176" w:lineRule="exact"/>
              <w:rPr>
                <w:sz w:val="20"/>
                <w:szCs w:val="20"/>
                <w:color w:val="auto"/>
              </w:rPr>
            </w:pPr>
            <w:r>
              <w:rPr>
                <w:rFonts w:ascii="Arial" w:cs="Arial" w:eastAsia="Arial" w:hAnsi="Arial"/>
                <w:sz w:val="18"/>
                <w:szCs w:val="18"/>
                <w:color w:val="auto"/>
              </w:rPr>
              <w:t>Middle East, and</w:t>
            </w:r>
          </w:p>
        </w:tc>
        <w:tc>
          <w:tcPr>
            <w:tcW w:w="5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200,198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right"/>
              <w:ind w:right="252"/>
              <w:spacing w:after="0"/>
              <w:rPr>
                <w:sz w:val="20"/>
                <w:szCs w:val="20"/>
                <w:color w:val="auto"/>
              </w:rPr>
            </w:pPr>
            <w:r>
              <w:rPr>
                <w:rFonts w:ascii="Arial" w:cs="Arial" w:eastAsia="Arial" w:hAnsi="Arial"/>
                <w:sz w:val="18"/>
                <w:szCs w:val="18"/>
                <w:color w:val="auto"/>
              </w:rPr>
              <w:t>14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123,900</w:t>
            </w:r>
          </w:p>
        </w:tc>
        <w:tc>
          <w:tcPr>
            <w:tcW w:w="100" w:type="dxa"/>
            <w:vAlign w:val="bottom"/>
          </w:tcPr>
          <w:p>
            <w:pPr>
              <w:spacing w:after="0"/>
              <w:rPr>
                <w:sz w:val="15"/>
                <w:szCs w:val="15"/>
                <w:color w:val="auto"/>
              </w:rPr>
            </w:pPr>
          </w:p>
        </w:tc>
        <w:tc>
          <w:tcPr>
            <w:tcW w:w="1420" w:type="dxa"/>
            <w:vAlign w:val="bottom"/>
            <w:vMerge w:val="restart"/>
          </w:tcPr>
          <w:p>
            <w:pPr>
              <w:jc w:val="right"/>
              <w:ind w:right="253"/>
              <w:spacing w:after="0"/>
              <w:rPr>
                <w:sz w:val="20"/>
                <w:szCs w:val="20"/>
                <w:color w:val="auto"/>
              </w:rPr>
            </w:pPr>
            <w:r>
              <w:rPr>
                <w:rFonts w:ascii="Arial" w:cs="Arial" w:eastAsia="Arial" w:hAnsi="Arial"/>
                <w:sz w:val="18"/>
                <w:szCs w:val="18"/>
                <w:color w:val="auto"/>
              </w:rPr>
              <w:t>14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67,428</w:t>
            </w:r>
          </w:p>
        </w:tc>
        <w:tc>
          <w:tcPr>
            <w:tcW w:w="80" w:type="dxa"/>
            <w:vAlign w:val="bottom"/>
          </w:tcPr>
          <w:p>
            <w:pPr>
              <w:spacing w:after="0"/>
              <w:rPr>
                <w:sz w:val="15"/>
                <w:szCs w:val="15"/>
                <w:color w:val="auto"/>
              </w:rPr>
            </w:pPr>
          </w:p>
        </w:tc>
        <w:tc>
          <w:tcPr>
            <w:tcW w:w="1420" w:type="dxa"/>
            <w:vAlign w:val="bottom"/>
            <w:vMerge w:val="restart"/>
          </w:tcPr>
          <w:p>
            <w:pPr>
              <w:jc w:val="right"/>
              <w:ind w:right="233"/>
              <w:spacing w:after="0"/>
              <w:rPr>
                <w:sz w:val="20"/>
                <w:szCs w:val="20"/>
                <w:color w:val="auto"/>
              </w:rPr>
            </w:pPr>
            <w:r>
              <w:rPr>
                <w:rFonts w:ascii="Arial" w:cs="Arial" w:eastAsia="Arial" w:hAnsi="Arial"/>
                <w:sz w:val="18"/>
                <w:szCs w:val="18"/>
                <w:color w:val="auto"/>
              </w:rPr>
              <w:t>14</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Pr>
          <w:p>
            <w:pPr>
              <w:ind w:left="20"/>
              <w:spacing w:after="0"/>
              <w:rPr>
                <w:sz w:val="20"/>
                <w:szCs w:val="20"/>
                <w:color w:val="auto"/>
              </w:rPr>
            </w:pPr>
            <w:r>
              <w:rPr>
                <w:rFonts w:ascii="Arial" w:cs="Arial" w:eastAsia="Arial" w:hAnsi="Arial"/>
                <w:sz w:val="18"/>
                <w:szCs w:val="18"/>
                <w:color w:val="auto"/>
              </w:rPr>
              <w:t>Africa</w:t>
            </w: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 Pacific</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42,951</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460" w:type="dxa"/>
            <w:vAlign w:val="bottom"/>
            <w:shd w:val="clear" w:color="auto" w:fill="CCEEFF"/>
          </w:tcPr>
          <w:p>
            <w:pPr>
              <w:ind w:left="480"/>
              <w:spacing w:after="0" w:line="156" w:lineRule="exact"/>
              <w:rPr>
                <w:sz w:val="20"/>
                <w:szCs w:val="20"/>
                <w:color w:val="auto"/>
              </w:rPr>
            </w:pPr>
            <w:r>
              <w:rPr>
                <w:rFonts w:ascii="Arial" w:cs="Arial" w:eastAsia="Arial" w:hAnsi="Arial"/>
                <w:sz w:val="18"/>
                <w:szCs w:val="18"/>
                <w:color w:val="auto"/>
              </w:rPr>
              <w:t>Total</w:t>
            </w: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1,451,594</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100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874,438</w:t>
            </w:r>
          </w:p>
        </w:tc>
        <w:tc>
          <w:tcPr>
            <w:tcW w:w="10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53"/>
              <w:spacing w:after="0"/>
              <w:rPr>
                <w:sz w:val="20"/>
                <w:szCs w:val="20"/>
                <w:color w:val="auto"/>
              </w:rPr>
            </w:pPr>
            <w:r>
              <w:rPr>
                <w:rFonts w:ascii="Arial" w:cs="Arial" w:eastAsia="Arial" w:hAnsi="Arial"/>
                <w:sz w:val="18"/>
                <w:szCs w:val="18"/>
                <w:color w:val="auto"/>
              </w:rPr>
              <w:t>100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481,413</w:t>
            </w:r>
          </w:p>
        </w:tc>
        <w:tc>
          <w:tcPr>
            <w:tcW w:w="8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233"/>
              <w:spacing w:after="0"/>
              <w:rPr>
                <w:sz w:val="20"/>
                <w:szCs w:val="20"/>
                <w:color w:val="auto"/>
              </w:rPr>
            </w:pPr>
            <w:r>
              <w:rPr>
                <w:rFonts w:ascii="Arial" w:cs="Arial" w:eastAsia="Arial" w:hAnsi="Arial"/>
                <w:sz w:val="18"/>
                <w:szCs w:val="18"/>
                <w:color w:val="auto"/>
              </w:rPr>
              <w:t>100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revenue</w:t>
            </w: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fiscal years ended January 31, 2022, January 31, 2021 or January 31,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480" w:firstLine="324"/>
        <w:spacing w:after="0" w:line="311" w:lineRule="auto"/>
        <w:rPr>
          <w:sz w:val="20"/>
          <w:szCs w:val="20"/>
          <w:color w:val="auto"/>
        </w:rPr>
      </w:pPr>
      <w:r>
        <w:rPr>
          <w:rFonts w:ascii="Arial" w:cs="Arial" w:eastAsia="Arial" w:hAnsi="Arial"/>
          <w:sz w:val="16"/>
          <w:szCs w:val="16"/>
          <w:color w:val="auto"/>
        </w:rPr>
        <w:t>Contract liabilities consist of deferred revenue and include payments received in advance of performance under the contract. Such amounts are recognized as revenue over the contractual period. The Company recognized revenue of $696.7 million and $410.7 million for the fiscal years ended January 31, 2022 and January 31, 2021, respectively, that were included in the corresponding contract liability balance at the beginning of the period.</w:t>
      </w:r>
    </w:p>
    <w:p>
      <w:pPr>
        <w:spacing w:after="0" w:line="149" w:lineRule="exact"/>
        <w:rPr>
          <w:sz w:val="20"/>
          <w:szCs w:val="20"/>
          <w:color w:val="auto"/>
        </w:rPr>
      </w:pPr>
    </w:p>
    <w:p>
      <w:pPr>
        <w:jc w:val="both"/>
        <w:ind w:right="560" w:firstLine="324"/>
        <w:spacing w:after="0" w:line="31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340"/>
              <w:spacing w:after="0"/>
              <w:rPr>
                <w:sz w:val="20"/>
                <w:szCs w:val="20"/>
                <w:color w:val="auto"/>
              </w:rPr>
            </w:pPr>
            <w:r>
              <w:rPr>
                <w:rFonts w:ascii="Arial" w:cs="Arial" w:eastAsia="Arial" w:hAnsi="Arial"/>
                <w:sz w:val="18"/>
                <w:szCs w:val="18"/>
                <w:color w:val="auto"/>
              </w:rPr>
              <w:t>Changes in deferred revenue were as follows (in thousands):</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748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Year Ended January 31,</w:t>
            </w:r>
          </w:p>
        </w:tc>
      </w:tr>
      <w:tr>
        <w:trPr>
          <w:trHeight w:val="223"/>
        </w:trPr>
        <w:tc>
          <w:tcPr>
            <w:tcW w:w="74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34"/>
        </w:trPr>
        <w:tc>
          <w:tcPr>
            <w:tcW w:w="7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Balance</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911,895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571,168</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Additions to deferred revenue</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2,069,020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1,215,165</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Recognition of deferred revenue</w:t>
            </w: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(1,451,594)</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(874,438)</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1,529,321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911,895</w:t>
            </w:r>
          </w:p>
        </w:tc>
      </w:tr>
      <w:tr>
        <w:trPr>
          <w:trHeight w:val="21"/>
        </w:trPr>
        <w:tc>
          <w:tcPr>
            <w:tcW w:w="7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January 31, 2022, the aggregate amount of the transaction price allocated to remaining performance obligations was $2.3 billion. The Company expects to recognize approximately 65% of the remaining performance obligations in the 12 months following January 31, 2022 and 34% between 13 to 36 months, with the remainder to be recognized thereafter.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to Obtain and Fulfill a Contract</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capitalizes referral fees paid to partners and sales commission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spacing w:after="0" w:line="18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4 years while commissions earned for renewal contracts are amortized over the contractual term of the renewals. Sales commissions associated with professional service contracts are amortized ratably over an estimated period of benefit of six months and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year ended January 31, 2022.</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ind w:left="340"/>
              <w:spacing w:after="0"/>
              <w:rPr>
                <w:sz w:val="20"/>
                <w:szCs w:val="20"/>
                <w:color w:val="auto"/>
              </w:rPr>
            </w:pPr>
            <w:r>
              <w:rPr>
                <w:rFonts w:ascii="Arial" w:cs="Arial" w:eastAsia="Arial" w:hAnsi="Arial"/>
                <w:sz w:val="18"/>
                <w:szCs w:val="18"/>
                <w:color w:val="auto"/>
                <w:w w:val="93"/>
              </w:rPr>
              <w:t>The following table summarizes the activity of deferred contract acquisition costs (in thousands):</w:t>
            </w: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7"/>
        </w:trPr>
        <w:tc>
          <w:tcPr>
            <w:tcW w:w="74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Year Ended January 31,</w:t>
            </w:r>
          </w:p>
        </w:tc>
      </w:tr>
      <w:tr>
        <w:trPr>
          <w:trHeight w:val="223"/>
        </w:trPr>
        <w:tc>
          <w:tcPr>
            <w:tcW w:w="74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34"/>
        </w:trPr>
        <w:tc>
          <w:tcPr>
            <w:tcW w:w="7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9"/>
              </w:rPr>
              <w:t>198,756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114,206</w:t>
            </w:r>
          </w:p>
        </w:tc>
      </w:tr>
      <w:tr>
        <w:trPr>
          <w:trHeight w:val="230"/>
        </w:trPr>
        <w:tc>
          <w:tcPr>
            <w:tcW w:w="7480" w:type="dxa"/>
            <w:vAlign w:val="bottom"/>
          </w:tcPr>
          <w:p>
            <w:pPr>
              <w:ind w:left="360"/>
              <w:spacing w:after="0"/>
              <w:rPr>
                <w:sz w:val="20"/>
                <w:szCs w:val="20"/>
                <w:color w:val="auto"/>
              </w:rPr>
            </w:pPr>
            <w:r>
              <w:rPr>
                <w:rFonts w:ascii="Arial" w:cs="Arial" w:eastAsia="Arial" w:hAnsi="Arial"/>
                <w:sz w:val="18"/>
                <w:szCs w:val="18"/>
                <w:color w:val="auto"/>
              </w:rPr>
              <w:t>Capitalization of contract acquisition costs</w:t>
            </w:r>
          </w:p>
        </w:tc>
        <w:tc>
          <w:tcPr>
            <w:tcW w:w="660" w:type="dxa"/>
            <w:vAlign w:val="bottom"/>
          </w:tcPr>
          <w:p>
            <w:pPr>
              <w:spacing w:after="0"/>
              <w:rPr>
                <w:sz w:val="19"/>
                <w:szCs w:val="19"/>
                <w:color w:val="auto"/>
              </w:rPr>
            </w:pP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89"/>
              </w:rPr>
              <w:t>234,308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150,975</w:t>
            </w:r>
          </w:p>
        </w:tc>
      </w:tr>
      <w:tr>
        <w:trPr>
          <w:trHeight w:val="229"/>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0"/>
              </w:rPr>
              <w:t>(113,884)</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(66,425)</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9"/>
              </w:rPr>
              <w:t>319,180</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198,756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7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Deferred contract acquisition costs, current</w:t>
            </w: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center"/>
              <w:ind w:left="370"/>
              <w:spacing w:after="0"/>
              <w:rPr>
                <w:sz w:val="20"/>
                <w:szCs w:val="20"/>
                <w:color w:val="auto"/>
              </w:rPr>
            </w:pPr>
            <w:r>
              <w:rPr>
                <w:rFonts w:ascii="Arial" w:cs="Arial" w:eastAsia="Arial" w:hAnsi="Arial"/>
                <w:sz w:val="18"/>
                <w:szCs w:val="18"/>
                <w:color w:val="auto"/>
                <w:w w:val="89"/>
              </w:rPr>
              <w:t>126,822</w:t>
            </w:r>
          </w:p>
        </w:tc>
        <w:tc>
          <w:tcPr>
            <w:tcW w:w="12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80,850</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contract acquisition costs, noncurrent</w:t>
            </w: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192,358</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117,906</w:t>
            </w:r>
          </w:p>
        </w:tc>
      </w:tr>
      <w:tr>
        <w:trPr>
          <w:trHeight w:val="223"/>
        </w:trPr>
        <w:tc>
          <w:tcPr>
            <w:tcW w:w="7480" w:type="dxa"/>
            <w:vAlign w:val="bottom"/>
          </w:tcPr>
          <w:p>
            <w:pPr>
              <w:ind w:left="480"/>
              <w:spacing w:after="0"/>
              <w:rPr>
                <w:sz w:val="20"/>
                <w:szCs w:val="20"/>
                <w:color w:val="auto"/>
              </w:rPr>
            </w:pPr>
            <w:r>
              <w:rPr>
                <w:rFonts w:ascii="Arial" w:cs="Arial" w:eastAsia="Arial" w:hAnsi="Arial"/>
                <w:sz w:val="18"/>
                <w:szCs w:val="18"/>
                <w:color w:val="auto"/>
              </w:rPr>
              <w:t>Total deferred contract acquisition costs</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9"/>
              </w:rPr>
              <w:t>319,180</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198,756</w:t>
            </w:r>
          </w:p>
        </w:tc>
      </w:tr>
      <w:tr>
        <w:trPr>
          <w:trHeight w:val="21"/>
        </w:trPr>
        <w:tc>
          <w:tcPr>
            <w:tcW w:w="7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80" w:right="8520" w:hanging="372"/>
        <w:spacing w:after="0" w:line="601" w:lineRule="auto"/>
        <w:tabs>
          <w:tab w:leader="none" w:pos="276" w:val="left"/>
        </w:tabs>
        <w:numPr>
          <w:ilvl w:val="0"/>
          <w:numId w:val="6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Purchase Obligations</w:t>
      </w:r>
    </w:p>
    <w:p>
      <w:pPr>
        <w:jc w:val="both"/>
        <w:ind w:right="320" w:firstLine="324"/>
        <w:spacing w:after="0" w:line="263" w:lineRule="auto"/>
        <w:rPr>
          <w:sz w:val="20"/>
          <w:szCs w:val="20"/>
          <w:color w:val="auto"/>
        </w:rPr>
      </w:pPr>
      <w:r>
        <w:rPr>
          <w:rFonts w:ascii="Arial" w:cs="Arial" w:eastAsia="Arial" w:hAnsi="Arial"/>
          <w:sz w:val="18"/>
          <w:szCs w:val="18"/>
          <w:color w:val="auto"/>
        </w:rPr>
        <w:t>The Company enters into long-term non-cancelable agreements with providers to purchase data center capacity, such as bandwidth and colocation space, for the Company’s cloud platform. As of January 31, 2022, the Company is committed to spend $48.1 million on such agreements through fiscal 2028. These obligations are included in purchase obligations below.</w:t>
      </w:r>
    </w:p>
    <w:p>
      <w:pPr>
        <w:spacing w:after="0" w:line="184" w:lineRule="exact"/>
        <w:rPr>
          <w:sz w:val="20"/>
          <w:szCs w:val="20"/>
          <w:color w:val="auto"/>
        </w:rPr>
      </w:pPr>
    </w:p>
    <w:p>
      <w:pPr>
        <w:ind w:firstLine="324"/>
        <w:spacing w:after="0" w:line="280" w:lineRule="auto"/>
        <w:rPr>
          <w:sz w:val="20"/>
          <w:szCs w:val="20"/>
          <w:color w:val="auto"/>
        </w:rPr>
      </w:pPr>
      <w:r>
        <w:rPr>
          <w:rFonts w:ascii="Arial" w:cs="Arial" w:eastAsia="Arial" w:hAnsi="Arial"/>
          <w:sz w:val="17"/>
          <w:szCs w:val="17"/>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noncancellable purchase obligations in excess of one year as of January 31, 2022 with expected date of payment is as follows (in thousands):</w:t>
      </w:r>
    </w:p>
    <w:tbl>
      <w:tblPr>
        <w:tblLayout w:type="fixed"/>
        <w:tblInd w:w="0" w:type="dxa"/>
        <w:tblCellMar>
          <w:top w:w="0" w:type="dxa"/>
          <w:left w:w="0" w:type="dxa"/>
          <w:bottom w:w="0" w:type="dxa"/>
          <w:right w:w="0" w:type="dxa"/>
        </w:tblCellMar>
      </w:tblPr>
      <w:tr>
        <w:trPr>
          <w:trHeight w:val="181"/>
        </w:trPr>
        <w:tc>
          <w:tcPr>
            <w:tcW w:w="9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jc w:val="right"/>
              <w:ind w:right="470"/>
              <w:spacing w:after="0" w:line="181" w:lineRule="exact"/>
              <w:rPr>
                <w:sz w:val="20"/>
                <w:szCs w:val="20"/>
                <w:color w:val="auto"/>
              </w:rPr>
            </w:pPr>
            <w:r>
              <w:rPr>
                <w:rFonts w:ascii="Arial" w:cs="Arial" w:eastAsia="Arial" w:hAnsi="Arial"/>
                <w:sz w:val="18"/>
                <w:szCs w:val="18"/>
                <w:b w:val="1"/>
                <w:bCs w:val="1"/>
                <w:color w:val="auto"/>
              </w:rPr>
              <w:t>Total</w:t>
            </w:r>
          </w:p>
        </w:tc>
      </w:tr>
      <w:tr>
        <w:trPr>
          <w:trHeight w:val="230"/>
        </w:trPr>
        <w:tc>
          <w:tcPr>
            <w:tcW w:w="9400" w:type="dxa"/>
            <w:vAlign w:val="bottom"/>
          </w:tcPr>
          <w:p>
            <w:pPr>
              <w:spacing w:after="0"/>
              <w:rPr>
                <w:sz w:val="19"/>
                <w:szCs w:val="19"/>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Commitments</w:t>
            </w:r>
          </w:p>
        </w:tc>
      </w:tr>
      <w:tr>
        <w:trPr>
          <w:trHeight w:val="34"/>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2023</w:t>
            </w:r>
          </w:p>
        </w:tc>
        <w:tc>
          <w:tcPr>
            <w:tcW w:w="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67,540</w:t>
            </w: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Fiscal 2024</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72,438</w:t>
            </w:r>
          </w:p>
        </w:tc>
      </w:tr>
      <w:tr>
        <w:trPr>
          <w:trHeight w:val="23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2025</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w:t>
            </w:r>
          </w:p>
        </w:tc>
      </w:tr>
      <w:tr>
        <w:trPr>
          <w:trHeight w:val="230"/>
        </w:trPr>
        <w:tc>
          <w:tcPr>
            <w:tcW w:w="9400" w:type="dxa"/>
            <w:vAlign w:val="bottom"/>
          </w:tcPr>
          <w:p>
            <w:pPr>
              <w:ind w:left="360"/>
              <w:spacing w:after="0"/>
              <w:rPr>
                <w:sz w:val="20"/>
                <w:szCs w:val="20"/>
                <w:color w:val="auto"/>
              </w:rPr>
            </w:pPr>
            <w:r>
              <w:rPr>
                <w:rFonts w:ascii="Arial" w:cs="Arial" w:eastAsia="Arial" w:hAnsi="Arial"/>
                <w:sz w:val="18"/>
                <w:szCs w:val="18"/>
                <w:color w:val="auto"/>
              </w:rPr>
              <w:t>Fiscal 2026</w:t>
            </w:r>
          </w:p>
        </w:tc>
        <w:tc>
          <w:tcPr>
            <w:tcW w:w="6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7,094</w:t>
            </w:r>
          </w:p>
        </w:tc>
      </w:tr>
      <w:tr>
        <w:trPr>
          <w:trHeight w:val="229"/>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Fiscal 2027</w:t>
            </w:r>
          </w:p>
        </w:tc>
        <w:tc>
          <w:tcPr>
            <w:tcW w:w="6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r>
      <w:tr>
        <w:trPr>
          <w:trHeight w:val="230"/>
        </w:trPr>
        <w:tc>
          <w:tcPr>
            <w:tcW w:w="9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48"/>
        </w:trPr>
        <w:tc>
          <w:tcPr>
            <w:tcW w:w="9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purchase commitments</w:t>
            </w: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177,619</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October 2021, the Company entered into a new private pricing addendum with Amazon Web Services (“AWS”), which provides the Company with cloud computing infrastructure. Under the new pricing addendum, the minimum commitment is $600.0 million of cloud services from AWS through September 2026. As of January 31, 2022, the Company had utilized $53.2 million of this commitment. The remaining commitment is excluded from the table above and the Company expects to meet its remaining commitment with AWS.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January 31, 2022 and January 31, 2021, the Company had an unused standby letter of credit for $0.4 million securing its facility in Sunnyvale, California. As of January 31, 2022 and January 31, 2021, the Company had an unused standby letter of credit for $0.8 million and $1.0 million, respectively, securing the facility housing its principal executive offices in Austin, Texas.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November 2016, Fair Isaac Corporation (“FICO”) filed a petition before the Trademark Trial and Appellate Board (“TTAB”) at the U.S. Patent and Trademark Office, seeking cancellation of the Company’s registration of its “CrowdStrike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Falcon” trademark, and a notice of opposition of the Company’s trademark application for “Falcon OverWatch.” The Company denies that any of the relief FICO seeks is appropriate, and has itself moved to cancel, or in the alternative amend, FICO’s “Falcon” trademark registrations before the TTAB. The proceedings have been consolidated and are in the discovery phase. The Company is vigorously defending the case, but given the early stage, although a loss may reasonably be possible, the Company is unable to predict the likelihood of success of FICO’s claims or estimate a loss or range of loss. As a result, no material liability has been recorded as of January 31, 2022 or January 31, 2021.</w:t>
      </w:r>
    </w:p>
    <w:p>
      <w:pPr>
        <w:spacing w:after="0" w:line="17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 March 2022, Webroot, Inc. and Open Text, Inc. (collectively, “Webroot”) filed a lawsuit against the Company in federal court in the Western District of Texas alleging that certain of the Company’s products infringe six patents held by them. In the complaint, Webroot sought unspecified damages, attorneys’ fees and a permanent injunction. The Company is evaluating Webroot’s claims and intends to vigorously defend against them.</w:t>
      </w:r>
    </w:p>
    <w:p>
      <w:pPr>
        <w:spacing w:after="0" w:line="16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consolidated financial statements.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70"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consolidated financial statements.</w:t>
      </w:r>
    </w:p>
    <w:p>
      <w:pPr>
        <w:spacing w:after="0" w:line="17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2022 or January 31,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Geographic Information</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The Company’s long-lived assets are composed of property and equipment, net, and operating lease right-of-use assets, are summarized by geographic area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January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7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256,282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36,030</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28,609</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property and equipment, net and operating lease right-of-use assets</w:t>
            </w: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292,312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203,498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jc w:val="right"/>
              <w:ind w:right="1670"/>
              <w:spacing w:after="0"/>
              <w:rPr>
                <w:sz w:val="20"/>
                <w:szCs w:val="20"/>
                <w:color w:val="auto"/>
              </w:rPr>
            </w:pPr>
            <w:r>
              <w:rPr>
                <w:rFonts w:ascii="Arial" w:cs="Arial" w:eastAsia="Arial" w:hAnsi="Arial"/>
                <w:sz w:val="18"/>
                <w:szCs w:val="18"/>
                <w:color w:val="auto"/>
              </w:rPr>
              <w:t>107</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5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long-lived assets as of January 31, 2022 and January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 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Subscription and Professional Services Revenue from Related Parties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During the fiscal years ended January 31, 2022, January 31, 2021 and January 31, 2020, certain investors and companies with whom the Company’s Board of Directors are affiliated with, purchased subscriptions and professional services. The Company recorded revenue from subscriptions and professional services from related parties of $7.7 million, $4.3 million, and $9.0 million during the fiscal years ended January 31, 2022, January 31, 2021 and January 31, 2020, respectively. Accounts receivable associated with these related parties was $2.2 million, and $1.3 million as of January 31, 2022 and January 31, 2021,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25"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During the fiscal years ended January 31, 2022, January 31, 2021 and January 31, 2020, the Company purchased goods and services totaling $26.0 million, $8.8 million, and $3.2 million, respectively, from certain investors and companies with whom its Board of Directors are affiliated with. The accounts payable to such vendors was $3.7 million and immaterial as of January 31, 2022 and January 31, 2021, respectively.</w:t>
      </w:r>
    </w:p>
    <w:p>
      <w:pPr>
        <w:spacing w:after="0" w:line="257" w:lineRule="exact"/>
        <w:rPr>
          <w:sz w:val="20"/>
          <w:szCs w:val="20"/>
          <w:color w:val="auto"/>
        </w:rPr>
      </w:pPr>
    </w:p>
    <w:p>
      <w:pPr>
        <w:ind w:left="340" w:right="9480" w:hanging="332"/>
        <w:spacing w:after="0" w:line="601" w:lineRule="auto"/>
        <w:tabs>
          <w:tab w:leader="none" w:pos="286" w:val="left"/>
        </w:tabs>
        <w:numPr>
          <w:ilvl w:val="0"/>
          <w:numId w:val="6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Acquisitions Secure Circle, LLC</w:t>
      </w:r>
    </w:p>
    <w:p>
      <w:pPr>
        <w:ind w:right="220" w:firstLine="324"/>
        <w:spacing w:after="0" w:line="291" w:lineRule="auto"/>
        <w:rPr>
          <w:sz w:val="20"/>
          <w:szCs w:val="20"/>
          <w:color w:val="auto"/>
        </w:rPr>
      </w:pPr>
      <w:r>
        <w:rPr>
          <w:rFonts w:ascii="Arial" w:cs="Arial" w:eastAsia="Arial" w:hAnsi="Arial"/>
          <w:sz w:val="16"/>
          <w:szCs w:val="16"/>
          <w:color w:val="auto"/>
        </w:rPr>
        <w:t>On November 29, 2021, the Company acquired 100% of the equity interest of Secure Circle, LLC (“SecureCircle”), a SaaS-based cybersecurity service that extends Zero Trust security to data on, from and to the endpoint. The acquisition has been accounted for as a business combination. The total consideration transferred was $60.8 million, which consisted solely of cash. The purchase price was allocated, on a preliminary basis, to identified intangible assets, which include developed technology and customer relationships of $18.3 million, net tangible assets acquired of $(0.5) million and goodwill of $43.0 million allocated to the Company’s one reporting unit, representing the excess of the purchase price over the fair value of net tangible and intangible assets acquired. The goodwill was primarily attributable to the assembled workforce of SecureCircle, planned growth in new markets and synergies expected to be achieved from the integration of SecureCircle. Goodwill was deductible for income tax purposes.</w:t>
      </w:r>
    </w:p>
    <w:p>
      <w:pPr>
        <w:spacing w:after="0" w:line="16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Subsequent to the closing of the acquisition, SecureCircle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8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rPr>
              <w:t>Useful Life</w:t>
            </w:r>
          </w:p>
        </w:tc>
      </w:tr>
      <w:tr>
        <w:trPr>
          <w:trHeight w:val="206"/>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295"/>
              <w:spacing w:after="0"/>
              <w:rPr>
                <w:sz w:val="20"/>
                <w:szCs w:val="20"/>
                <w:color w:val="auto"/>
              </w:rPr>
            </w:pPr>
            <w:r>
              <w:rPr>
                <w:rFonts w:ascii="Arial" w:cs="Arial" w:eastAsia="Arial" w:hAnsi="Arial"/>
                <w:sz w:val="16"/>
                <w:szCs w:val="16"/>
                <w:color w:val="auto"/>
              </w:rPr>
              <w:t>(in months)</w:t>
            </w:r>
          </w:p>
        </w:tc>
      </w:tr>
      <w:tr>
        <w:trPr>
          <w:trHeight w:val="23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 acquired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incurred acquisition expense of $1.2 million for the fiscal year ended January 31, 2022. The acquisition costs are recorded in general and administrative expenses on the Company’s consolidated statement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The results of operations of SecureCircle have been included in the Company’s consolidated financial statements from the date of acquisition. The acquisition of SecureCircle did not have a material impact on the Company’s consolidated financial statements, and therefore historical and pro forma disclosures have not been presented.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Humio Limited</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 The goodwill was primarily attributable to the assembled workforce of Humio, planned growth in new markets, and synergies expected to be achieved from the integration of Humio. Goodwill is not deductible for income tax purposes.</w:t>
      </w:r>
    </w:p>
    <w:p>
      <w:pPr>
        <w:spacing w:after="0" w:line="19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were excluded from the purchase price. In addition, Humio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7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the preliminary fair value of the identifiable intangible assets acquired and their estimated useful lives as of the date of acquisition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b w:val="1"/>
                <w:bCs w:val="1"/>
                <w:color w:val="auto"/>
              </w:rPr>
              <w:t>Useful Life</w:t>
            </w:r>
          </w:p>
        </w:tc>
      </w:tr>
      <w:tr>
        <w:trPr>
          <w:trHeight w:val="206"/>
        </w:trPr>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295"/>
              <w:spacing w:after="0"/>
              <w:rPr>
                <w:sz w:val="20"/>
                <w:szCs w:val="20"/>
                <w:color w:val="auto"/>
              </w:rPr>
            </w:pPr>
            <w:r>
              <w:rPr>
                <w:rFonts w:ascii="Arial" w:cs="Arial" w:eastAsia="Arial" w:hAnsi="Arial"/>
                <w:sz w:val="16"/>
                <w:szCs w:val="16"/>
                <w:color w:val="auto"/>
              </w:rPr>
              <w:t>(in months)</w:t>
            </w:r>
          </w:p>
        </w:tc>
      </w:tr>
      <w:tr>
        <w:trPr>
          <w:trHeight w:val="23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080" w:type="dxa"/>
            <w:vAlign w:val="bottom"/>
          </w:tcPr>
          <w:p>
            <w:pPr>
              <w:ind w:left="140"/>
              <w:spacing w:after="0"/>
              <w:rPr>
                <w:sz w:val="20"/>
                <w:szCs w:val="20"/>
                <w:color w:val="auto"/>
              </w:rPr>
            </w:pPr>
            <w:r>
              <w:rPr>
                <w:rFonts w:ascii="Arial" w:cs="Arial" w:eastAsia="Arial" w:hAnsi="Arial"/>
                <w:sz w:val="18"/>
                <w:szCs w:val="18"/>
                <w:color w:val="auto"/>
              </w:rPr>
              <w:t>Total intangible assets acquired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75,600</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incurred acquisition expense of $5.0 million for the fiscal year ended January 31, 2022. The acquisition costs are recorded in general and administrative expenses on the Company’s consolidated statement of operations.</w:t>
      </w:r>
    </w:p>
    <w:p>
      <w:pPr>
        <w:spacing w:after="0" w:line="17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results of operations of Humio have been included in the Company’s consolidated financial statements from the date of acquisition. The acquisition of Humio did not have a material impact on the Company’s consolidated financial statements, and therefore historical and pro forma disclosures have not been presented.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Preempt Security, Inc.</w:t>
      </w:r>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September 30, 2020, the Company acquired 100% of the equity interest of Preempt Security, Inc. (“Preempt Security”), a privately-held Delaware corporation that developed real-time access control and threat prevention technology (the “Acquisition”). The Acquisition has been accounted for a business combination. The total consideration transferred was $91.2 million which consisted of $87.4 million in cash and $3.8 million representing the fair value of replacement equity awards attributable to pre-acquisition service. The purchase price was allocated to identified intangible assets, which include developed technology, customer relationships and trade names, of $16.4 million, net tangible assets acquired of $(0.5) million and goodwill of $75.3 million allocated to the Company’s one reporting segment, representing the excess of the purchase price over the fair value of net tangible and intangible assets acquired. The goodwill was primarily attributable to the assembled workforce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of Preempt Security, planned growth in new markets and synergies expected to be achieved from the integration of Preempt Security. Goodwill is not deductible for income tax purposes.</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Per the terms of the merger agreement with Preempt Security, certain unvested stock options held by Preempt Security employees were canceled and exchanged for replacement stock options under the 2019 Plan. Additionally, certain shares of stock issued pursuant to share-based compensation awards to key employees of Preempt Security were canceled and exchanged for replacement RSUs of the Company, which are subject to future vesting. The portion of the fair value of the replacement equity awards associated with pre-acquisition service of Preempt Security’s employees represented a component of the total purchase consideration. The remaining fair value of these issued awards is subject to the recipients’ continued service with the Company and the achievement of specified performance targets, and thus were excluded from the purchase price.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24" w:lineRule="exact"/>
        <w:rPr>
          <w:sz w:val="20"/>
          <w:szCs w:val="20"/>
          <w:color w:val="auto"/>
        </w:rPr>
      </w:pPr>
    </w:p>
    <w:p>
      <w:pPr>
        <w:ind w:right="340" w:firstLine="324"/>
        <w:spacing w:after="0" w:line="271"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7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(in months)</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names</w:t>
            </w: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intangible assets acquired</w:t>
            </w: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incurred an immaterial amount of acquisition expense for the fiscal year ended January 31, 2022. The acquisition costs are recorded in general and administrative expenses on the Company’s consolidated statement of operations.</w:t>
      </w:r>
    </w:p>
    <w:p>
      <w:pPr>
        <w:spacing w:after="0" w:line="170"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 results of operations of Preempt Security have been included in the Company’s consolidated financial statements from the date of acquisition. The acquisition of Preempt Security did not have a material impact on the Company’s consolidated financial statements, and therefore historical and pro forma disclosures have not been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Net Loss Per Share Attributable to Common Stockholders</w:t>
      </w:r>
    </w:p>
    <w:p>
      <w:pPr>
        <w:spacing w:after="0" w:line="22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Basic and diluted net loss per share attributable to CrowdStrike’s common stockholders is computed in conformity with the two-class method required for participating securities. Basic net loss per share attributable to CrowdStrike common stockholders is computed by dividing the net loss attributable to CrowdStrike by the weighted-average number of shares of common stock outstanding during the period. Diluted net loss per share is the same as basic net loss per share because the effects of potentially dilutive items were antidilutive given the Company’s net loss position in the periods presented.</w:t>
      </w:r>
    </w:p>
    <w:p>
      <w:pPr>
        <w:spacing w:after="0" w:line="15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loss per share attributable to CrowdStrike common stockholders are the same for shares of Class A and Class B common stock.</w:t>
      </w:r>
    </w:p>
    <w:p>
      <w:pPr>
        <w:spacing w:after="0" w:line="16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CrowdStrike common stockholders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w w:val="96"/>
              </w:rPr>
              <w:t>Year Ended January 31,</w:t>
            </w:r>
          </w:p>
        </w:tc>
        <w:tc>
          <w:tcPr>
            <w:tcW w:w="4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40" w:type="dxa"/>
            <w:vAlign w:val="bottom"/>
          </w:tcPr>
          <w:p>
            <w:pPr>
              <w:ind w:left="460"/>
              <w:spacing w:after="0" w:line="176" w:lineRule="exact"/>
              <w:rPr>
                <w:sz w:val="20"/>
                <w:szCs w:val="20"/>
                <w:color w:val="auto"/>
              </w:rPr>
            </w:pPr>
            <w:r>
              <w:rPr>
                <w:rFonts w:ascii="Arial" w:cs="Arial" w:eastAsia="Arial" w:hAnsi="Arial"/>
                <w:sz w:val="18"/>
                <w:szCs w:val="18"/>
                <w:color w:val="auto"/>
                <w:w w:val="98"/>
              </w:rPr>
              <w:t>Net loss attributable to Class A and Class B CrowdStrike common</w:t>
            </w:r>
          </w:p>
        </w:tc>
        <w:tc>
          <w:tcPr>
            <w:tcW w:w="66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(234,802)</w:t>
            </w:r>
          </w:p>
        </w:tc>
        <w:tc>
          <w:tcPr>
            <w:tcW w:w="100" w:type="dxa"/>
            <w:vAlign w:val="bottom"/>
          </w:tcPr>
          <w:p>
            <w:pPr>
              <w:spacing w:after="0"/>
              <w:rPr>
                <w:sz w:val="15"/>
                <w:szCs w:val="15"/>
                <w:color w:val="auto"/>
              </w:rPr>
            </w:pPr>
          </w:p>
        </w:tc>
        <w:tc>
          <w:tcPr>
            <w:tcW w:w="66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(92,629)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(141,779)</w:t>
            </w: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Denominator:</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460"/>
              <w:spacing w:after="0" w:line="176" w:lineRule="exact"/>
              <w:rPr>
                <w:sz w:val="20"/>
                <w:szCs w:val="20"/>
                <w:color w:val="auto"/>
              </w:rPr>
            </w:pPr>
            <w:r>
              <w:rPr>
                <w:rFonts w:ascii="Arial" w:cs="Arial" w:eastAsia="Arial" w:hAnsi="Arial"/>
                <w:sz w:val="18"/>
                <w:szCs w:val="18"/>
                <w:color w:val="auto"/>
              </w:rPr>
              <w:t>Weighted-average shares used in computing net loss per share</w:t>
            </w: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tcPr>
          <w:p>
            <w:pPr>
              <w:ind w:left="140"/>
              <w:spacing w:after="0" w:line="176" w:lineRule="exact"/>
              <w:rPr>
                <w:sz w:val="20"/>
                <w:szCs w:val="20"/>
                <w:color w:val="auto"/>
              </w:rPr>
            </w:pPr>
            <w:r>
              <w:rPr>
                <w:rFonts w:ascii="Arial" w:cs="Arial" w:eastAsia="Arial" w:hAnsi="Arial"/>
                <w:sz w:val="18"/>
                <w:szCs w:val="18"/>
                <w:color w:val="auto"/>
                <w:w w:val="93"/>
              </w:rPr>
              <w:t>attributable to Class A and Class B of CrowdStrike common stockholders,</w:t>
            </w:r>
          </w:p>
        </w:tc>
        <w:tc>
          <w:tcPr>
            <w:tcW w:w="6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227,142</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217,756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148,062</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basic and diluted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64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w w:val="98"/>
              </w:rPr>
              <w:t>Net loss per share attributable to Class A and Class B CrowdStrike</w:t>
            </w:r>
          </w:p>
        </w:tc>
        <w:tc>
          <w:tcPr>
            <w:tcW w:w="6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stockholders, basic and diluted</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324"/>
        <w:spacing w:after="0" w:line="271"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 January 31,</w:t>
            </w:r>
          </w:p>
        </w:tc>
        <w:tc>
          <w:tcPr>
            <w:tcW w:w="104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34"/>
        </w:trPr>
        <w:tc>
          <w:tcPr>
            <w:tcW w:w="6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Shares of common stock subject to repurchase from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6440" w:type="dxa"/>
            <w:vAlign w:val="bottom"/>
          </w:tcPr>
          <w:p>
            <w:pPr>
              <w:ind w:left="360"/>
              <w:spacing w:after="0"/>
              <w:rPr>
                <w:sz w:val="20"/>
                <w:szCs w:val="20"/>
                <w:color w:val="auto"/>
              </w:rPr>
            </w:pPr>
            <w:r>
              <w:rPr>
                <w:rFonts w:ascii="Arial" w:cs="Arial" w:eastAsia="Arial" w:hAnsi="Arial"/>
                <w:sz w:val="18"/>
                <w:szCs w:val="18"/>
                <w:color w:val="auto"/>
              </w:rPr>
              <w:t>RSUs and PSUs subject to future vesting</w:t>
            </w:r>
          </w:p>
        </w:tc>
        <w:tc>
          <w:tcPr>
            <w:tcW w:w="1520" w:type="dxa"/>
            <w:vAlign w:val="bottom"/>
          </w:tcPr>
          <w:p>
            <w:pPr>
              <w:jc w:val="right"/>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6,063</w:t>
            </w: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 common stock issuable from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w:t>
            </w:r>
          </w:p>
        </w:tc>
      </w:tr>
      <w:tr>
        <w:trPr>
          <w:trHeight w:val="229"/>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 purchase rights under the employee stock purchase plan</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w:t>
            </w:r>
          </w:p>
        </w:tc>
      </w:tr>
      <w:tr>
        <w:trPr>
          <w:trHeight w:val="248"/>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Potential common shares excluded from diluted net loss per share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above table excludes founder holdbacks related to business combinations. A variable number of shares will be issued upon vesting to settle a fixed monetary amount of $18.5 million, which shares are contingent upon continued employment with the Company. The share price will be determined based</w:t>
      </w:r>
    </w:p>
    <w:p>
      <w:pPr>
        <w:sectPr>
          <w:pgSz w:w="11900" w:h="16838" w:orient="portrait"/>
          <w:cols w:equalWidth="0" w:num="1">
            <w:col w:w="11240"/>
          </w:cols>
          <w:pgMar w:left="320" w:top="125" w:right="339" w:bottom="0" w:gutter="0" w:footer="0" w:header="0"/>
        </w:sectPr>
      </w:pPr>
    </w:p>
    <w:bookmarkStart w:id="111" w:name="page112"/>
    <w:bookmarkEnd w:id="111"/>
    <w:p>
      <w:pPr>
        <w:spacing w:after="0" w:line="277" w:lineRule="auto"/>
        <w:rPr>
          <w:sz w:val="20"/>
          <w:szCs w:val="20"/>
          <w:color w:val="auto"/>
        </w:rPr>
      </w:pPr>
      <w:r>
        <w:rPr>
          <w:rFonts w:ascii="Arial" w:cs="Arial" w:eastAsia="Arial" w:hAnsi="Arial"/>
          <w:sz w:val="18"/>
          <w:szCs w:val="18"/>
          <w:color w:val="auto"/>
        </w:rPr>
        <w:t>on the Company’s average stock price or the volume weighted average stock price 5 days prior to each vesting date. As of January 31, 2022, 14,667 shares were issued to settle founder holdbacks at a weighted average price of $243.72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January 31, 2022. Based on such evaluation, our Chief Executive Officer and Chief Financial Officer have concluded that, as of such date, our disclosure controls and procedures were effective at the reasonable assurance level.</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 Report on Internal Control Over Financial Reporting</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8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Based on the results of its evaluation, management concluded that our internal control over financial reporting was effective as of January 31, 2022. The effectiveness of our internal control over financial reporting as of January 31, 2022 has been audited by PricewaterhouseCoopers LLP, an independent registered public accounting firm, as stated in its report which is included in Part II, Item 8 of this Annual Report on Form 10-K.</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2022 that has materially affected, or is reasonably likely to materially affect, our internal control over financial reporting.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Certain information required by this Item with respect to our executive officers is set forth under Item 1 of Part I of this Annual Report on Form 10-K under the section entitled “Executive Officers.”</w:t>
      </w:r>
    </w:p>
    <w:p>
      <w:pPr>
        <w:spacing w:after="0" w:line="170"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information otherwise required by this Item will be included in our definitive proxy statement for our 2022 annual meeting of stockholders (the “2022 Proxy Statement”), which will be filed with the SEC within 120 days after the end of our fiscal year ended January 31, 2022,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2022 Proxy Statement.</w:t>
      </w:r>
    </w:p>
    <w:p>
      <w:pPr>
        <w:spacing w:after="0" w:line="221"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2022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2022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herein by reference to our 2022 Proxy Statement.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Index to consolidated financial statements in Part II, Item 8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16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w w:val="91"/>
              </w:rPr>
              <w:t>Incorporated by Reference</w:t>
            </w:r>
          </w:p>
        </w:tc>
        <w:tc>
          <w:tcPr>
            <w:tcW w:w="124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600" w:type="dxa"/>
            <w:vAlign w:val="bottom"/>
          </w:tcPr>
          <w:p>
            <w:pPr>
              <w:jc w:val="center"/>
              <w:ind w:right="919"/>
              <w:spacing w:after="0" w:line="148" w:lineRule="exact"/>
              <w:rPr>
                <w:sz w:val="20"/>
                <w:szCs w:val="20"/>
                <w:color w:val="auto"/>
              </w:rPr>
            </w:pPr>
            <w:r>
              <w:rPr>
                <w:rFonts w:ascii="Arial" w:cs="Arial" w:eastAsia="Arial" w:hAnsi="Arial"/>
                <w:sz w:val="16"/>
                <w:szCs w:val="16"/>
                <w:b w:val="1"/>
                <w:bCs w:val="1"/>
                <w:color w:val="auto"/>
                <w:w w:val="97"/>
              </w:rPr>
              <w:t>Exhibit</w:t>
            </w:r>
          </w:p>
        </w:tc>
        <w:tc>
          <w:tcPr>
            <w:tcW w:w="414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Exhibit Description</w:t>
            </w:r>
          </w:p>
        </w:tc>
        <w:tc>
          <w:tcPr>
            <w:tcW w:w="84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File No.</w:t>
            </w:r>
          </w:p>
        </w:tc>
        <w:tc>
          <w:tcPr>
            <w:tcW w:w="126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Exhibit</w:t>
            </w:r>
          </w:p>
        </w:tc>
        <w:tc>
          <w:tcPr>
            <w:tcW w:w="1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Filing Date</w:t>
            </w:r>
          </w:p>
        </w:tc>
        <w:tc>
          <w:tcPr>
            <w:tcW w:w="780" w:type="dxa"/>
            <w:vAlign w:val="bottom"/>
          </w:tcPr>
          <w:p>
            <w:pPr>
              <w:jc w:val="center"/>
              <w:ind w:left="59"/>
              <w:spacing w:after="0" w:line="148"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0"/>
        </w:trPr>
        <w:tc>
          <w:tcPr>
            <w:tcW w:w="1600" w:type="dxa"/>
            <w:vAlign w:val="bottom"/>
          </w:tcPr>
          <w:p>
            <w:pPr>
              <w:jc w:val="center"/>
              <w:ind w:right="939"/>
              <w:spacing w:after="0"/>
              <w:rPr>
                <w:sz w:val="20"/>
                <w:szCs w:val="20"/>
                <w:color w:val="auto"/>
              </w:rPr>
            </w:pPr>
            <w:r>
              <w:rPr>
                <w:rFonts w:ascii="Arial" w:cs="Arial" w:eastAsia="Arial" w:hAnsi="Arial"/>
                <w:sz w:val="16"/>
                <w:szCs w:val="16"/>
                <w:b w:val="1"/>
                <w:bCs w:val="1"/>
                <w:color w:val="auto"/>
                <w:w w:val="95"/>
              </w:rPr>
              <w:t>Number</w:t>
            </w:r>
          </w:p>
        </w:tc>
        <w:tc>
          <w:tcPr>
            <w:tcW w:w="4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780" w:type="dxa"/>
            <w:vAlign w:val="bottom"/>
          </w:tcPr>
          <w:p>
            <w:pPr>
              <w:jc w:val="center"/>
              <w:ind w:left="5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p>
      <w:pPr>
        <w:spacing w:after="0" w:line="104" w:lineRule="exact"/>
        <w:rPr>
          <w:sz w:val="20"/>
          <w:szCs w:val="20"/>
          <w:color w:val="auto"/>
        </w:rPr>
      </w:pPr>
    </w:p>
    <w:p>
      <w:pPr>
        <w:ind w:left="400"/>
        <w:spacing w:after="0"/>
        <w:rPr>
          <w:rFonts w:ascii="Arial" w:cs="Arial" w:eastAsia="Arial" w:hAnsi="Arial"/>
          <w:sz w:val="14"/>
          <w:szCs w:val="14"/>
          <w:u w:val="single" w:color="auto"/>
          <w:color w:val="0000FF"/>
        </w:rPr>
      </w:pPr>
      <w:hyperlink r:id="rId141">
        <w:r>
          <w:rPr>
            <w:rFonts w:ascii="Arial" w:cs="Arial" w:eastAsia="Arial" w:hAnsi="Arial"/>
            <w:sz w:val="14"/>
            <w:szCs w:val="14"/>
            <w:u w:val="single" w:color="auto"/>
            <w:color w:val="0000FF"/>
          </w:rPr>
          <w:t>3.1</w:t>
        </w:r>
      </w:hyperlink>
    </w:p>
    <w:p>
      <w:pPr>
        <w:spacing w:after="0" w:line="136" w:lineRule="exact"/>
        <w:rPr>
          <w:sz w:val="20"/>
          <w:szCs w:val="20"/>
          <w:color w:val="auto"/>
        </w:rPr>
      </w:pPr>
    </w:p>
    <w:p>
      <w:pPr>
        <w:ind w:left="400"/>
        <w:spacing w:after="0"/>
        <w:rPr>
          <w:rFonts w:ascii="Arial" w:cs="Arial" w:eastAsia="Arial" w:hAnsi="Arial"/>
          <w:sz w:val="14"/>
          <w:szCs w:val="14"/>
          <w:u w:val="single" w:color="auto"/>
          <w:color w:val="0000FF"/>
        </w:rPr>
      </w:pPr>
      <w:hyperlink r:id="rId142">
        <w:r>
          <w:rPr>
            <w:rFonts w:ascii="Arial" w:cs="Arial" w:eastAsia="Arial" w:hAnsi="Arial"/>
            <w:sz w:val="14"/>
            <w:szCs w:val="14"/>
            <w:u w:val="single" w:color="auto"/>
            <w:color w:val="0000FF"/>
          </w:rPr>
          <w:t>3.2</w:t>
        </w:r>
      </w:hyperlink>
    </w:p>
    <w:p>
      <w:pPr>
        <w:spacing w:after="0" w:line="231" w:lineRule="exact"/>
        <w:rPr>
          <w:sz w:val="20"/>
          <w:szCs w:val="20"/>
          <w:color w:val="auto"/>
        </w:rPr>
      </w:pPr>
    </w:p>
    <w:p>
      <w:pPr>
        <w:ind w:left="400"/>
        <w:spacing w:after="0"/>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4.1</w:t>
        </w:r>
      </w:hyperlink>
    </w:p>
    <w:p>
      <w:pPr>
        <w:spacing w:after="0" w:line="379" w:lineRule="exact"/>
        <w:rPr>
          <w:sz w:val="20"/>
          <w:szCs w:val="20"/>
          <w:color w:val="auto"/>
        </w:rPr>
      </w:pPr>
    </w:p>
    <w:p>
      <w:pPr>
        <w:ind w:left="400"/>
        <w:spacing w:after="0"/>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Amended and Restated Certificate of Incorporation of the Registrant, as</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currently in effect.</w:t>
        </w:r>
      </w:hyperlink>
    </w:p>
    <w:p>
      <w:pPr>
        <w:spacing w:after="0" w:line="10" w:lineRule="exact"/>
        <w:rPr>
          <w:sz w:val="20"/>
          <w:szCs w:val="20"/>
          <w:color w:val="auto"/>
        </w:rPr>
      </w:pPr>
    </w:p>
    <w:p>
      <w:pPr>
        <w:spacing w:after="0"/>
        <w:rPr>
          <w:rFonts w:ascii="Arial" w:cs="Arial" w:eastAsia="Arial" w:hAnsi="Arial"/>
          <w:sz w:val="16"/>
          <w:szCs w:val="16"/>
          <w:u w:val="single" w:color="auto"/>
          <w:color w:val="0000FF"/>
        </w:rPr>
      </w:pPr>
      <w:hyperlink r:id="rId142">
        <w:r>
          <w:rPr>
            <w:rFonts w:ascii="Arial" w:cs="Arial" w:eastAsia="Arial" w:hAnsi="Arial"/>
            <w:sz w:val="16"/>
            <w:szCs w:val="16"/>
            <w:u w:val="single" w:color="auto"/>
            <w:color w:val="0000FF"/>
          </w:rPr>
          <w:t>Bylaws of the Registrant, as currently in effect.</w:t>
        </w:r>
      </w:hyperlink>
    </w:p>
    <w:p>
      <w:pPr>
        <w:spacing w:after="0" w:line="46" w:lineRule="exact"/>
        <w:rPr>
          <w:sz w:val="20"/>
          <w:szCs w:val="20"/>
          <w:color w:val="auto"/>
        </w:rPr>
      </w:pPr>
    </w:p>
    <w:p>
      <w:pPr>
        <w:ind w:right="80"/>
        <w:spacing w:after="0" w:line="248" w:lineRule="auto"/>
        <w:rPr>
          <w:rFonts w:ascii="Arial" w:cs="Arial" w:eastAsia="Arial" w:hAnsi="Arial"/>
          <w:sz w:val="15"/>
          <w:szCs w:val="15"/>
          <w:u w:val="single" w:color="auto"/>
          <w:color w:val="0000FF"/>
        </w:rPr>
      </w:pPr>
      <w:hyperlink r:id="rId143">
        <w:r>
          <w:rPr>
            <w:rFonts w:ascii="Arial" w:cs="Arial" w:eastAsia="Arial" w:hAnsi="Arial"/>
            <w:sz w:val="15"/>
            <w:szCs w:val="15"/>
            <w:u w:val="single" w:color="auto"/>
            <w:color w:val="0000FF"/>
          </w:rPr>
          <w:t>Amended and Restated Stockholders Agreement among the Registrant</w:t>
        </w:r>
      </w:hyperlink>
      <w:r>
        <w:rPr>
          <w:rFonts w:ascii="Arial" w:cs="Arial" w:eastAsia="Arial" w:hAnsi="Arial"/>
          <w:sz w:val="15"/>
          <w:szCs w:val="15"/>
          <w:u w:val="single" w:color="auto"/>
          <w:color w:val="0000FF"/>
        </w:rPr>
        <w:t xml:space="preserve"> </w:t>
      </w:r>
      <w:hyperlink r:id="rId143">
        <w:r>
          <w:rPr>
            <w:rFonts w:ascii="Arial" w:cs="Arial" w:eastAsia="Arial" w:hAnsi="Arial"/>
            <w:sz w:val="15"/>
            <w:szCs w:val="15"/>
            <w:u w:val="single" w:color="auto"/>
            <w:color w:val="0000FF"/>
          </w:rPr>
          <w:t>and certain holders of its capital stock, dated as of June 21, 2018, as</w:t>
        </w:r>
      </w:hyperlink>
      <w:r>
        <w:rPr>
          <w:rFonts w:ascii="Arial" w:cs="Arial" w:eastAsia="Arial" w:hAnsi="Arial"/>
          <w:sz w:val="15"/>
          <w:szCs w:val="15"/>
          <w:u w:val="single" w:color="auto"/>
          <w:color w:val="0000FF"/>
        </w:rPr>
        <w:t xml:space="preserve"> </w:t>
      </w:r>
      <w:hyperlink r:id="rId143">
        <w:r>
          <w:rPr>
            <w:rFonts w:ascii="Arial" w:cs="Arial" w:eastAsia="Arial" w:hAnsi="Arial"/>
            <w:sz w:val="15"/>
            <w:szCs w:val="15"/>
            <w:u w:val="single" w:color="auto"/>
            <w:color w:val="0000FF"/>
          </w:rPr>
          <w:t>amended on September 25, 2018 and April 17, 2019.</w:t>
        </w:r>
      </w:hyperlink>
    </w:p>
    <w:p>
      <w:pPr>
        <w:spacing w:after="0" w:line="5" w:lineRule="exact"/>
        <w:rPr>
          <w:rFonts w:ascii="Arial" w:cs="Arial" w:eastAsia="Arial" w:hAnsi="Arial"/>
          <w:sz w:val="15"/>
          <w:szCs w:val="15"/>
          <w:u w:val="single" w:color="auto"/>
          <w:color w:val="0000FF"/>
        </w:rPr>
      </w:pPr>
    </w:p>
    <w:p>
      <w:pPr>
        <w:ind w:right="120"/>
        <w:spacing w:after="0" w:line="230" w:lineRule="auto"/>
        <w:rPr>
          <w:rFonts w:ascii="Arial" w:cs="Arial" w:eastAsia="Arial" w:hAnsi="Arial"/>
          <w:sz w:val="16"/>
          <w:szCs w:val="16"/>
          <w:u w:val="single" w:color="auto"/>
          <w:color w:val="0000FF"/>
        </w:rPr>
      </w:pPr>
      <w:hyperlink r:id="rId144">
        <w:r>
          <w:rPr>
            <w:rFonts w:ascii="Arial" w:cs="Arial" w:eastAsia="Arial" w:hAnsi="Arial"/>
            <w:sz w:val="16"/>
            <w:szCs w:val="16"/>
            <w:u w:val="single" w:color="auto"/>
            <w:color w:val="0000FF"/>
          </w:rPr>
          <w:t>Amended and Restated Registration Rights Agreement among the</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Registrant and certain holders of its capital stock, dated as of June 21,</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2018.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70"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3.1</w:t>
            </w:r>
          </w:p>
        </w:tc>
        <w:tc>
          <w:tcPr>
            <w:tcW w:w="1240" w:type="dxa"/>
            <w:vAlign w:val="bottom"/>
          </w:tcPr>
          <w:p>
            <w:pPr>
              <w:ind w:left="340"/>
              <w:spacing w:after="0"/>
              <w:rPr>
                <w:sz w:val="20"/>
                <w:szCs w:val="20"/>
                <w:color w:val="auto"/>
              </w:rPr>
            </w:pPr>
            <w:r>
              <w:rPr>
                <w:rFonts w:ascii="Arial" w:cs="Arial" w:eastAsia="Arial" w:hAnsi="Arial"/>
                <w:sz w:val="16"/>
                <w:szCs w:val="16"/>
                <w:color w:val="auto"/>
                <w:w w:val="86"/>
              </w:rPr>
              <w:t>June 14, 2019</w:t>
            </w:r>
          </w:p>
        </w:tc>
      </w:tr>
      <w:tr>
        <w:trPr>
          <w:trHeight w:val="324"/>
        </w:trPr>
        <w:tc>
          <w:tcPr>
            <w:tcW w:w="480" w:type="dxa"/>
            <w:vAlign w:val="bottom"/>
          </w:tcPr>
          <w:p>
            <w:pP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3.2</w:t>
            </w:r>
          </w:p>
        </w:tc>
        <w:tc>
          <w:tcPr>
            <w:tcW w:w="1240" w:type="dxa"/>
            <w:vAlign w:val="bottom"/>
          </w:tcPr>
          <w:p>
            <w:pPr>
              <w:ind w:left="340"/>
              <w:spacing w:after="0"/>
              <w:rPr>
                <w:sz w:val="20"/>
                <w:szCs w:val="20"/>
                <w:color w:val="auto"/>
              </w:rPr>
            </w:pPr>
            <w:r>
              <w:rPr>
                <w:rFonts w:ascii="Arial" w:cs="Arial" w:eastAsia="Arial" w:hAnsi="Arial"/>
                <w:sz w:val="16"/>
                <w:szCs w:val="16"/>
                <w:color w:val="auto"/>
                <w:w w:val="86"/>
              </w:rPr>
              <w:t>June 14, 2019</w:t>
            </w:r>
          </w:p>
        </w:tc>
      </w:tr>
      <w:tr>
        <w:trPr>
          <w:trHeight w:val="378"/>
        </w:trPr>
        <w:tc>
          <w:tcPr>
            <w:tcW w:w="480" w:type="dxa"/>
            <w:vAlign w:val="bottom"/>
          </w:tcPr>
          <w:p>
            <w:pPr>
              <w:ind w:left="20"/>
              <w:spacing w:after="0"/>
              <w:rPr>
                <w:sz w:val="20"/>
                <w:szCs w:val="20"/>
                <w:color w:val="auto"/>
              </w:rPr>
            </w:pPr>
            <w:r>
              <w:rPr>
                <w:rFonts w:ascii="Arial" w:cs="Arial" w:eastAsia="Arial" w:hAnsi="Arial"/>
                <w:sz w:val="16"/>
                <w:szCs w:val="16"/>
                <w:color w:val="auto"/>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4.1</w:t>
            </w:r>
          </w:p>
        </w:tc>
        <w:tc>
          <w:tcPr>
            <w:tcW w:w="1240" w:type="dxa"/>
            <w:vAlign w:val="bottom"/>
          </w:tcPr>
          <w:p>
            <w:pPr>
              <w:ind w:left="340"/>
              <w:spacing w:after="0"/>
              <w:rPr>
                <w:sz w:val="20"/>
                <w:szCs w:val="20"/>
                <w:color w:val="auto"/>
              </w:rPr>
            </w:pPr>
            <w:r>
              <w:rPr>
                <w:rFonts w:ascii="Arial" w:cs="Arial" w:eastAsia="Arial" w:hAnsi="Arial"/>
                <w:sz w:val="16"/>
                <w:szCs w:val="16"/>
                <w:color w:val="auto"/>
                <w:w w:val="90"/>
              </w:rPr>
              <w:t>May 14, 2019</w:t>
            </w:r>
          </w:p>
        </w:tc>
      </w:tr>
      <w:tr>
        <w:trPr>
          <w:trHeight w:val="540"/>
        </w:trPr>
        <w:tc>
          <w:tcPr>
            <w:tcW w:w="480" w:type="dxa"/>
            <w:vAlign w:val="bottom"/>
          </w:tcPr>
          <w:p>
            <w:pPr>
              <w:ind w:left="20"/>
              <w:spacing w:after="0"/>
              <w:rPr>
                <w:sz w:val="20"/>
                <w:szCs w:val="20"/>
                <w:color w:val="auto"/>
              </w:rPr>
            </w:pPr>
            <w:r>
              <w:rPr>
                <w:rFonts w:ascii="Arial" w:cs="Arial" w:eastAsia="Arial" w:hAnsi="Arial"/>
                <w:sz w:val="16"/>
                <w:szCs w:val="16"/>
                <w:color w:val="auto"/>
              </w:rPr>
              <w:t>S-1</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4.2</w:t>
            </w:r>
          </w:p>
        </w:tc>
        <w:tc>
          <w:tcPr>
            <w:tcW w:w="1240" w:type="dxa"/>
            <w:vAlign w:val="bottom"/>
          </w:tcPr>
          <w:p>
            <w:pPr>
              <w:ind w:left="340"/>
              <w:spacing w:after="0"/>
              <w:rPr>
                <w:sz w:val="20"/>
                <w:szCs w:val="20"/>
                <w:color w:val="auto"/>
              </w:rPr>
            </w:pPr>
            <w:r>
              <w:rPr>
                <w:rFonts w:ascii="Arial" w:cs="Arial" w:eastAsia="Arial" w:hAnsi="Arial"/>
                <w:sz w:val="16"/>
                <w:szCs w:val="16"/>
                <w:color w:val="auto"/>
                <w:w w:val="90"/>
              </w:rPr>
              <w:t>May 14, 2019</w:t>
            </w:r>
          </w:p>
        </w:tc>
      </w:tr>
    </w:tbl>
    <w:p>
      <w:pPr>
        <w:spacing w:after="0" w:line="171" w:lineRule="exact"/>
        <w:rPr>
          <w:rFonts w:ascii="Arial" w:cs="Arial" w:eastAsia="Arial" w:hAnsi="Arial"/>
          <w:sz w:val="16"/>
          <w:szCs w:val="16"/>
          <w:u w:val="single" w:color="auto"/>
          <w:color w:val="0000FF"/>
        </w:rPr>
      </w:pPr>
    </w:p>
    <w:p>
      <w:pPr>
        <w:sectPr>
          <w:pgSz w:w="11900" w:h="16838" w:orient="portrait"/>
          <w:cols w:equalWidth="0" w:num="3">
            <w:col w:w="600" w:space="500"/>
            <w:col w:w="4660" w:space="440"/>
            <w:col w:w="4900"/>
          </w:cols>
          <w:pgMar w:left="320" w:top="125" w:right="479" w:bottom="1440" w:gutter="0" w:footer="0" w:header="0"/>
          <w:type w:val="continuous"/>
        </w:sectPr>
      </w:pPr>
    </w:p>
    <w:p>
      <w:pPr>
        <w:ind w:left="400"/>
        <w:spacing w:after="0"/>
        <w:rPr>
          <w:rFonts w:ascii="Arial" w:cs="Arial" w:eastAsia="Arial" w:hAnsi="Arial"/>
          <w:sz w:val="14"/>
          <w:szCs w:val="14"/>
          <w:u w:val="single" w:color="auto"/>
          <w:color w:val="0000FF"/>
        </w:rPr>
      </w:pPr>
      <w:hyperlink r:id="rId145">
        <w:r>
          <w:rPr>
            <w:rFonts w:ascii="Arial" w:cs="Arial" w:eastAsia="Arial" w:hAnsi="Arial"/>
            <w:sz w:val="14"/>
            <w:szCs w:val="14"/>
            <w:u w:val="single" w:color="auto"/>
            <w:color w:val="0000FF"/>
          </w:rPr>
          <w:t>4.3</w:t>
        </w:r>
      </w:hyperlink>
    </w:p>
    <w:p>
      <w:pPr>
        <w:spacing w:after="0" w:line="55" w:lineRule="exact"/>
        <w:rPr>
          <w:rFonts w:ascii="Arial" w:cs="Arial" w:eastAsia="Arial" w:hAnsi="Arial"/>
          <w:sz w:val="16"/>
          <w:szCs w:val="16"/>
          <w:u w:val="single" w:color="auto"/>
          <w:color w:val="0000FF"/>
        </w:rPr>
      </w:pPr>
    </w:p>
    <w:p>
      <w:pPr>
        <w:ind w:left="400"/>
        <w:spacing w:after="0"/>
        <w:rPr>
          <w:rFonts w:ascii="Arial" w:cs="Arial" w:eastAsia="Arial" w:hAnsi="Arial"/>
          <w:sz w:val="14"/>
          <w:szCs w:val="14"/>
          <w:u w:val="single" w:color="auto"/>
          <w:color w:val="0000FF"/>
        </w:rPr>
      </w:pPr>
      <w:hyperlink r:id="rId146">
        <w:r>
          <w:rPr>
            <w:rFonts w:ascii="Arial" w:cs="Arial" w:eastAsia="Arial" w:hAnsi="Arial"/>
            <w:sz w:val="14"/>
            <w:szCs w:val="14"/>
            <w:u w:val="single" w:color="auto"/>
            <w:color w:val="0000FF"/>
          </w:rPr>
          <w:t>4.4</w:t>
        </w:r>
      </w:hyperlink>
    </w:p>
    <w:p>
      <w:pPr>
        <w:spacing w:after="0" w:line="150" w:lineRule="exact"/>
        <w:rPr>
          <w:rFonts w:ascii="Arial" w:cs="Arial" w:eastAsia="Arial" w:hAnsi="Arial"/>
          <w:sz w:val="16"/>
          <w:szCs w:val="16"/>
          <w:u w:val="single" w:color="auto"/>
          <w:color w:val="0000FF"/>
        </w:rPr>
      </w:pPr>
    </w:p>
    <w:p>
      <w:pPr>
        <w:ind w:left="400"/>
        <w:spacing w:after="0"/>
        <w:rPr>
          <w:rFonts w:ascii="Arial" w:cs="Arial" w:eastAsia="Arial" w:hAnsi="Arial"/>
          <w:sz w:val="14"/>
          <w:szCs w:val="14"/>
          <w:u w:val="single" w:color="auto"/>
          <w:color w:val="0000FF"/>
        </w:rPr>
      </w:pPr>
      <w:hyperlink r:id="rId147">
        <w:r>
          <w:rPr>
            <w:rFonts w:ascii="Arial" w:cs="Arial" w:eastAsia="Arial" w:hAnsi="Arial"/>
            <w:sz w:val="14"/>
            <w:szCs w:val="14"/>
            <w:u w:val="single" w:color="auto"/>
            <w:color w:val="0000FF"/>
          </w:rPr>
          <w:t>4.5</w:t>
        </w:r>
      </w:hyperlink>
    </w:p>
    <w:p>
      <w:pPr>
        <w:spacing w:after="0" w:line="325" w:lineRule="exact"/>
        <w:rPr>
          <w:rFonts w:ascii="Arial" w:cs="Arial" w:eastAsia="Arial" w:hAnsi="Arial"/>
          <w:sz w:val="16"/>
          <w:szCs w:val="16"/>
          <w:u w:val="single" w:color="auto"/>
          <w:color w:val="0000FF"/>
        </w:rPr>
      </w:pPr>
    </w:p>
    <w:p>
      <w:pPr>
        <w:ind w:left="400"/>
        <w:spacing w:after="0"/>
        <w:rPr>
          <w:rFonts w:ascii="Arial" w:cs="Arial" w:eastAsia="Arial" w:hAnsi="Arial"/>
          <w:sz w:val="14"/>
          <w:szCs w:val="14"/>
          <w:u w:val="single" w:color="auto"/>
          <w:color w:val="0000FF"/>
        </w:rPr>
      </w:pPr>
      <w:hyperlink r:id="rId148">
        <w:r>
          <w:rPr>
            <w:rFonts w:ascii="Arial" w:cs="Arial" w:eastAsia="Arial" w:hAnsi="Arial"/>
            <w:sz w:val="14"/>
            <w:szCs w:val="14"/>
            <w:u w:val="single" w:color="auto"/>
            <w:color w:val="0000FF"/>
          </w:rPr>
          <w:t>4.6</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Class A common stock certificate of the Registrant.</w:t>
        </w:r>
      </w:hyperlink>
    </w:p>
    <w:p>
      <w:pPr>
        <w:spacing w:after="0" w:line="32"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Description of Registrant’s securities.</w:t>
        </w:r>
      </w:hyperlink>
    </w:p>
    <w:p>
      <w:pPr>
        <w:spacing w:after="0" w:line="32" w:lineRule="exact"/>
        <w:rPr>
          <w:rFonts w:ascii="Arial" w:cs="Arial" w:eastAsia="Arial" w:hAnsi="Arial"/>
          <w:sz w:val="16"/>
          <w:szCs w:val="16"/>
          <w:u w:val="single" w:color="auto"/>
          <w:color w:val="0000FF"/>
        </w:rPr>
      </w:pPr>
    </w:p>
    <w:p>
      <w:pPr>
        <w:spacing w:after="0" w:line="258"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Indenture dated as of January 20, 2021, between CrowdStrike Holdings,</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Inc. and U.S. Bank National Association, as trustee</w:t>
        </w:r>
      </w:hyperlink>
    </w:p>
    <w:p>
      <w:pPr>
        <w:spacing w:after="0" w:line="9" w:lineRule="exact"/>
        <w:rPr>
          <w:sz w:val="20"/>
          <w:szCs w:val="20"/>
          <w:color w:val="auto"/>
        </w:rPr>
      </w:pPr>
    </w:p>
    <w:p>
      <w:pPr>
        <w:jc w:val="both"/>
        <w:ind w:right="220"/>
        <w:spacing w:after="0" w:line="243" w:lineRule="auto"/>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First Supplemental Indenture, dated as of January 20, 2021, between</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CrowdStrike Holdings, Inc. and U.S. Bank National Association, as</w:t>
        </w:r>
      </w:hyperlink>
      <w:r>
        <w:rPr>
          <w:rFonts w:ascii="Arial" w:cs="Arial" w:eastAsia="Arial" w:hAnsi="Arial"/>
          <w:sz w:val="16"/>
          <w:szCs w:val="16"/>
          <w:u w:val="single" w:color="auto"/>
          <w:color w:val="0000FF"/>
        </w:rPr>
        <w:t xml:space="preserve"> </w:t>
      </w:r>
      <w:hyperlink r:id="rId148">
        <w:r>
          <w:rPr>
            <w:rFonts w:ascii="Arial" w:cs="Arial" w:eastAsia="Arial" w:hAnsi="Arial"/>
            <w:sz w:val="16"/>
            <w:szCs w:val="16"/>
            <w:u w:val="single" w:color="auto"/>
            <w:color w:val="0000FF"/>
          </w:rPr>
          <w:t>trustee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4.3</w:t>
            </w:r>
          </w:p>
        </w:tc>
        <w:tc>
          <w:tcPr>
            <w:tcW w:w="1380" w:type="dxa"/>
            <w:vAlign w:val="bottom"/>
          </w:tcPr>
          <w:p>
            <w:pPr>
              <w:jc w:val="center"/>
              <w:ind w:left="199"/>
              <w:spacing w:after="0"/>
              <w:rPr>
                <w:sz w:val="20"/>
                <w:szCs w:val="20"/>
                <w:color w:val="auto"/>
              </w:rPr>
            </w:pPr>
            <w:r>
              <w:rPr>
                <w:rFonts w:ascii="Arial" w:cs="Arial" w:eastAsia="Arial" w:hAnsi="Arial"/>
                <w:sz w:val="16"/>
                <w:szCs w:val="16"/>
                <w:color w:val="auto"/>
                <w:w w:val="92"/>
              </w:rPr>
              <w:t>May 29, 2019</w:t>
            </w:r>
          </w:p>
        </w:tc>
      </w:tr>
      <w:tr>
        <w:trPr>
          <w:trHeight w:val="21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10-K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4.4</w:t>
            </w:r>
          </w:p>
        </w:tc>
        <w:tc>
          <w:tcPr>
            <w:tcW w:w="1380" w:type="dxa"/>
            <w:vAlign w:val="bottom"/>
          </w:tcPr>
          <w:p>
            <w:pPr>
              <w:jc w:val="center"/>
              <w:ind w:left="199"/>
              <w:spacing w:after="0"/>
              <w:rPr>
                <w:sz w:val="20"/>
                <w:szCs w:val="20"/>
                <w:color w:val="auto"/>
              </w:rPr>
            </w:pPr>
            <w:r>
              <w:rPr>
                <w:rFonts w:ascii="Arial" w:cs="Arial" w:eastAsia="Arial" w:hAnsi="Arial"/>
                <w:sz w:val="16"/>
                <w:szCs w:val="16"/>
                <w:color w:val="auto"/>
                <w:w w:val="91"/>
              </w:rPr>
              <w:t>March 23, 2020</w:t>
            </w:r>
          </w:p>
        </w:tc>
      </w:tr>
      <w:tr>
        <w:trPr>
          <w:trHeight w:val="310"/>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4.1</w:t>
            </w:r>
          </w:p>
        </w:tc>
        <w:tc>
          <w:tcPr>
            <w:tcW w:w="1380" w:type="dxa"/>
            <w:vAlign w:val="bottom"/>
          </w:tcPr>
          <w:p>
            <w:pPr>
              <w:jc w:val="center"/>
              <w:ind w:left="179"/>
              <w:spacing w:after="0"/>
              <w:rPr>
                <w:sz w:val="20"/>
                <w:szCs w:val="20"/>
                <w:color w:val="auto"/>
              </w:rPr>
            </w:pPr>
            <w:r>
              <w:rPr>
                <w:rFonts w:ascii="Arial" w:cs="Arial" w:eastAsia="Arial" w:hAnsi="Arial"/>
                <w:sz w:val="16"/>
                <w:szCs w:val="16"/>
                <w:color w:val="auto"/>
                <w:w w:val="90"/>
              </w:rPr>
              <w:t>January 20, 2021</w:t>
            </w:r>
          </w:p>
        </w:tc>
      </w:tr>
      <w:tr>
        <w:trPr>
          <w:trHeight w:val="48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4.2</w:t>
            </w:r>
          </w:p>
        </w:tc>
        <w:tc>
          <w:tcPr>
            <w:tcW w:w="1380" w:type="dxa"/>
            <w:vAlign w:val="bottom"/>
          </w:tcPr>
          <w:p>
            <w:pPr>
              <w:jc w:val="center"/>
              <w:ind w:left="179"/>
              <w:spacing w:after="0"/>
              <w:rPr>
                <w:sz w:val="20"/>
                <w:szCs w:val="20"/>
                <w:color w:val="auto"/>
              </w:rPr>
            </w:pPr>
            <w:r>
              <w:rPr>
                <w:rFonts w:ascii="Arial" w:cs="Arial" w:eastAsia="Arial" w:hAnsi="Arial"/>
                <w:sz w:val="16"/>
                <w:szCs w:val="16"/>
                <w:color w:val="auto"/>
                <w:w w:val="90"/>
              </w:rPr>
              <w:t>January 20, 2021</w:t>
            </w:r>
          </w:p>
        </w:tc>
      </w:tr>
    </w:tbl>
    <w:p>
      <w:pPr>
        <w:spacing w:after="0" w:line="187" w:lineRule="exact"/>
        <w:rPr>
          <w:rFonts w:ascii="Arial" w:cs="Arial" w:eastAsia="Arial" w:hAnsi="Arial"/>
          <w:sz w:val="16"/>
          <w:szCs w:val="16"/>
          <w:u w:val="single" w:color="auto"/>
          <w:color w:val="0000FF"/>
        </w:rPr>
      </w:pPr>
    </w:p>
    <w:p>
      <w:pPr>
        <w:sectPr>
          <w:pgSz w:w="11900" w:h="16838" w:orient="portrait"/>
          <w:cols w:equalWidth="0" w:num="3">
            <w:col w:w="600" w:space="500"/>
            <w:col w:w="4680" w:space="360"/>
            <w:col w:w="4960"/>
          </w:cols>
          <w:pgMar w:left="320" w:top="125" w:right="479" w:bottom="1440" w:gutter="0" w:footer="0" w:header="0"/>
          <w:type w:val="continuous"/>
        </w:sectPr>
      </w:pPr>
    </w:p>
    <w:tbl>
      <w:tblPr>
        <w:tblLayout w:type="fixed"/>
        <w:tblInd w:w="280" w:type="dxa"/>
        <w:tblCellMar>
          <w:top w:w="0" w:type="dxa"/>
          <w:left w:w="0" w:type="dxa"/>
          <w:bottom w:w="0" w:type="dxa"/>
          <w:right w:w="0" w:type="dxa"/>
        </w:tblCellMar>
      </w:tblPr>
      <w:tr>
        <w:trPr>
          <w:trHeight w:val="184"/>
        </w:trPr>
        <w:tc>
          <w:tcPr>
            <w:tcW w:w="320" w:type="dxa"/>
            <w:vAlign w:val="bottom"/>
            <w:gridSpan w:val="3"/>
          </w:tcPr>
          <w:p>
            <w:pPr>
              <w:jc w:val="center"/>
              <w:ind w:left="39"/>
              <w:spacing w:after="0"/>
              <w:rPr>
                <w:rFonts w:ascii="Arial" w:cs="Arial" w:eastAsia="Arial" w:hAnsi="Arial"/>
                <w:sz w:val="16"/>
                <w:szCs w:val="16"/>
                <w:color w:val="0000FF"/>
                <w:w w:val="89"/>
              </w:rPr>
            </w:pPr>
            <w:hyperlink r:id="rId148">
              <w:r>
                <w:rPr>
                  <w:rFonts w:ascii="Arial" w:cs="Arial" w:eastAsia="Arial" w:hAnsi="Arial"/>
                  <w:sz w:val="16"/>
                  <w:szCs w:val="16"/>
                  <w:color w:val="0000FF"/>
                  <w:w w:val="89"/>
                </w:rPr>
                <w:t>4.</w:t>
              </w:r>
              <w:r>
                <w:rPr>
                  <w:rFonts w:ascii="Arial" w:cs="Arial" w:eastAsia="Arial" w:hAnsi="Arial"/>
                  <w:sz w:val="16"/>
                  <w:szCs w:val="16"/>
                  <w:u w:val="single" w:color="auto"/>
                  <w:color w:val="0000FF"/>
                  <w:w w:val="89"/>
                </w:rPr>
                <w:t>7</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gridSpan w:val="26"/>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Form of 3.000% Senior Notes due 2029 (included in Exhibit 4.9)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80" w:type="dxa"/>
            <w:vAlign w:val="bottom"/>
            <w:gridSpan w:val="4"/>
            <w:vMerge w:val="restart"/>
          </w:tcPr>
          <w:p>
            <w:pPr>
              <w:jc w:val="center"/>
              <w:ind w:right="420"/>
              <w:spacing w:after="0"/>
              <w:rPr>
                <w:rFonts w:ascii="Arial" w:cs="Arial" w:eastAsia="Arial" w:hAnsi="Arial"/>
                <w:sz w:val="16"/>
                <w:szCs w:val="16"/>
                <w:color w:val="0000FF"/>
                <w:w w:val="89"/>
              </w:rPr>
            </w:pPr>
            <w:hyperlink r:id="rId149">
              <w:r>
                <w:rPr>
                  <w:rFonts w:ascii="Arial" w:cs="Arial" w:eastAsia="Arial" w:hAnsi="Arial"/>
                  <w:sz w:val="16"/>
                  <w:szCs w:val="16"/>
                  <w:color w:val="0000FF"/>
                  <w:w w:val="89"/>
                </w:rPr>
                <w:t>10.</w:t>
              </w:r>
            </w:hyperlink>
            <w:r>
              <w:rPr>
                <w:rFonts w:ascii="Arial" w:cs="Arial" w:eastAsia="Arial" w:hAnsi="Arial"/>
                <w:sz w:val="16"/>
                <w:szCs w:val="16"/>
                <w:u w:val="single" w:color="auto"/>
                <w:color w:val="0000FF"/>
                <w:w w:val="89"/>
              </w:rPr>
              <w:t>1†</w:t>
            </w:r>
          </w:p>
        </w:tc>
        <w:tc>
          <w:tcPr>
            <w:tcW w:w="4840" w:type="dxa"/>
            <w:vAlign w:val="bottom"/>
            <w:gridSpan w:val="26"/>
          </w:tcPr>
          <w:p>
            <w:pPr>
              <w:spacing w:after="0"/>
              <w:rPr>
                <w:rFonts w:ascii="Arial" w:cs="Arial" w:eastAsia="Arial" w:hAnsi="Arial"/>
                <w:sz w:val="16"/>
                <w:szCs w:val="16"/>
                <w:color w:val="0000FF"/>
                <w:w w:val="95"/>
              </w:rPr>
            </w:pPr>
            <w:hyperlink r:id="rId149">
              <w:r>
                <w:rPr>
                  <w:rFonts w:ascii="Arial" w:cs="Arial" w:eastAsia="Arial" w:hAnsi="Arial"/>
                  <w:sz w:val="16"/>
                  <w:szCs w:val="16"/>
                  <w:color w:val="0000FF"/>
                  <w:w w:val="95"/>
                </w:rPr>
                <w:t>Form of Indemnification Agreement between the Registrant and each of</w:t>
              </w:r>
            </w:hyperlink>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2280" w:type="dxa"/>
            <w:vAlign w:val="bottom"/>
            <w:tcBorders>
              <w:top w:val="single" w:sz="8" w:color="0000FF"/>
            </w:tcBorders>
            <w:gridSpan w:val="9"/>
            <w:vMerge w:val="restart"/>
          </w:tcPr>
          <w:p>
            <w:pPr>
              <w:spacing w:after="0" w:line="142" w:lineRule="exact"/>
              <w:rPr>
                <w:rFonts w:ascii="Arial" w:cs="Arial" w:eastAsia="Arial" w:hAnsi="Arial"/>
                <w:sz w:val="16"/>
                <w:szCs w:val="16"/>
                <w:color w:val="0000FF"/>
                <w:w w:val="92"/>
              </w:rPr>
            </w:pPr>
            <w:hyperlink r:id="rId149">
              <w:r>
                <w:rPr>
                  <w:rFonts w:ascii="Arial" w:cs="Arial" w:eastAsia="Arial" w:hAnsi="Arial"/>
                  <w:sz w:val="16"/>
                  <w:szCs w:val="16"/>
                  <w:color w:val="0000FF"/>
                  <w:w w:val="92"/>
                </w:rPr>
                <w:t>its directors and executive officers.</w:t>
              </w:r>
            </w:hyperlink>
          </w:p>
        </w:tc>
        <w:tc>
          <w:tcPr>
            <w:tcW w:w="2400" w:type="dxa"/>
            <w:vAlign w:val="bottom"/>
            <w:tcBorders>
              <w:top w:val="single" w:sz="8" w:color="0000FF"/>
            </w:tcBorders>
            <w:gridSpan w:val="13"/>
            <w:vMerge w:val="restart"/>
          </w:tcPr>
          <w:p>
            <w:pPr>
              <w:spacing w:after="0"/>
              <w:rPr>
                <w:sz w:val="5"/>
                <w:szCs w:val="5"/>
                <w:color w:val="auto"/>
              </w:rPr>
            </w:pPr>
          </w:p>
        </w:tc>
        <w:tc>
          <w:tcPr>
            <w:tcW w:w="160" w:type="dxa"/>
            <w:vAlign w:val="bottom"/>
            <w:gridSpan w:val="4"/>
            <w:vMerge w:val="restart"/>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2280" w:type="dxa"/>
            <w:vAlign w:val="bottom"/>
            <w:tcBorders>
              <w:top w:val="single" w:sz="8" w:color="0000FF"/>
              <w:bottom w:val="single" w:sz="8" w:color="0000FF"/>
            </w:tcBorders>
            <w:gridSpan w:val="9"/>
            <w:vMerge w:val="continue"/>
          </w:tcPr>
          <w:p>
            <w:pPr>
              <w:spacing w:after="0"/>
              <w:rPr>
                <w:sz w:val="5"/>
                <w:szCs w:val="5"/>
                <w:color w:val="auto"/>
              </w:rPr>
            </w:pPr>
          </w:p>
        </w:tc>
        <w:tc>
          <w:tcPr>
            <w:tcW w:w="2400" w:type="dxa"/>
            <w:vAlign w:val="bottom"/>
            <w:tcBorders>
              <w:top w:val="single" w:sz="8" w:color="0000FF"/>
            </w:tcBorders>
            <w:gridSpan w:val="13"/>
            <w:vMerge w:val="continue"/>
          </w:tcPr>
          <w:p>
            <w:pPr>
              <w:spacing w:after="0"/>
              <w:rPr>
                <w:sz w:val="5"/>
                <w:szCs w:val="5"/>
                <w:color w:val="auto"/>
              </w:rPr>
            </w:pPr>
          </w:p>
        </w:tc>
        <w:tc>
          <w:tcPr>
            <w:tcW w:w="1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gridSpan w:val="3"/>
          </w:tcPr>
          <w:p>
            <w:pPr>
              <w:jc w:val="center"/>
              <w:spacing w:after="0"/>
              <w:rPr>
                <w:rFonts w:ascii="Arial" w:cs="Arial" w:eastAsia="Arial" w:hAnsi="Arial"/>
                <w:sz w:val="16"/>
                <w:szCs w:val="16"/>
                <w:color w:val="0000FF"/>
                <w:w w:val="89"/>
              </w:rPr>
            </w:pPr>
            <w:hyperlink r:id="rId150">
              <w:r>
                <w:rPr>
                  <w:rFonts w:ascii="Arial" w:cs="Arial" w:eastAsia="Arial" w:hAnsi="Arial"/>
                  <w:sz w:val="16"/>
                  <w:szCs w:val="16"/>
                  <w:color w:val="0000FF"/>
                  <w:w w:val="89"/>
                </w:rPr>
                <w:t>10.</w:t>
              </w:r>
            </w:hyperlink>
            <w:r>
              <w:rPr>
                <w:rFonts w:ascii="Arial" w:cs="Arial" w:eastAsia="Arial" w:hAnsi="Arial"/>
                <w:sz w:val="16"/>
                <w:szCs w:val="16"/>
                <w:u w:val="single" w:color="auto"/>
                <w:color w:val="0000FF"/>
                <w:w w:val="89"/>
              </w:rPr>
              <w:t>2†</w:t>
            </w:r>
          </w:p>
        </w:tc>
        <w:tc>
          <w:tcPr>
            <w:tcW w:w="420" w:type="dxa"/>
            <w:vAlign w:val="bottom"/>
          </w:tcPr>
          <w:p>
            <w:pPr>
              <w:spacing w:after="0"/>
              <w:rPr>
                <w:sz w:val="17"/>
                <w:szCs w:val="17"/>
                <w:color w:val="auto"/>
              </w:rPr>
            </w:pPr>
          </w:p>
        </w:tc>
        <w:tc>
          <w:tcPr>
            <w:tcW w:w="4840" w:type="dxa"/>
            <w:vAlign w:val="bottom"/>
            <w:gridSpan w:val="26"/>
          </w:tcPr>
          <w:p>
            <w:pPr>
              <w:spacing w:after="0"/>
              <w:rPr>
                <w:rFonts w:ascii="Arial" w:cs="Arial" w:eastAsia="Arial" w:hAnsi="Arial"/>
                <w:sz w:val="16"/>
                <w:szCs w:val="16"/>
                <w:color w:val="0000FF"/>
              </w:rPr>
            </w:pPr>
            <w:hyperlink r:id="rId150">
              <w:r>
                <w:rPr>
                  <w:rFonts w:ascii="Arial" w:cs="Arial" w:eastAsia="Arial" w:hAnsi="Arial"/>
                  <w:sz w:val="16"/>
                  <w:szCs w:val="16"/>
                  <w:color w:val="0000FF"/>
                </w:rPr>
                <w:t>2019 Equity Incentive Plan and related form agreement.</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gridSpan w:val="3"/>
            <w:vMerge w:val="restart"/>
          </w:tcPr>
          <w:p>
            <w:pPr>
              <w:jc w:val="center"/>
              <w:spacing w:after="0"/>
              <w:rPr>
                <w:rFonts w:ascii="Arial" w:cs="Arial" w:eastAsia="Arial" w:hAnsi="Arial"/>
                <w:sz w:val="16"/>
                <w:szCs w:val="16"/>
                <w:color w:val="0000FF"/>
                <w:w w:val="89"/>
              </w:rPr>
            </w:pPr>
            <w:hyperlink r:id="rId15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420" w:type="dxa"/>
            <w:vAlign w:val="bottom"/>
            <w:vMerge w:val="restart"/>
          </w:tcPr>
          <w:p>
            <w:pPr>
              <w:spacing w:after="0"/>
              <w:rPr>
                <w:sz w:val="17"/>
                <w:szCs w:val="17"/>
                <w:color w:val="auto"/>
              </w:rPr>
            </w:pPr>
          </w:p>
        </w:tc>
        <w:tc>
          <w:tcPr>
            <w:tcW w:w="4520" w:type="dxa"/>
            <w:vAlign w:val="bottom"/>
            <w:tcBorders>
              <w:bottom w:val="single" w:sz="8" w:color="0000FF"/>
            </w:tcBorders>
            <w:gridSpan w:val="17"/>
          </w:tcPr>
          <w:p>
            <w:pPr>
              <w:spacing w:after="0"/>
              <w:rPr>
                <w:rFonts w:ascii="Arial" w:cs="Arial" w:eastAsia="Arial" w:hAnsi="Arial"/>
                <w:sz w:val="16"/>
                <w:szCs w:val="16"/>
                <w:color w:val="0000FF"/>
                <w:w w:val="93"/>
              </w:rPr>
            </w:pPr>
            <w:hyperlink r:id="rId151">
              <w:r>
                <w:rPr>
                  <w:rFonts w:ascii="Arial" w:cs="Arial" w:eastAsia="Arial" w:hAnsi="Arial"/>
                  <w:sz w:val="16"/>
                  <w:szCs w:val="16"/>
                  <w:color w:val="0000FF"/>
                  <w:w w:val="93"/>
                </w:rPr>
                <w:t>Form of Global Restricted Stock Unit Agreement Outside Directors –</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360" w:type="dxa"/>
            <w:vAlign w:val="bottom"/>
            <w:tcBorders>
              <w:bottom w:val="single" w:sz="8" w:color="0000FF"/>
            </w:tcBorders>
            <w:gridSpan w:val="3"/>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4840" w:type="dxa"/>
            <w:vAlign w:val="bottom"/>
            <w:gridSpan w:val="26"/>
            <w:vMerge w:val="restart"/>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Annual Grant under the Company’s 2019 Equity Incentive Plan</w:t>
              </w:r>
            </w:hyperlink>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4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0" w:type="dxa"/>
            <w:vAlign w:val="bottom"/>
            <w:gridSpan w:val="4"/>
            <w:vMerge w:val="restart"/>
          </w:tcPr>
          <w:p>
            <w:pPr>
              <w:jc w:val="center"/>
              <w:ind w:right="420"/>
              <w:spacing w:after="0"/>
              <w:rPr>
                <w:rFonts w:ascii="Arial" w:cs="Arial" w:eastAsia="Arial" w:hAnsi="Arial"/>
                <w:sz w:val="16"/>
                <w:szCs w:val="16"/>
                <w:color w:val="0000FF"/>
                <w:w w:val="89"/>
              </w:rPr>
            </w:pPr>
            <w:hyperlink r:id="rId15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4520" w:type="dxa"/>
            <w:vAlign w:val="bottom"/>
            <w:tcBorders>
              <w:bottom w:val="single" w:sz="8" w:color="0000FF"/>
            </w:tcBorders>
            <w:gridSpan w:val="17"/>
          </w:tcPr>
          <w:p>
            <w:pPr>
              <w:spacing w:after="0"/>
              <w:rPr>
                <w:rFonts w:ascii="Arial" w:cs="Arial" w:eastAsia="Arial" w:hAnsi="Arial"/>
                <w:sz w:val="16"/>
                <w:szCs w:val="16"/>
                <w:color w:val="0000FF"/>
                <w:w w:val="93"/>
              </w:rPr>
            </w:pPr>
            <w:hyperlink r:id="rId152">
              <w:r>
                <w:rPr>
                  <w:rFonts w:ascii="Arial" w:cs="Arial" w:eastAsia="Arial" w:hAnsi="Arial"/>
                  <w:sz w:val="16"/>
                  <w:szCs w:val="16"/>
                  <w:color w:val="0000FF"/>
                  <w:w w:val="93"/>
                </w:rPr>
                <w:t>Form of Global Restricted Stock Unit Agreement Outside Directors –</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4040" w:type="dxa"/>
            <w:vAlign w:val="bottom"/>
            <w:gridSpan w:val="12"/>
            <w:vMerge w:val="restart"/>
          </w:tcPr>
          <w:p>
            <w:pPr>
              <w:spacing w:after="0" w:line="142" w:lineRule="exact"/>
              <w:rPr>
                <w:rFonts w:ascii="Arial" w:cs="Arial" w:eastAsia="Arial" w:hAnsi="Arial"/>
                <w:sz w:val="16"/>
                <w:szCs w:val="16"/>
                <w:color w:val="0000FF"/>
                <w:w w:val="92"/>
              </w:rPr>
            </w:pPr>
            <w:hyperlink r:id="rId152">
              <w:r>
                <w:rPr>
                  <w:rFonts w:ascii="Arial" w:cs="Arial" w:eastAsia="Arial" w:hAnsi="Arial"/>
                  <w:sz w:val="16"/>
                  <w:szCs w:val="16"/>
                  <w:color w:val="0000FF"/>
                  <w:w w:val="92"/>
                </w:rPr>
                <w:t>Initial Grant under the Company’s 2019 Equity Incentive Plan</w:t>
              </w:r>
            </w:hyperlink>
          </w:p>
        </w:tc>
        <w:tc>
          <w:tcPr>
            <w:tcW w:w="800" w:type="dxa"/>
            <w:vAlign w:val="bottom"/>
            <w:gridSpan w:val="14"/>
            <w:vMerge w:val="restart"/>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4040" w:type="dxa"/>
            <w:vAlign w:val="bottom"/>
            <w:tcBorders>
              <w:bottom w:val="single" w:sz="8" w:color="0000FF"/>
            </w:tcBorders>
            <w:gridSpan w:val="12"/>
            <w:vMerge w:val="continue"/>
          </w:tcPr>
          <w:p>
            <w:pPr>
              <w:spacing w:after="0"/>
              <w:rPr>
                <w:sz w:val="5"/>
                <w:szCs w:val="5"/>
                <w:color w:val="auto"/>
              </w:rPr>
            </w:pPr>
          </w:p>
        </w:tc>
        <w:tc>
          <w:tcPr>
            <w:tcW w:w="80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80" w:type="dxa"/>
            <w:vAlign w:val="bottom"/>
            <w:gridSpan w:val="4"/>
            <w:vMerge w:val="restart"/>
          </w:tcPr>
          <w:p>
            <w:pPr>
              <w:jc w:val="center"/>
              <w:ind w:right="420"/>
              <w:spacing w:after="0"/>
              <w:rPr>
                <w:rFonts w:ascii="Arial" w:cs="Arial" w:eastAsia="Arial" w:hAnsi="Arial"/>
                <w:sz w:val="16"/>
                <w:szCs w:val="16"/>
                <w:color w:val="0000FF"/>
                <w:w w:val="89"/>
              </w:rPr>
            </w:pPr>
            <w:hyperlink r:id="rId15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4840" w:type="dxa"/>
            <w:vAlign w:val="bottom"/>
            <w:gridSpan w:val="26"/>
          </w:tcPr>
          <w:p>
            <w:pPr>
              <w:spacing w:after="0"/>
              <w:rPr>
                <w:rFonts w:ascii="Arial" w:cs="Arial" w:eastAsia="Arial" w:hAnsi="Arial"/>
                <w:sz w:val="16"/>
                <w:szCs w:val="16"/>
                <w:color w:val="0000FF"/>
              </w:rPr>
            </w:pPr>
            <w:hyperlink r:id="rId153">
              <w:r>
                <w:rPr>
                  <w:rFonts w:ascii="Arial" w:cs="Arial" w:eastAsia="Arial" w:hAnsi="Arial"/>
                  <w:sz w:val="16"/>
                  <w:szCs w:val="16"/>
                  <w:color w:val="0000FF"/>
                </w:rPr>
                <w:t>CrowdStrike Holdings, Inc. 2019 Equity Incentive Plan Global</w:t>
              </w:r>
            </w:hyperlink>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4120" w:type="dxa"/>
            <w:vAlign w:val="bottom"/>
            <w:tcBorders>
              <w:top w:val="single" w:sz="8" w:color="0000FF"/>
            </w:tcBorders>
            <w:gridSpan w:val="13"/>
            <w:vMerge w:val="restart"/>
          </w:tcPr>
          <w:p>
            <w:pPr>
              <w:spacing w:after="0" w:line="142" w:lineRule="exact"/>
              <w:rPr>
                <w:rFonts w:ascii="Arial" w:cs="Arial" w:eastAsia="Arial" w:hAnsi="Arial"/>
                <w:sz w:val="16"/>
                <w:szCs w:val="16"/>
                <w:color w:val="0000FF"/>
              </w:rPr>
            </w:pPr>
            <w:hyperlink r:id="rId153">
              <w:r>
                <w:rPr>
                  <w:rFonts w:ascii="Arial" w:cs="Arial" w:eastAsia="Arial" w:hAnsi="Arial"/>
                  <w:sz w:val="16"/>
                  <w:szCs w:val="16"/>
                  <w:color w:val="0000FF"/>
                </w:rPr>
                <w:t>Performance Unit Agreement</w:t>
              </w:r>
            </w:hyperlink>
          </w:p>
        </w:tc>
        <w:tc>
          <w:tcPr>
            <w:tcW w:w="720" w:type="dxa"/>
            <w:vAlign w:val="bottom"/>
            <w:gridSpan w:val="13"/>
            <w:vMerge w:val="restart"/>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4120" w:type="dxa"/>
            <w:vAlign w:val="bottom"/>
            <w:tcBorders>
              <w:top w:val="single" w:sz="8" w:color="0000FF"/>
            </w:tcBorders>
            <w:gridSpan w:val="13"/>
            <w:vMerge w:val="continue"/>
          </w:tcPr>
          <w:p>
            <w:pPr>
              <w:spacing w:after="0"/>
              <w:rPr>
                <w:sz w:val="5"/>
                <w:szCs w:val="5"/>
                <w:color w:val="auto"/>
              </w:rPr>
            </w:pPr>
          </w:p>
        </w:tc>
        <w:tc>
          <w:tcPr>
            <w:tcW w:w="7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0" w:type="dxa"/>
            <w:vAlign w:val="bottom"/>
            <w:gridSpan w:val="4"/>
            <w:vMerge w:val="restart"/>
          </w:tcPr>
          <w:p>
            <w:pPr>
              <w:jc w:val="center"/>
              <w:ind w:right="420"/>
              <w:spacing w:after="0"/>
              <w:rPr>
                <w:rFonts w:ascii="Arial" w:cs="Arial" w:eastAsia="Arial" w:hAnsi="Arial"/>
                <w:sz w:val="16"/>
                <w:szCs w:val="16"/>
                <w:color w:val="0000FF"/>
                <w:w w:val="89"/>
              </w:rPr>
            </w:pPr>
            <w:hyperlink r:id="rId15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hyperlink>
          </w:p>
        </w:tc>
        <w:tc>
          <w:tcPr>
            <w:tcW w:w="4360" w:type="dxa"/>
            <w:vAlign w:val="bottom"/>
            <w:tcBorders>
              <w:bottom w:val="single" w:sz="8" w:color="0000FF"/>
            </w:tcBorders>
            <w:gridSpan w:val="15"/>
          </w:tcPr>
          <w:p>
            <w:pPr>
              <w:spacing w:after="0"/>
              <w:rPr>
                <w:rFonts w:ascii="Arial" w:cs="Arial" w:eastAsia="Arial" w:hAnsi="Arial"/>
                <w:sz w:val="16"/>
                <w:szCs w:val="16"/>
                <w:color w:val="0000FF"/>
                <w:w w:val="90"/>
              </w:rPr>
            </w:pPr>
            <w:hyperlink r:id="rId154">
              <w:r>
                <w:rPr>
                  <w:rFonts w:ascii="Arial" w:cs="Arial" w:eastAsia="Arial" w:hAnsi="Arial"/>
                  <w:sz w:val="16"/>
                  <w:szCs w:val="16"/>
                  <w:color w:val="0000FF"/>
                  <w:w w:val="90"/>
                </w:rPr>
                <w:t>Amended and Restated 2011 Stock Incentive Plan and related form</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4840" w:type="dxa"/>
            <w:vAlign w:val="bottom"/>
            <w:gridSpan w:val="26"/>
            <w:vMerge w:val="restart"/>
          </w:tcPr>
          <w:p>
            <w:pPr>
              <w:spacing w:after="0" w:line="142" w:lineRule="exact"/>
              <w:rPr>
                <w:rFonts w:ascii="Arial" w:cs="Arial" w:eastAsia="Arial" w:hAnsi="Arial"/>
                <w:sz w:val="16"/>
                <w:szCs w:val="16"/>
                <w:color w:val="0000FF"/>
              </w:rPr>
            </w:pPr>
            <w:hyperlink r:id="rId154">
              <w:r>
                <w:rPr>
                  <w:rFonts w:ascii="Arial" w:cs="Arial" w:eastAsia="Arial" w:hAnsi="Arial"/>
                  <w:sz w:val="16"/>
                  <w:szCs w:val="16"/>
                  <w:color w:val="0000FF"/>
                </w:rPr>
                <w:t>agreements.</w:t>
              </w:r>
            </w:hyperlink>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484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80" w:type="dxa"/>
            <w:vAlign w:val="bottom"/>
            <w:gridSpan w:val="4"/>
            <w:vMerge w:val="restart"/>
          </w:tcPr>
          <w:p>
            <w:pPr>
              <w:jc w:val="center"/>
              <w:ind w:right="420"/>
              <w:spacing w:after="0"/>
              <w:rPr>
                <w:rFonts w:ascii="Arial" w:cs="Arial" w:eastAsia="Arial" w:hAnsi="Arial"/>
                <w:sz w:val="16"/>
                <w:szCs w:val="16"/>
                <w:color w:val="0000FF"/>
                <w:w w:val="89"/>
              </w:rPr>
            </w:pPr>
            <w:hyperlink r:id="rId15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7†</w:t>
              </w:r>
            </w:hyperlink>
          </w:p>
        </w:tc>
        <w:tc>
          <w:tcPr>
            <w:tcW w:w="4840" w:type="dxa"/>
            <w:vAlign w:val="bottom"/>
            <w:gridSpan w:val="26"/>
          </w:tcPr>
          <w:p>
            <w:pPr>
              <w:spacing w:after="0"/>
              <w:rPr>
                <w:rFonts w:ascii="Arial" w:cs="Arial" w:eastAsia="Arial" w:hAnsi="Arial"/>
                <w:sz w:val="16"/>
                <w:szCs w:val="16"/>
                <w:color w:val="0000FF"/>
                <w:w w:val="92"/>
              </w:rPr>
            </w:pPr>
            <w:hyperlink r:id="rId155">
              <w:r>
                <w:rPr>
                  <w:rFonts w:ascii="Arial" w:cs="Arial" w:eastAsia="Arial" w:hAnsi="Arial"/>
                  <w:sz w:val="16"/>
                  <w:szCs w:val="16"/>
                  <w:color w:val="0000FF"/>
                  <w:w w:val="92"/>
                </w:rPr>
                <w:t>Amended and Restated 2019 Employee Stock Purchase Plan and related</w:t>
              </w:r>
            </w:hyperlink>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140" w:type="dxa"/>
            <w:vAlign w:val="bottom"/>
            <w:tcBorders>
              <w:top w:val="single" w:sz="8" w:color="0000FF"/>
            </w:tcBorders>
            <w:gridSpan w:val="4"/>
            <w:vMerge w:val="restart"/>
          </w:tcPr>
          <w:p>
            <w:pPr>
              <w:spacing w:after="0" w:line="142" w:lineRule="exact"/>
              <w:rPr>
                <w:rFonts w:ascii="Arial" w:cs="Arial" w:eastAsia="Arial" w:hAnsi="Arial"/>
                <w:sz w:val="16"/>
                <w:szCs w:val="16"/>
                <w:color w:val="0000FF"/>
                <w:w w:val="89"/>
              </w:rPr>
            </w:pPr>
            <w:hyperlink r:id="rId155">
              <w:r>
                <w:rPr>
                  <w:rFonts w:ascii="Arial" w:cs="Arial" w:eastAsia="Arial" w:hAnsi="Arial"/>
                  <w:sz w:val="16"/>
                  <w:szCs w:val="16"/>
                  <w:color w:val="0000FF"/>
                  <w:w w:val="89"/>
                </w:rPr>
                <w:t>form agreements.</w:t>
              </w:r>
            </w:hyperlink>
          </w:p>
        </w:tc>
        <w:tc>
          <w:tcPr>
            <w:tcW w:w="3540" w:type="dxa"/>
            <w:vAlign w:val="bottom"/>
            <w:tcBorders>
              <w:top w:val="single" w:sz="8" w:color="0000FF"/>
            </w:tcBorders>
            <w:gridSpan w:val="18"/>
            <w:vMerge w:val="restart"/>
          </w:tcPr>
          <w:p>
            <w:pPr>
              <w:spacing w:after="0"/>
              <w:rPr>
                <w:sz w:val="5"/>
                <w:szCs w:val="5"/>
                <w:color w:val="auto"/>
              </w:rPr>
            </w:pPr>
          </w:p>
        </w:tc>
        <w:tc>
          <w:tcPr>
            <w:tcW w:w="160" w:type="dxa"/>
            <w:vAlign w:val="bottom"/>
            <w:gridSpan w:val="4"/>
            <w:vMerge w:val="restart"/>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Borders>
              <w:top w:val="single" w:sz="8" w:color="0000FF"/>
              <w:bottom w:val="single" w:sz="8" w:color="0000FF"/>
            </w:tcBorders>
            <w:gridSpan w:val="4"/>
            <w:vMerge w:val="continue"/>
          </w:tcPr>
          <w:p>
            <w:pPr>
              <w:spacing w:after="0"/>
              <w:rPr>
                <w:sz w:val="5"/>
                <w:szCs w:val="5"/>
                <w:color w:val="auto"/>
              </w:rPr>
            </w:pPr>
          </w:p>
        </w:tc>
        <w:tc>
          <w:tcPr>
            <w:tcW w:w="3540" w:type="dxa"/>
            <w:vAlign w:val="bottom"/>
            <w:tcBorders>
              <w:top w:val="single" w:sz="8" w:color="0000FF"/>
            </w:tcBorders>
            <w:gridSpan w:val="18"/>
            <w:vMerge w:val="continue"/>
          </w:tcPr>
          <w:p>
            <w:pPr>
              <w:spacing w:after="0"/>
              <w:rPr>
                <w:sz w:val="5"/>
                <w:szCs w:val="5"/>
                <w:color w:val="auto"/>
              </w:rPr>
            </w:pPr>
          </w:p>
        </w:tc>
        <w:tc>
          <w:tcPr>
            <w:tcW w:w="1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r:id="rId15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8†</w:t>
              </w:r>
            </w:hyperlink>
          </w:p>
        </w:tc>
        <w:tc>
          <w:tcPr>
            <w:tcW w:w="420" w:type="dxa"/>
            <w:vAlign w:val="bottom"/>
          </w:tcPr>
          <w:p>
            <w:pPr>
              <w:spacing w:after="0"/>
              <w:rPr>
                <w:sz w:val="17"/>
                <w:szCs w:val="17"/>
                <w:color w:val="auto"/>
              </w:rPr>
            </w:pPr>
          </w:p>
        </w:tc>
        <w:tc>
          <w:tcPr>
            <w:tcW w:w="3500" w:type="dxa"/>
            <w:vAlign w:val="bottom"/>
            <w:tcBorders>
              <w:bottom w:val="single" w:sz="8" w:color="0000FF"/>
            </w:tcBorders>
            <w:gridSpan w:val="10"/>
          </w:tcPr>
          <w:p>
            <w:pPr>
              <w:spacing w:after="0"/>
              <w:rPr>
                <w:rFonts w:ascii="Arial" w:cs="Arial" w:eastAsia="Arial" w:hAnsi="Arial"/>
                <w:sz w:val="16"/>
                <w:szCs w:val="16"/>
                <w:color w:val="0000FF"/>
                <w:w w:val="93"/>
              </w:rPr>
            </w:pPr>
            <w:hyperlink r:id="rId156">
              <w:r>
                <w:rPr>
                  <w:rFonts w:ascii="Arial" w:cs="Arial" w:eastAsia="Arial" w:hAnsi="Arial"/>
                  <w:sz w:val="16"/>
                  <w:szCs w:val="16"/>
                  <w:color w:val="0000FF"/>
                  <w:w w:val="93"/>
                </w:rPr>
                <w:t>CrowdStrike Holdings, Inc. Corporate Incentive Plan.</w:t>
              </w:r>
            </w:hyperlink>
          </w:p>
        </w:tc>
        <w:tc>
          <w:tcPr>
            <w:tcW w:w="13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r:id="rId15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9†</w:t>
              </w:r>
            </w:hyperlink>
          </w:p>
        </w:tc>
        <w:tc>
          <w:tcPr>
            <w:tcW w:w="420" w:type="dxa"/>
            <w:vAlign w:val="bottom"/>
          </w:tcPr>
          <w:p>
            <w:pPr>
              <w:spacing w:after="0"/>
              <w:rPr>
                <w:sz w:val="17"/>
                <w:szCs w:val="17"/>
                <w:color w:val="auto"/>
              </w:rPr>
            </w:pPr>
          </w:p>
        </w:tc>
        <w:tc>
          <w:tcPr>
            <w:tcW w:w="4540" w:type="dxa"/>
            <w:vAlign w:val="bottom"/>
            <w:tcBorders>
              <w:bottom w:val="single" w:sz="8" w:color="0000FF"/>
            </w:tcBorders>
            <w:gridSpan w:val="18"/>
          </w:tcPr>
          <w:p>
            <w:pPr>
              <w:spacing w:after="0"/>
              <w:rPr>
                <w:rFonts w:ascii="Arial" w:cs="Arial" w:eastAsia="Arial" w:hAnsi="Arial"/>
                <w:sz w:val="16"/>
                <w:szCs w:val="16"/>
                <w:color w:val="0000FF"/>
                <w:w w:val="90"/>
              </w:rPr>
            </w:pPr>
            <w:hyperlink r:id="rId157">
              <w:r>
                <w:rPr>
                  <w:rFonts w:ascii="Arial" w:cs="Arial" w:eastAsia="Arial" w:hAnsi="Arial"/>
                  <w:sz w:val="16"/>
                  <w:szCs w:val="16"/>
                  <w:color w:val="0000FF"/>
                  <w:w w:val="90"/>
                </w:rPr>
                <w:t>Outside Director Compensation Policy, as amended on June 30, 2021.</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gridSpan w:val="5"/>
            <w:vMerge w:val="restart"/>
          </w:tcPr>
          <w:p>
            <w:pPr>
              <w:jc w:val="center"/>
              <w:ind w:right="380"/>
              <w:spacing w:after="0"/>
              <w:rPr>
                <w:rFonts w:ascii="Arial" w:cs="Arial" w:eastAsia="Arial" w:hAnsi="Arial"/>
                <w:sz w:val="16"/>
                <w:szCs w:val="16"/>
                <w:color w:val="0000FF"/>
                <w:w w:val="89"/>
              </w:rPr>
            </w:pPr>
            <w:hyperlink r:id="rId158">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10†</w:t>
              </w:r>
            </w:hyperlink>
          </w:p>
        </w:tc>
        <w:tc>
          <w:tcPr>
            <w:tcW w:w="4760" w:type="dxa"/>
            <w:vAlign w:val="bottom"/>
            <w:tcBorders>
              <w:bottom w:val="single" w:sz="8" w:color="0000FF"/>
            </w:tcBorders>
            <w:gridSpan w:val="24"/>
          </w:tcPr>
          <w:p>
            <w:pPr>
              <w:spacing w:after="0"/>
              <w:rPr>
                <w:rFonts w:ascii="Arial" w:cs="Arial" w:eastAsia="Arial" w:hAnsi="Arial"/>
                <w:sz w:val="16"/>
                <w:szCs w:val="16"/>
                <w:color w:val="0000FF"/>
                <w:w w:val="91"/>
              </w:rPr>
            </w:pPr>
            <w:hyperlink r:id="rId158">
              <w:r>
                <w:rPr>
                  <w:rFonts w:ascii="Arial" w:cs="Arial" w:eastAsia="Arial" w:hAnsi="Arial"/>
                  <w:sz w:val="16"/>
                  <w:szCs w:val="16"/>
                  <w:color w:val="0000FF"/>
                  <w:w w:val="91"/>
                </w:rPr>
                <w:t>Employment Agreement between the Registrant and George Kurtz, dated</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20" w:type="dxa"/>
            <w:vAlign w:val="bottom"/>
            <w:gridSpan w:val="5"/>
            <w:vMerge w:val="continue"/>
          </w:tcPr>
          <w:p>
            <w:pPr>
              <w:spacing w:after="0"/>
              <w:rPr>
                <w:sz w:val="5"/>
                <w:szCs w:val="5"/>
                <w:color w:val="auto"/>
              </w:rPr>
            </w:pPr>
          </w:p>
        </w:tc>
        <w:tc>
          <w:tcPr>
            <w:tcW w:w="4840" w:type="dxa"/>
            <w:vAlign w:val="bottom"/>
            <w:gridSpan w:val="26"/>
            <w:vMerge w:val="restart"/>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as of November 18, 2011.</w:t>
              </w:r>
            </w:hyperlink>
          </w:p>
        </w:tc>
        <w:tc>
          <w:tcPr>
            <w:tcW w:w="0" w:type="dxa"/>
            <w:vAlign w:val="bottom"/>
          </w:tcPr>
          <w:p>
            <w:pPr>
              <w:spacing w:after="0"/>
              <w:rPr>
                <w:sz w:val="1"/>
                <w:szCs w:val="1"/>
                <w:color w:val="auto"/>
              </w:rPr>
            </w:pPr>
          </w:p>
        </w:tc>
      </w:tr>
      <w:tr>
        <w:trPr>
          <w:trHeight w:val="61"/>
        </w:trPr>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4840" w:type="dxa"/>
            <w:vAlign w:val="bottom"/>
            <w:gridSpan w:val="2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vMerge w:val="restart"/>
          </w:tcPr>
          <w:p>
            <w:pPr>
              <w:jc w:val="center"/>
              <w:ind w:right="380"/>
              <w:spacing w:after="0"/>
              <w:rPr>
                <w:rFonts w:ascii="Arial" w:cs="Arial" w:eastAsia="Arial" w:hAnsi="Arial"/>
                <w:sz w:val="16"/>
                <w:szCs w:val="16"/>
                <w:color w:val="0000FF"/>
                <w:w w:val="89"/>
              </w:rPr>
            </w:pPr>
            <w:hyperlink r:id="rId15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11†</w:t>
              </w:r>
            </w:hyperlink>
          </w:p>
        </w:tc>
        <w:tc>
          <w:tcPr>
            <w:tcW w:w="4840" w:type="dxa"/>
            <w:vAlign w:val="bottom"/>
            <w:gridSpan w:val="26"/>
          </w:tcPr>
          <w:p>
            <w:pPr>
              <w:spacing w:after="0"/>
              <w:rPr>
                <w:rFonts w:ascii="Arial" w:cs="Arial" w:eastAsia="Arial" w:hAnsi="Arial"/>
                <w:sz w:val="16"/>
                <w:szCs w:val="16"/>
                <w:color w:val="0000FF"/>
                <w:w w:val="93"/>
              </w:rPr>
            </w:pPr>
            <w:hyperlink r:id="rId159">
              <w:r>
                <w:rPr>
                  <w:rFonts w:ascii="Arial" w:cs="Arial" w:eastAsia="Arial" w:hAnsi="Arial"/>
                  <w:sz w:val="16"/>
                  <w:szCs w:val="16"/>
                  <w:color w:val="0000FF"/>
                  <w:w w:val="93"/>
                </w:rPr>
                <w:t>Offer Letter between the Registrant and Colin Black, dated as of October</w:t>
              </w:r>
            </w:hyperlink>
          </w:p>
        </w:tc>
        <w:tc>
          <w:tcPr>
            <w:tcW w:w="0" w:type="dxa"/>
            <w:vAlign w:val="bottom"/>
          </w:tcPr>
          <w:p>
            <w:pPr>
              <w:spacing w:after="0"/>
              <w:rPr>
                <w:sz w:val="1"/>
                <w:szCs w:val="1"/>
                <w:color w:val="auto"/>
              </w:rPr>
            </w:pPr>
          </w:p>
        </w:tc>
      </w:tr>
      <w:tr>
        <w:trPr>
          <w:trHeight w:val="61"/>
        </w:trPr>
        <w:tc>
          <w:tcPr>
            <w:tcW w:w="820" w:type="dxa"/>
            <w:vAlign w:val="bottom"/>
            <w:gridSpan w:val="5"/>
            <w:vMerge w:val="continue"/>
          </w:tcPr>
          <w:p>
            <w:pPr>
              <w:spacing w:after="0"/>
              <w:rPr>
                <w:sz w:val="5"/>
                <w:szCs w:val="5"/>
                <w:color w:val="auto"/>
              </w:rPr>
            </w:pPr>
          </w:p>
        </w:tc>
        <w:tc>
          <w:tcPr>
            <w:tcW w:w="540" w:type="dxa"/>
            <w:vAlign w:val="bottom"/>
            <w:tcBorders>
              <w:top w:val="single" w:sz="8" w:color="0000FF"/>
            </w:tcBorders>
            <w:vMerge w:val="restart"/>
          </w:tcPr>
          <w:p>
            <w:pPr>
              <w:spacing w:after="0" w:line="142" w:lineRule="exact"/>
              <w:rPr>
                <w:rFonts w:ascii="Arial" w:cs="Arial" w:eastAsia="Arial" w:hAnsi="Arial"/>
                <w:sz w:val="16"/>
                <w:szCs w:val="16"/>
                <w:color w:val="0000FF"/>
                <w:w w:val="89"/>
              </w:rPr>
            </w:pPr>
            <w:hyperlink r:id="rId159">
              <w:r>
                <w:rPr>
                  <w:rFonts w:ascii="Arial" w:cs="Arial" w:eastAsia="Arial" w:hAnsi="Arial"/>
                  <w:sz w:val="16"/>
                  <w:szCs w:val="16"/>
                  <w:color w:val="0000FF"/>
                  <w:w w:val="89"/>
                </w:rPr>
                <w:t>3, 2015.</w:t>
              </w:r>
            </w:hyperlink>
          </w:p>
        </w:tc>
        <w:tc>
          <w:tcPr>
            <w:tcW w:w="24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12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Borders>
              <w:top w:val="single" w:sz="8" w:color="0000FF"/>
              <w:bottom w:val="single" w:sz="8" w:color="0000FF"/>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gridSpan w:val="5"/>
            <w:vMerge w:val="restart"/>
          </w:tcPr>
          <w:p>
            <w:pPr>
              <w:jc w:val="center"/>
              <w:ind w:right="380"/>
              <w:spacing w:after="0"/>
              <w:rPr>
                <w:rFonts w:ascii="Arial" w:cs="Arial" w:eastAsia="Arial" w:hAnsi="Arial"/>
                <w:sz w:val="16"/>
                <w:szCs w:val="16"/>
                <w:color w:val="0000FF"/>
                <w:w w:val="89"/>
              </w:rPr>
            </w:pPr>
            <w:hyperlink r:id="rId16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12†</w:t>
              </w:r>
            </w:hyperlink>
          </w:p>
        </w:tc>
        <w:tc>
          <w:tcPr>
            <w:tcW w:w="4840" w:type="dxa"/>
            <w:vAlign w:val="bottom"/>
            <w:gridSpan w:val="26"/>
          </w:tcPr>
          <w:p>
            <w:pPr>
              <w:spacing w:after="0"/>
              <w:rPr>
                <w:rFonts w:ascii="Arial" w:cs="Arial" w:eastAsia="Arial" w:hAnsi="Arial"/>
                <w:sz w:val="16"/>
                <w:szCs w:val="16"/>
                <w:color w:val="0000FF"/>
                <w:w w:val="97"/>
              </w:rPr>
            </w:pPr>
            <w:hyperlink r:id="rId160">
              <w:r>
                <w:rPr>
                  <w:rFonts w:ascii="Arial" w:cs="Arial" w:eastAsia="Arial" w:hAnsi="Arial"/>
                  <w:sz w:val="16"/>
                  <w:szCs w:val="16"/>
                  <w:color w:val="0000FF"/>
                  <w:w w:val="97"/>
                </w:rPr>
                <w:t>Offer Letter between the Registrant and Burt W. Podbere, dated as of</w:t>
              </w:r>
            </w:hyperlink>
          </w:p>
        </w:tc>
        <w:tc>
          <w:tcPr>
            <w:tcW w:w="0" w:type="dxa"/>
            <w:vAlign w:val="bottom"/>
          </w:tcPr>
          <w:p>
            <w:pPr>
              <w:spacing w:after="0"/>
              <w:rPr>
                <w:sz w:val="1"/>
                <w:szCs w:val="1"/>
                <w:color w:val="auto"/>
              </w:rPr>
            </w:pPr>
          </w:p>
        </w:tc>
      </w:tr>
      <w:tr>
        <w:trPr>
          <w:trHeight w:val="61"/>
        </w:trPr>
        <w:tc>
          <w:tcPr>
            <w:tcW w:w="820" w:type="dxa"/>
            <w:vAlign w:val="bottom"/>
            <w:gridSpan w:val="5"/>
            <w:vMerge w:val="continue"/>
          </w:tcPr>
          <w:p>
            <w:pPr>
              <w:spacing w:after="0"/>
              <w:rPr>
                <w:sz w:val="5"/>
                <w:szCs w:val="5"/>
                <w:color w:val="auto"/>
              </w:rPr>
            </w:pPr>
          </w:p>
        </w:tc>
        <w:tc>
          <w:tcPr>
            <w:tcW w:w="4480" w:type="dxa"/>
            <w:vAlign w:val="bottom"/>
            <w:tcBorders>
              <w:top w:val="single" w:sz="8" w:color="0000FF"/>
            </w:tcBorders>
            <w:gridSpan w:val="16"/>
            <w:vMerge w:val="restart"/>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August 10, 2015.</w:t>
              </w:r>
            </w:hyperlink>
          </w:p>
        </w:tc>
        <w:tc>
          <w:tcPr>
            <w:tcW w:w="360" w:type="dxa"/>
            <w:vAlign w:val="bottom"/>
            <w:gridSpan w:val="10"/>
            <w:vMerge w:val="restart"/>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4480" w:type="dxa"/>
            <w:vAlign w:val="bottom"/>
            <w:tcBorders>
              <w:top w:val="single" w:sz="8" w:color="0000FF"/>
            </w:tcBorders>
            <w:gridSpan w:val="16"/>
            <w:vMerge w:val="continue"/>
          </w:tcPr>
          <w:p>
            <w:pPr>
              <w:spacing w:after="0"/>
              <w:rPr>
                <w:sz w:val="5"/>
                <w:szCs w:val="5"/>
                <w:color w:val="auto"/>
              </w:rPr>
            </w:pPr>
          </w:p>
        </w:tc>
        <w:tc>
          <w:tcPr>
            <w:tcW w:w="3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5"/>
            <w:vMerge w:val="restart"/>
          </w:tcPr>
          <w:p>
            <w:pPr>
              <w:jc w:val="center"/>
              <w:ind w:right="380"/>
              <w:spacing w:after="0"/>
              <w:rPr>
                <w:rFonts w:ascii="Arial" w:cs="Arial" w:eastAsia="Arial" w:hAnsi="Arial"/>
                <w:sz w:val="16"/>
                <w:szCs w:val="16"/>
                <w:color w:val="0000FF"/>
                <w:w w:val="89"/>
              </w:rPr>
            </w:pPr>
            <w:hyperlink r:id="rId16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13†</w:t>
              </w:r>
            </w:hyperlink>
          </w:p>
        </w:tc>
        <w:tc>
          <w:tcPr>
            <w:tcW w:w="4840" w:type="dxa"/>
            <w:vAlign w:val="bottom"/>
            <w:gridSpan w:val="26"/>
          </w:tcPr>
          <w:p>
            <w:pPr>
              <w:spacing w:after="0"/>
              <w:rPr>
                <w:rFonts w:ascii="Arial" w:cs="Arial" w:eastAsia="Arial" w:hAnsi="Arial"/>
                <w:sz w:val="16"/>
                <w:szCs w:val="16"/>
                <w:color w:val="0000FF"/>
                <w:w w:val="96"/>
              </w:rPr>
            </w:pPr>
            <w:hyperlink r:id="rId161">
              <w:r>
                <w:rPr>
                  <w:rFonts w:ascii="Arial" w:cs="Arial" w:eastAsia="Arial" w:hAnsi="Arial"/>
                  <w:sz w:val="16"/>
                  <w:szCs w:val="16"/>
                  <w:color w:val="0000FF"/>
                  <w:w w:val="96"/>
                </w:rPr>
                <w:t>Offer Letter between the Registrant and Roxanne S. Austin dated as of</w:t>
              </w:r>
            </w:hyperlink>
          </w:p>
        </w:tc>
        <w:tc>
          <w:tcPr>
            <w:tcW w:w="0" w:type="dxa"/>
            <w:vAlign w:val="bottom"/>
          </w:tcPr>
          <w:p>
            <w:pPr>
              <w:spacing w:after="0"/>
              <w:rPr>
                <w:sz w:val="1"/>
                <w:szCs w:val="1"/>
                <w:color w:val="auto"/>
              </w:rPr>
            </w:pPr>
          </w:p>
        </w:tc>
      </w:tr>
      <w:tr>
        <w:trPr>
          <w:trHeight w:val="61"/>
        </w:trPr>
        <w:tc>
          <w:tcPr>
            <w:tcW w:w="820" w:type="dxa"/>
            <w:vAlign w:val="bottom"/>
            <w:gridSpan w:val="5"/>
            <w:vMerge w:val="continue"/>
          </w:tcPr>
          <w:p>
            <w:pPr>
              <w:spacing w:after="0"/>
              <w:rPr>
                <w:sz w:val="5"/>
                <w:szCs w:val="5"/>
                <w:color w:val="auto"/>
              </w:rPr>
            </w:pPr>
          </w:p>
        </w:tc>
        <w:tc>
          <w:tcPr>
            <w:tcW w:w="4580" w:type="dxa"/>
            <w:vAlign w:val="bottom"/>
            <w:tcBorders>
              <w:top w:val="single" w:sz="8" w:color="0000FF"/>
            </w:tcBorders>
            <w:gridSpan w:val="20"/>
            <w:vMerge w:val="restart"/>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September 10, 2018.</w:t>
              </w:r>
            </w:hyperlink>
          </w:p>
        </w:tc>
        <w:tc>
          <w:tcPr>
            <w:tcW w:w="260" w:type="dxa"/>
            <w:vAlign w:val="bottom"/>
            <w:gridSpan w:val="6"/>
            <w:vMerge w:val="restart"/>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420" w:type="dxa"/>
            <w:vAlign w:val="bottom"/>
          </w:tcPr>
          <w:p>
            <w:pPr>
              <w:spacing w:after="0"/>
              <w:rPr>
                <w:sz w:val="5"/>
                <w:szCs w:val="5"/>
                <w:color w:val="auto"/>
              </w:rPr>
            </w:pPr>
          </w:p>
        </w:tc>
        <w:tc>
          <w:tcPr>
            <w:tcW w:w="4580" w:type="dxa"/>
            <w:vAlign w:val="bottom"/>
            <w:tcBorders>
              <w:top w:val="single" w:sz="8" w:color="0000FF"/>
            </w:tcBorders>
            <w:gridSpan w:val="20"/>
            <w:vMerge w:val="continue"/>
          </w:tcPr>
          <w:p>
            <w:pPr>
              <w:spacing w:after="0"/>
              <w:rPr>
                <w:sz w:val="5"/>
                <w:szCs w:val="5"/>
                <w:color w:val="auto"/>
              </w:rPr>
            </w:pPr>
          </w:p>
        </w:tc>
        <w:tc>
          <w:tcPr>
            <w:tcW w:w="2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gridSpan w:val="5"/>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gridSpan w:val="4"/>
          </w:tcPr>
          <w:p>
            <w:pPr>
              <w:jc w:val="center"/>
              <w:spacing w:after="0"/>
              <w:rPr>
                <w:rFonts w:ascii="Arial" w:cs="Arial" w:eastAsia="Arial" w:hAnsi="Arial"/>
                <w:sz w:val="16"/>
                <w:szCs w:val="16"/>
                <w:color w:val="0000FF"/>
                <w:w w:val="89"/>
              </w:rPr>
            </w:pPr>
            <w:hyperlink r:id="rId16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14†</w:t>
              </w:r>
            </w:hyperlink>
          </w:p>
        </w:tc>
        <w:tc>
          <w:tcPr>
            <w:tcW w:w="420" w:type="dxa"/>
            <w:vAlign w:val="bottom"/>
          </w:tcPr>
          <w:p>
            <w:pPr>
              <w:spacing w:after="0"/>
              <w:rPr>
                <w:sz w:val="17"/>
                <w:szCs w:val="17"/>
                <w:color w:val="auto"/>
              </w:rPr>
            </w:pPr>
          </w:p>
        </w:tc>
        <w:tc>
          <w:tcPr>
            <w:tcW w:w="4840" w:type="dxa"/>
            <w:vAlign w:val="bottom"/>
            <w:gridSpan w:val="26"/>
          </w:tcPr>
          <w:p>
            <w:pPr>
              <w:spacing w:after="0"/>
              <w:rPr>
                <w:rFonts w:ascii="Arial" w:cs="Arial" w:eastAsia="Arial" w:hAnsi="Arial"/>
                <w:sz w:val="16"/>
                <w:szCs w:val="16"/>
                <w:color w:val="0000FF"/>
                <w:w w:val="97"/>
              </w:rPr>
            </w:pPr>
            <w:hyperlink r:id="rId162">
              <w:r>
                <w:rPr>
                  <w:rFonts w:ascii="Arial" w:cs="Arial" w:eastAsia="Arial" w:hAnsi="Arial"/>
                  <w:sz w:val="16"/>
                  <w:szCs w:val="16"/>
                  <w:color w:val="0000FF"/>
                  <w:w w:val="97"/>
                </w:rPr>
                <w:t>Offer Letter between the Registrant and Godfrey R. Sullivan, undated.</w:t>
              </w:r>
            </w:hyperlink>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020" w:type="dxa"/>
            <w:vAlign w:val="bottom"/>
            <w:gridSpan w:val="1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gridSpan w:val="4"/>
            <w:vMerge w:val="restart"/>
          </w:tcPr>
          <w:p>
            <w:pPr>
              <w:jc w:val="center"/>
              <w:spacing w:after="0"/>
              <w:rPr>
                <w:rFonts w:ascii="Arial" w:cs="Arial" w:eastAsia="Arial" w:hAnsi="Arial"/>
                <w:sz w:val="16"/>
                <w:szCs w:val="16"/>
                <w:color w:val="0000FF"/>
                <w:w w:val="89"/>
              </w:rPr>
            </w:pPr>
            <w:hyperlink r:id="rId163">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15</w:t>
              </w:r>
            </w:hyperlink>
          </w:p>
        </w:tc>
        <w:tc>
          <w:tcPr>
            <w:tcW w:w="420" w:type="dxa"/>
            <w:vAlign w:val="bottom"/>
          </w:tcPr>
          <w:p>
            <w:pPr>
              <w:spacing w:after="0"/>
              <w:rPr>
                <w:sz w:val="17"/>
                <w:szCs w:val="17"/>
                <w:color w:val="auto"/>
              </w:rPr>
            </w:pPr>
          </w:p>
        </w:tc>
        <w:tc>
          <w:tcPr>
            <w:tcW w:w="4840" w:type="dxa"/>
            <w:vAlign w:val="bottom"/>
            <w:gridSpan w:val="26"/>
          </w:tcPr>
          <w:p>
            <w:pPr>
              <w:spacing w:after="0"/>
              <w:rPr>
                <w:rFonts w:ascii="Arial" w:cs="Arial" w:eastAsia="Arial" w:hAnsi="Arial"/>
                <w:sz w:val="16"/>
                <w:szCs w:val="16"/>
                <w:color w:val="0000FF"/>
                <w:w w:val="92"/>
              </w:rPr>
            </w:pPr>
            <w:hyperlink r:id="rId163">
              <w:r>
                <w:rPr>
                  <w:rFonts w:ascii="Arial" w:cs="Arial" w:eastAsia="Arial" w:hAnsi="Arial"/>
                  <w:sz w:val="16"/>
                  <w:szCs w:val="16"/>
                  <w:color w:val="0000FF"/>
                  <w:w w:val="92"/>
                </w:rPr>
                <w:t>Office Lease between CrowdStrike, Inc. and SPF Mathilda, LLC, dated as</w:t>
              </w:r>
            </w:hyperlink>
          </w:p>
        </w:tc>
        <w:tc>
          <w:tcPr>
            <w:tcW w:w="0" w:type="dxa"/>
            <w:vAlign w:val="bottom"/>
          </w:tcPr>
          <w:p>
            <w:pPr>
              <w:spacing w:after="0"/>
              <w:rPr>
                <w:sz w:val="1"/>
                <w:szCs w:val="1"/>
                <w:color w:val="auto"/>
              </w:rPr>
            </w:pPr>
          </w:p>
        </w:tc>
      </w:tr>
      <w:tr>
        <w:trPr>
          <w:trHeight w:val="142"/>
        </w:trPr>
        <w:tc>
          <w:tcPr>
            <w:tcW w:w="40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4820" w:type="dxa"/>
            <w:vAlign w:val="bottom"/>
            <w:tcBorders>
              <w:top w:val="single" w:sz="8" w:color="0000FF"/>
            </w:tcBorders>
            <w:gridSpan w:val="25"/>
          </w:tcPr>
          <w:p>
            <w:pPr>
              <w:spacing w:after="0" w:line="142" w:lineRule="exact"/>
              <w:rPr>
                <w:rFonts w:ascii="Arial" w:cs="Arial" w:eastAsia="Arial" w:hAnsi="Arial"/>
                <w:sz w:val="16"/>
                <w:szCs w:val="16"/>
                <w:color w:val="0000FF"/>
                <w:w w:val="94"/>
              </w:rPr>
            </w:pPr>
            <w:hyperlink r:id="rId163">
              <w:r>
                <w:rPr>
                  <w:rFonts w:ascii="Arial" w:cs="Arial" w:eastAsia="Arial" w:hAnsi="Arial"/>
                  <w:sz w:val="16"/>
                  <w:szCs w:val="16"/>
                  <w:color w:val="0000FF"/>
                  <w:w w:val="94"/>
                </w:rPr>
                <w:t>of April 4, 2017, as amended on September 18, 2017, October 27, 2017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0"/>
              </w:rPr>
            </w:pPr>
            <w:hyperlink r:id="rId163">
              <w:r>
                <w:rPr>
                  <w:rFonts w:ascii="Arial" w:cs="Arial" w:eastAsia="Arial" w:hAnsi="Arial"/>
                  <w:sz w:val="16"/>
                  <w:szCs w:val="16"/>
                  <w:color w:val="0000FF"/>
                  <w:w w:val="90"/>
                </w:rPr>
                <w:t>and November 5, 2018.</w:t>
              </w:r>
            </w:hyperlink>
          </w:p>
        </w:tc>
        <w:tc>
          <w:tcPr>
            <w:tcW w:w="3100" w:type="dxa"/>
            <w:vAlign w:val="bottom"/>
            <w:tcBorders>
              <w:top w:val="single" w:sz="8" w:color="0000FF"/>
            </w:tcBorders>
            <w:gridSpan w:val="15"/>
          </w:tcPr>
          <w:p>
            <w:pPr>
              <w:spacing w:after="0"/>
              <w:rPr>
                <w:sz w:val="12"/>
                <w:szCs w:val="12"/>
                <w:color w:val="auto"/>
              </w:rPr>
            </w:pPr>
          </w:p>
        </w:tc>
        <w:tc>
          <w:tcPr>
            <w:tcW w:w="20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440" w:type="dxa"/>
            <w:vAlign w:val="bottom"/>
          </w:tcPr>
          <w:p>
            <w:pPr>
              <w:jc w:val="center"/>
              <w:ind w:left="119"/>
              <w:spacing w:after="0"/>
              <w:rPr>
                <w:sz w:val="20"/>
                <w:szCs w:val="20"/>
                <w:color w:val="auto"/>
              </w:rPr>
            </w:pPr>
            <w:r>
              <w:rPr>
                <w:rFonts w:ascii="Arial" w:cs="Arial" w:eastAsia="Arial" w:hAnsi="Arial"/>
                <w:sz w:val="16"/>
                <w:szCs w:val="16"/>
                <w:color w:val="auto"/>
                <w:w w:val="90"/>
              </w:rPr>
              <w:t>January 20, 2021</w:t>
            </w:r>
          </w:p>
        </w:tc>
      </w:tr>
      <w:tr>
        <w:trPr>
          <w:trHeight w:val="310"/>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4"/>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29,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5"/>
              </w:rPr>
              <w:t>10-Q</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89"/>
              </w:rPr>
              <w:t>September 3, 2020</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10-K</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1"/>
              </w:rPr>
              <w:t>March 18, 2021</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5"/>
              </w:rPr>
              <w:t>10-Q</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88"/>
              </w:rPr>
              <w:t>June 3, 2020</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95"/>
              </w:rPr>
              <w:t>10-Q</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89"/>
              </w:rPr>
              <w:t>September 1, 2021</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1"/>
              </w:rPr>
              <w:t>March 12, 2021</w:t>
            </w:r>
          </w:p>
        </w:tc>
      </w:tr>
      <w:tr>
        <w:trPr>
          <w:trHeight w:val="216"/>
        </w:trPr>
        <w:tc>
          <w:tcPr>
            <w:tcW w:w="580" w:type="dxa"/>
            <w:vAlign w:val="bottom"/>
          </w:tcPr>
          <w:p>
            <w:pPr>
              <w:jc w:val="center"/>
              <w:ind w:right="119"/>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440" w:type="dxa"/>
            <w:vAlign w:val="bottom"/>
          </w:tcPr>
          <w:p>
            <w:pPr>
              <w:jc w:val="center"/>
              <w:ind w:left="119"/>
              <w:spacing w:after="0"/>
              <w:rPr>
                <w:sz w:val="20"/>
                <w:szCs w:val="20"/>
                <w:color w:val="auto"/>
              </w:rPr>
            </w:pPr>
            <w:r>
              <w:rPr>
                <w:rFonts w:ascii="Arial" w:cs="Arial" w:eastAsia="Arial" w:hAnsi="Arial"/>
                <w:sz w:val="16"/>
                <w:szCs w:val="16"/>
                <w:color w:val="auto"/>
                <w:w w:val="92"/>
              </w:rPr>
              <w:t>July 2, 2021</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297"/>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r>
        <w:trPr>
          <w:trHeight w:val="378"/>
        </w:trPr>
        <w:tc>
          <w:tcPr>
            <w:tcW w:w="580" w:type="dxa"/>
            <w:vAlign w:val="bottom"/>
          </w:tcPr>
          <w:p>
            <w:pPr>
              <w:jc w:val="center"/>
              <w:ind w:right="119"/>
              <w:spacing w:after="0"/>
              <w:rPr>
                <w:sz w:val="20"/>
                <w:szCs w:val="20"/>
                <w:color w:val="auto"/>
              </w:rPr>
            </w:pPr>
            <w:r>
              <w:rPr>
                <w:rFonts w:ascii="Arial" w:cs="Arial" w:eastAsia="Arial" w:hAnsi="Arial"/>
                <w:sz w:val="16"/>
                <w:szCs w:val="16"/>
                <w:color w:val="auto"/>
                <w:w w:val="88"/>
              </w:rPr>
              <w:t>S-1</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333-231461</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440" w:type="dxa"/>
            <w:vAlign w:val="bottom"/>
          </w:tcPr>
          <w:p>
            <w:pPr>
              <w:jc w:val="center"/>
              <w:ind w:left="139"/>
              <w:spacing w:after="0"/>
              <w:rPr>
                <w:sz w:val="20"/>
                <w:szCs w:val="20"/>
                <w:color w:val="auto"/>
              </w:rPr>
            </w:pPr>
            <w:r>
              <w:rPr>
                <w:rFonts w:ascii="Arial" w:cs="Arial" w:eastAsia="Arial" w:hAnsi="Arial"/>
                <w:sz w:val="16"/>
                <w:szCs w:val="16"/>
                <w:color w:val="auto"/>
                <w:w w:val="92"/>
              </w:rPr>
              <w:t>May 14, 2019</w:t>
            </w:r>
          </w:p>
        </w:tc>
      </w:tr>
    </w:tbl>
    <w:p>
      <w:pPr>
        <w:spacing w:after="0" w:line="341" w:lineRule="exact"/>
        <w:rPr>
          <w:sz w:val="20"/>
          <w:szCs w:val="20"/>
          <w:color w:val="auto"/>
        </w:rPr>
      </w:pPr>
    </w:p>
    <w:p>
      <w:pPr>
        <w:sectPr>
          <w:pgSz w:w="11900" w:h="16838" w:orient="portrait"/>
          <w:cols w:equalWidth="0" w:num="2">
            <w:col w:w="5920" w:space="220"/>
            <w:col w:w="4960"/>
          </w:cols>
          <w:pgMar w:left="320" w:top="125" w:right="47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80" w:type="dxa"/>
            <w:vAlign w:val="bottom"/>
            <w:gridSpan w:val="5"/>
            <w:vMerge w:val="restart"/>
          </w:tcPr>
          <w:p>
            <w:pPr>
              <w:jc w:val="center"/>
              <w:ind w:left="39"/>
              <w:spacing w:after="0"/>
              <w:rPr>
                <w:rFonts w:ascii="Arial" w:cs="Arial" w:eastAsia="Arial" w:hAnsi="Arial"/>
                <w:sz w:val="16"/>
                <w:szCs w:val="16"/>
                <w:color w:val="0000FF"/>
                <w:w w:val="89"/>
              </w:rPr>
            </w:pPr>
            <w:hyperlink r:id="rId16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16</w:t>
              </w:r>
            </w:hyperlink>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500" w:type="dxa"/>
            <w:vAlign w:val="bottom"/>
            <w:tcBorders>
              <w:bottom w:val="single" w:sz="8" w:color="0000FF"/>
            </w:tcBorders>
            <w:gridSpan w:val="16"/>
          </w:tcPr>
          <w:p>
            <w:pPr>
              <w:spacing w:after="0"/>
              <w:rPr>
                <w:rFonts w:ascii="Arial" w:cs="Arial" w:eastAsia="Arial" w:hAnsi="Arial"/>
                <w:sz w:val="16"/>
                <w:szCs w:val="16"/>
                <w:color w:val="0000FF"/>
                <w:w w:val="92"/>
              </w:rPr>
            </w:pPr>
            <w:hyperlink r:id="rId165">
              <w:r>
                <w:rPr>
                  <w:rFonts w:ascii="Arial" w:cs="Arial" w:eastAsia="Arial" w:hAnsi="Arial"/>
                  <w:sz w:val="16"/>
                  <w:szCs w:val="16"/>
                  <w:color w:val="0000FF"/>
                  <w:w w:val="92"/>
                </w:rPr>
                <w:t>Fourth Amendment to Office Lease between SPF Mathilda, LLC and</w:t>
              </w:r>
            </w:hyperlink>
          </w:p>
        </w:tc>
        <w:tc>
          <w:tcPr>
            <w:tcW w:w="3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760" w:type="dxa"/>
            <w:vAlign w:val="bottom"/>
            <w:gridSpan w:val="10"/>
            <w:vMerge w:val="restart"/>
          </w:tcPr>
          <w:p>
            <w:pPr>
              <w:spacing w:after="0" w:line="142" w:lineRule="exact"/>
              <w:rPr>
                <w:rFonts w:ascii="Arial" w:cs="Arial" w:eastAsia="Arial" w:hAnsi="Arial"/>
                <w:sz w:val="16"/>
                <w:szCs w:val="16"/>
                <w:color w:val="0000FF"/>
                <w:w w:val="92"/>
              </w:rPr>
            </w:pPr>
            <w:hyperlink r:id="rId165">
              <w:r>
                <w:rPr>
                  <w:rFonts w:ascii="Arial" w:cs="Arial" w:eastAsia="Arial" w:hAnsi="Arial"/>
                  <w:sz w:val="16"/>
                  <w:szCs w:val="16"/>
                  <w:color w:val="0000FF"/>
                  <w:w w:val="92"/>
                </w:rPr>
                <w:t>CrowdStrike, Inc., dated August 16, 2019.</w:t>
              </w:r>
            </w:hyperlink>
          </w:p>
        </w:tc>
        <w:tc>
          <w:tcPr>
            <w:tcW w:w="2060" w:type="dxa"/>
            <w:vAlign w:val="bottom"/>
            <w:gridSpan w:val="18"/>
            <w:vMerge w:val="restart"/>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760" w:type="dxa"/>
            <w:vAlign w:val="bottom"/>
            <w:tcBorders>
              <w:bottom w:val="single" w:sz="8" w:color="0000FF"/>
            </w:tcBorders>
            <w:gridSpan w:val="10"/>
            <w:vMerge w:val="continue"/>
          </w:tcPr>
          <w:p>
            <w:pPr>
              <w:spacing w:after="0"/>
              <w:rPr>
                <w:sz w:val="5"/>
                <w:szCs w:val="5"/>
                <w:color w:val="auto"/>
              </w:rPr>
            </w:pPr>
          </w:p>
        </w:tc>
        <w:tc>
          <w:tcPr>
            <w:tcW w:w="206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80" w:type="dxa"/>
            <w:vAlign w:val="bottom"/>
            <w:gridSpan w:val="5"/>
            <w:vMerge w:val="restart"/>
          </w:tcPr>
          <w:p>
            <w:pPr>
              <w:jc w:val="center"/>
              <w:ind w:left="39"/>
              <w:spacing w:after="0"/>
              <w:rPr>
                <w:rFonts w:ascii="Arial" w:cs="Arial" w:eastAsia="Arial" w:hAnsi="Arial"/>
                <w:sz w:val="16"/>
                <w:szCs w:val="16"/>
                <w:color w:val="0000FF"/>
                <w:w w:val="89"/>
              </w:rPr>
            </w:pPr>
            <w:hyperlink r:id="rId16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17</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0" w:type="dxa"/>
            <w:vAlign w:val="bottom"/>
            <w:tcBorders>
              <w:bottom w:val="single" w:sz="8" w:color="0000FF"/>
            </w:tcBorders>
            <w:gridSpan w:val="15"/>
          </w:tcPr>
          <w:p>
            <w:pPr>
              <w:spacing w:after="0"/>
              <w:rPr>
                <w:rFonts w:ascii="Arial" w:cs="Arial" w:eastAsia="Arial" w:hAnsi="Arial"/>
                <w:sz w:val="16"/>
                <w:szCs w:val="16"/>
                <w:color w:val="0000FF"/>
                <w:w w:val="93"/>
              </w:rPr>
            </w:pPr>
            <w:hyperlink r:id="rId166">
              <w:r>
                <w:rPr>
                  <w:rFonts w:ascii="Arial" w:cs="Arial" w:eastAsia="Arial" w:hAnsi="Arial"/>
                  <w:sz w:val="16"/>
                  <w:szCs w:val="16"/>
                  <w:color w:val="0000FF"/>
                  <w:w w:val="93"/>
                </w:rPr>
                <w:t>Fifth Amendment to Office Lease between SPF Mathilda, LLC and</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4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20" w:type="dxa"/>
            <w:vAlign w:val="bottom"/>
            <w:gridSpan w:val="28"/>
            <w:vMerge w:val="restart"/>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CrowdStrike, Inc., dated October 2, 2019.</w:t>
              </w:r>
            </w:hyperlink>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2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5"/>
            <w:vMerge w:val="restart"/>
          </w:tcPr>
          <w:p>
            <w:pPr>
              <w:jc w:val="center"/>
              <w:ind w:left="39"/>
              <w:spacing w:after="0"/>
              <w:rPr>
                <w:rFonts w:ascii="Arial" w:cs="Arial" w:eastAsia="Arial" w:hAnsi="Arial"/>
                <w:sz w:val="16"/>
                <w:szCs w:val="16"/>
                <w:color w:val="0000FF"/>
                <w:w w:val="89"/>
              </w:rPr>
            </w:pPr>
            <w:hyperlink w:anchor="page12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18</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w w:val="94"/>
              </w:rPr>
            </w:pPr>
            <w:hyperlink w:anchor="page120">
              <w:r>
                <w:rPr>
                  <w:rFonts w:ascii="Arial" w:cs="Arial" w:eastAsia="Arial" w:hAnsi="Arial"/>
                  <w:sz w:val="16"/>
                  <w:szCs w:val="16"/>
                  <w:color w:val="0000FF"/>
                  <w:w w:val="94"/>
                </w:rPr>
                <w:t>Office Lease Agreement between EQC Capitol Tower Property LLC and</w:t>
              </w:r>
            </w:hyperlink>
          </w:p>
        </w:tc>
        <w:tc>
          <w:tcPr>
            <w:tcW w:w="0" w:type="dxa"/>
            <w:vAlign w:val="bottom"/>
          </w:tcPr>
          <w:p>
            <w:pPr>
              <w:spacing w:after="0"/>
              <w:rPr>
                <w:sz w:val="1"/>
                <w:szCs w:val="1"/>
                <w:color w:val="auto"/>
              </w:rPr>
            </w:pPr>
          </w:p>
        </w:tc>
      </w:tr>
      <w:tr>
        <w:trPr>
          <w:trHeight w:val="61"/>
        </w:trPr>
        <w:tc>
          <w:tcPr>
            <w:tcW w:w="4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720" w:type="dxa"/>
            <w:vAlign w:val="bottom"/>
            <w:tcBorders>
              <w:top w:val="single" w:sz="8" w:color="0000FF"/>
            </w:tcBorders>
            <w:gridSpan w:val="23"/>
            <w:vMerge w:val="restart"/>
          </w:tcPr>
          <w:p>
            <w:pPr>
              <w:spacing w:after="0" w:line="142" w:lineRule="exact"/>
              <w:rPr>
                <w:rFonts w:ascii="Arial" w:cs="Arial" w:eastAsia="Arial" w:hAnsi="Arial"/>
                <w:sz w:val="16"/>
                <w:szCs w:val="16"/>
                <w:color w:val="0000FF"/>
              </w:rPr>
            </w:pPr>
            <w:hyperlink w:anchor="page120">
              <w:r>
                <w:rPr>
                  <w:rFonts w:ascii="Arial" w:cs="Arial" w:eastAsia="Arial" w:hAnsi="Arial"/>
                  <w:sz w:val="16"/>
                  <w:szCs w:val="16"/>
                  <w:color w:val="0000FF"/>
                </w:rPr>
                <w:t>CrowdStrike, Inc., dated April 20, 2018.</w:t>
              </w:r>
            </w:hyperlink>
          </w:p>
        </w:tc>
        <w:tc>
          <w:tcPr>
            <w:tcW w:w="100" w:type="dxa"/>
            <w:vAlign w:val="bottom"/>
            <w:gridSpan w:val="5"/>
            <w:vMerge w:val="restart"/>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720" w:type="dxa"/>
            <w:vAlign w:val="bottom"/>
            <w:tcBorders>
              <w:top w:val="single" w:sz="8" w:color="0000FF"/>
            </w:tcBorders>
            <w:gridSpan w:val="23"/>
            <w:vMerge w:val="continue"/>
          </w:tcPr>
          <w:p>
            <w:pPr>
              <w:spacing w:after="0"/>
              <w:rPr>
                <w:sz w:val="5"/>
                <w:szCs w:val="5"/>
                <w:color w:val="auto"/>
              </w:rPr>
            </w:pPr>
          </w:p>
        </w:tc>
        <w:tc>
          <w:tcPr>
            <w:tcW w:w="1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5"/>
            <w:vMerge w:val="restart"/>
          </w:tcPr>
          <w:p>
            <w:pPr>
              <w:jc w:val="center"/>
              <w:ind w:left="39"/>
              <w:spacing w:after="0"/>
              <w:rPr>
                <w:rFonts w:ascii="Arial" w:cs="Arial" w:eastAsia="Arial" w:hAnsi="Arial"/>
                <w:sz w:val="16"/>
                <w:szCs w:val="16"/>
                <w:color w:val="0000FF"/>
                <w:w w:val="89"/>
              </w:rPr>
            </w:pPr>
            <w:hyperlink w:anchor="page20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19</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rPr>
            </w:pPr>
            <w:hyperlink w:anchor="page202">
              <w:r>
                <w:rPr>
                  <w:rFonts w:ascii="Arial" w:cs="Arial" w:eastAsia="Arial" w:hAnsi="Arial"/>
                  <w:sz w:val="16"/>
                  <w:szCs w:val="16"/>
                  <w:color w:val="0000FF"/>
                </w:rPr>
                <w:t>First Amendment to Office Lease Agreement between EQC Capitol</w:t>
              </w:r>
            </w:hyperlink>
          </w:p>
        </w:tc>
        <w:tc>
          <w:tcPr>
            <w:tcW w:w="0" w:type="dxa"/>
            <w:vAlign w:val="bottom"/>
          </w:tcPr>
          <w:p>
            <w:pPr>
              <w:spacing w:after="0"/>
              <w:rPr>
                <w:sz w:val="1"/>
                <w:szCs w:val="1"/>
                <w:color w:val="auto"/>
              </w:rPr>
            </w:pPr>
          </w:p>
        </w:tc>
      </w:tr>
      <w:tr>
        <w:trPr>
          <w:trHeight w:val="61"/>
        </w:trPr>
        <w:tc>
          <w:tcPr>
            <w:tcW w:w="4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0" w:type="dxa"/>
            <w:vAlign w:val="bottom"/>
            <w:tcBorders>
              <w:top w:val="single" w:sz="8" w:color="0000FF"/>
            </w:tcBorders>
            <w:gridSpan w:val="15"/>
            <w:vMerge w:val="restart"/>
          </w:tcPr>
          <w:p>
            <w:pPr>
              <w:spacing w:after="0" w:line="142" w:lineRule="exact"/>
              <w:rPr>
                <w:rFonts w:ascii="Arial" w:cs="Arial" w:eastAsia="Arial" w:hAnsi="Arial"/>
                <w:sz w:val="16"/>
                <w:szCs w:val="16"/>
                <w:color w:val="0000FF"/>
                <w:w w:val="97"/>
              </w:rPr>
            </w:pPr>
            <w:hyperlink w:anchor="page202">
              <w:r>
                <w:rPr>
                  <w:rFonts w:ascii="Arial" w:cs="Arial" w:eastAsia="Arial" w:hAnsi="Arial"/>
                  <w:sz w:val="16"/>
                  <w:szCs w:val="16"/>
                  <w:color w:val="0000FF"/>
                  <w:w w:val="97"/>
                </w:rPr>
                <w:t>Tower Property LLC and CrowdStrike, Inc., dated June 6, 2019.</w:t>
              </w:r>
            </w:hyperlink>
          </w:p>
        </w:tc>
        <w:tc>
          <w:tcPr>
            <w:tcW w:w="420" w:type="dxa"/>
            <w:vAlign w:val="bottom"/>
            <w:gridSpan w:val="13"/>
            <w:vMerge w:val="restart"/>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0" w:type="dxa"/>
            <w:vAlign w:val="bottom"/>
            <w:tcBorders>
              <w:top w:val="single" w:sz="8" w:color="0000FF"/>
            </w:tcBorders>
            <w:gridSpan w:val="15"/>
            <w:vMerge w:val="continue"/>
          </w:tcPr>
          <w:p>
            <w:pPr>
              <w:spacing w:after="0"/>
              <w:rPr>
                <w:sz w:val="5"/>
                <w:szCs w:val="5"/>
                <w:color w:val="auto"/>
              </w:rPr>
            </w:pPr>
          </w:p>
        </w:tc>
        <w:tc>
          <w:tcPr>
            <w:tcW w:w="420" w:type="dxa"/>
            <w:vAlign w:val="bottom"/>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w w:val="91"/>
              </w:rPr>
            </w:pPr>
            <w:hyperlink w:anchor="page212">
              <w:r>
                <w:rPr>
                  <w:rFonts w:ascii="Arial" w:cs="Arial" w:eastAsia="Arial" w:hAnsi="Arial"/>
                  <w:sz w:val="16"/>
                  <w:szCs w:val="16"/>
                  <w:color w:val="0000FF"/>
                  <w:w w:val="91"/>
                </w:rPr>
                <w:t>Amended and Restated Credit Agreement dated as of January 4, 2021, as</w:t>
              </w:r>
            </w:hyperlink>
          </w:p>
        </w:tc>
        <w:tc>
          <w:tcPr>
            <w:tcW w:w="0" w:type="dxa"/>
            <w:vAlign w:val="bottom"/>
          </w:tcPr>
          <w:p>
            <w:pPr>
              <w:spacing w:after="0"/>
              <w:rPr>
                <w:sz w:val="1"/>
                <w:szCs w:val="1"/>
                <w:color w:val="auto"/>
              </w:rPr>
            </w:pPr>
          </w:p>
        </w:tc>
      </w:tr>
      <w:tr>
        <w:trPr>
          <w:trHeight w:val="142"/>
        </w:trPr>
        <w:tc>
          <w:tcPr>
            <w:tcW w:w="480" w:type="dxa"/>
            <w:vAlign w:val="bottom"/>
            <w:gridSpan w:val="5"/>
            <w:vMerge w:val="restart"/>
          </w:tcPr>
          <w:p>
            <w:pPr>
              <w:jc w:val="center"/>
              <w:ind w:left="39"/>
              <w:spacing w:after="0"/>
              <w:rPr>
                <w:rFonts w:ascii="Arial" w:cs="Arial" w:eastAsia="Arial" w:hAnsi="Arial"/>
                <w:sz w:val="16"/>
                <w:szCs w:val="16"/>
                <w:color w:val="0000FF"/>
                <w:w w:val="89"/>
              </w:rPr>
            </w:pPr>
            <w:hyperlink w:anchor="page21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20</w:t>
              </w:r>
            </w:hyperlink>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1"/>
              </w:rPr>
            </w:pPr>
            <w:hyperlink w:anchor="page212">
              <w:r>
                <w:rPr>
                  <w:rFonts w:ascii="Arial" w:cs="Arial" w:eastAsia="Arial" w:hAnsi="Arial"/>
                  <w:sz w:val="16"/>
                  <w:szCs w:val="16"/>
                  <w:color w:val="0000FF"/>
                  <w:w w:val="91"/>
                </w:rPr>
                <w:t>amended on January 6, 2022 among CrowdStrike Holdings, Inc., as</w:t>
              </w:r>
            </w:hyperlink>
          </w:p>
        </w:tc>
        <w:tc>
          <w:tcPr>
            <w:tcW w:w="36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80" w:type="dxa"/>
            <w:vAlign w:val="bottom"/>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20" w:type="dxa"/>
            <w:vAlign w:val="bottom"/>
            <w:gridSpan w:val="28"/>
            <w:vMerge w:val="restart"/>
          </w:tcPr>
          <w:p>
            <w:pPr>
              <w:spacing w:after="0" w:line="142" w:lineRule="exact"/>
              <w:rPr>
                <w:rFonts w:ascii="Arial" w:cs="Arial" w:eastAsia="Arial" w:hAnsi="Arial"/>
                <w:sz w:val="16"/>
                <w:szCs w:val="16"/>
                <w:color w:val="0000FF"/>
                <w:w w:val="96"/>
              </w:rPr>
            </w:pPr>
            <w:hyperlink w:anchor="page212">
              <w:r>
                <w:rPr>
                  <w:rFonts w:ascii="Arial" w:cs="Arial" w:eastAsia="Arial" w:hAnsi="Arial"/>
                  <w:sz w:val="16"/>
                  <w:szCs w:val="16"/>
                  <w:color w:val="0000FF"/>
                  <w:w w:val="96"/>
                </w:rPr>
                <w:t>guarantor, CrowdStrike, Inc. as borrower, and Silicon Valley Bank and</w:t>
              </w:r>
            </w:hyperlink>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20" w:type="dxa"/>
            <w:vAlign w:val="bottom"/>
            <w:gridSpan w:val="2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0"/>
              </w:rPr>
            </w:pPr>
            <w:hyperlink w:anchor="page212">
              <w:r>
                <w:rPr>
                  <w:rFonts w:ascii="Arial" w:cs="Arial" w:eastAsia="Arial" w:hAnsi="Arial"/>
                  <w:sz w:val="16"/>
                  <w:szCs w:val="16"/>
                  <w:color w:val="0000FF"/>
                  <w:w w:val="90"/>
                </w:rPr>
                <w:t>the other lenders party thereto.</w:t>
              </w:r>
            </w:hyperlink>
          </w:p>
        </w:tc>
        <w:tc>
          <w:tcPr>
            <w:tcW w:w="258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gridSpan w:val="7"/>
            <w:vMerge w:val="restart"/>
          </w:tcPr>
          <w:p>
            <w:pPr>
              <w:jc w:val="center"/>
              <w:ind w:right="300"/>
              <w:spacing w:after="0"/>
              <w:rPr>
                <w:rFonts w:ascii="Arial" w:cs="Arial" w:eastAsia="Arial" w:hAnsi="Arial"/>
                <w:sz w:val="16"/>
                <w:szCs w:val="16"/>
                <w:color w:val="0000FF"/>
                <w:w w:val="89"/>
              </w:rPr>
            </w:pPr>
            <w:hyperlink r:id="rId16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21†</w:t>
              </w:r>
            </w:hyperlink>
          </w:p>
        </w:tc>
        <w:tc>
          <w:tcPr>
            <w:tcW w:w="4820" w:type="dxa"/>
            <w:vAlign w:val="bottom"/>
            <w:gridSpan w:val="28"/>
          </w:tcPr>
          <w:p>
            <w:pPr>
              <w:spacing w:after="0"/>
              <w:rPr>
                <w:rFonts w:ascii="Arial" w:cs="Arial" w:eastAsia="Arial" w:hAnsi="Arial"/>
                <w:sz w:val="16"/>
                <w:szCs w:val="16"/>
                <w:color w:val="0000FF"/>
                <w:w w:val="92"/>
              </w:rPr>
            </w:pPr>
            <w:hyperlink r:id="rId168">
              <w:r>
                <w:rPr>
                  <w:rFonts w:ascii="Arial" w:cs="Arial" w:eastAsia="Arial" w:hAnsi="Arial"/>
                  <w:sz w:val="16"/>
                  <w:szCs w:val="16"/>
                  <w:color w:val="0000FF"/>
                  <w:w w:val="92"/>
                </w:rPr>
                <w:t>Amended and Restated Performance Unit Agreement with George Kurtz,</w:t>
              </w:r>
            </w:hyperlink>
          </w:p>
        </w:tc>
        <w:tc>
          <w:tcPr>
            <w:tcW w:w="0" w:type="dxa"/>
            <w:vAlign w:val="bottom"/>
          </w:tcPr>
          <w:p>
            <w:pPr>
              <w:spacing w:after="0"/>
              <w:rPr>
                <w:sz w:val="1"/>
                <w:szCs w:val="1"/>
                <w:color w:val="auto"/>
              </w:rPr>
            </w:pPr>
          </w:p>
        </w:tc>
      </w:tr>
      <w:tr>
        <w:trPr>
          <w:trHeight w:val="142"/>
        </w:trPr>
        <w:tc>
          <w:tcPr>
            <w:tcW w:w="900" w:type="dxa"/>
            <w:vAlign w:val="bottom"/>
            <w:gridSpan w:val="7"/>
            <w:vMerge w:val="continue"/>
          </w:tcPr>
          <w:p>
            <w:pPr>
              <w:spacing w:after="0"/>
              <w:rPr>
                <w:sz w:val="12"/>
                <w:szCs w:val="12"/>
                <w:color w:val="auto"/>
              </w:rPr>
            </w:pPr>
          </w:p>
        </w:tc>
        <w:tc>
          <w:tcPr>
            <w:tcW w:w="4780" w:type="dxa"/>
            <w:vAlign w:val="bottom"/>
            <w:tcBorders>
              <w:top w:val="single" w:sz="8" w:color="0000FF"/>
            </w:tcBorders>
            <w:gridSpan w:val="26"/>
          </w:tcPr>
          <w:p>
            <w:pPr>
              <w:spacing w:after="0" w:line="142" w:lineRule="exact"/>
              <w:rPr>
                <w:rFonts w:ascii="Arial" w:cs="Arial" w:eastAsia="Arial" w:hAnsi="Arial"/>
                <w:sz w:val="16"/>
                <w:szCs w:val="16"/>
                <w:color w:val="0000FF"/>
                <w:w w:val="97"/>
              </w:rPr>
            </w:pPr>
            <w:hyperlink r:id="rId168">
              <w:r>
                <w:rPr>
                  <w:rFonts w:ascii="Arial" w:cs="Arial" w:eastAsia="Arial" w:hAnsi="Arial"/>
                  <w:sz w:val="16"/>
                  <w:szCs w:val="16"/>
                  <w:color w:val="0000FF"/>
                  <w:w w:val="97"/>
                </w:rPr>
                <w:t>dated September 1, 2021, under the CrowdStrike Holdings, Inc.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3"/>
              </w:rPr>
            </w:pPr>
            <w:hyperlink r:id="rId168">
              <w:r>
                <w:rPr>
                  <w:rFonts w:ascii="Arial" w:cs="Arial" w:eastAsia="Arial" w:hAnsi="Arial"/>
                  <w:sz w:val="16"/>
                  <w:szCs w:val="16"/>
                  <w:color w:val="0000FF"/>
                  <w:w w:val="93"/>
                </w:rPr>
                <w:t>Equity Incentive Plan.</w:t>
              </w:r>
            </w:hyperlink>
          </w:p>
        </w:tc>
        <w:tc>
          <w:tcPr>
            <w:tcW w:w="3060" w:type="dxa"/>
            <w:vAlign w:val="bottom"/>
            <w:tcBorders>
              <w:top w:val="single" w:sz="8" w:color="0000FF"/>
            </w:tcBorders>
            <w:gridSpan w:val="13"/>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0" w:type="dxa"/>
            <w:vAlign w:val="bottom"/>
            <w:gridSpan w:val="7"/>
            <w:vMerge w:val="restart"/>
          </w:tcPr>
          <w:p>
            <w:pPr>
              <w:jc w:val="center"/>
              <w:ind w:right="300"/>
              <w:spacing w:after="0"/>
              <w:rPr>
                <w:rFonts w:ascii="Arial" w:cs="Arial" w:eastAsia="Arial" w:hAnsi="Arial"/>
                <w:sz w:val="16"/>
                <w:szCs w:val="16"/>
                <w:color w:val="0000FF"/>
                <w:w w:val="89"/>
              </w:rPr>
            </w:pPr>
            <w:hyperlink r:id="rId169">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22†</w:t>
              </w:r>
            </w:hyperlink>
          </w:p>
        </w:tc>
        <w:tc>
          <w:tcPr>
            <w:tcW w:w="4820" w:type="dxa"/>
            <w:vAlign w:val="bottom"/>
            <w:gridSpan w:val="28"/>
          </w:tcPr>
          <w:p>
            <w:pPr>
              <w:spacing w:after="0"/>
              <w:rPr>
                <w:rFonts w:ascii="Arial" w:cs="Arial" w:eastAsia="Arial" w:hAnsi="Arial"/>
                <w:sz w:val="16"/>
                <w:szCs w:val="16"/>
                <w:color w:val="0000FF"/>
                <w:w w:val="93"/>
              </w:rPr>
            </w:pPr>
            <w:hyperlink r:id="rId169">
              <w:r>
                <w:rPr>
                  <w:rFonts w:ascii="Arial" w:cs="Arial" w:eastAsia="Arial" w:hAnsi="Arial"/>
                  <w:sz w:val="16"/>
                  <w:szCs w:val="16"/>
                  <w:color w:val="0000FF"/>
                  <w:w w:val="93"/>
                </w:rPr>
                <w:t>Change in Control and Severance Agreement, dated as of September 1,</w:t>
              </w:r>
            </w:hyperlink>
          </w:p>
        </w:tc>
        <w:tc>
          <w:tcPr>
            <w:tcW w:w="0" w:type="dxa"/>
            <w:vAlign w:val="bottom"/>
          </w:tcPr>
          <w:p>
            <w:pPr>
              <w:spacing w:after="0"/>
              <w:rPr>
                <w:sz w:val="1"/>
                <w:szCs w:val="1"/>
                <w:color w:val="auto"/>
              </w:rPr>
            </w:pPr>
          </w:p>
        </w:tc>
      </w:tr>
      <w:tr>
        <w:trPr>
          <w:trHeight w:val="75"/>
        </w:trPr>
        <w:tc>
          <w:tcPr>
            <w:tcW w:w="900" w:type="dxa"/>
            <w:vAlign w:val="bottom"/>
            <w:gridSpan w:val="7"/>
            <w:vMerge w:val="continue"/>
          </w:tcPr>
          <w:p>
            <w:pPr>
              <w:spacing w:after="0"/>
              <w:rPr>
                <w:sz w:val="6"/>
                <w:szCs w:val="6"/>
                <w:color w:val="auto"/>
              </w:rPr>
            </w:pPr>
          </w:p>
        </w:tc>
        <w:tc>
          <w:tcPr>
            <w:tcW w:w="4500" w:type="dxa"/>
            <w:vAlign w:val="bottom"/>
            <w:tcBorders>
              <w:top w:val="single" w:sz="8" w:color="0000FF"/>
            </w:tcBorders>
            <w:gridSpan w:val="16"/>
            <w:vMerge w:val="restart"/>
          </w:tcPr>
          <w:p>
            <w:pPr>
              <w:spacing w:after="0" w:line="155" w:lineRule="exact"/>
              <w:rPr>
                <w:rFonts w:ascii="Arial" w:cs="Arial" w:eastAsia="Arial" w:hAnsi="Arial"/>
                <w:sz w:val="16"/>
                <w:szCs w:val="16"/>
                <w:color w:val="0000FF"/>
                <w:w w:val="92"/>
              </w:rPr>
            </w:pPr>
            <w:hyperlink r:id="rId169">
              <w:r>
                <w:rPr>
                  <w:rFonts w:ascii="Arial" w:cs="Arial" w:eastAsia="Arial" w:hAnsi="Arial"/>
                  <w:sz w:val="16"/>
                  <w:szCs w:val="16"/>
                  <w:color w:val="0000FF"/>
                  <w:w w:val="92"/>
                </w:rPr>
                <w:t>2021, by and between CrowdStrike Holdings, Inc. and George Kurtz.</w:t>
              </w:r>
            </w:hyperlink>
          </w:p>
        </w:tc>
        <w:tc>
          <w:tcPr>
            <w:tcW w:w="120" w:type="dxa"/>
            <w:vAlign w:val="bottom"/>
            <w:tcBorders>
              <w:top w:val="single" w:sz="8" w:color="0000FF"/>
            </w:tcBorders>
            <w:gridSpan w:val="4"/>
            <w:vMerge w:val="restart"/>
          </w:tcPr>
          <w:p>
            <w:pPr>
              <w:spacing w:after="0"/>
              <w:rPr>
                <w:sz w:val="6"/>
                <w:szCs w:val="6"/>
                <w:color w:val="auto"/>
              </w:rPr>
            </w:pPr>
          </w:p>
        </w:tc>
        <w:tc>
          <w:tcPr>
            <w:tcW w:w="200" w:type="dxa"/>
            <w:vAlign w:val="bottom"/>
            <w:gridSpan w:val="8"/>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c>
          <w:tcPr>
            <w:tcW w:w="4500" w:type="dxa"/>
            <w:vAlign w:val="bottom"/>
            <w:tcBorders>
              <w:top w:val="single" w:sz="8" w:color="0000FF"/>
              <w:bottom w:val="single" w:sz="8" w:color="0000FF"/>
            </w:tcBorders>
            <w:gridSpan w:val="16"/>
            <w:vMerge w:val="continue"/>
          </w:tcPr>
          <w:p>
            <w:pPr>
              <w:spacing w:after="0"/>
              <w:rPr>
                <w:sz w:val="5"/>
                <w:szCs w:val="5"/>
                <w:color w:val="auto"/>
              </w:rPr>
            </w:pPr>
          </w:p>
        </w:tc>
        <w:tc>
          <w:tcPr>
            <w:tcW w:w="120" w:type="dxa"/>
            <w:vAlign w:val="bottom"/>
            <w:tcBorders>
              <w:top w:val="single" w:sz="8" w:color="0000FF"/>
            </w:tcBorders>
            <w:gridSpan w:val="4"/>
            <w:vMerge w:val="continue"/>
          </w:tcPr>
          <w:p>
            <w:pPr>
              <w:spacing w:after="0"/>
              <w:rPr>
                <w:sz w:val="5"/>
                <w:szCs w:val="5"/>
                <w:color w:val="auto"/>
              </w:rPr>
            </w:pPr>
          </w:p>
        </w:tc>
        <w:tc>
          <w:tcPr>
            <w:tcW w:w="20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900" w:type="dxa"/>
            <w:vAlign w:val="bottom"/>
            <w:gridSpan w:val="7"/>
            <w:vMerge w:val="restart"/>
          </w:tcPr>
          <w:p>
            <w:pPr>
              <w:jc w:val="center"/>
              <w:ind w:right="300"/>
              <w:spacing w:after="0"/>
              <w:rPr>
                <w:rFonts w:ascii="Arial" w:cs="Arial" w:eastAsia="Arial" w:hAnsi="Arial"/>
                <w:sz w:val="16"/>
                <w:szCs w:val="16"/>
                <w:color w:val="0000FF"/>
                <w:w w:val="89"/>
              </w:rPr>
            </w:pPr>
            <w:hyperlink r:id="rId170">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23†</w:t>
              </w:r>
            </w:hyperlink>
          </w:p>
        </w:tc>
        <w:tc>
          <w:tcPr>
            <w:tcW w:w="4800" w:type="dxa"/>
            <w:vAlign w:val="bottom"/>
            <w:tcBorders>
              <w:bottom w:val="single" w:sz="8" w:color="0000FF"/>
            </w:tcBorders>
            <w:gridSpan w:val="27"/>
          </w:tcPr>
          <w:p>
            <w:pPr>
              <w:spacing w:after="0"/>
              <w:rPr>
                <w:rFonts w:ascii="Arial" w:cs="Arial" w:eastAsia="Arial" w:hAnsi="Arial"/>
                <w:sz w:val="16"/>
                <w:szCs w:val="16"/>
                <w:color w:val="0000FF"/>
                <w:w w:val="91"/>
              </w:rPr>
            </w:pPr>
            <w:hyperlink r:id="rId170">
              <w:r>
                <w:rPr>
                  <w:rFonts w:ascii="Arial" w:cs="Arial" w:eastAsia="Arial" w:hAnsi="Arial"/>
                  <w:sz w:val="16"/>
                  <w:szCs w:val="16"/>
                  <w:color w:val="0000FF"/>
                  <w:w w:val="91"/>
                </w:rPr>
                <w:t>Performance Unit Agreement with Burt Podbere, dated January 12,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00" w:type="dxa"/>
            <w:vAlign w:val="bottom"/>
            <w:gridSpan w:val="7"/>
            <w:vMerge w:val="continue"/>
          </w:tcPr>
          <w:p>
            <w:pPr>
              <w:spacing w:after="0"/>
              <w:rPr>
                <w:sz w:val="6"/>
                <w:szCs w:val="6"/>
                <w:color w:val="auto"/>
              </w:rPr>
            </w:pPr>
          </w:p>
        </w:tc>
        <w:tc>
          <w:tcPr>
            <w:tcW w:w="4300" w:type="dxa"/>
            <w:vAlign w:val="bottom"/>
            <w:gridSpan w:val="13"/>
            <w:vMerge w:val="restart"/>
          </w:tcPr>
          <w:p>
            <w:pPr>
              <w:spacing w:after="0" w:line="155" w:lineRule="exact"/>
              <w:rPr>
                <w:rFonts w:ascii="Arial" w:cs="Arial" w:eastAsia="Arial" w:hAnsi="Arial"/>
                <w:sz w:val="16"/>
                <w:szCs w:val="16"/>
                <w:color w:val="0000FF"/>
                <w:w w:val="93"/>
              </w:rPr>
            </w:pPr>
            <w:hyperlink r:id="rId170">
              <w:r>
                <w:rPr>
                  <w:rFonts w:ascii="Arial" w:cs="Arial" w:eastAsia="Arial" w:hAnsi="Arial"/>
                  <w:sz w:val="16"/>
                  <w:szCs w:val="16"/>
                  <w:color w:val="0000FF"/>
                  <w:w w:val="93"/>
                </w:rPr>
                <w:t>under the CrowdStrike Holdings, Inc. 2019 Equity Incentive Plan.</w:t>
              </w:r>
            </w:hyperlink>
          </w:p>
        </w:tc>
        <w:tc>
          <w:tcPr>
            <w:tcW w:w="520" w:type="dxa"/>
            <w:vAlign w:val="bottom"/>
            <w:gridSpan w:val="15"/>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c>
          <w:tcPr>
            <w:tcW w:w="4300" w:type="dxa"/>
            <w:vAlign w:val="bottom"/>
            <w:tcBorders>
              <w:bottom w:val="single" w:sz="8" w:color="0000FF"/>
            </w:tcBorders>
            <w:gridSpan w:val="13"/>
            <w:vMerge w:val="continue"/>
          </w:tcPr>
          <w:p>
            <w:pPr>
              <w:spacing w:after="0"/>
              <w:rPr>
                <w:sz w:val="5"/>
                <w:szCs w:val="5"/>
                <w:color w:val="auto"/>
              </w:rPr>
            </w:pPr>
          </w:p>
        </w:tc>
        <w:tc>
          <w:tcPr>
            <w:tcW w:w="52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900" w:type="dxa"/>
            <w:vAlign w:val="bottom"/>
            <w:gridSpan w:val="7"/>
            <w:vMerge w:val="restart"/>
          </w:tcPr>
          <w:p>
            <w:pPr>
              <w:jc w:val="center"/>
              <w:ind w:right="300"/>
              <w:spacing w:after="0"/>
              <w:rPr>
                <w:rFonts w:ascii="Arial" w:cs="Arial" w:eastAsia="Arial" w:hAnsi="Arial"/>
                <w:sz w:val="16"/>
                <w:szCs w:val="16"/>
                <w:color w:val="0000FF"/>
                <w:w w:val="89"/>
              </w:rPr>
            </w:pPr>
            <w:hyperlink r:id="rId17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24†</w:t>
              </w:r>
            </w:hyperlink>
          </w:p>
        </w:tc>
        <w:tc>
          <w:tcPr>
            <w:tcW w:w="4620" w:type="dxa"/>
            <w:vAlign w:val="bottom"/>
            <w:tcBorders>
              <w:bottom w:val="single" w:sz="8" w:color="0000FF"/>
            </w:tcBorders>
            <w:gridSpan w:val="20"/>
          </w:tcPr>
          <w:p>
            <w:pPr>
              <w:spacing w:after="0"/>
              <w:rPr>
                <w:rFonts w:ascii="Arial" w:cs="Arial" w:eastAsia="Arial" w:hAnsi="Arial"/>
                <w:sz w:val="16"/>
                <w:szCs w:val="16"/>
                <w:color w:val="0000FF"/>
                <w:w w:val="91"/>
              </w:rPr>
            </w:pPr>
            <w:hyperlink r:id="rId171">
              <w:r>
                <w:rPr>
                  <w:rFonts w:ascii="Arial" w:cs="Arial" w:eastAsia="Arial" w:hAnsi="Arial"/>
                  <w:sz w:val="16"/>
                  <w:szCs w:val="16"/>
                  <w:color w:val="0000FF"/>
                  <w:w w:val="91"/>
                </w:rPr>
                <w:t>Offer Letter between the Registrant and Michael Carpenter, dated as of</w:t>
              </w:r>
            </w:hyperlink>
          </w:p>
        </w:tc>
        <w:tc>
          <w:tcPr>
            <w:tcW w:w="2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00" w:type="dxa"/>
            <w:vAlign w:val="bottom"/>
            <w:gridSpan w:val="7"/>
            <w:vMerge w:val="continue"/>
          </w:tcPr>
          <w:p>
            <w:pPr>
              <w:spacing w:after="0"/>
              <w:rPr>
                <w:sz w:val="6"/>
                <w:szCs w:val="6"/>
                <w:color w:val="auto"/>
              </w:rPr>
            </w:pPr>
          </w:p>
        </w:tc>
        <w:tc>
          <w:tcPr>
            <w:tcW w:w="1180" w:type="dxa"/>
            <w:vAlign w:val="bottom"/>
            <w:gridSpan w:val="3"/>
            <w:vMerge w:val="restart"/>
          </w:tcPr>
          <w:p>
            <w:pPr>
              <w:spacing w:after="0" w:line="155" w:lineRule="exact"/>
              <w:rPr>
                <w:rFonts w:ascii="Arial" w:cs="Arial" w:eastAsia="Arial" w:hAnsi="Arial"/>
                <w:sz w:val="16"/>
                <w:szCs w:val="16"/>
                <w:color w:val="0000FF"/>
                <w:w w:val="90"/>
              </w:rPr>
            </w:pPr>
            <w:hyperlink r:id="rId171">
              <w:r>
                <w:rPr>
                  <w:rFonts w:ascii="Arial" w:cs="Arial" w:eastAsia="Arial" w:hAnsi="Arial"/>
                  <w:sz w:val="16"/>
                  <w:szCs w:val="16"/>
                  <w:color w:val="0000FF"/>
                  <w:w w:val="90"/>
                </w:rPr>
                <w:t>October 25, 2016.</w:t>
              </w:r>
            </w:hyperlink>
          </w:p>
        </w:tc>
        <w:tc>
          <w:tcPr>
            <w:tcW w:w="3640" w:type="dxa"/>
            <w:vAlign w:val="bottom"/>
            <w:gridSpan w:val="25"/>
            <w:vMerge w:val="restart"/>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Borders>
              <w:bottom w:val="single" w:sz="8" w:color="0000FF"/>
            </w:tcBorders>
            <w:gridSpan w:val="3"/>
            <w:vMerge w:val="continue"/>
          </w:tcPr>
          <w:p>
            <w:pPr>
              <w:spacing w:after="0"/>
              <w:rPr>
                <w:sz w:val="5"/>
                <w:szCs w:val="5"/>
                <w:color w:val="auto"/>
              </w:rPr>
            </w:pPr>
          </w:p>
        </w:tc>
        <w:tc>
          <w:tcPr>
            <w:tcW w:w="3640" w:type="dxa"/>
            <w:vAlign w:val="bottom"/>
            <w:gridSpan w:val="2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900" w:type="dxa"/>
            <w:vAlign w:val="bottom"/>
            <w:gridSpan w:val="7"/>
            <w:vMerge w:val="restart"/>
          </w:tcPr>
          <w:p>
            <w:pPr>
              <w:jc w:val="center"/>
              <w:ind w:right="300"/>
              <w:spacing w:after="0"/>
              <w:rPr>
                <w:rFonts w:ascii="Arial" w:cs="Arial" w:eastAsia="Arial" w:hAnsi="Arial"/>
                <w:sz w:val="16"/>
                <w:szCs w:val="16"/>
                <w:color w:val="0000FF"/>
                <w:w w:val="89"/>
              </w:rPr>
            </w:pPr>
            <w:hyperlink r:id="rId172">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25†</w:t>
              </w:r>
            </w:hyperlink>
          </w:p>
        </w:tc>
        <w:tc>
          <w:tcPr>
            <w:tcW w:w="4820" w:type="dxa"/>
            <w:vAlign w:val="bottom"/>
            <w:gridSpan w:val="28"/>
          </w:tcPr>
          <w:p>
            <w:pPr>
              <w:spacing w:after="0"/>
              <w:rPr>
                <w:rFonts w:ascii="Arial" w:cs="Arial" w:eastAsia="Arial" w:hAnsi="Arial"/>
                <w:sz w:val="16"/>
                <w:szCs w:val="16"/>
                <w:color w:val="0000FF"/>
                <w:w w:val="92"/>
              </w:rPr>
            </w:pPr>
            <w:hyperlink r:id="rId172">
              <w:r>
                <w:rPr>
                  <w:rFonts w:ascii="Arial" w:cs="Arial" w:eastAsia="Arial" w:hAnsi="Arial"/>
                  <w:sz w:val="16"/>
                  <w:szCs w:val="16"/>
                  <w:color w:val="0000FF"/>
                  <w:w w:val="92"/>
                </w:rPr>
                <w:t>Offer Letter between the Registrant and Shawn Henry, dated as of March</w:t>
              </w:r>
            </w:hyperlink>
          </w:p>
        </w:tc>
        <w:tc>
          <w:tcPr>
            <w:tcW w:w="0" w:type="dxa"/>
            <w:vAlign w:val="bottom"/>
          </w:tcPr>
          <w:p>
            <w:pPr>
              <w:spacing w:after="0"/>
              <w:rPr>
                <w:sz w:val="1"/>
                <w:szCs w:val="1"/>
                <w:color w:val="auto"/>
              </w:rPr>
            </w:pPr>
          </w:p>
        </w:tc>
      </w:tr>
      <w:tr>
        <w:trPr>
          <w:trHeight w:val="75"/>
        </w:trPr>
        <w:tc>
          <w:tcPr>
            <w:tcW w:w="900" w:type="dxa"/>
            <w:vAlign w:val="bottom"/>
            <w:gridSpan w:val="7"/>
            <w:vMerge w:val="continue"/>
          </w:tcPr>
          <w:p>
            <w:pPr>
              <w:spacing w:after="0"/>
              <w:rPr>
                <w:sz w:val="6"/>
                <w:szCs w:val="6"/>
                <w:color w:val="auto"/>
              </w:rPr>
            </w:pPr>
          </w:p>
        </w:tc>
        <w:tc>
          <w:tcPr>
            <w:tcW w:w="540" w:type="dxa"/>
            <w:vAlign w:val="bottom"/>
            <w:tcBorders>
              <w:top w:val="single" w:sz="8" w:color="0000FF"/>
            </w:tcBorders>
            <w:vMerge w:val="restart"/>
          </w:tcPr>
          <w:p>
            <w:pPr>
              <w:spacing w:after="0" w:line="155" w:lineRule="exact"/>
              <w:rPr>
                <w:rFonts w:ascii="Arial" w:cs="Arial" w:eastAsia="Arial" w:hAnsi="Arial"/>
                <w:sz w:val="16"/>
                <w:szCs w:val="16"/>
                <w:color w:val="0000FF"/>
                <w:w w:val="89"/>
              </w:rPr>
            </w:pPr>
            <w:hyperlink r:id="rId172">
              <w:r>
                <w:rPr>
                  <w:rFonts w:ascii="Arial" w:cs="Arial" w:eastAsia="Arial" w:hAnsi="Arial"/>
                  <w:sz w:val="16"/>
                  <w:szCs w:val="16"/>
                  <w:color w:val="0000FF"/>
                  <w:w w:val="89"/>
                </w:rPr>
                <w:t>4, 2012.</w:t>
              </w:r>
            </w:hyperlink>
          </w:p>
        </w:tc>
        <w:tc>
          <w:tcPr>
            <w:tcW w:w="5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80" w:type="dxa"/>
            <w:vAlign w:val="bottom"/>
            <w:tcBorders>
              <w:top w:val="single" w:sz="8" w:color="0000FF"/>
            </w:tcBorders>
          </w:tcPr>
          <w:p>
            <w:pPr>
              <w:spacing w:after="0"/>
              <w:rPr>
                <w:sz w:val="6"/>
                <w:szCs w:val="6"/>
                <w:color w:val="auto"/>
              </w:rPr>
            </w:pPr>
          </w:p>
        </w:tc>
        <w:tc>
          <w:tcPr>
            <w:tcW w:w="46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4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360" w:type="dxa"/>
            <w:vAlign w:val="bottom"/>
            <w:tcBorders>
              <w:top w:val="single" w:sz="8" w:color="0000FF"/>
            </w:tcBorders>
          </w:tcPr>
          <w:p>
            <w:pPr>
              <w:spacing w:after="0"/>
              <w:rPr>
                <w:sz w:val="6"/>
                <w:szCs w:val="6"/>
                <w:color w:val="auto"/>
              </w:rPr>
            </w:pPr>
          </w:p>
        </w:tc>
        <w:tc>
          <w:tcPr>
            <w:tcW w:w="104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6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Borders>
              <w:top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Borders>
              <w:top w:val="single" w:sz="8" w:color="0000FF"/>
              <w:bottom w:val="single" w:sz="8" w:color="0000FF"/>
            </w:tcBorders>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40" w:type="dxa"/>
            <w:vAlign w:val="bottom"/>
            <w:gridSpan w:val="4"/>
          </w:tcPr>
          <w:p>
            <w:pPr>
              <w:jc w:val="center"/>
              <w:ind w:left="79"/>
              <w:spacing w:after="0"/>
              <w:rPr>
                <w:rFonts w:ascii="Arial" w:cs="Arial" w:eastAsia="Arial" w:hAnsi="Arial"/>
                <w:sz w:val="16"/>
                <w:szCs w:val="16"/>
                <w:color w:val="0000FF"/>
                <w:w w:val="89"/>
              </w:rPr>
            </w:pPr>
            <w:hyperlink w:anchor="page358">
              <w:r>
                <w:rPr>
                  <w:rFonts w:ascii="Arial" w:cs="Arial" w:eastAsia="Arial" w:hAnsi="Arial"/>
                  <w:sz w:val="16"/>
                  <w:szCs w:val="16"/>
                  <w:color w:val="0000FF"/>
                  <w:w w:val="89"/>
                </w:rPr>
                <w:t>21.</w:t>
              </w:r>
              <w:r>
                <w:rPr>
                  <w:rFonts w:ascii="Arial" w:cs="Arial" w:eastAsia="Arial" w:hAnsi="Arial"/>
                  <w:sz w:val="16"/>
                  <w:szCs w:val="16"/>
                  <w:u w:val="single" w:color="auto"/>
                  <w:color w:val="0000FF"/>
                  <w:w w:val="89"/>
                </w:rPr>
                <w:t>1</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20" w:type="dxa"/>
            <w:vAlign w:val="bottom"/>
            <w:gridSpan w:val="28"/>
          </w:tcPr>
          <w:p>
            <w:pPr>
              <w:spacing w:after="0"/>
              <w:rPr>
                <w:rFonts w:ascii="Arial" w:cs="Arial" w:eastAsia="Arial" w:hAnsi="Arial"/>
                <w:sz w:val="16"/>
                <w:szCs w:val="16"/>
                <w:color w:val="0000FF"/>
              </w:rPr>
            </w:pPr>
            <w:hyperlink w:anchor="page358">
              <w:r>
                <w:rPr>
                  <w:rFonts w:ascii="Arial" w:cs="Arial" w:eastAsia="Arial" w:hAnsi="Arial"/>
                  <w:sz w:val="16"/>
                  <w:szCs w:val="16"/>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60" w:type="dxa"/>
            <w:vAlign w:val="bottom"/>
            <w:gridSpan w:val="3"/>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tcPr>
          <w:p>
            <w:pPr>
              <w:jc w:val="center"/>
              <w:ind w:left="79"/>
              <w:spacing w:after="0"/>
              <w:rPr>
                <w:rFonts w:ascii="Arial" w:cs="Arial" w:eastAsia="Arial" w:hAnsi="Arial"/>
                <w:sz w:val="16"/>
                <w:szCs w:val="16"/>
                <w:color w:val="0000FF"/>
                <w:w w:val="89"/>
              </w:rPr>
            </w:pPr>
            <w:hyperlink r:id="rId173">
              <w:r>
                <w:rPr>
                  <w:rFonts w:ascii="Arial" w:cs="Arial" w:eastAsia="Arial" w:hAnsi="Arial"/>
                  <w:sz w:val="16"/>
                  <w:szCs w:val="16"/>
                  <w:color w:val="0000FF"/>
                  <w:w w:val="89"/>
                </w:rPr>
                <w:t>22.</w:t>
              </w:r>
              <w:r>
                <w:rPr>
                  <w:rFonts w:ascii="Arial" w:cs="Arial" w:eastAsia="Arial" w:hAnsi="Arial"/>
                  <w:sz w:val="16"/>
                  <w:szCs w:val="16"/>
                  <w:u w:val="single" w:color="auto"/>
                  <w:color w:val="0000FF"/>
                  <w:w w:val="89"/>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rPr>
            </w:pPr>
            <w:hyperlink r:id="rId173">
              <w:r>
                <w:rPr>
                  <w:rFonts w:ascii="Arial" w:cs="Arial" w:eastAsia="Arial" w:hAnsi="Arial"/>
                  <w:sz w:val="16"/>
                  <w:szCs w:val="16"/>
                  <w:color w:val="0000FF"/>
                </w:rPr>
                <w:t>List of Subsidiary Guarantors</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vMerge w:val="restart"/>
          </w:tcPr>
          <w:p>
            <w:pPr>
              <w:jc w:val="center"/>
              <w:ind w:left="79"/>
              <w:spacing w:after="0"/>
              <w:rPr>
                <w:rFonts w:ascii="Arial" w:cs="Arial" w:eastAsia="Arial" w:hAnsi="Arial"/>
                <w:sz w:val="16"/>
                <w:szCs w:val="16"/>
                <w:color w:val="0000FF"/>
                <w:w w:val="89"/>
              </w:rPr>
            </w:pPr>
            <w:hyperlink w:anchor="page359">
              <w:r>
                <w:rPr>
                  <w:rFonts w:ascii="Arial" w:cs="Arial" w:eastAsia="Arial" w:hAnsi="Arial"/>
                  <w:sz w:val="16"/>
                  <w:szCs w:val="16"/>
                  <w:color w:val="0000FF"/>
                  <w:w w:val="89"/>
                </w:rPr>
                <w:t>23.</w:t>
              </w:r>
              <w:r>
                <w:rPr>
                  <w:rFonts w:ascii="Arial" w:cs="Arial" w:eastAsia="Arial" w:hAnsi="Arial"/>
                  <w:sz w:val="16"/>
                  <w:szCs w:val="16"/>
                  <w:u w:val="single" w:color="auto"/>
                  <w:color w:val="0000FF"/>
                  <w:w w:val="89"/>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w w:val="93"/>
              </w:rPr>
            </w:pPr>
            <w:hyperlink w:anchor="page359">
              <w:r>
                <w:rPr>
                  <w:rFonts w:ascii="Arial" w:cs="Arial" w:eastAsia="Arial" w:hAnsi="Arial"/>
                  <w:sz w:val="16"/>
                  <w:szCs w:val="16"/>
                  <w:color w:val="0000FF"/>
                  <w:w w:val="93"/>
                </w:rPr>
                <w:t>Consent of PricewaterhouseCoopers LLC, independent registered public</w:t>
              </w:r>
            </w:hyperlink>
          </w:p>
        </w:tc>
        <w:tc>
          <w:tcPr>
            <w:tcW w:w="0" w:type="dxa"/>
            <w:vAlign w:val="bottom"/>
          </w:tcPr>
          <w:p>
            <w:pPr>
              <w:spacing w:after="0"/>
              <w:rPr>
                <w:sz w:val="1"/>
                <w:szCs w:val="1"/>
                <w:color w:val="auto"/>
              </w:rPr>
            </w:pPr>
          </w:p>
        </w:tc>
      </w:tr>
      <w:tr>
        <w:trPr>
          <w:trHeight w:val="61"/>
        </w:trPr>
        <w:tc>
          <w:tcPr>
            <w:tcW w:w="44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Borders>
              <w:top w:val="single" w:sz="8" w:color="0000FF"/>
            </w:tcBorders>
            <w:gridSpan w:val="2"/>
            <w:vMerge w:val="restart"/>
          </w:tcPr>
          <w:p>
            <w:pPr>
              <w:spacing w:after="0" w:line="142" w:lineRule="exact"/>
              <w:rPr>
                <w:rFonts w:ascii="Arial" w:cs="Arial" w:eastAsia="Arial" w:hAnsi="Arial"/>
                <w:sz w:val="16"/>
                <w:szCs w:val="16"/>
                <w:color w:val="0000FF"/>
                <w:w w:val="93"/>
              </w:rPr>
            </w:pPr>
            <w:hyperlink w:anchor="page359">
              <w:r>
                <w:rPr>
                  <w:rFonts w:ascii="Arial" w:cs="Arial" w:eastAsia="Arial" w:hAnsi="Arial"/>
                  <w:sz w:val="16"/>
                  <w:szCs w:val="16"/>
                  <w:color w:val="0000FF"/>
                  <w:w w:val="93"/>
                </w:rPr>
                <w:t>accounting firm.</w:t>
              </w:r>
            </w:hyperlink>
          </w:p>
        </w:tc>
        <w:tc>
          <w:tcPr>
            <w:tcW w:w="3620" w:type="dxa"/>
            <w:vAlign w:val="bottom"/>
            <w:tcBorders>
              <w:top w:val="single" w:sz="8" w:color="0000FF"/>
            </w:tcBorders>
            <w:gridSpan w:val="20"/>
            <w:vMerge w:val="restart"/>
          </w:tcPr>
          <w:p>
            <w:pPr>
              <w:spacing w:after="0"/>
              <w:rPr>
                <w:sz w:val="5"/>
                <w:szCs w:val="5"/>
                <w:color w:val="auto"/>
              </w:rPr>
            </w:pPr>
          </w:p>
        </w:tc>
        <w:tc>
          <w:tcPr>
            <w:tcW w:w="120" w:type="dxa"/>
            <w:vAlign w:val="bottom"/>
            <w:gridSpan w:val="6"/>
            <w:vMerge w:val="restart"/>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Borders>
              <w:top w:val="single" w:sz="8" w:color="0000FF"/>
              <w:bottom w:val="single" w:sz="8" w:color="0000FF"/>
            </w:tcBorders>
            <w:gridSpan w:val="2"/>
            <w:vMerge w:val="continue"/>
          </w:tcPr>
          <w:p>
            <w:pPr>
              <w:spacing w:after="0"/>
              <w:rPr>
                <w:sz w:val="5"/>
                <w:szCs w:val="5"/>
                <w:color w:val="auto"/>
              </w:rPr>
            </w:pPr>
          </w:p>
        </w:tc>
        <w:tc>
          <w:tcPr>
            <w:tcW w:w="3620" w:type="dxa"/>
            <w:vAlign w:val="bottom"/>
            <w:tcBorders>
              <w:top w:val="single" w:sz="8" w:color="0000FF"/>
            </w:tcBorders>
            <w:gridSpan w:val="20"/>
            <w:vMerge w:val="continue"/>
          </w:tcPr>
          <w:p>
            <w:pPr>
              <w:spacing w:after="0"/>
              <w:rPr>
                <w:sz w:val="5"/>
                <w:szCs w:val="5"/>
                <w:color w:val="auto"/>
              </w:rPr>
            </w:pPr>
          </w:p>
        </w:tc>
        <w:tc>
          <w:tcPr>
            <w:tcW w:w="1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40" w:type="dxa"/>
            <w:vAlign w:val="bottom"/>
            <w:gridSpan w:val="4"/>
          </w:tcPr>
          <w:p>
            <w:pPr>
              <w:jc w:val="center"/>
              <w:ind w:left="79"/>
              <w:spacing w:after="0"/>
              <w:rPr>
                <w:rFonts w:ascii="Arial" w:cs="Arial" w:eastAsia="Arial" w:hAnsi="Arial"/>
                <w:sz w:val="16"/>
                <w:szCs w:val="16"/>
                <w:color w:val="0000FF"/>
                <w:w w:val="89"/>
              </w:rPr>
            </w:pPr>
            <w:hyperlink w:anchor="page118">
              <w:r>
                <w:rPr>
                  <w:rFonts w:ascii="Arial" w:cs="Arial" w:eastAsia="Arial" w:hAnsi="Arial"/>
                  <w:sz w:val="16"/>
                  <w:szCs w:val="16"/>
                  <w:color w:val="0000FF"/>
                  <w:w w:val="89"/>
                </w:rPr>
                <w:t>24.</w:t>
              </w:r>
              <w:r>
                <w:rPr>
                  <w:rFonts w:ascii="Arial" w:cs="Arial" w:eastAsia="Arial" w:hAnsi="Arial"/>
                  <w:sz w:val="16"/>
                  <w:szCs w:val="16"/>
                  <w:u w:val="single" w:color="auto"/>
                  <w:color w:val="0000FF"/>
                  <w:w w:val="89"/>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Power of Attorney (reference is made to the signature page hereto).</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126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4"/>
            <w:vMerge w:val="restart"/>
          </w:tcPr>
          <w:p>
            <w:pPr>
              <w:jc w:val="center"/>
              <w:ind w:left="79"/>
              <w:spacing w:after="0"/>
              <w:rPr>
                <w:rFonts w:ascii="Arial" w:cs="Arial" w:eastAsia="Arial" w:hAnsi="Arial"/>
                <w:sz w:val="16"/>
                <w:szCs w:val="16"/>
                <w:color w:val="0000FF"/>
                <w:w w:val="89"/>
              </w:rPr>
            </w:pPr>
            <w:hyperlink w:anchor="page360">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w w:val="94"/>
              </w:rPr>
            </w:pPr>
            <w:hyperlink w:anchor="page360">
              <w:r>
                <w:rPr>
                  <w:rFonts w:ascii="Arial" w:cs="Arial" w:eastAsia="Arial" w:hAnsi="Arial"/>
                  <w:sz w:val="16"/>
                  <w:szCs w:val="16"/>
                  <w:color w:val="0000FF"/>
                  <w:w w:val="94"/>
                </w:rPr>
                <w:t>Certification of the Principal Executive Officer pursuant to Exchange Act</w:t>
              </w:r>
            </w:hyperlink>
          </w:p>
        </w:tc>
        <w:tc>
          <w:tcPr>
            <w:tcW w:w="0" w:type="dxa"/>
            <w:vAlign w:val="bottom"/>
          </w:tcPr>
          <w:p>
            <w:pPr>
              <w:spacing w:after="0"/>
              <w:rPr>
                <w:sz w:val="1"/>
                <w:szCs w:val="1"/>
                <w:color w:val="auto"/>
              </w:rPr>
            </w:pPr>
          </w:p>
        </w:tc>
      </w:tr>
      <w:tr>
        <w:trPr>
          <w:trHeight w:val="142"/>
        </w:trPr>
        <w:tc>
          <w:tcPr>
            <w:tcW w:w="4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Borders>
              <w:top w:val="single" w:sz="8" w:color="0000FF"/>
            </w:tcBorders>
            <w:gridSpan w:val="27"/>
          </w:tcPr>
          <w:p>
            <w:pPr>
              <w:spacing w:after="0" w:line="142" w:lineRule="exact"/>
              <w:rPr>
                <w:rFonts w:ascii="Arial" w:cs="Arial" w:eastAsia="Arial" w:hAnsi="Arial"/>
                <w:sz w:val="16"/>
                <w:szCs w:val="16"/>
                <w:color w:val="0000FF"/>
                <w:w w:val="92"/>
              </w:rPr>
            </w:pPr>
            <w:hyperlink w:anchor="page360">
              <w:r>
                <w:rPr>
                  <w:rFonts w:ascii="Arial" w:cs="Arial" w:eastAsia="Arial" w:hAnsi="Arial"/>
                  <w:sz w:val="16"/>
                  <w:szCs w:val="16"/>
                  <w:color w:val="0000FF"/>
                  <w:w w:val="92"/>
                </w:rPr>
                <w:t>Rules 13a14(a) and 15d14(a), as adopted pursuant to Section 302 of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1"/>
              </w:rPr>
            </w:pPr>
            <w:hyperlink w:anchor="page360">
              <w:r>
                <w:rPr>
                  <w:rFonts w:ascii="Arial" w:cs="Arial" w:eastAsia="Arial" w:hAnsi="Arial"/>
                  <w:sz w:val="16"/>
                  <w:szCs w:val="16"/>
                  <w:color w:val="0000FF"/>
                  <w:w w:val="91"/>
                </w:rPr>
                <w:t>Sarbanes-Oxley Act of 2002.</w:t>
              </w:r>
            </w:hyperlink>
          </w:p>
        </w:tc>
        <w:tc>
          <w:tcPr>
            <w:tcW w:w="2720" w:type="dxa"/>
            <w:vAlign w:val="bottom"/>
            <w:tcBorders>
              <w:top w:val="single" w:sz="8" w:color="0000FF"/>
            </w:tcBorders>
            <w:gridSpan w:val="16"/>
          </w:tcPr>
          <w:p>
            <w:pPr>
              <w:spacing w:after="0"/>
              <w:rPr>
                <w:sz w:val="12"/>
                <w:szCs w:val="12"/>
                <w:color w:val="auto"/>
              </w:rPr>
            </w:pPr>
          </w:p>
        </w:tc>
        <w:tc>
          <w:tcPr>
            <w:tcW w:w="10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gridSpan w:val="4"/>
            <w:vMerge w:val="restart"/>
          </w:tcPr>
          <w:p>
            <w:pPr>
              <w:jc w:val="center"/>
              <w:ind w:left="79"/>
              <w:spacing w:after="0"/>
              <w:rPr>
                <w:rFonts w:ascii="Arial" w:cs="Arial" w:eastAsia="Arial" w:hAnsi="Arial"/>
                <w:sz w:val="16"/>
                <w:szCs w:val="16"/>
                <w:color w:val="0000FF"/>
                <w:w w:val="89"/>
              </w:rPr>
            </w:pPr>
            <w:hyperlink w:anchor="page361">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w w:val="95"/>
              </w:rPr>
            </w:pPr>
            <w:hyperlink w:anchor="page361">
              <w:r>
                <w:rPr>
                  <w:rFonts w:ascii="Arial" w:cs="Arial" w:eastAsia="Arial" w:hAnsi="Arial"/>
                  <w:sz w:val="16"/>
                  <w:szCs w:val="16"/>
                  <w:color w:val="0000FF"/>
                  <w:w w:val="95"/>
                </w:rPr>
                <w:t>Certification of the Principal Financial Officer pursuant to Exchange Act</w:t>
              </w:r>
            </w:hyperlink>
          </w:p>
        </w:tc>
        <w:tc>
          <w:tcPr>
            <w:tcW w:w="0" w:type="dxa"/>
            <w:vAlign w:val="bottom"/>
          </w:tcPr>
          <w:p>
            <w:pPr>
              <w:spacing w:after="0"/>
              <w:rPr>
                <w:sz w:val="1"/>
                <w:szCs w:val="1"/>
                <w:color w:val="auto"/>
              </w:rPr>
            </w:pPr>
          </w:p>
        </w:tc>
      </w:tr>
      <w:tr>
        <w:trPr>
          <w:trHeight w:val="142"/>
        </w:trPr>
        <w:tc>
          <w:tcPr>
            <w:tcW w:w="4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740" w:type="dxa"/>
            <w:vAlign w:val="bottom"/>
            <w:tcBorders>
              <w:top w:val="single" w:sz="8" w:color="0000FF"/>
            </w:tcBorders>
            <w:gridSpan w:val="24"/>
          </w:tcPr>
          <w:p>
            <w:pPr>
              <w:spacing w:after="0" w:line="142" w:lineRule="exact"/>
              <w:rPr>
                <w:rFonts w:ascii="Arial" w:cs="Arial" w:eastAsia="Arial" w:hAnsi="Arial"/>
                <w:sz w:val="16"/>
                <w:szCs w:val="16"/>
                <w:color w:val="0000FF"/>
                <w:w w:val="91"/>
              </w:rPr>
            </w:pPr>
            <w:hyperlink w:anchor="page361">
              <w:r>
                <w:rPr>
                  <w:rFonts w:ascii="Arial" w:cs="Arial" w:eastAsia="Arial" w:hAnsi="Arial"/>
                  <w:sz w:val="16"/>
                  <w:szCs w:val="16"/>
                  <w:color w:val="0000FF"/>
                  <w:w w:val="91"/>
                </w:rPr>
                <w:t>Rules 13a14(a) and 15d14(a), as adopted pursuant to Section 302 of the</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1"/>
              </w:rPr>
            </w:pPr>
            <w:hyperlink w:anchor="page361">
              <w:r>
                <w:rPr>
                  <w:rFonts w:ascii="Arial" w:cs="Arial" w:eastAsia="Arial" w:hAnsi="Arial"/>
                  <w:sz w:val="16"/>
                  <w:szCs w:val="16"/>
                  <w:color w:val="0000FF"/>
                  <w:w w:val="91"/>
                </w:rPr>
                <w:t>Sarbanes-Oxley Act of 2002.</w:t>
              </w:r>
            </w:hyperlink>
          </w:p>
        </w:tc>
        <w:tc>
          <w:tcPr>
            <w:tcW w:w="2720" w:type="dxa"/>
            <w:vAlign w:val="bottom"/>
            <w:tcBorders>
              <w:top w:val="single" w:sz="8" w:color="0000FF"/>
            </w:tcBorders>
            <w:gridSpan w:val="16"/>
          </w:tcPr>
          <w:p>
            <w:pPr>
              <w:spacing w:after="0"/>
              <w:rPr>
                <w:sz w:val="12"/>
                <w:szCs w:val="12"/>
                <w:color w:val="auto"/>
              </w:rPr>
            </w:pPr>
          </w:p>
        </w:tc>
        <w:tc>
          <w:tcPr>
            <w:tcW w:w="1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0" w:type="dxa"/>
            <w:vAlign w:val="bottom"/>
            <w:gridSpan w:val="5"/>
            <w:vMerge w:val="restart"/>
          </w:tcPr>
          <w:p>
            <w:pPr>
              <w:jc w:val="center"/>
              <w:ind w:left="39"/>
              <w:spacing w:after="0"/>
              <w:rPr>
                <w:rFonts w:ascii="Arial" w:cs="Arial" w:eastAsia="Arial" w:hAnsi="Arial"/>
                <w:sz w:val="16"/>
                <w:szCs w:val="16"/>
                <w:color w:val="0000FF"/>
                <w:w w:val="96"/>
              </w:rPr>
            </w:pPr>
            <w:hyperlink w:anchor="page362">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20" w:type="dxa"/>
            <w:vAlign w:val="bottom"/>
            <w:gridSpan w:val="28"/>
          </w:tcPr>
          <w:p>
            <w:pPr>
              <w:spacing w:after="0"/>
              <w:rPr>
                <w:rFonts w:ascii="Arial" w:cs="Arial" w:eastAsia="Arial" w:hAnsi="Arial"/>
                <w:sz w:val="16"/>
                <w:szCs w:val="16"/>
                <w:color w:val="0000FF"/>
                <w:w w:val="98"/>
              </w:rPr>
            </w:pPr>
            <w:hyperlink w:anchor="page362">
              <w:r>
                <w:rPr>
                  <w:rFonts w:ascii="Arial" w:cs="Arial" w:eastAsia="Arial" w:hAnsi="Arial"/>
                  <w:sz w:val="16"/>
                  <w:szCs w:val="16"/>
                  <w:color w:val="0000FF"/>
                  <w:w w:val="98"/>
                </w:rPr>
                <w:t>Certification of the Principal Executive Officer and Principal Financial</w:t>
              </w:r>
            </w:hyperlink>
          </w:p>
        </w:tc>
        <w:tc>
          <w:tcPr>
            <w:tcW w:w="0" w:type="dxa"/>
            <w:vAlign w:val="bottom"/>
          </w:tcPr>
          <w:p>
            <w:pPr>
              <w:spacing w:after="0"/>
              <w:rPr>
                <w:sz w:val="1"/>
                <w:szCs w:val="1"/>
                <w:color w:val="auto"/>
              </w:rPr>
            </w:pPr>
          </w:p>
        </w:tc>
      </w:tr>
      <w:tr>
        <w:trPr>
          <w:trHeight w:val="142"/>
        </w:trPr>
        <w:tc>
          <w:tcPr>
            <w:tcW w:w="4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0" w:type="dxa"/>
            <w:vAlign w:val="bottom"/>
            <w:tcBorders>
              <w:top w:val="single" w:sz="8" w:color="0000FF"/>
            </w:tcBorders>
            <w:gridSpan w:val="19"/>
          </w:tcPr>
          <w:p>
            <w:pPr>
              <w:spacing w:after="0" w:line="142" w:lineRule="exact"/>
              <w:rPr>
                <w:rFonts w:ascii="Arial" w:cs="Arial" w:eastAsia="Arial" w:hAnsi="Arial"/>
                <w:sz w:val="16"/>
                <w:szCs w:val="16"/>
                <w:color w:val="0000FF"/>
                <w:w w:val="96"/>
              </w:rPr>
            </w:pPr>
            <w:hyperlink w:anchor="page362">
              <w:r>
                <w:rPr>
                  <w:rFonts w:ascii="Arial" w:cs="Arial" w:eastAsia="Arial" w:hAnsi="Arial"/>
                  <w:sz w:val="16"/>
                  <w:szCs w:val="16"/>
                  <w:color w:val="0000FF"/>
                  <w:w w:val="96"/>
                </w:rPr>
                <w:t>Officer pursuant to 18 U.S.C. Section 1350, as adopted pursuant to</w:t>
              </w:r>
            </w:hyperlink>
          </w:p>
        </w:tc>
        <w:tc>
          <w:tcPr>
            <w:tcW w:w="22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1"/>
              </w:rPr>
            </w:pPr>
            <w:hyperlink w:anchor="page362">
              <w:r>
                <w:rPr>
                  <w:rFonts w:ascii="Arial" w:cs="Arial" w:eastAsia="Arial" w:hAnsi="Arial"/>
                  <w:sz w:val="16"/>
                  <w:szCs w:val="16"/>
                  <w:color w:val="0000FF"/>
                  <w:w w:val="91"/>
                </w:rPr>
                <w:t>Section 906 of the Sarbanes-Oxley Act of 2002.</w:t>
              </w:r>
            </w:hyperlink>
          </w:p>
        </w:tc>
        <w:tc>
          <w:tcPr>
            <w:tcW w:w="1260" w:type="dxa"/>
            <w:vAlign w:val="bottom"/>
            <w:tcBorders>
              <w:top w:val="single" w:sz="8" w:color="0000FF"/>
            </w:tcBorders>
            <w:gridSpan w:val="3"/>
          </w:tcPr>
          <w:p>
            <w:pPr>
              <w:spacing w:after="0"/>
              <w:rPr>
                <w:sz w:val="12"/>
                <w:szCs w:val="12"/>
                <w:color w:val="auto"/>
              </w:rPr>
            </w:pPr>
          </w:p>
        </w:tc>
        <w:tc>
          <w:tcPr>
            <w:tcW w:w="44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00" w:type="dxa"/>
            <w:vAlign w:val="bottom"/>
            <w:gridSpan w:val="7"/>
          </w:tcPr>
          <w:p>
            <w:pPr>
              <w:jc w:val="center"/>
              <w:ind w:right="320"/>
              <w:spacing w:after="0"/>
              <w:rPr>
                <w:sz w:val="20"/>
                <w:szCs w:val="20"/>
                <w:color w:val="auto"/>
              </w:rPr>
            </w:pPr>
            <w:r>
              <w:rPr>
                <w:rFonts w:ascii="Arial" w:cs="Arial" w:eastAsia="Arial" w:hAnsi="Arial"/>
                <w:sz w:val="16"/>
                <w:szCs w:val="16"/>
                <w:color w:val="auto"/>
                <w:w w:val="93"/>
              </w:rPr>
              <w:t>101.INS</w:t>
            </w:r>
          </w:p>
        </w:tc>
        <w:tc>
          <w:tcPr>
            <w:tcW w:w="4820" w:type="dxa"/>
            <w:vAlign w:val="bottom"/>
            <w:gridSpan w:val="28"/>
          </w:tcPr>
          <w:p>
            <w:pPr>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216"/>
        </w:trPr>
        <w:tc>
          <w:tcPr>
            <w:tcW w:w="900" w:type="dxa"/>
            <w:vAlign w:val="bottom"/>
            <w:gridSpan w:val="7"/>
          </w:tcPr>
          <w:p>
            <w:pPr>
              <w:jc w:val="center"/>
              <w:ind w:right="300"/>
              <w:spacing w:after="0"/>
              <w:rPr>
                <w:sz w:val="20"/>
                <w:szCs w:val="20"/>
                <w:color w:val="auto"/>
              </w:rPr>
            </w:pPr>
            <w:r>
              <w:rPr>
                <w:rFonts w:ascii="Arial" w:cs="Arial" w:eastAsia="Arial" w:hAnsi="Arial"/>
                <w:sz w:val="16"/>
                <w:szCs w:val="16"/>
                <w:color w:val="auto"/>
                <w:w w:val="92"/>
              </w:rPr>
              <w:t>101.SCH</w:t>
            </w:r>
          </w:p>
        </w:tc>
        <w:tc>
          <w:tcPr>
            <w:tcW w:w="4820" w:type="dxa"/>
            <w:vAlign w:val="bottom"/>
            <w:gridSpan w:val="28"/>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16"/>
        </w:trPr>
        <w:tc>
          <w:tcPr>
            <w:tcW w:w="900" w:type="dxa"/>
            <w:vAlign w:val="bottom"/>
            <w:gridSpan w:val="7"/>
          </w:tcPr>
          <w:p>
            <w:pPr>
              <w:jc w:val="center"/>
              <w:ind w:right="300"/>
              <w:spacing w:after="0"/>
              <w:rPr>
                <w:sz w:val="20"/>
                <w:szCs w:val="20"/>
                <w:color w:val="auto"/>
              </w:rPr>
            </w:pPr>
            <w:r>
              <w:rPr>
                <w:rFonts w:ascii="Arial" w:cs="Arial" w:eastAsia="Arial" w:hAnsi="Arial"/>
                <w:sz w:val="16"/>
                <w:szCs w:val="16"/>
                <w:color w:val="auto"/>
                <w:w w:val="96"/>
              </w:rPr>
              <w:t>101.CAL</w:t>
            </w:r>
          </w:p>
        </w:tc>
        <w:tc>
          <w:tcPr>
            <w:tcW w:w="4820" w:type="dxa"/>
            <w:vAlign w:val="bottom"/>
            <w:gridSpan w:val="2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00" w:type="dxa"/>
            <w:vAlign w:val="bottom"/>
            <w:gridSpan w:val="7"/>
          </w:tcPr>
          <w:p>
            <w:pPr>
              <w:jc w:val="center"/>
              <w:ind w:right="320"/>
              <w:spacing w:after="0"/>
              <w:rPr>
                <w:sz w:val="20"/>
                <w:szCs w:val="20"/>
                <w:color w:val="auto"/>
              </w:rPr>
            </w:pPr>
            <w:r>
              <w:rPr>
                <w:rFonts w:ascii="Arial" w:cs="Arial" w:eastAsia="Arial" w:hAnsi="Arial"/>
                <w:sz w:val="16"/>
                <w:szCs w:val="16"/>
                <w:color w:val="auto"/>
                <w:w w:val="91"/>
              </w:rPr>
              <w:t>101.DEF</w:t>
            </w:r>
          </w:p>
        </w:tc>
        <w:tc>
          <w:tcPr>
            <w:tcW w:w="4820" w:type="dxa"/>
            <w:vAlign w:val="bottom"/>
            <w:gridSpan w:val="28"/>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00" w:type="dxa"/>
            <w:vAlign w:val="bottom"/>
            <w:gridSpan w:val="7"/>
          </w:tcPr>
          <w:p>
            <w:pPr>
              <w:jc w:val="center"/>
              <w:ind w:right="300"/>
              <w:spacing w:after="0"/>
              <w:rPr>
                <w:sz w:val="20"/>
                <w:szCs w:val="20"/>
                <w:color w:val="auto"/>
              </w:rPr>
            </w:pPr>
            <w:r>
              <w:rPr>
                <w:rFonts w:ascii="Arial" w:cs="Arial" w:eastAsia="Arial" w:hAnsi="Arial"/>
                <w:sz w:val="16"/>
                <w:szCs w:val="16"/>
                <w:color w:val="auto"/>
                <w:w w:val="97"/>
              </w:rPr>
              <w:t>101.LAB</w:t>
            </w:r>
          </w:p>
        </w:tc>
        <w:tc>
          <w:tcPr>
            <w:tcW w:w="4820" w:type="dxa"/>
            <w:vAlign w:val="bottom"/>
            <w:gridSpan w:val="28"/>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00" w:type="dxa"/>
            <w:vAlign w:val="bottom"/>
            <w:gridSpan w:val="7"/>
          </w:tcPr>
          <w:p>
            <w:pPr>
              <w:jc w:val="center"/>
              <w:ind w:right="320"/>
              <w:spacing w:after="0"/>
              <w:rPr>
                <w:sz w:val="20"/>
                <w:szCs w:val="20"/>
                <w:color w:val="auto"/>
              </w:rPr>
            </w:pPr>
            <w:r>
              <w:rPr>
                <w:rFonts w:ascii="Arial" w:cs="Arial" w:eastAsia="Arial" w:hAnsi="Arial"/>
                <w:sz w:val="16"/>
                <w:szCs w:val="16"/>
                <w:color w:val="auto"/>
                <w:w w:val="90"/>
              </w:rPr>
              <w:t>101.PRE</w:t>
            </w:r>
          </w:p>
        </w:tc>
        <w:tc>
          <w:tcPr>
            <w:tcW w:w="4820" w:type="dxa"/>
            <w:vAlign w:val="bottom"/>
            <w:gridSpan w:val="28"/>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100" w:right="540" w:hanging="728"/>
        <w:spacing w:after="0" w:line="187" w:lineRule="auto"/>
        <w:tabs>
          <w:tab w:leader="none" w:pos="1100" w:val="left"/>
        </w:tabs>
        <w:numPr>
          <w:ilvl w:val="0"/>
          <w:numId w:val="67"/>
        </w:numPr>
        <w:rPr>
          <w:rFonts w:ascii="Arial" w:cs="Arial" w:eastAsia="Arial" w:hAnsi="Arial"/>
          <w:sz w:val="27"/>
          <w:szCs w:val="27"/>
          <w:color w:val="auto"/>
          <w:vertAlign w:val="subscript"/>
        </w:rPr>
      </w:pPr>
      <w:r>
        <w:rPr>
          <w:rFonts w:ascii="Arial" w:cs="Arial" w:eastAsia="Arial" w:hAnsi="Arial"/>
          <w:sz w:val="14"/>
          <w:szCs w:val="14"/>
          <w:color w:val="auto"/>
        </w:rPr>
        <w:t>Cover Page Interactive Data File – the cover page XBRL tags are embedded within the Inline Instance XBRL document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w:t>
      </w:r>
    </w:p>
    <w:p>
      <w:pPr>
        <w:spacing w:after="0" w:line="200" w:lineRule="exact"/>
        <w:rPr>
          <w:sz w:val="20"/>
          <w:szCs w:val="20"/>
          <w:color w:val="auto"/>
        </w:rPr>
      </w:pPr>
    </w:p>
    <w:p>
      <w:pPr>
        <w:spacing w:after="0" w:line="3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06"/>
        </w:trPr>
        <w:tc>
          <w:tcPr>
            <w:tcW w:w="560" w:type="dxa"/>
            <w:vAlign w:val="bottom"/>
          </w:tcPr>
          <w:p>
            <w:pPr>
              <w:spacing w:after="0"/>
              <w:rPr>
                <w:sz w:val="20"/>
                <w:szCs w:val="20"/>
                <w:color w:val="auto"/>
              </w:rPr>
            </w:pPr>
            <w:r>
              <w:rPr>
                <w:rFonts w:ascii="Arial" w:cs="Arial" w:eastAsia="Arial" w:hAnsi="Arial"/>
                <w:sz w:val="16"/>
                <w:szCs w:val="16"/>
                <w:color w:val="auto"/>
              </w:rPr>
              <w:t>10-Q</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001-38933</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10.1</w:t>
            </w:r>
          </w:p>
        </w:tc>
        <w:tc>
          <w:tcPr>
            <w:tcW w:w="1400" w:type="dxa"/>
            <w:vAlign w:val="bottom"/>
          </w:tcPr>
          <w:p>
            <w:pPr>
              <w:jc w:val="center"/>
              <w:ind w:left="119"/>
              <w:spacing w:after="0"/>
              <w:rPr>
                <w:sz w:val="20"/>
                <w:szCs w:val="20"/>
                <w:color w:val="auto"/>
              </w:rPr>
            </w:pPr>
            <w:r>
              <w:rPr>
                <w:rFonts w:ascii="Arial" w:cs="Arial" w:eastAsia="Arial" w:hAnsi="Arial"/>
                <w:sz w:val="16"/>
                <w:szCs w:val="16"/>
                <w:color w:val="auto"/>
                <w:w w:val="91"/>
              </w:rPr>
              <w:t>December 6, 2019</w:t>
            </w:r>
          </w:p>
        </w:tc>
      </w:tr>
      <w:tr>
        <w:trPr>
          <w:trHeight w:val="378"/>
        </w:trPr>
        <w:tc>
          <w:tcPr>
            <w:tcW w:w="560" w:type="dxa"/>
            <w:vAlign w:val="bottom"/>
          </w:tcPr>
          <w:p>
            <w:pPr>
              <w:spacing w:after="0"/>
              <w:rPr>
                <w:sz w:val="20"/>
                <w:szCs w:val="20"/>
                <w:color w:val="auto"/>
              </w:rPr>
            </w:pPr>
            <w:r>
              <w:rPr>
                <w:rFonts w:ascii="Arial" w:cs="Arial" w:eastAsia="Arial" w:hAnsi="Arial"/>
                <w:sz w:val="16"/>
                <w:szCs w:val="16"/>
                <w:color w:val="auto"/>
              </w:rPr>
              <w:t>10-K</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001-38933</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10.14</w:t>
            </w:r>
          </w:p>
        </w:tc>
        <w:tc>
          <w:tcPr>
            <w:tcW w:w="1400" w:type="dxa"/>
            <w:vAlign w:val="bottom"/>
          </w:tcPr>
          <w:p>
            <w:pPr>
              <w:jc w:val="center"/>
              <w:ind w:left="139"/>
              <w:spacing w:after="0"/>
              <w:rPr>
                <w:sz w:val="20"/>
                <w:szCs w:val="20"/>
                <w:color w:val="auto"/>
              </w:rPr>
            </w:pPr>
            <w:r>
              <w:rPr>
                <w:rFonts w:ascii="Arial" w:cs="Arial" w:eastAsia="Arial" w:hAnsi="Arial"/>
                <w:sz w:val="16"/>
                <w:szCs w:val="16"/>
                <w:color w:val="auto"/>
                <w:w w:val="91"/>
              </w:rPr>
              <w:t>March 23, 2020</w:t>
            </w:r>
          </w:p>
        </w:tc>
      </w:tr>
    </w:tbl>
    <w:p>
      <w:pPr>
        <w:spacing w:after="0" w:line="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00" w:type="dxa"/>
            <w:vAlign w:val="bottom"/>
          </w:tcPr>
          <w:p>
            <w:pPr>
              <w:jc w:val="center"/>
              <w:ind w:right="78"/>
              <w:spacing w:after="0"/>
              <w:rPr>
                <w:sz w:val="20"/>
                <w:szCs w:val="20"/>
                <w:color w:val="auto"/>
              </w:rPr>
            </w:pPr>
            <w:r>
              <w:rPr>
                <w:rFonts w:ascii="Arial" w:cs="Arial" w:eastAsia="Arial" w:hAnsi="Arial"/>
                <w:sz w:val="16"/>
                <w:szCs w:val="16"/>
                <w:color w:val="auto"/>
                <w:w w:val="95"/>
              </w:rPr>
              <w:t>10-Q</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10.4</w:t>
            </w:r>
          </w:p>
        </w:tc>
        <w:tc>
          <w:tcPr>
            <w:tcW w:w="2180" w:type="dxa"/>
            <w:vAlign w:val="bottom"/>
          </w:tcPr>
          <w:p>
            <w:pPr>
              <w:jc w:val="center"/>
              <w:ind w:right="399"/>
              <w:spacing w:after="0"/>
              <w:rPr>
                <w:sz w:val="20"/>
                <w:szCs w:val="20"/>
                <w:color w:val="auto"/>
              </w:rPr>
            </w:pPr>
            <w:r>
              <w:rPr>
                <w:rFonts w:ascii="Arial" w:cs="Arial" w:eastAsia="Arial" w:hAnsi="Arial"/>
                <w:sz w:val="16"/>
                <w:szCs w:val="16"/>
                <w:color w:val="auto"/>
                <w:w w:val="89"/>
              </w:rPr>
              <w:t>September 1, 2021</w:t>
            </w:r>
          </w:p>
        </w:tc>
      </w:tr>
      <w:tr>
        <w:trPr>
          <w:trHeight w:val="405"/>
        </w:trPr>
        <w:tc>
          <w:tcPr>
            <w:tcW w:w="700" w:type="dxa"/>
            <w:vAlign w:val="bottom"/>
          </w:tcPr>
          <w:p>
            <w:pPr>
              <w:jc w:val="center"/>
              <w:ind w:right="78"/>
              <w:spacing w:after="0"/>
              <w:rPr>
                <w:sz w:val="20"/>
                <w:szCs w:val="20"/>
                <w:color w:val="auto"/>
              </w:rPr>
            </w:pPr>
            <w:r>
              <w:rPr>
                <w:rFonts w:ascii="Arial" w:cs="Arial" w:eastAsia="Arial" w:hAnsi="Arial"/>
                <w:sz w:val="16"/>
                <w:szCs w:val="16"/>
                <w:color w:val="auto"/>
                <w:w w:val="95"/>
              </w:rPr>
              <w:t>10-Q</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10.3</w:t>
            </w:r>
          </w:p>
        </w:tc>
        <w:tc>
          <w:tcPr>
            <w:tcW w:w="2180" w:type="dxa"/>
            <w:vAlign w:val="bottom"/>
          </w:tcPr>
          <w:p>
            <w:pPr>
              <w:jc w:val="center"/>
              <w:ind w:right="399"/>
              <w:spacing w:after="0"/>
              <w:rPr>
                <w:sz w:val="20"/>
                <w:szCs w:val="20"/>
                <w:color w:val="auto"/>
              </w:rPr>
            </w:pPr>
            <w:r>
              <w:rPr>
                <w:rFonts w:ascii="Arial" w:cs="Arial" w:eastAsia="Arial" w:hAnsi="Arial"/>
                <w:sz w:val="16"/>
                <w:szCs w:val="16"/>
                <w:color w:val="auto"/>
                <w:w w:val="89"/>
              </w:rPr>
              <w:t>September 1, 2021</w:t>
            </w:r>
          </w:p>
        </w:tc>
      </w:tr>
      <w:tr>
        <w:trPr>
          <w:trHeight w:val="411"/>
        </w:trPr>
        <w:tc>
          <w:tcPr>
            <w:tcW w:w="700" w:type="dxa"/>
            <w:vAlign w:val="bottom"/>
          </w:tcPr>
          <w:p>
            <w:pPr>
              <w:jc w:val="center"/>
              <w:ind w:right="98"/>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10.1</w:t>
            </w:r>
          </w:p>
        </w:tc>
        <w:tc>
          <w:tcPr>
            <w:tcW w:w="2180" w:type="dxa"/>
            <w:vAlign w:val="bottom"/>
          </w:tcPr>
          <w:p>
            <w:pPr>
              <w:jc w:val="center"/>
              <w:ind w:right="419"/>
              <w:spacing w:after="0"/>
              <w:rPr>
                <w:sz w:val="20"/>
                <w:szCs w:val="20"/>
                <w:color w:val="auto"/>
              </w:rPr>
            </w:pPr>
            <w:r>
              <w:rPr>
                <w:rFonts w:ascii="Arial" w:cs="Arial" w:eastAsia="Arial" w:hAnsi="Arial"/>
                <w:sz w:val="16"/>
                <w:szCs w:val="16"/>
                <w:color w:val="auto"/>
                <w:w w:val="90"/>
              </w:rPr>
              <w:t>January 14, 2022</w:t>
            </w:r>
          </w:p>
        </w:tc>
      </w:tr>
      <w:tr>
        <w:trPr>
          <w:trHeight w:val="399"/>
        </w:trPr>
        <w:tc>
          <w:tcPr>
            <w:tcW w:w="700" w:type="dxa"/>
            <w:vAlign w:val="bottom"/>
          </w:tcPr>
          <w:p>
            <w:pPr>
              <w:jc w:val="center"/>
              <w:ind w:right="78"/>
              <w:spacing w:after="0"/>
              <w:rPr>
                <w:sz w:val="20"/>
                <w:szCs w:val="20"/>
                <w:color w:val="auto"/>
              </w:rPr>
            </w:pPr>
            <w:r>
              <w:rPr>
                <w:rFonts w:ascii="Arial" w:cs="Arial" w:eastAsia="Arial" w:hAnsi="Arial"/>
                <w:sz w:val="16"/>
                <w:szCs w:val="16"/>
                <w:color w:val="auto"/>
                <w:w w:val="95"/>
              </w:rPr>
              <w:t>10-Q</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10.1</w:t>
            </w:r>
          </w:p>
        </w:tc>
        <w:tc>
          <w:tcPr>
            <w:tcW w:w="2180" w:type="dxa"/>
            <w:vAlign w:val="bottom"/>
          </w:tcPr>
          <w:p>
            <w:pPr>
              <w:jc w:val="center"/>
              <w:ind w:right="399"/>
              <w:spacing w:after="0"/>
              <w:rPr>
                <w:sz w:val="20"/>
                <w:szCs w:val="20"/>
                <w:color w:val="auto"/>
              </w:rPr>
            </w:pPr>
            <w:r>
              <w:rPr>
                <w:rFonts w:ascii="Arial" w:cs="Arial" w:eastAsia="Arial" w:hAnsi="Arial"/>
                <w:sz w:val="16"/>
                <w:szCs w:val="16"/>
                <w:color w:val="auto"/>
                <w:w w:val="88"/>
              </w:rPr>
              <w:t>June 4, 2021</w:t>
            </w:r>
          </w:p>
        </w:tc>
      </w:tr>
      <w:tr>
        <w:trPr>
          <w:trHeight w:val="405"/>
        </w:trPr>
        <w:tc>
          <w:tcPr>
            <w:tcW w:w="700" w:type="dxa"/>
            <w:vAlign w:val="bottom"/>
          </w:tcPr>
          <w:p>
            <w:pPr>
              <w:jc w:val="center"/>
              <w:ind w:right="78"/>
              <w:spacing w:after="0"/>
              <w:rPr>
                <w:sz w:val="20"/>
                <w:szCs w:val="20"/>
                <w:color w:val="auto"/>
              </w:rPr>
            </w:pPr>
            <w:r>
              <w:rPr>
                <w:rFonts w:ascii="Arial" w:cs="Arial" w:eastAsia="Arial" w:hAnsi="Arial"/>
                <w:sz w:val="16"/>
                <w:szCs w:val="16"/>
                <w:color w:val="auto"/>
                <w:w w:val="95"/>
              </w:rPr>
              <w:t>10-Q</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001-38933</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2180" w:type="dxa"/>
            <w:vAlign w:val="bottom"/>
          </w:tcPr>
          <w:p>
            <w:pPr>
              <w:jc w:val="center"/>
              <w:ind w:right="399"/>
              <w:spacing w:after="0"/>
              <w:rPr>
                <w:sz w:val="20"/>
                <w:szCs w:val="20"/>
                <w:color w:val="auto"/>
              </w:rPr>
            </w:pPr>
            <w:r>
              <w:rPr>
                <w:rFonts w:ascii="Arial" w:cs="Arial" w:eastAsia="Arial" w:hAnsi="Arial"/>
                <w:sz w:val="16"/>
                <w:szCs w:val="16"/>
                <w:color w:val="auto"/>
                <w:w w:val="88"/>
              </w:rPr>
              <w:t>June 4, 2021</w:t>
            </w:r>
          </w:p>
        </w:tc>
      </w:tr>
      <w:tr>
        <w:trPr>
          <w:trHeight w:val="216"/>
        </w:trPr>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80" w:type="dxa"/>
            <w:vAlign w:val="bottom"/>
          </w:tcPr>
          <w:p>
            <w:pPr>
              <w:ind w:left="2060"/>
              <w:spacing w:after="0"/>
              <w:rPr>
                <w:sz w:val="20"/>
                <w:szCs w:val="20"/>
                <w:color w:val="auto"/>
              </w:rPr>
            </w:pPr>
            <w:r>
              <w:rPr>
                <w:rFonts w:ascii="Arial" w:cs="Arial" w:eastAsia="Arial" w:hAnsi="Arial"/>
                <w:sz w:val="16"/>
                <w:szCs w:val="16"/>
                <w:color w:val="auto"/>
                <w:w w:val="93"/>
              </w:rPr>
              <w:t>X</w:t>
            </w:r>
          </w:p>
        </w:tc>
      </w:tr>
      <w:tr>
        <w:trPr>
          <w:trHeight w:val="216"/>
        </w:trPr>
        <w:tc>
          <w:tcPr>
            <w:tcW w:w="700" w:type="dxa"/>
            <w:vAlign w:val="bottom"/>
          </w:tcPr>
          <w:p>
            <w:pPr>
              <w:jc w:val="center"/>
              <w:ind w:right="78"/>
              <w:spacing w:after="0"/>
              <w:rPr>
                <w:sz w:val="20"/>
                <w:szCs w:val="20"/>
                <w:color w:val="auto"/>
              </w:rPr>
            </w:pPr>
            <w:r>
              <w:rPr>
                <w:rFonts w:ascii="Arial" w:cs="Arial" w:eastAsia="Arial" w:hAnsi="Arial"/>
                <w:sz w:val="16"/>
                <w:szCs w:val="16"/>
                <w:color w:val="auto"/>
                <w:w w:val="93"/>
              </w:rPr>
              <w:t>S-3ASR</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333-252007</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22.1</w:t>
            </w:r>
          </w:p>
        </w:tc>
        <w:tc>
          <w:tcPr>
            <w:tcW w:w="2180" w:type="dxa"/>
            <w:vAlign w:val="bottom"/>
          </w:tcPr>
          <w:p>
            <w:pPr>
              <w:jc w:val="center"/>
              <w:ind w:right="399"/>
              <w:spacing w:after="0"/>
              <w:rPr>
                <w:sz w:val="20"/>
                <w:szCs w:val="20"/>
                <w:color w:val="auto"/>
              </w:rPr>
            </w:pPr>
            <w:r>
              <w:rPr>
                <w:rFonts w:ascii="Arial" w:cs="Arial" w:eastAsia="Arial" w:hAnsi="Arial"/>
                <w:sz w:val="16"/>
                <w:szCs w:val="16"/>
                <w:color w:val="auto"/>
                <w:w w:val="88"/>
              </w:rPr>
              <w:t>January 11, 2021</w:t>
            </w:r>
          </w:p>
        </w:tc>
      </w:tr>
    </w:tbl>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5880" w:space="180"/>
            <w:col w:w="4780"/>
          </w:cols>
          <w:pgMar w:left="320" w:top="125" w:right="7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221" w:lineRule="exact"/>
        <w:rPr>
          <w:sz w:val="20"/>
          <w:szCs w:val="20"/>
          <w:color w:val="auto"/>
        </w:rPr>
      </w:pPr>
    </w:p>
    <w:p>
      <w:pPr>
        <w:ind w:left="420" w:hanging="412"/>
        <w:spacing w:after="0" w:line="310" w:lineRule="auto"/>
        <w:tabs>
          <w:tab w:leader="none" w:pos="4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5" w:right="89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40" w:firstLine="324"/>
        <w:spacing w:after="0" w:line="27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in Austin, Texas, on the day of March 16, 2022.</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CROWDSTRIKE HOLDINGS, INC.</w:t>
      </w:r>
    </w:p>
    <w:p>
      <w:pPr>
        <w:spacing w:after="0" w:line="135"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George Kurtz</w:t>
      </w:r>
    </w:p>
    <w:p>
      <w:pPr>
        <w:jc w:val="right"/>
        <w:spacing w:after="0" w:line="203" w:lineRule="auto"/>
        <w:rPr>
          <w:sz w:val="20"/>
          <w:szCs w:val="20"/>
          <w:color w:val="auto"/>
        </w:rPr>
      </w:pPr>
      <w:r>
        <w:rPr>
          <w:rFonts w:ascii="Arial" w:cs="Arial" w:eastAsia="Arial" w:hAnsi="Arial"/>
          <w:sz w:val="18"/>
          <w:szCs w:val="18"/>
          <w:i w:val="1"/>
          <w:iCs w:val="1"/>
          <w:color w:val="auto"/>
        </w:rPr>
        <w:t>President, Chief Executive Officer and Director (Principal Executive</w:t>
      </w:r>
    </w:p>
    <w:p>
      <w:pPr>
        <w:ind w:left="59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66"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Borders>
              <w:bottom w:val="single" w:sz="8" w:color="auto"/>
            </w:tcBorders>
          </w:tcPr>
          <w:p>
            <w:pPr>
              <w:ind w:left="198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516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5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18"/>
        </w:trPr>
        <w:tc>
          <w:tcPr>
            <w:tcW w:w="4360" w:type="dxa"/>
            <w:vAlign w:val="bottom"/>
            <w:vMerge w:val="restart"/>
          </w:tcPr>
          <w:p>
            <w:pPr>
              <w:ind w:left="360"/>
              <w:spacing w:after="0"/>
              <w:rPr>
                <w:sz w:val="20"/>
                <w:szCs w:val="20"/>
                <w:color w:val="auto"/>
              </w:rPr>
            </w:pPr>
            <w:r>
              <w:rPr>
                <w:rFonts w:ascii="Arial" w:cs="Arial" w:eastAsia="Arial" w:hAnsi="Arial"/>
                <w:sz w:val="18"/>
                <w:szCs w:val="18"/>
                <w:color w:val="auto"/>
              </w:rPr>
              <w:t>/s/ George Kurtz</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President, Chief Executive Officer, and Director (Principal</w:t>
            </w:r>
          </w:p>
        </w:tc>
        <w:tc>
          <w:tcPr>
            <w:tcW w:w="1520" w:type="dxa"/>
            <w:vAlign w:val="bottom"/>
            <w:vMerge w:val="restart"/>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Executive Officer)</w:t>
            </w: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George Kurtz</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4360" w:type="dxa"/>
            <w:vAlign w:val="bottom"/>
            <w:vMerge w:val="restart"/>
          </w:tcPr>
          <w:p>
            <w:pPr>
              <w:ind w:left="360"/>
              <w:spacing w:after="0"/>
              <w:rPr>
                <w:sz w:val="20"/>
                <w:szCs w:val="20"/>
                <w:color w:val="auto"/>
              </w:rPr>
            </w:pPr>
            <w:r>
              <w:rPr>
                <w:rFonts w:ascii="Arial" w:cs="Arial" w:eastAsia="Arial" w:hAnsi="Arial"/>
                <w:sz w:val="18"/>
                <w:szCs w:val="18"/>
                <w:color w:val="auto"/>
              </w:rPr>
              <w:t>/s/ Burt W. Podbere</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w w:val="97"/>
              </w:rPr>
              <w:t>Chief Financial Officer (Principal Financial Officer and Principal</w:t>
            </w:r>
          </w:p>
        </w:tc>
        <w:tc>
          <w:tcPr>
            <w:tcW w:w="1520" w:type="dxa"/>
            <w:vAlign w:val="bottom"/>
            <w:vMerge w:val="restart"/>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Burt W. Podbere</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Gerhard Watzinger</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Chairman of the Board of Directors</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Gerhard Watzinger</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Cary J. Davis</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Cary J. Davis</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Denis J. O’Leary</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Denis J. O’Leary</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Godfrey R. Sullivan</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Godfrey R. Sullivan</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Laura J. Schumacher</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Laura J. Schumacher</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Roxanne S. Austin</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Roxanne S. Austin</w:t>
            </w: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Sameer K. Gandhi</w:t>
            </w:r>
          </w:p>
        </w:tc>
        <w:tc>
          <w:tcPr>
            <w:tcW w:w="100" w:type="dxa"/>
            <w:vAlign w:val="bottom"/>
          </w:tcPr>
          <w:p>
            <w:pPr>
              <w:spacing w:after="0"/>
              <w:rPr>
                <w:sz w:val="24"/>
                <w:szCs w:val="24"/>
                <w:color w:val="auto"/>
              </w:rPr>
            </w:pPr>
          </w:p>
        </w:tc>
        <w:tc>
          <w:tcPr>
            <w:tcW w:w="52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520" w:type="dxa"/>
            <w:vAlign w:val="bottom"/>
          </w:tcPr>
          <w:p>
            <w:pPr>
              <w:jc w:val="center"/>
              <w:ind w:left="250"/>
              <w:spacing w:after="0"/>
              <w:rPr>
                <w:sz w:val="20"/>
                <w:szCs w:val="20"/>
                <w:color w:val="auto"/>
              </w:rPr>
            </w:pPr>
            <w:r>
              <w:rPr>
                <w:rFonts w:ascii="Arial" w:cs="Arial" w:eastAsia="Arial" w:hAnsi="Arial"/>
                <w:sz w:val="18"/>
                <w:szCs w:val="18"/>
                <w:color w:val="auto"/>
                <w:w w:val="91"/>
              </w:rPr>
              <w:t>March 16, 2022</w:t>
            </w:r>
          </w:p>
        </w:tc>
        <w:tc>
          <w:tcPr>
            <w:tcW w:w="0" w:type="dxa"/>
            <w:vAlign w:val="bottom"/>
          </w:tcPr>
          <w:p>
            <w:pPr>
              <w:spacing w:after="0"/>
              <w:rPr>
                <w:sz w:val="1"/>
                <w:szCs w:val="1"/>
                <w:color w:val="auto"/>
              </w:rPr>
            </w:pPr>
          </w:p>
        </w:tc>
      </w:tr>
      <w:tr>
        <w:trPr>
          <w:trHeight w:val="224"/>
        </w:trPr>
        <w:tc>
          <w:tcPr>
            <w:tcW w:w="4360" w:type="dxa"/>
            <w:vAlign w:val="bottom"/>
          </w:tcPr>
          <w:p>
            <w:pPr>
              <w:ind w:left="360"/>
              <w:spacing w:after="0"/>
              <w:rPr>
                <w:sz w:val="20"/>
                <w:szCs w:val="20"/>
                <w:color w:val="auto"/>
              </w:rPr>
            </w:pPr>
            <w:r>
              <w:rPr>
                <w:rFonts w:ascii="Arial" w:cs="Arial" w:eastAsia="Arial" w:hAnsi="Arial"/>
                <w:sz w:val="18"/>
                <w:szCs w:val="18"/>
                <w:color w:val="auto"/>
              </w:rPr>
              <w:t>Sameer K. Gandhi</w:t>
            </w:r>
          </w:p>
        </w:tc>
        <w:tc>
          <w:tcPr>
            <w:tcW w:w="1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3"/>
        </w:trPr>
        <w:tc>
          <w:tcPr>
            <w:tcW w:w="4360" w:type="dxa"/>
            <w:vAlign w:val="bottom"/>
          </w:tcPr>
          <w:p>
            <w:pPr>
              <w:spacing w:after="0"/>
              <w:rPr>
                <w:sz w:val="24"/>
                <w:szCs w:val="24"/>
                <w:color w:val="auto"/>
              </w:rPr>
            </w:pPr>
          </w:p>
        </w:tc>
        <w:tc>
          <w:tcPr>
            <w:tcW w:w="5260" w:type="dxa"/>
            <w:vAlign w:val="bottom"/>
            <w:gridSpan w:val="2"/>
          </w:tcPr>
          <w:p>
            <w:pPr>
              <w:jc w:val="right"/>
              <w:ind w:right="377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CAPITOL TOWER</w:t>
      </w:r>
    </w:p>
    <w:p>
      <w:pPr>
        <w:ind w:left="3760"/>
        <w:spacing w:after="0"/>
        <w:rPr>
          <w:sz w:val="20"/>
          <w:szCs w:val="20"/>
          <w:color w:val="auto"/>
        </w:rPr>
      </w:pPr>
      <w:r>
        <w:rPr>
          <w:rFonts w:ascii="Arial" w:cs="Arial" w:eastAsia="Arial" w:hAnsi="Arial"/>
          <w:sz w:val="20"/>
          <w:szCs w:val="20"/>
          <w:b w:val="1"/>
          <w:bCs w:val="1"/>
          <w:color w:val="auto"/>
        </w:rPr>
        <w:t>AUSTIN,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OFFICE LEASE AGREEMENT</w:t>
      </w:r>
    </w:p>
    <w:p>
      <w:pPr>
        <w:spacing w:after="0" w:line="200" w:lineRule="exact"/>
        <w:rPr>
          <w:sz w:val="20"/>
          <w:szCs w:val="20"/>
          <w:color w:val="auto"/>
        </w:rPr>
      </w:pPr>
    </w:p>
    <w:p>
      <w:pPr>
        <w:spacing w:after="0" w:line="269"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EQC CAPITOL TOWER PROPERTY LLC</w:t>
      </w:r>
    </w:p>
    <w:p>
      <w:pPr>
        <w:jc w:val="center"/>
        <w:ind w:right="1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LANDLORD</w:t>
      </w:r>
      <w:r>
        <w:rPr>
          <w:rFonts w:ascii="Arial" w:cs="Arial" w:eastAsia="Arial" w:hAnsi="Arial"/>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4"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CROWDSTRIKE, INC.</w:t>
      </w:r>
    </w:p>
    <w:p>
      <w:pPr>
        <w:jc w:val="center"/>
        <w:ind w:right="11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TENANT</w:t>
      </w:r>
      <w:r>
        <w:rPr>
          <w:rFonts w:ascii="Arial" w:cs="Arial" w:eastAsia="Arial" w:hAnsi="Arial"/>
          <w:sz w:val="20"/>
          <w:szCs w:val="20"/>
          <w:color w:val="auto"/>
        </w:rPr>
        <w:t>”)</w:t>
      </w:r>
    </w:p>
    <w:p>
      <w:pPr>
        <w:sectPr>
          <w:pgSz w:w="11900" w:h="16838" w:orient="portrait"/>
          <w:cols w:equalWidth="0" w:num="1">
            <w:col w:w="10120"/>
          </w:cols>
          <w:pgMar w:left="1440" w:top="121" w:right="339" w:bottom="1440" w:gutter="0" w:footer="0" w:header="0"/>
        </w:sectPr>
      </w:pPr>
    </w:p>
    <w:bookmarkStart w:id="120" w:name="page121"/>
    <w:bookmarkEnd w:id="120"/>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0" w:type="dxa"/>
            <w:vAlign w:val="bottom"/>
          </w:tcPr>
          <w:p>
            <w:pPr>
              <w:ind w:left="3300"/>
              <w:spacing w:after="0"/>
              <w:rPr>
                <w:sz w:val="20"/>
                <w:szCs w:val="20"/>
                <w:color w:val="auto"/>
              </w:rPr>
            </w:pPr>
            <w:r>
              <w:rPr>
                <w:rFonts w:ascii="Arial" w:cs="Arial" w:eastAsia="Arial" w:hAnsi="Arial"/>
                <w:sz w:val="20"/>
                <w:szCs w:val="20"/>
                <w:b w:val="1"/>
                <w:bCs w:val="1"/>
                <w:color w:val="auto"/>
              </w:rPr>
              <w:t>TABLE OF CONTENTS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441"/>
        </w:trPr>
        <w:tc>
          <w:tcPr>
            <w:tcW w:w="360" w:type="dxa"/>
            <w:vAlign w:val="bottom"/>
          </w:tcPr>
          <w:p>
            <w:pPr>
              <w:ind w:left="8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4"/>
                <w:szCs w:val="24"/>
                <w:color w:val="auto"/>
              </w:rPr>
            </w:pPr>
          </w:p>
        </w:tc>
        <w:tc>
          <w:tcPr>
            <w:tcW w:w="10060" w:type="dxa"/>
            <w:vAlign w:val="bottom"/>
            <w:gridSpan w:val="4"/>
          </w:tcPr>
          <w:p>
            <w:pPr>
              <w:ind w:left="60"/>
              <w:spacing w:after="0"/>
              <w:rPr>
                <w:sz w:val="20"/>
                <w:szCs w:val="20"/>
                <w:color w:val="auto"/>
              </w:rPr>
            </w:pPr>
            <w:r>
              <w:rPr>
                <w:rFonts w:ascii="Arial" w:cs="Arial" w:eastAsia="Arial" w:hAnsi="Arial"/>
                <w:sz w:val="20"/>
                <w:szCs w:val="20"/>
                <w:color w:val="auto"/>
              </w:rPr>
              <w:t>Basic Lease Information.</w:t>
            </w:r>
          </w:p>
        </w:tc>
        <w:tc>
          <w:tcPr>
            <w:tcW w:w="100" w:type="dxa"/>
            <w:vAlign w:val="bottom"/>
            <w:tcBorders>
              <w:bottom w:val="single" w:sz="8" w:color="auto"/>
            </w:tcBorders>
          </w:tcPr>
          <w:p>
            <w:pPr>
              <w:spacing w:after="0"/>
              <w:rPr>
                <w:rFonts w:ascii="Arial" w:cs="Arial" w:eastAsia="Arial" w:hAnsi="Arial"/>
                <w:sz w:val="20"/>
                <w:szCs w:val="20"/>
                <w:color w:val="auto"/>
                <w:w w:val="71"/>
              </w:rPr>
            </w:pPr>
            <w:hyperlink w:anchor="page121">
              <w:r>
                <w:rPr>
                  <w:rFonts w:ascii="Arial" w:cs="Arial" w:eastAsia="Arial" w:hAnsi="Arial"/>
                  <w:sz w:val="20"/>
                  <w:szCs w:val="20"/>
                  <w:color w:val="auto"/>
                  <w:w w:val="71"/>
                </w:rPr>
                <w:t>1</w:t>
              </w:r>
            </w:hyperlink>
          </w:p>
        </w:tc>
        <w:tc>
          <w:tcPr>
            <w:tcW w:w="120" w:type="dxa"/>
            <w:vAlign w:val="bottom"/>
          </w:tcPr>
          <w:p>
            <w:pPr>
              <w:spacing w:after="0"/>
              <w:rPr>
                <w:sz w:val="24"/>
                <w:szCs w:val="24"/>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2.</w:t>
            </w:r>
          </w:p>
        </w:tc>
        <w:tc>
          <w:tcPr>
            <w:tcW w:w="40" w:type="dxa"/>
            <w:vAlign w:val="bottom"/>
          </w:tcPr>
          <w:p>
            <w:pPr>
              <w:spacing w:after="0"/>
              <w:rPr>
                <w:sz w:val="19"/>
                <w:szCs w:val="19"/>
                <w:color w:val="auto"/>
              </w:rPr>
            </w:pPr>
          </w:p>
        </w:tc>
        <w:tc>
          <w:tcPr>
            <w:tcW w:w="10060" w:type="dxa"/>
            <w:vAlign w:val="bottom"/>
            <w:gridSpan w:val="4"/>
          </w:tcPr>
          <w:p>
            <w:pPr>
              <w:ind w:left="60"/>
              <w:spacing w:after="0" w:line="223" w:lineRule="exact"/>
              <w:rPr>
                <w:sz w:val="20"/>
                <w:szCs w:val="20"/>
                <w:color w:val="auto"/>
              </w:rPr>
            </w:pPr>
            <w:r>
              <w:rPr>
                <w:rFonts w:ascii="Arial" w:cs="Arial" w:eastAsia="Arial" w:hAnsi="Arial"/>
                <w:sz w:val="20"/>
                <w:szCs w:val="20"/>
                <w:color w:val="auto"/>
              </w:rPr>
              <w:t>Lease Grant.</w:t>
            </w:r>
          </w:p>
        </w:tc>
        <w:tc>
          <w:tcPr>
            <w:tcW w:w="100" w:type="dxa"/>
            <w:vAlign w:val="bottom"/>
            <w:tcBorders>
              <w:bottom w:val="single" w:sz="8" w:color="auto"/>
            </w:tcBorders>
          </w:tcPr>
          <w:p>
            <w:pPr>
              <w:spacing w:after="0" w:line="223" w:lineRule="exact"/>
              <w:rPr>
                <w:rFonts w:ascii="Arial" w:cs="Arial" w:eastAsia="Arial" w:hAnsi="Arial"/>
                <w:sz w:val="20"/>
                <w:szCs w:val="20"/>
                <w:color w:val="auto"/>
                <w:w w:val="71"/>
              </w:rPr>
            </w:pPr>
            <w:hyperlink w:anchor="page121">
              <w:r>
                <w:rPr>
                  <w:rFonts w:ascii="Arial" w:cs="Arial" w:eastAsia="Arial" w:hAnsi="Arial"/>
                  <w:sz w:val="20"/>
                  <w:szCs w:val="20"/>
                  <w:color w:val="auto"/>
                  <w:w w:val="71"/>
                </w:rPr>
                <w:t>3</w:t>
              </w:r>
            </w:hyperlink>
          </w:p>
        </w:tc>
        <w:tc>
          <w:tcPr>
            <w:tcW w:w="120" w:type="dxa"/>
            <w:vAlign w:val="bottom"/>
          </w:tcPr>
          <w:p>
            <w:pPr>
              <w:spacing w:after="0"/>
              <w:rPr>
                <w:sz w:val="19"/>
                <w:szCs w:val="19"/>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3.</w:t>
            </w:r>
          </w:p>
        </w:tc>
        <w:tc>
          <w:tcPr>
            <w:tcW w:w="10100" w:type="dxa"/>
            <w:vAlign w:val="bottom"/>
            <w:gridSpan w:val="5"/>
          </w:tcPr>
          <w:p>
            <w:pPr>
              <w:ind w:left="100"/>
              <w:spacing w:after="0" w:line="223" w:lineRule="exact"/>
              <w:rPr>
                <w:sz w:val="20"/>
                <w:szCs w:val="20"/>
                <w:color w:val="auto"/>
              </w:rPr>
            </w:pPr>
            <w:r>
              <w:rPr>
                <w:rFonts w:ascii="Arial" w:cs="Arial" w:eastAsia="Arial" w:hAnsi="Arial"/>
                <w:sz w:val="20"/>
                <w:szCs w:val="20"/>
                <w:color w:val="auto"/>
              </w:rPr>
              <w:t>Adjustment of Commencement Date; Possession.</w:t>
            </w:r>
          </w:p>
        </w:tc>
        <w:tc>
          <w:tcPr>
            <w:tcW w:w="100" w:type="dxa"/>
            <w:vAlign w:val="bottom"/>
            <w:tcBorders>
              <w:bottom w:val="single" w:sz="8" w:color="auto"/>
            </w:tcBorders>
          </w:tcPr>
          <w:p>
            <w:pPr>
              <w:spacing w:after="0" w:line="223" w:lineRule="exact"/>
              <w:rPr>
                <w:rFonts w:ascii="Arial" w:cs="Arial" w:eastAsia="Arial" w:hAnsi="Arial"/>
                <w:sz w:val="20"/>
                <w:szCs w:val="20"/>
                <w:color w:val="auto"/>
                <w:w w:val="71"/>
              </w:rPr>
            </w:pPr>
            <w:hyperlink w:anchor="page121">
              <w:r>
                <w:rPr>
                  <w:rFonts w:ascii="Arial" w:cs="Arial" w:eastAsia="Arial" w:hAnsi="Arial"/>
                  <w:sz w:val="20"/>
                  <w:szCs w:val="20"/>
                  <w:color w:val="auto"/>
                  <w:w w:val="71"/>
                </w:rPr>
                <w:t>3</w:t>
              </w:r>
            </w:hyperlink>
          </w:p>
        </w:tc>
        <w:tc>
          <w:tcPr>
            <w:tcW w:w="120" w:type="dxa"/>
            <w:vAlign w:val="bottom"/>
          </w:tcPr>
          <w:p>
            <w:pPr>
              <w:spacing w:after="0"/>
              <w:rPr>
                <w:sz w:val="19"/>
                <w:szCs w:val="19"/>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4.</w:t>
            </w:r>
          </w:p>
        </w:tc>
        <w:tc>
          <w:tcPr>
            <w:tcW w:w="40" w:type="dxa"/>
            <w:vAlign w:val="bottom"/>
          </w:tcPr>
          <w:p>
            <w:pPr>
              <w:spacing w:after="0"/>
              <w:rPr>
                <w:sz w:val="19"/>
                <w:szCs w:val="19"/>
                <w:color w:val="auto"/>
              </w:rPr>
            </w:pPr>
          </w:p>
        </w:tc>
        <w:tc>
          <w:tcPr>
            <w:tcW w:w="580" w:type="dxa"/>
            <w:vAlign w:val="bottom"/>
            <w:gridSpan w:val="2"/>
          </w:tcPr>
          <w:p>
            <w:pPr>
              <w:ind w:left="60"/>
              <w:spacing w:after="0" w:line="223" w:lineRule="exact"/>
              <w:rPr>
                <w:sz w:val="20"/>
                <w:szCs w:val="20"/>
                <w:color w:val="auto"/>
              </w:rPr>
            </w:pPr>
            <w:r>
              <w:rPr>
                <w:rFonts w:ascii="Arial" w:cs="Arial" w:eastAsia="Arial" w:hAnsi="Arial"/>
                <w:sz w:val="20"/>
                <w:szCs w:val="20"/>
                <w:color w:val="auto"/>
              </w:rPr>
              <w:t>Rent.</w:t>
            </w:r>
          </w:p>
        </w:tc>
        <w:tc>
          <w:tcPr>
            <w:tcW w:w="28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100" w:type="dxa"/>
            <w:vAlign w:val="bottom"/>
            <w:tcBorders>
              <w:bottom w:val="single" w:sz="8" w:color="auto"/>
            </w:tcBorders>
          </w:tcPr>
          <w:p>
            <w:pPr>
              <w:spacing w:after="0" w:line="223" w:lineRule="exact"/>
              <w:rPr>
                <w:rFonts w:ascii="Arial" w:cs="Arial" w:eastAsia="Arial" w:hAnsi="Arial"/>
                <w:sz w:val="20"/>
                <w:szCs w:val="20"/>
                <w:color w:val="auto"/>
                <w:w w:val="71"/>
              </w:rPr>
            </w:pPr>
            <w:hyperlink w:anchor="page121">
              <w:r>
                <w:rPr>
                  <w:rFonts w:ascii="Arial" w:cs="Arial" w:eastAsia="Arial" w:hAnsi="Arial"/>
                  <w:sz w:val="20"/>
                  <w:szCs w:val="20"/>
                  <w:color w:val="auto"/>
                  <w:w w:val="71"/>
                </w:rPr>
                <w:t>5</w:t>
              </w:r>
            </w:hyperlink>
          </w:p>
        </w:tc>
        <w:tc>
          <w:tcPr>
            <w:tcW w:w="120" w:type="dxa"/>
            <w:vAlign w:val="bottom"/>
          </w:tcPr>
          <w:p>
            <w:pPr>
              <w:spacing w:after="0"/>
              <w:rPr>
                <w:sz w:val="19"/>
                <w:szCs w:val="19"/>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5.</w:t>
            </w:r>
          </w:p>
        </w:tc>
        <w:tc>
          <w:tcPr>
            <w:tcW w:w="10100" w:type="dxa"/>
            <w:vAlign w:val="bottom"/>
            <w:gridSpan w:val="5"/>
          </w:tcPr>
          <w:p>
            <w:pPr>
              <w:ind w:left="100"/>
              <w:spacing w:after="0" w:line="223" w:lineRule="exact"/>
              <w:rPr>
                <w:sz w:val="20"/>
                <w:szCs w:val="20"/>
                <w:color w:val="auto"/>
              </w:rPr>
            </w:pPr>
            <w:r>
              <w:rPr>
                <w:rFonts w:ascii="Arial" w:cs="Arial" w:eastAsia="Arial" w:hAnsi="Arial"/>
                <w:sz w:val="20"/>
                <w:szCs w:val="20"/>
                <w:color w:val="auto"/>
              </w:rPr>
              <w:t>Compliance with Laws; Use.</w:t>
            </w:r>
          </w:p>
        </w:tc>
        <w:tc>
          <w:tcPr>
            <w:tcW w:w="100" w:type="dxa"/>
            <w:vAlign w:val="bottom"/>
            <w:tcBorders>
              <w:bottom w:val="single" w:sz="8" w:color="auto"/>
            </w:tcBorders>
          </w:tcPr>
          <w:p>
            <w:pPr>
              <w:spacing w:after="0" w:line="223" w:lineRule="exact"/>
              <w:rPr>
                <w:rFonts w:ascii="Arial" w:cs="Arial" w:eastAsia="Arial" w:hAnsi="Arial"/>
                <w:sz w:val="20"/>
                <w:szCs w:val="20"/>
                <w:color w:val="auto"/>
                <w:w w:val="71"/>
              </w:rPr>
            </w:pPr>
            <w:hyperlink w:anchor="page121">
              <w:r>
                <w:rPr>
                  <w:rFonts w:ascii="Arial" w:cs="Arial" w:eastAsia="Arial" w:hAnsi="Arial"/>
                  <w:sz w:val="20"/>
                  <w:szCs w:val="20"/>
                  <w:color w:val="auto"/>
                  <w:w w:val="71"/>
                </w:rPr>
                <w:t>5</w:t>
              </w:r>
            </w:hyperlink>
          </w:p>
        </w:tc>
        <w:tc>
          <w:tcPr>
            <w:tcW w:w="120" w:type="dxa"/>
            <w:vAlign w:val="bottom"/>
          </w:tcPr>
          <w:p>
            <w:pPr>
              <w:spacing w:after="0"/>
              <w:rPr>
                <w:sz w:val="19"/>
                <w:szCs w:val="19"/>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6.</w:t>
            </w:r>
          </w:p>
        </w:tc>
        <w:tc>
          <w:tcPr>
            <w:tcW w:w="40" w:type="dxa"/>
            <w:vAlign w:val="bottom"/>
          </w:tcPr>
          <w:p>
            <w:pPr>
              <w:spacing w:after="0"/>
              <w:rPr>
                <w:sz w:val="19"/>
                <w:szCs w:val="19"/>
                <w:color w:val="auto"/>
              </w:rPr>
            </w:pPr>
          </w:p>
        </w:tc>
        <w:tc>
          <w:tcPr>
            <w:tcW w:w="10060" w:type="dxa"/>
            <w:vAlign w:val="bottom"/>
            <w:gridSpan w:val="4"/>
          </w:tcPr>
          <w:p>
            <w:pPr>
              <w:ind w:left="60"/>
              <w:spacing w:after="0" w:line="223" w:lineRule="exact"/>
              <w:rPr>
                <w:sz w:val="20"/>
                <w:szCs w:val="20"/>
                <w:color w:val="auto"/>
              </w:rPr>
            </w:pPr>
            <w:r>
              <w:rPr>
                <w:rFonts w:ascii="Arial" w:cs="Arial" w:eastAsia="Arial" w:hAnsi="Arial"/>
                <w:sz w:val="20"/>
                <w:szCs w:val="20"/>
                <w:color w:val="auto"/>
              </w:rPr>
              <w:t>Security Deposit.</w:t>
            </w:r>
          </w:p>
        </w:tc>
        <w:tc>
          <w:tcPr>
            <w:tcW w:w="100" w:type="dxa"/>
            <w:vAlign w:val="bottom"/>
            <w:tcBorders>
              <w:bottom w:val="single" w:sz="8" w:color="auto"/>
            </w:tcBorders>
          </w:tcPr>
          <w:p>
            <w:pPr>
              <w:spacing w:after="0" w:line="223" w:lineRule="exact"/>
              <w:rPr>
                <w:rFonts w:ascii="Arial" w:cs="Arial" w:eastAsia="Arial" w:hAnsi="Arial"/>
                <w:sz w:val="20"/>
                <w:szCs w:val="20"/>
                <w:color w:val="auto"/>
                <w:w w:val="71"/>
              </w:rPr>
            </w:pPr>
            <w:hyperlink w:anchor="page121">
              <w:r>
                <w:rPr>
                  <w:rFonts w:ascii="Arial" w:cs="Arial" w:eastAsia="Arial" w:hAnsi="Arial"/>
                  <w:sz w:val="20"/>
                  <w:szCs w:val="20"/>
                  <w:color w:val="auto"/>
                  <w:w w:val="71"/>
                </w:rPr>
                <w:t>6</w:t>
              </w:r>
            </w:hyperlink>
          </w:p>
        </w:tc>
        <w:tc>
          <w:tcPr>
            <w:tcW w:w="120" w:type="dxa"/>
            <w:vAlign w:val="bottom"/>
          </w:tcPr>
          <w:p>
            <w:pPr>
              <w:spacing w:after="0"/>
              <w:rPr>
                <w:sz w:val="19"/>
                <w:szCs w:val="19"/>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7.</w:t>
            </w:r>
          </w:p>
        </w:tc>
        <w:tc>
          <w:tcPr>
            <w:tcW w:w="10100" w:type="dxa"/>
            <w:vAlign w:val="bottom"/>
            <w:gridSpan w:val="5"/>
          </w:tcPr>
          <w:p>
            <w:pPr>
              <w:ind w:left="100"/>
              <w:spacing w:after="0" w:line="223" w:lineRule="exact"/>
              <w:rPr>
                <w:sz w:val="20"/>
                <w:szCs w:val="20"/>
                <w:color w:val="auto"/>
              </w:rPr>
            </w:pPr>
            <w:r>
              <w:rPr>
                <w:rFonts w:ascii="Arial" w:cs="Arial" w:eastAsia="Arial" w:hAnsi="Arial"/>
                <w:sz w:val="20"/>
                <w:szCs w:val="20"/>
                <w:color w:val="auto"/>
              </w:rPr>
              <w:t>Building Services and Signage .</w:t>
            </w:r>
          </w:p>
        </w:tc>
        <w:tc>
          <w:tcPr>
            <w:tcW w:w="100" w:type="dxa"/>
            <w:vAlign w:val="bottom"/>
            <w:tcBorders>
              <w:bottom w:val="single" w:sz="8" w:color="auto"/>
            </w:tcBorders>
          </w:tcPr>
          <w:p>
            <w:pPr>
              <w:spacing w:after="0" w:line="223" w:lineRule="exact"/>
              <w:rPr>
                <w:rFonts w:ascii="Arial" w:cs="Arial" w:eastAsia="Arial" w:hAnsi="Arial"/>
                <w:sz w:val="20"/>
                <w:szCs w:val="20"/>
                <w:color w:val="auto"/>
                <w:w w:val="71"/>
              </w:rPr>
            </w:pPr>
            <w:hyperlink w:anchor="page121">
              <w:r>
                <w:rPr>
                  <w:rFonts w:ascii="Arial" w:cs="Arial" w:eastAsia="Arial" w:hAnsi="Arial"/>
                  <w:sz w:val="20"/>
                  <w:szCs w:val="20"/>
                  <w:color w:val="auto"/>
                  <w:w w:val="71"/>
                </w:rPr>
                <w:t>6</w:t>
              </w:r>
            </w:hyperlink>
          </w:p>
        </w:tc>
        <w:tc>
          <w:tcPr>
            <w:tcW w:w="120" w:type="dxa"/>
            <w:vAlign w:val="bottom"/>
          </w:tcPr>
          <w:p>
            <w:pPr>
              <w:spacing w:after="0"/>
              <w:rPr>
                <w:sz w:val="19"/>
                <w:szCs w:val="19"/>
                <w:color w:val="auto"/>
              </w:rPr>
            </w:pPr>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8.</w:t>
            </w:r>
          </w:p>
        </w:tc>
        <w:tc>
          <w:tcPr>
            <w:tcW w:w="40" w:type="dxa"/>
            <w:vAlign w:val="bottom"/>
          </w:tcPr>
          <w:p>
            <w:pPr>
              <w:spacing w:after="0"/>
              <w:rPr>
                <w:sz w:val="19"/>
                <w:szCs w:val="19"/>
                <w:color w:val="auto"/>
              </w:rPr>
            </w:pPr>
          </w:p>
        </w:tc>
        <w:tc>
          <w:tcPr>
            <w:tcW w:w="10060" w:type="dxa"/>
            <w:vAlign w:val="bottom"/>
            <w:gridSpan w:val="4"/>
          </w:tcPr>
          <w:p>
            <w:pPr>
              <w:ind w:left="60"/>
              <w:spacing w:after="0" w:line="223" w:lineRule="exact"/>
              <w:rPr>
                <w:sz w:val="20"/>
                <w:szCs w:val="20"/>
                <w:color w:val="auto"/>
              </w:rPr>
            </w:pPr>
            <w:r>
              <w:rPr>
                <w:rFonts w:ascii="Arial" w:cs="Arial" w:eastAsia="Arial" w:hAnsi="Arial"/>
                <w:sz w:val="20"/>
                <w:szCs w:val="20"/>
                <w:color w:val="auto"/>
              </w:rPr>
              <w:t>Leasehold Improvements.</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10</w:t>
              </w:r>
            </w:hyperlink>
          </w:p>
        </w:tc>
      </w:tr>
      <w:tr>
        <w:trPr>
          <w:trHeight w:val="223"/>
        </w:trPr>
        <w:tc>
          <w:tcPr>
            <w:tcW w:w="360" w:type="dxa"/>
            <w:vAlign w:val="bottom"/>
          </w:tcPr>
          <w:p>
            <w:pPr>
              <w:ind w:left="80"/>
              <w:spacing w:after="0" w:line="223" w:lineRule="exact"/>
              <w:rPr>
                <w:sz w:val="20"/>
                <w:szCs w:val="20"/>
                <w:color w:val="auto"/>
              </w:rPr>
            </w:pPr>
            <w:r>
              <w:rPr>
                <w:rFonts w:ascii="Arial" w:cs="Arial" w:eastAsia="Arial" w:hAnsi="Arial"/>
                <w:sz w:val="20"/>
                <w:szCs w:val="20"/>
                <w:color w:val="auto"/>
              </w:rPr>
              <w:t>9.</w:t>
            </w:r>
          </w:p>
        </w:tc>
        <w:tc>
          <w:tcPr>
            <w:tcW w:w="40" w:type="dxa"/>
            <w:vAlign w:val="bottom"/>
          </w:tcPr>
          <w:p>
            <w:pPr>
              <w:spacing w:after="0"/>
              <w:rPr>
                <w:sz w:val="19"/>
                <w:szCs w:val="19"/>
                <w:color w:val="auto"/>
              </w:rPr>
            </w:pPr>
          </w:p>
        </w:tc>
        <w:tc>
          <w:tcPr>
            <w:tcW w:w="10060" w:type="dxa"/>
            <w:vAlign w:val="bottom"/>
            <w:gridSpan w:val="4"/>
          </w:tcPr>
          <w:p>
            <w:pPr>
              <w:ind w:left="60"/>
              <w:spacing w:after="0" w:line="223" w:lineRule="exact"/>
              <w:rPr>
                <w:sz w:val="20"/>
                <w:szCs w:val="20"/>
                <w:color w:val="auto"/>
              </w:rPr>
            </w:pPr>
            <w:r>
              <w:rPr>
                <w:rFonts w:ascii="Arial" w:cs="Arial" w:eastAsia="Arial" w:hAnsi="Arial"/>
                <w:sz w:val="20"/>
                <w:szCs w:val="20"/>
                <w:color w:val="auto"/>
              </w:rPr>
              <w:t>Repairs and Alterations.</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11</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10.</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Entry by Landlord.</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13</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11.</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Assignment and Subletting.</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14</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12.</w:t>
            </w:r>
          </w:p>
        </w:tc>
        <w:tc>
          <w:tcPr>
            <w:tcW w:w="860" w:type="dxa"/>
            <w:vAlign w:val="bottom"/>
            <w:gridSpan w:val="3"/>
          </w:tcPr>
          <w:p>
            <w:pPr>
              <w:ind w:left="180"/>
              <w:spacing w:after="0" w:line="223" w:lineRule="exact"/>
              <w:rPr>
                <w:sz w:val="20"/>
                <w:szCs w:val="20"/>
                <w:color w:val="auto"/>
              </w:rPr>
            </w:pPr>
            <w:r>
              <w:rPr>
                <w:rFonts w:ascii="Arial" w:cs="Arial" w:eastAsia="Arial" w:hAnsi="Arial"/>
                <w:sz w:val="20"/>
                <w:szCs w:val="20"/>
                <w:color w:val="auto"/>
              </w:rPr>
              <w:t>Liens.</w:t>
            </w:r>
          </w:p>
        </w:tc>
        <w:tc>
          <w:tcPr>
            <w:tcW w:w="9200" w:type="dxa"/>
            <w:vAlign w:val="bottom"/>
          </w:tcPr>
          <w:p>
            <w:pPr>
              <w:spacing w:after="0"/>
              <w:rPr>
                <w:sz w:val="19"/>
                <w:szCs w:val="19"/>
                <w:color w:val="auto"/>
              </w:rPr>
            </w:pP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16</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13.</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Indemnity and Waiver of Claims.</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16</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14.</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Insurance.</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17</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15.</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Subrogation.</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18</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16.</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Casualty Damage.</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18</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17.</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Condemnation.</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19</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18.</w:t>
            </w:r>
          </w:p>
        </w:tc>
        <w:tc>
          <w:tcPr>
            <w:tcW w:w="860" w:type="dxa"/>
            <w:vAlign w:val="bottom"/>
            <w:gridSpan w:val="3"/>
          </w:tcPr>
          <w:p>
            <w:pPr>
              <w:ind w:left="180"/>
              <w:spacing w:after="0" w:line="223" w:lineRule="exact"/>
              <w:rPr>
                <w:sz w:val="20"/>
                <w:szCs w:val="20"/>
                <w:color w:val="auto"/>
              </w:rPr>
            </w:pPr>
            <w:r>
              <w:rPr>
                <w:rFonts w:ascii="Arial" w:cs="Arial" w:eastAsia="Arial" w:hAnsi="Arial"/>
                <w:sz w:val="20"/>
                <w:szCs w:val="20"/>
                <w:color w:val="auto"/>
                <w:w w:val="95"/>
              </w:rPr>
              <w:t>Default.</w:t>
            </w:r>
          </w:p>
        </w:tc>
        <w:tc>
          <w:tcPr>
            <w:tcW w:w="9200" w:type="dxa"/>
            <w:vAlign w:val="bottom"/>
          </w:tcPr>
          <w:p>
            <w:pPr>
              <w:spacing w:after="0"/>
              <w:rPr>
                <w:sz w:val="19"/>
                <w:szCs w:val="19"/>
                <w:color w:val="auto"/>
              </w:rPr>
            </w:pP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19</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19.</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Remedies.</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20</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20.</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Limitation of Liability.</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21</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21.</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Intentionally Omitted.</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22</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22.</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Holding Over.</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22</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23.</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Subordination to Mortgages; Estoppel Certificate.</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22</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24.</w:t>
            </w:r>
          </w:p>
        </w:tc>
        <w:tc>
          <w:tcPr>
            <w:tcW w:w="860" w:type="dxa"/>
            <w:vAlign w:val="bottom"/>
            <w:gridSpan w:val="3"/>
          </w:tcPr>
          <w:p>
            <w:pPr>
              <w:ind w:left="180"/>
              <w:spacing w:after="0" w:line="223" w:lineRule="exact"/>
              <w:rPr>
                <w:sz w:val="20"/>
                <w:szCs w:val="20"/>
                <w:color w:val="auto"/>
              </w:rPr>
            </w:pPr>
            <w:r>
              <w:rPr>
                <w:rFonts w:ascii="Arial" w:cs="Arial" w:eastAsia="Arial" w:hAnsi="Arial"/>
                <w:sz w:val="20"/>
                <w:szCs w:val="20"/>
                <w:color w:val="auto"/>
              </w:rPr>
              <w:t>Notice.</w:t>
            </w:r>
          </w:p>
        </w:tc>
        <w:tc>
          <w:tcPr>
            <w:tcW w:w="9200" w:type="dxa"/>
            <w:vAlign w:val="bottom"/>
          </w:tcPr>
          <w:p>
            <w:pPr>
              <w:spacing w:after="0"/>
              <w:rPr>
                <w:sz w:val="19"/>
                <w:szCs w:val="19"/>
                <w:color w:val="auto"/>
              </w:rPr>
            </w:pP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23</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25.</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Surrender of Premises.</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24</w:t>
              </w:r>
            </w:hyperlink>
          </w:p>
        </w:tc>
      </w:tr>
      <w:tr>
        <w:trPr>
          <w:trHeight w:val="223"/>
        </w:trPr>
        <w:tc>
          <w:tcPr>
            <w:tcW w:w="400" w:type="dxa"/>
            <w:vAlign w:val="bottom"/>
            <w:gridSpan w:val="2"/>
          </w:tcPr>
          <w:p>
            <w:pPr>
              <w:ind w:left="80"/>
              <w:spacing w:after="0" w:line="223" w:lineRule="exact"/>
              <w:rPr>
                <w:sz w:val="20"/>
                <w:szCs w:val="20"/>
                <w:color w:val="auto"/>
              </w:rPr>
            </w:pPr>
            <w:r>
              <w:rPr>
                <w:rFonts w:ascii="Arial" w:cs="Arial" w:eastAsia="Arial" w:hAnsi="Arial"/>
                <w:sz w:val="20"/>
                <w:szCs w:val="20"/>
                <w:color w:val="auto"/>
              </w:rPr>
              <w:t>26.</w:t>
            </w:r>
          </w:p>
        </w:tc>
        <w:tc>
          <w:tcPr>
            <w:tcW w:w="10060" w:type="dxa"/>
            <w:vAlign w:val="bottom"/>
            <w:gridSpan w:val="4"/>
          </w:tcPr>
          <w:p>
            <w:pPr>
              <w:ind w:left="180"/>
              <w:spacing w:after="0" w:line="223" w:lineRule="exact"/>
              <w:rPr>
                <w:sz w:val="20"/>
                <w:szCs w:val="20"/>
                <w:color w:val="auto"/>
              </w:rPr>
            </w:pPr>
            <w:r>
              <w:rPr>
                <w:rFonts w:ascii="Arial" w:cs="Arial" w:eastAsia="Arial" w:hAnsi="Arial"/>
                <w:sz w:val="20"/>
                <w:szCs w:val="20"/>
                <w:color w:val="auto"/>
              </w:rPr>
              <w:t>Miscellaneous.</w:t>
            </w:r>
          </w:p>
        </w:tc>
        <w:tc>
          <w:tcPr>
            <w:tcW w:w="220" w:type="dxa"/>
            <w:vAlign w:val="bottom"/>
            <w:tcBorders>
              <w:bottom w:val="single" w:sz="8" w:color="auto"/>
            </w:tcBorders>
            <w:gridSpan w:val="2"/>
          </w:tcPr>
          <w:p>
            <w:pPr>
              <w:spacing w:after="0" w:line="223" w:lineRule="exact"/>
              <w:rPr>
                <w:rFonts w:ascii="Arial" w:cs="Arial" w:eastAsia="Arial" w:hAnsi="Arial"/>
                <w:sz w:val="20"/>
                <w:szCs w:val="20"/>
                <w:color w:val="auto"/>
                <w:w w:val="89"/>
              </w:rPr>
            </w:pPr>
            <w:hyperlink w:anchor="page121">
              <w:r>
                <w:rPr>
                  <w:rFonts w:ascii="Arial" w:cs="Arial" w:eastAsia="Arial" w:hAnsi="Arial"/>
                  <w:sz w:val="20"/>
                  <w:szCs w:val="20"/>
                  <w:color w:val="auto"/>
                  <w:w w:val="89"/>
                </w:rPr>
                <w:t>24</w:t>
              </w:r>
            </w:hyperlink>
          </w:p>
        </w:tc>
      </w:tr>
      <w:tr>
        <w:trPr>
          <w:trHeight w:val="534"/>
        </w:trPr>
        <w:tc>
          <w:tcPr>
            <w:tcW w:w="980" w:type="dxa"/>
            <w:vAlign w:val="bottom"/>
            <w:gridSpan w:val="4"/>
          </w:tcPr>
          <w:p>
            <w:pPr>
              <w:spacing w:after="0"/>
              <w:rPr>
                <w:sz w:val="20"/>
                <w:szCs w:val="20"/>
                <w:color w:val="auto"/>
              </w:rPr>
            </w:pPr>
            <w:r>
              <w:rPr>
                <w:rFonts w:ascii="Arial" w:cs="Arial" w:eastAsia="Arial" w:hAnsi="Arial"/>
                <w:sz w:val="20"/>
                <w:szCs w:val="20"/>
                <w:b w:val="1"/>
                <w:bCs w:val="1"/>
                <w:color w:val="auto"/>
              </w:rPr>
              <w:t>Exhibits:</w:t>
            </w:r>
          </w:p>
        </w:tc>
        <w:tc>
          <w:tcPr>
            <w:tcW w:w="28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8"/>
        </w:trPr>
        <w:tc>
          <w:tcPr>
            <w:tcW w:w="7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w w:val="96"/>
              </w:rPr>
              <w:t>Exhibit A</w:t>
            </w:r>
          </w:p>
        </w:tc>
        <w:tc>
          <w:tcPr>
            <w:tcW w:w="200" w:type="dxa"/>
            <w:vAlign w:val="bottom"/>
          </w:tcPr>
          <w:p>
            <w:pPr>
              <w:spacing w:after="0"/>
              <w:rPr>
                <w:sz w:val="24"/>
                <w:szCs w:val="24"/>
                <w:color w:val="auto"/>
              </w:rPr>
            </w:pPr>
          </w:p>
        </w:tc>
        <w:tc>
          <w:tcPr>
            <w:tcW w:w="28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9200" w:type="dxa"/>
            <w:vAlign w:val="bottom"/>
          </w:tcPr>
          <w:p>
            <w:pPr>
              <w:ind w:left="20"/>
              <w:spacing w:after="0"/>
              <w:rPr>
                <w:sz w:val="20"/>
                <w:szCs w:val="20"/>
                <w:color w:val="auto"/>
              </w:rPr>
            </w:pPr>
            <w:r>
              <w:rPr>
                <w:rFonts w:ascii="Arial" w:cs="Arial" w:eastAsia="Arial" w:hAnsi="Arial"/>
                <w:sz w:val="20"/>
                <w:szCs w:val="20"/>
                <w:color w:val="auto"/>
              </w:rPr>
              <w:t>Outline and Location of Premises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10460" w:type="dxa"/>
            <w:vAlign w:val="bottom"/>
            <w:gridSpan w:val="6"/>
          </w:tcPr>
          <w:p>
            <w:pPr>
              <w:spacing w:after="0" w:line="189" w:lineRule="exact"/>
              <w:rPr>
                <w:sz w:val="20"/>
                <w:szCs w:val="20"/>
                <w:color w:val="auto"/>
              </w:rPr>
            </w:pPr>
            <w:r>
              <w:rPr>
                <w:rFonts w:ascii="Arial" w:cs="Arial" w:eastAsia="Arial" w:hAnsi="Arial"/>
                <w:sz w:val="20"/>
                <w:szCs w:val="20"/>
                <w:color w:val="auto"/>
              </w:rPr>
              <w:t>Exhibit A-1 -   Outline and Location of Offer Space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460" w:type="dxa"/>
            <w:vAlign w:val="bottom"/>
            <w:gridSpan w:val="6"/>
          </w:tcPr>
          <w:p>
            <w:pPr>
              <w:spacing w:after="0" w:line="189" w:lineRule="exact"/>
              <w:rPr>
                <w:sz w:val="20"/>
                <w:szCs w:val="20"/>
                <w:color w:val="auto"/>
              </w:rPr>
            </w:pPr>
            <w:r>
              <w:rPr>
                <w:rFonts w:ascii="Arial" w:cs="Arial" w:eastAsia="Arial" w:hAnsi="Arial"/>
                <w:sz w:val="20"/>
                <w:szCs w:val="20"/>
                <w:color w:val="auto"/>
              </w:rPr>
              <w:t>Exhibit A-2 -   Outline and Location of ROFR Space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B</w:t>
            </w:r>
          </w:p>
        </w:tc>
        <w:tc>
          <w:tcPr>
            <w:tcW w:w="280" w:type="dxa"/>
            <w:vAlign w:val="bottom"/>
          </w:tcPr>
          <w:p>
            <w:pPr>
              <w:jc w:val="right"/>
              <w:ind w:right="81"/>
              <w:spacing w:after="0" w:line="189" w:lineRule="exact"/>
              <w:rPr>
                <w:sz w:val="20"/>
                <w:szCs w:val="20"/>
                <w:color w:val="auto"/>
              </w:rPr>
            </w:pPr>
            <w:r>
              <w:rPr>
                <w:rFonts w:ascii="Arial" w:cs="Arial" w:eastAsia="Arial" w:hAnsi="Arial"/>
                <w:sz w:val="20"/>
                <w:szCs w:val="20"/>
                <w:color w:val="auto"/>
              </w:rPr>
              <w:t>-</w:t>
            </w:r>
          </w:p>
        </w:tc>
        <w:tc>
          <w:tcPr>
            <w:tcW w:w="9200" w:type="dxa"/>
            <w:vAlign w:val="bottom"/>
          </w:tcPr>
          <w:p>
            <w:pPr>
              <w:ind w:left="40"/>
              <w:spacing w:after="0" w:line="189" w:lineRule="exact"/>
              <w:rPr>
                <w:sz w:val="20"/>
                <w:szCs w:val="20"/>
                <w:color w:val="auto"/>
              </w:rPr>
            </w:pPr>
            <w:r>
              <w:rPr>
                <w:rFonts w:ascii="Arial" w:cs="Arial" w:eastAsia="Arial" w:hAnsi="Arial"/>
                <w:sz w:val="20"/>
                <w:szCs w:val="20"/>
                <w:color w:val="auto"/>
              </w:rPr>
              <w:t>Expenses and Taxes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C</w:t>
            </w:r>
          </w:p>
        </w:tc>
        <w:tc>
          <w:tcPr>
            <w:tcW w:w="280" w:type="dxa"/>
            <w:vAlign w:val="bottom"/>
          </w:tcPr>
          <w:p>
            <w:pPr>
              <w:jc w:val="right"/>
              <w:ind w:right="81"/>
              <w:spacing w:after="0" w:line="189" w:lineRule="exact"/>
              <w:rPr>
                <w:sz w:val="20"/>
                <w:szCs w:val="20"/>
                <w:color w:val="auto"/>
              </w:rPr>
            </w:pPr>
            <w:r>
              <w:rPr>
                <w:rFonts w:ascii="Arial" w:cs="Arial" w:eastAsia="Arial" w:hAnsi="Arial"/>
                <w:sz w:val="20"/>
                <w:szCs w:val="20"/>
                <w:color w:val="auto"/>
              </w:rPr>
              <w:t>-</w:t>
            </w:r>
          </w:p>
        </w:tc>
        <w:tc>
          <w:tcPr>
            <w:tcW w:w="9200" w:type="dxa"/>
            <w:vAlign w:val="bottom"/>
          </w:tcPr>
          <w:p>
            <w:pPr>
              <w:ind w:left="40"/>
              <w:spacing w:after="0" w:line="189" w:lineRule="exact"/>
              <w:rPr>
                <w:sz w:val="20"/>
                <w:szCs w:val="20"/>
                <w:color w:val="auto"/>
              </w:rPr>
            </w:pPr>
            <w:r>
              <w:rPr>
                <w:rFonts w:ascii="Arial" w:cs="Arial" w:eastAsia="Arial" w:hAnsi="Arial"/>
                <w:sz w:val="20"/>
                <w:szCs w:val="20"/>
                <w:color w:val="auto"/>
              </w:rPr>
              <w:t>Work Letter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460" w:type="dxa"/>
            <w:vAlign w:val="bottom"/>
            <w:gridSpan w:val="6"/>
          </w:tcPr>
          <w:p>
            <w:pPr>
              <w:spacing w:after="0" w:line="189" w:lineRule="exact"/>
              <w:rPr>
                <w:sz w:val="20"/>
                <w:szCs w:val="20"/>
                <w:color w:val="auto"/>
              </w:rPr>
            </w:pPr>
            <w:r>
              <w:rPr>
                <w:rFonts w:ascii="Arial" w:cs="Arial" w:eastAsia="Arial" w:hAnsi="Arial"/>
                <w:sz w:val="20"/>
                <w:szCs w:val="20"/>
                <w:color w:val="auto"/>
              </w:rPr>
              <w:t>Schedule C-1 -   Space Plans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D</w:t>
            </w:r>
          </w:p>
        </w:tc>
        <w:tc>
          <w:tcPr>
            <w:tcW w:w="280" w:type="dxa"/>
            <w:vAlign w:val="bottom"/>
          </w:tcPr>
          <w:p>
            <w:pPr>
              <w:jc w:val="right"/>
              <w:ind w:right="81"/>
              <w:spacing w:after="0" w:line="189" w:lineRule="exact"/>
              <w:rPr>
                <w:sz w:val="20"/>
                <w:szCs w:val="20"/>
                <w:color w:val="auto"/>
              </w:rPr>
            </w:pPr>
            <w:r>
              <w:rPr>
                <w:rFonts w:ascii="Arial" w:cs="Arial" w:eastAsia="Arial" w:hAnsi="Arial"/>
                <w:sz w:val="20"/>
                <w:szCs w:val="20"/>
                <w:color w:val="auto"/>
              </w:rPr>
              <w:t>-</w:t>
            </w:r>
          </w:p>
        </w:tc>
        <w:tc>
          <w:tcPr>
            <w:tcW w:w="9200" w:type="dxa"/>
            <w:vAlign w:val="bottom"/>
          </w:tcPr>
          <w:p>
            <w:pPr>
              <w:ind w:left="40"/>
              <w:spacing w:after="0" w:line="189" w:lineRule="exact"/>
              <w:rPr>
                <w:sz w:val="20"/>
                <w:szCs w:val="20"/>
                <w:color w:val="auto"/>
              </w:rPr>
            </w:pPr>
            <w:r>
              <w:rPr>
                <w:rFonts w:ascii="Arial" w:cs="Arial" w:eastAsia="Arial" w:hAnsi="Arial"/>
                <w:sz w:val="20"/>
                <w:szCs w:val="20"/>
                <w:color w:val="auto"/>
              </w:rPr>
              <w:t>Premises Acceptance Letter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E</w:t>
            </w:r>
          </w:p>
        </w:tc>
        <w:tc>
          <w:tcPr>
            <w:tcW w:w="280" w:type="dxa"/>
            <w:vAlign w:val="bottom"/>
          </w:tcPr>
          <w:p>
            <w:pPr>
              <w:jc w:val="right"/>
              <w:ind w:right="81"/>
              <w:spacing w:after="0" w:line="189" w:lineRule="exact"/>
              <w:rPr>
                <w:sz w:val="20"/>
                <w:szCs w:val="20"/>
                <w:color w:val="auto"/>
              </w:rPr>
            </w:pPr>
            <w:r>
              <w:rPr>
                <w:rFonts w:ascii="Arial" w:cs="Arial" w:eastAsia="Arial" w:hAnsi="Arial"/>
                <w:sz w:val="20"/>
                <w:szCs w:val="20"/>
                <w:color w:val="auto"/>
              </w:rPr>
              <w:t>-</w:t>
            </w:r>
          </w:p>
        </w:tc>
        <w:tc>
          <w:tcPr>
            <w:tcW w:w="9200" w:type="dxa"/>
            <w:vAlign w:val="bottom"/>
          </w:tcPr>
          <w:p>
            <w:pPr>
              <w:ind w:left="40"/>
              <w:spacing w:after="0" w:line="189" w:lineRule="exact"/>
              <w:rPr>
                <w:sz w:val="20"/>
                <w:szCs w:val="20"/>
                <w:color w:val="auto"/>
              </w:rPr>
            </w:pPr>
            <w:r>
              <w:rPr>
                <w:rFonts w:ascii="Arial" w:cs="Arial" w:eastAsia="Arial" w:hAnsi="Arial"/>
                <w:sz w:val="20"/>
                <w:szCs w:val="20"/>
                <w:color w:val="auto"/>
              </w:rPr>
              <w:t>Building Rules and Regulations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F</w:t>
            </w:r>
          </w:p>
        </w:tc>
        <w:tc>
          <w:tcPr>
            <w:tcW w:w="280" w:type="dxa"/>
            <w:vAlign w:val="bottom"/>
          </w:tcPr>
          <w:p>
            <w:pPr>
              <w:jc w:val="right"/>
              <w:ind w:right="101"/>
              <w:spacing w:after="0" w:line="189" w:lineRule="exact"/>
              <w:rPr>
                <w:sz w:val="20"/>
                <w:szCs w:val="20"/>
                <w:color w:val="auto"/>
              </w:rPr>
            </w:pPr>
            <w:r>
              <w:rPr>
                <w:rFonts w:ascii="Arial" w:cs="Arial" w:eastAsia="Arial" w:hAnsi="Arial"/>
                <w:sz w:val="20"/>
                <w:szCs w:val="20"/>
                <w:color w:val="auto"/>
                <w:w w:val="89"/>
              </w:rPr>
              <w:t>-</w:t>
            </w:r>
          </w:p>
        </w:tc>
        <w:tc>
          <w:tcPr>
            <w:tcW w:w="9200" w:type="dxa"/>
            <w:vAlign w:val="bottom"/>
          </w:tcPr>
          <w:p>
            <w:pPr>
              <w:ind w:left="20"/>
              <w:spacing w:after="0" w:line="189" w:lineRule="exact"/>
              <w:rPr>
                <w:sz w:val="20"/>
                <w:szCs w:val="20"/>
                <w:color w:val="auto"/>
              </w:rPr>
            </w:pPr>
            <w:r>
              <w:rPr>
                <w:rFonts w:ascii="Arial" w:cs="Arial" w:eastAsia="Arial" w:hAnsi="Arial"/>
                <w:sz w:val="20"/>
                <w:szCs w:val="20"/>
                <w:color w:val="auto"/>
              </w:rPr>
              <w:t>Additional Provisions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F-1</w:t>
            </w:r>
          </w:p>
        </w:tc>
        <w:tc>
          <w:tcPr>
            <w:tcW w:w="280" w:type="dxa"/>
            <w:vAlign w:val="bottom"/>
          </w:tcPr>
          <w:p>
            <w:pPr>
              <w:jc w:val="right"/>
              <w:spacing w:after="0" w:line="189" w:lineRule="exact"/>
              <w:rPr>
                <w:sz w:val="20"/>
                <w:szCs w:val="20"/>
                <w:color w:val="auto"/>
              </w:rPr>
            </w:pPr>
            <w:r>
              <w:rPr>
                <w:rFonts w:ascii="Arial" w:cs="Arial" w:eastAsia="Arial" w:hAnsi="Arial"/>
                <w:sz w:val="20"/>
                <w:szCs w:val="20"/>
                <w:color w:val="auto"/>
              </w:rPr>
              <w:t>-</w:t>
            </w:r>
          </w:p>
        </w:tc>
        <w:tc>
          <w:tcPr>
            <w:tcW w:w="9200" w:type="dxa"/>
            <w:vAlign w:val="bottom"/>
          </w:tcPr>
          <w:p>
            <w:pPr>
              <w:ind w:left="200"/>
              <w:spacing w:after="0" w:line="189" w:lineRule="exact"/>
              <w:rPr>
                <w:sz w:val="20"/>
                <w:szCs w:val="20"/>
                <w:color w:val="auto"/>
              </w:rPr>
            </w:pPr>
            <w:r>
              <w:rPr>
                <w:rFonts w:ascii="Arial" w:cs="Arial" w:eastAsia="Arial" w:hAnsi="Arial"/>
                <w:sz w:val="20"/>
                <w:szCs w:val="20"/>
                <w:color w:val="auto"/>
              </w:rPr>
              <w:t>Form of Letter of Credit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80" w:type="dxa"/>
            <w:vAlign w:val="bottom"/>
            <w:gridSpan w:val="4"/>
          </w:tcPr>
          <w:p>
            <w:pPr>
              <w:spacing w:after="0" w:line="189" w:lineRule="exact"/>
              <w:rPr>
                <w:sz w:val="20"/>
                <w:szCs w:val="20"/>
                <w:color w:val="auto"/>
              </w:rPr>
            </w:pPr>
            <w:r>
              <w:rPr>
                <w:rFonts w:ascii="Arial" w:cs="Arial" w:eastAsia="Arial" w:hAnsi="Arial"/>
                <w:sz w:val="20"/>
                <w:szCs w:val="20"/>
                <w:color w:val="auto"/>
              </w:rPr>
              <w:t>Exhibit G</w:t>
            </w:r>
          </w:p>
        </w:tc>
        <w:tc>
          <w:tcPr>
            <w:tcW w:w="280" w:type="dxa"/>
            <w:vAlign w:val="bottom"/>
          </w:tcPr>
          <w:p>
            <w:pPr>
              <w:jc w:val="right"/>
              <w:ind w:right="61"/>
              <w:spacing w:after="0" w:line="189" w:lineRule="exact"/>
              <w:rPr>
                <w:sz w:val="20"/>
                <w:szCs w:val="20"/>
                <w:color w:val="auto"/>
              </w:rPr>
            </w:pPr>
            <w:r>
              <w:rPr>
                <w:rFonts w:ascii="Arial" w:cs="Arial" w:eastAsia="Arial" w:hAnsi="Arial"/>
                <w:sz w:val="20"/>
                <w:szCs w:val="20"/>
                <w:color w:val="auto"/>
              </w:rPr>
              <w:t>-</w:t>
            </w:r>
          </w:p>
        </w:tc>
        <w:tc>
          <w:tcPr>
            <w:tcW w:w="9200" w:type="dxa"/>
            <w:vAlign w:val="bottom"/>
          </w:tcPr>
          <w:p>
            <w:pPr>
              <w:ind w:left="60"/>
              <w:spacing w:after="0" w:line="189" w:lineRule="exact"/>
              <w:rPr>
                <w:sz w:val="20"/>
                <w:szCs w:val="20"/>
                <w:color w:val="auto"/>
              </w:rPr>
            </w:pPr>
            <w:r>
              <w:rPr>
                <w:rFonts w:ascii="Arial" w:cs="Arial" w:eastAsia="Arial" w:hAnsi="Arial"/>
                <w:sz w:val="20"/>
                <w:szCs w:val="20"/>
                <w:color w:val="auto"/>
              </w:rPr>
              <w:t>Intentionally Omitted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460" w:type="dxa"/>
            <w:vAlign w:val="bottom"/>
            <w:gridSpan w:val="6"/>
          </w:tcPr>
          <w:p>
            <w:pPr>
              <w:spacing w:after="0" w:line="189" w:lineRule="exact"/>
              <w:rPr>
                <w:sz w:val="20"/>
                <w:szCs w:val="20"/>
                <w:color w:val="auto"/>
              </w:rPr>
            </w:pPr>
            <w:r>
              <w:rPr>
                <w:rFonts w:ascii="Arial" w:cs="Arial" w:eastAsia="Arial" w:hAnsi="Arial"/>
                <w:sz w:val="20"/>
                <w:szCs w:val="20"/>
                <w:color w:val="auto"/>
              </w:rPr>
              <w:t>Exhibit G-1 -  State Specific Rider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460" w:type="dxa"/>
            <w:vAlign w:val="bottom"/>
            <w:gridSpan w:val="6"/>
          </w:tcPr>
          <w:p>
            <w:pPr>
              <w:spacing w:after="0" w:line="189" w:lineRule="exact"/>
              <w:rPr>
                <w:sz w:val="20"/>
                <w:szCs w:val="20"/>
                <w:color w:val="auto"/>
              </w:rPr>
            </w:pPr>
            <w:r>
              <w:rPr>
                <w:rFonts w:ascii="Arial" w:cs="Arial" w:eastAsia="Arial" w:hAnsi="Arial"/>
                <w:sz w:val="20"/>
                <w:szCs w:val="20"/>
                <w:color w:val="auto"/>
              </w:rPr>
              <w:t>Exhibit H -   Parking Agreement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10460" w:type="dxa"/>
            <w:vAlign w:val="bottom"/>
            <w:gridSpan w:val="6"/>
          </w:tcPr>
          <w:p>
            <w:pPr>
              <w:spacing w:after="0" w:line="189" w:lineRule="exact"/>
              <w:rPr>
                <w:sz w:val="20"/>
                <w:szCs w:val="20"/>
                <w:color w:val="auto"/>
              </w:rPr>
            </w:pPr>
            <w:r>
              <w:rPr>
                <w:rFonts w:ascii="Arial" w:cs="Arial" w:eastAsia="Arial" w:hAnsi="Arial"/>
                <w:sz w:val="20"/>
                <w:szCs w:val="20"/>
                <w:color w:val="auto"/>
              </w:rPr>
              <w:t>Exhibit H-1 -   Parking Facility Rules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7"/>
        </w:trPr>
        <w:tc>
          <w:tcPr>
            <w:tcW w:w="980" w:type="dxa"/>
            <w:vAlign w:val="bottom"/>
            <w:gridSpan w:val="4"/>
          </w:tcPr>
          <w:p>
            <w:pPr>
              <w:spacing w:after="0"/>
              <w:rPr>
                <w:sz w:val="20"/>
                <w:szCs w:val="20"/>
                <w:color w:val="auto"/>
              </w:rPr>
            </w:pPr>
            <w:r>
              <w:rPr>
                <w:rFonts w:ascii="Arial" w:cs="Arial" w:eastAsia="Arial" w:hAnsi="Arial"/>
                <w:sz w:val="20"/>
                <w:szCs w:val="20"/>
                <w:color w:val="auto"/>
              </w:rPr>
              <w:t>Exhibit I</w:t>
            </w:r>
          </w:p>
        </w:tc>
        <w:tc>
          <w:tcPr>
            <w:tcW w:w="28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9200" w:type="dxa"/>
            <w:vAlign w:val="bottom"/>
          </w:tcPr>
          <w:p>
            <w:pPr>
              <w:ind w:left="20"/>
              <w:spacing w:after="0"/>
              <w:rPr>
                <w:sz w:val="20"/>
                <w:szCs w:val="20"/>
                <w:color w:val="auto"/>
              </w:rPr>
            </w:pPr>
            <w:r>
              <w:rPr>
                <w:rFonts w:ascii="Arial" w:cs="Arial" w:eastAsia="Arial" w:hAnsi="Arial"/>
                <w:sz w:val="20"/>
                <w:szCs w:val="20"/>
                <w:color w:val="auto"/>
              </w:rPr>
              <w:t>Form of Subordination, Non-Disturbance and Attornment Agreement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680"/>
          </w:cols>
          <w:pgMar w:left="320" w:top="1440" w:right="8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OFFICE LEASE AGREEMENT</w:t>
      </w:r>
    </w:p>
    <w:p>
      <w:pPr>
        <w:spacing w:after="0" w:line="17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0"/>
          <w:szCs w:val="20"/>
          <w:b w:val="1"/>
          <w:bCs w:val="1"/>
          <w:color w:val="auto"/>
        </w:rPr>
        <w:t xml:space="preserve">THIS OFFICE LEASE AGREEMENT </w:t>
      </w:r>
      <w:r>
        <w:rPr>
          <w:rFonts w:ascii="Arial" w:cs="Arial" w:eastAsia="Arial" w:hAnsi="Arial"/>
          <w:sz w:val="20"/>
          <w:szCs w:val="20"/>
          <w:color w:val="auto"/>
        </w:rPr>
        <w:t>(this “</w:t>
      </w:r>
      <w:r>
        <w:rPr>
          <w:rFonts w:ascii="Arial" w:cs="Arial" w:eastAsia="Arial" w:hAnsi="Arial"/>
          <w:sz w:val="20"/>
          <w:szCs w:val="20"/>
          <w:b w:val="1"/>
          <w:bCs w:val="1"/>
          <w:color w:val="auto"/>
        </w:rPr>
        <w:t>Lease</w:t>
      </w:r>
      <w:r>
        <w:rPr>
          <w:rFonts w:ascii="Arial" w:cs="Arial" w:eastAsia="Arial" w:hAnsi="Arial"/>
          <w:sz w:val="20"/>
          <w:szCs w:val="20"/>
          <w:color w:val="auto"/>
        </w:rPr>
        <w:t>”) is made and entered into as of April 20, 2018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and between </w:t>
      </w:r>
      <w:r>
        <w:rPr>
          <w:rFonts w:ascii="Arial" w:cs="Arial" w:eastAsia="Arial" w:hAnsi="Arial"/>
          <w:sz w:val="20"/>
          <w:szCs w:val="20"/>
          <w:b w:val="1"/>
          <w:bCs w:val="1"/>
          <w:color w:val="auto"/>
        </w:rPr>
        <w:t>EQC CAPITOL 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xml:space="preserve">”) and </w:t>
      </w:r>
      <w:r>
        <w:rPr>
          <w:rFonts w:ascii="Arial" w:cs="Arial" w:eastAsia="Arial" w:hAnsi="Arial"/>
          <w:sz w:val="20"/>
          <w:szCs w:val="20"/>
          <w:b w:val="1"/>
          <w:bCs w:val="1"/>
          <w:color w:val="auto"/>
        </w:rPr>
        <w:t>CROWDSTRIKE, INC.</w:t>
      </w:r>
      <w:r>
        <w:rPr>
          <w:rFonts w:ascii="Arial" w:cs="Arial" w:eastAsia="Arial" w:hAnsi="Arial"/>
          <w:sz w:val="20"/>
          <w:szCs w:val="20"/>
          <w:color w:val="auto"/>
        </w:rPr>
        <w:t>, a Delaware corporation (“</w:t>
      </w:r>
      <w:r>
        <w:rPr>
          <w:rFonts w:ascii="Arial" w:cs="Arial" w:eastAsia="Arial" w:hAnsi="Arial"/>
          <w:sz w:val="20"/>
          <w:szCs w:val="20"/>
          <w:b w:val="1"/>
          <w:bCs w:val="1"/>
          <w:color w:val="auto"/>
        </w:rPr>
        <w:t>Tenant</w:t>
      </w:r>
      <w:r>
        <w:rPr>
          <w:rFonts w:ascii="Arial" w:cs="Arial" w:eastAsia="Arial" w:hAnsi="Arial"/>
          <w:sz w:val="20"/>
          <w:szCs w:val="20"/>
          <w:color w:val="auto"/>
        </w:rPr>
        <w:t>”).</w:t>
      </w:r>
    </w:p>
    <w:p>
      <w:pPr>
        <w:spacing w:after="0" w:line="169"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Basic Lease Information.</w:t>
      </w:r>
    </w:p>
    <w:p>
      <w:pPr>
        <w:spacing w:after="0" w:line="151" w:lineRule="exact"/>
        <w:rPr>
          <w:rFonts w:ascii="Arial" w:cs="Arial" w:eastAsia="Arial" w:hAnsi="Arial"/>
          <w:sz w:val="20"/>
          <w:szCs w:val="20"/>
          <w:color w:val="auto"/>
        </w:rPr>
      </w:pPr>
    </w:p>
    <w:p>
      <w:pPr>
        <w:ind w:left="1300" w:right="20" w:hanging="648"/>
        <w:spacing w:after="0" w:line="234" w:lineRule="auto"/>
        <w:rPr>
          <w:rFonts w:ascii="Arial" w:cs="Arial" w:eastAsia="Arial" w:hAnsi="Arial"/>
          <w:sz w:val="20"/>
          <w:szCs w:val="20"/>
          <w:color w:val="auto"/>
        </w:rPr>
      </w:pPr>
      <w:r>
        <w:rPr>
          <w:rFonts w:ascii="Arial" w:cs="Arial" w:eastAsia="Arial" w:hAnsi="Arial"/>
          <w:sz w:val="20"/>
          <w:szCs w:val="20"/>
          <w:color w:val="auto"/>
        </w:rPr>
        <w:t>1.01. “</w:t>
      </w:r>
      <w:r>
        <w:rPr>
          <w:rFonts w:ascii="Arial" w:cs="Arial" w:eastAsia="Arial" w:hAnsi="Arial"/>
          <w:sz w:val="20"/>
          <w:szCs w:val="20"/>
          <w:b w:val="1"/>
          <w:bCs w:val="1"/>
          <w:color w:val="auto"/>
        </w:rPr>
        <w:t>Building</w:t>
      </w:r>
      <w:r>
        <w:rPr>
          <w:rFonts w:ascii="Arial" w:cs="Arial" w:eastAsia="Arial" w:hAnsi="Arial"/>
          <w:sz w:val="20"/>
          <w:szCs w:val="20"/>
          <w:color w:val="auto"/>
        </w:rPr>
        <w:t>” shall mean the building located at 206 East 9th Street, Austin, Texas, commonly known as Capitol Tower. “</w:t>
      </w:r>
      <w:r>
        <w:rPr>
          <w:rFonts w:ascii="Arial" w:cs="Arial" w:eastAsia="Arial" w:hAnsi="Arial"/>
          <w:sz w:val="20"/>
          <w:szCs w:val="20"/>
          <w:b w:val="1"/>
          <w:bCs w:val="1"/>
          <w:color w:val="auto"/>
        </w:rPr>
        <w:t>Rentable Square Footage of the Building</w:t>
      </w:r>
      <w:r>
        <w:rPr>
          <w:rFonts w:ascii="Arial" w:cs="Arial" w:eastAsia="Arial" w:hAnsi="Arial"/>
          <w:sz w:val="20"/>
          <w:szCs w:val="20"/>
          <w:color w:val="auto"/>
        </w:rPr>
        <w:t xml:space="preserve">” is deemed to be </w:t>
      </w:r>
      <w:r>
        <w:rPr>
          <w:rFonts w:ascii="Arial" w:cs="Arial" w:eastAsia="Arial" w:hAnsi="Arial"/>
          <w:sz w:val="20"/>
          <w:szCs w:val="20"/>
          <w:b w:val="1"/>
          <w:bCs w:val="1"/>
          <w:color w:val="auto"/>
        </w:rPr>
        <w:t>175,510</w:t>
      </w:r>
      <w:r>
        <w:rPr>
          <w:rFonts w:ascii="Arial" w:cs="Arial" w:eastAsia="Arial" w:hAnsi="Arial"/>
          <w:sz w:val="20"/>
          <w:szCs w:val="20"/>
          <w:color w:val="auto"/>
        </w:rPr>
        <w:t xml:space="preserve"> square feet.</w:t>
      </w:r>
    </w:p>
    <w:p>
      <w:pPr>
        <w:spacing w:after="0" w:line="145" w:lineRule="exact"/>
        <w:rPr>
          <w:rFonts w:ascii="Arial" w:cs="Arial" w:eastAsia="Arial" w:hAnsi="Arial"/>
          <w:sz w:val="20"/>
          <w:szCs w:val="20"/>
          <w:color w:val="auto"/>
        </w:rPr>
      </w:pPr>
    </w:p>
    <w:p>
      <w:pPr>
        <w:ind w:left="1300" w:hanging="648"/>
        <w:spacing w:after="0" w:line="209" w:lineRule="auto"/>
        <w:rPr>
          <w:rFonts w:ascii="Arial" w:cs="Arial" w:eastAsia="Arial" w:hAnsi="Arial"/>
          <w:sz w:val="20"/>
          <w:szCs w:val="20"/>
          <w:color w:val="auto"/>
        </w:rPr>
      </w:pPr>
      <w:r>
        <w:rPr>
          <w:rFonts w:ascii="Arial" w:cs="Arial" w:eastAsia="Arial" w:hAnsi="Arial"/>
          <w:sz w:val="20"/>
          <w:szCs w:val="20"/>
          <w:color w:val="auto"/>
        </w:rPr>
        <w:t>1.02. “</w:t>
      </w:r>
      <w:r>
        <w:rPr>
          <w:rFonts w:ascii="Arial" w:cs="Arial" w:eastAsia="Arial" w:hAnsi="Arial"/>
          <w:sz w:val="20"/>
          <w:szCs w:val="20"/>
          <w:b w:val="1"/>
          <w:bCs w:val="1"/>
          <w:color w:val="auto"/>
        </w:rPr>
        <w:t>Premises</w:t>
      </w:r>
      <w:r>
        <w:rPr>
          <w:rFonts w:ascii="Arial" w:cs="Arial" w:eastAsia="Arial" w:hAnsi="Arial"/>
          <w:sz w:val="20"/>
          <w:szCs w:val="20"/>
          <w:color w:val="auto"/>
        </w:rPr>
        <w:t xml:space="preserve">” shall mean the area shown on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to this Lease. The Premises is located on the 14th floor and known as Suite 1400. If the </w:t>
      </w:r>
      <w:r>
        <w:rPr>
          <w:rFonts w:ascii="Arial" w:cs="Arial" w:eastAsia="Arial" w:hAnsi="Arial"/>
          <w:sz w:val="20"/>
          <w:szCs w:val="20"/>
          <w:b w:val="1"/>
          <w:bCs w:val="1"/>
          <w:color w:val="auto"/>
        </w:rPr>
        <w:t>Premises</w:t>
      </w:r>
      <w:r>
        <w:rPr>
          <w:rFonts w:ascii="Arial" w:cs="Arial" w:eastAsia="Arial" w:hAnsi="Arial"/>
          <w:sz w:val="20"/>
          <w:szCs w:val="20"/>
          <w:color w:val="auto"/>
        </w:rPr>
        <w:t xml:space="preserve"> include one or more floors in their entirety, all corridors and restroom facilities located on such full floor(s) shall be considered part of the Premises. The “</w:t>
      </w:r>
      <w:r>
        <w:rPr>
          <w:rFonts w:ascii="Arial" w:cs="Arial" w:eastAsia="Arial" w:hAnsi="Arial"/>
          <w:sz w:val="20"/>
          <w:szCs w:val="20"/>
          <w:b w:val="1"/>
          <w:bCs w:val="1"/>
          <w:color w:val="auto"/>
        </w:rPr>
        <w:t>Rentable Square Footage of</w:t>
      </w:r>
      <w:r>
        <w:rPr>
          <w:rFonts w:ascii="Arial" w:cs="Arial" w:eastAsia="Arial" w:hAnsi="Arial"/>
          <w:sz w:val="20"/>
          <w:szCs w:val="20"/>
          <w:color w:val="auto"/>
        </w:rPr>
        <w:t xml:space="preserve"> </w:t>
      </w:r>
      <w:r>
        <w:rPr>
          <w:rFonts w:ascii="Arial" w:cs="Arial" w:eastAsia="Arial" w:hAnsi="Arial"/>
          <w:sz w:val="20"/>
          <w:szCs w:val="20"/>
          <w:b w:val="1"/>
          <w:bCs w:val="1"/>
          <w:color w:val="auto"/>
        </w:rPr>
        <w:t>the Premises</w:t>
      </w:r>
      <w:r>
        <w:rPr>
          <w:rFonts w:ascii="Arial" w:cs="Arial" w:eastAsia="Arial" w:hAnsi="Arial"/>
          <w:sz w:val="20"/>
          <w:szCs w:val="20"/>
          <w:color w:val="auto"/>
        </w:rPr>
        <w:t>” is deemed to be</w:t>
      </w:r>
      <w:r>
        <w:rPr>
          <w:rFonts w:ascii="Arial" w:cs="Arial" w:eastAsia="Arial" w:hAnsi="Arial"/>
          <w:sz w:val="20"/>
          <w:szCs w:val="20"/>
          <w:b w:val="1"/>
          <w:bCs w:val="1"/>
          <w:color w:val="auto"/>
        </w:rPr>
        <w:t xml:space="preserve"> 25,805 </w:t>
      </w:r>
      <w:r>
        <w:rPr>
          <w:rFonts w:ascii="Arial" w:cs="Arial" w:eastAsia="Arial" w:hAnsi="Arial"/>
          <w:sz w:val="20"/>
          <w:szCs w:val="20"/>
          <w:color w:val="auto"/>
        </w:rPr>
        <w:t>square feet. Landlord and Tenant stipulate and agree that the Rentable</w:t>
      </w:r>
      <w:r>
        <w:rPr>
          <w:rFonts w:ascii="Arial" w:cs="Arial" w:eastAsia="Arial" w:hAnsi="Arial"/>
          <w:sz w:val="20"/>
          <w:szCs w:val="20"/>
          <w:b w:val="1"/>
          <w:bCs w:val="1"/>
          <w:color w:val="auto"/>
        </w:rPr>
        <w:t xml:space="preserve"> </w:t>
      </w:r>
      <w:r>
        <w:rPr>
          <w:rFonts w:ascii="Arial" w:cs="Arial" w:eastAsia="Arial" w:hAnsi="Arial"/>
          <w:sz w:val="20"/>
          <w:szCs w:val="20"/>
          <w:color w:val="auto"/>
        </w:rPr>
        <w:t>Square Footage of the Building and the Rentable Square Footage of the Premises are correct and shall not be remeasured, unless there is an actual physical change in the Premises or the Building.</w:t>
      </w:r>
    </w:p>
    <w:p>
      <w:pPr>
        <w:spacing w:after="0" w:line="148"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1.03.  “</w:t>
      </w:r>
      <w:r>
        <w:rPr>
          <w:rFonts w:ascii="Arial" w:cs="Arial" w:eastAsia="Arial" w:hAnsi="Arial"/>
          <w:sz w:val="20"/>
          <w:szCs w:val="20"/>
          <w:b w:val="1"/>
          <w:bCs w:val="1"/>
          <w:color w:val="auto"/>
        </w:rPr>
        <w:t>Base Rent</w:t>
      </w:r>
      <w:r>
        <w:rPr>
          <w:rFonts w:ascii="Arial" w:cs="Arial" w:eastAsia="Arial" w:hAnsi="Arial"/>
          <w:sz w:val="20"/>
          <w:szCs w:val="20"/>
          <w:color w:val="auto"/>
        </w:rPr>
        <w:t>”:</w:t>
      </w:r>
    </w:p>
    <w:p>
      <w:pPr>
        <w:spacing w:after="0" w:line="200" w:lineRule="exact"/>
        <w:rPr>
          <w:sz w:val="20"/>
          <w:szCs w:val="20"/>
          <w:color w:val="auto"/>
        </w:rPr>
      </w:pPr>
    </w:p>
    <w:p>
      <w:pPr>
        <w:spacing w:after="0" w:line="266" w:lineRule="exact"/>
        <w:rPr>
          <w:sz w:val="20"/>
          <w:szCs w:val="20"/>
          <w:color w:val="auto"/>
        </w:rPr>
      </w:pPr>
    </w:p>
    <w:tbl>
      <w:tblPr>
        <w:tblLayout w:type="fixed"/>
        <w:tblInd w:w="1410" w:type="dxa"/>
        <w:tblCellMar>
          <w:top w:w="0" w:type="dxa"/>
          <w:left w:w="0" w:type="dxa"/>
          <w:bottom w:w="0" w:type="dxa"/>
          <w:right w:w="0" w:type="dxa"/>
        </w:tblCellMar>
      </w:tblPr>
      <w:tr>
        <w:trPr>
          <w:trHeight w:val="203"/>
        </w:trPr>
        <w:tc>
          <w:tcPr>
            <w:tcW w:w="256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9"/>
              </w:rPr>
              <w:t>Full Calendar Months of</w:t>
            </w:r>
          </w:p>
        </w:tc>
        <w:tc>
          <w:tcPr>
            <w:tcW w:w="208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rPr>
              <w:t>Annual</w:t>
            </w:r>
          </w:p>
        </w:tc>
        <w:tc>
          <w:tcPr>
            <w:tcW w:w="238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9"/>
              </w:rPr>
              <w:t>Annual Rate</w:t>
            </w:r>
          </w:p>
        </w:tc>
        <w:tc>
          <w:tcPr>
            <w:tcW w:w="188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9"/>
              </w:rPr>
              <w:t>Monthly</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8"/>
              </w:rPr>
              <w:t>Term</w:t>
            </w:r>
          </w:p>
        </w:tc>
        <w:tc>
          <w:tcPr>
            <w:tcW w:w="20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8"/>
              </w:rPr>
              <w:t>Base Rent</w:t>
            </w:r>
          </w:p>
        </w:tc>
        <w:tc>
          <w:tcPr>
            <w:tcW w:w="23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8"/>
              </w:rPr>
              <w:t>Per Square Foot</w:t>
            </w:r>
          </w:p>
        </w:tc>
        <w:tc>
          <w:tcPr>
            <w:tcW w:w="188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20"/>
                <w:szCs w:val="20"/>
                <w:b w:val="1"/>
                <w:bCs w:val="1"/>
                <w:color w:val="auto"/>
                <w:w w:val="98"/>
              </w:rPr>
              <w:t>Base Rent</w:t>
            </w:r>
          </w:p>
        </w:tc>
        <w:tc>
          <w:tcPr>
            <w:tcW w:w="0" w:type="dxa"/>
            <w:vAlign w:val="bottom"/>
          </w:tcPr>
          <w:p>
            <w:pPr>
              <w:spacing w:after="0"/>
              <w:rPr>
                <w:sz w:val="1"/>
                <w:szCs w:val="1"/>
                <w:color w:val="auto"/>
              </w:rPr>
            </w:pPr>
          </w:p>
        </w:tc>
      </w:tr>
      <w:tr>
        <w:trPr>
          <w:trHeight w:val="175"/>
        </w:trPr>
        <w:tc>
          <w:tcPr>
            <w:tcW w:w="25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(together with any partial</w:t>
            </w:r>
          </w:p>
        </w:tc>
        <w:tc>
          <w:tcPr>
            <w:tcW w:w="20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calendar months at the</w:t>
            </w:r>
          </w:p>
        </w:tc>
        <w:tc>
          <w:tcPr>
            <w:tcW w:w="20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6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beginning of the Term, as</w:t>
            </w:r>
          </w:p>
        </w:tc>
        <w:tc>
          <w:tcPr>
            <w:tcW w:w="2080" w:type="dxa"/>
            <w:vAlign w:val="bottom"/>
            <w:tcBorders>
              <w:right w:val="single" w:sz="8" w:color="auto"/>
            </w:tcBorders>
          </w:tcPr>
          <w:p>
            <w:pPr>
              <w:spacing w:after="0"/>
              <w:rPr>
                <w:sz w:val="15"/>
                <w:szCs w:val="15"/>
                <w:color w:val="auto"/>
              </w:rPr>
            </w:pPr>
          </w:p>
        </w:tc>
        <w:tc>
          <w:tcPr>
            <w:tcW w:w="23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indicated below)</w:t>
            </w:r>
          </w:p>
        </w:tc>
        <w:tc>
          <w:tcPr>
            <w:tcW w:w="2080" w:type="dxa"/>
            <w:vAlign w:val="bottom"/>
            <w:tcBorders>
              <w:bottom w:val="single" w:sz="8" w:color="auto"/>
              <w:right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560" w:type="dxa"/>
            <w:vAlign w:val="bottom"/>
            <w:tcBorders>
              <w:left w:val="single" w:sz="8" w:color="auto"/>
              <w:right w:val="single" w:sz="8" w:color="auto"/>
            </w:tcBorders>
          </w:tcPr>
          <w:p>
            <w:pPr>
              <w:jc w:val="center"/>
              <w:spacing w:after="0" w:line="192" w:lineRule="exact"/>
              <w:rPr>
                <w:sz w:val="20"/>
                <w:szCs w:val="20"/>
                <w:color w:val="auto"/>
              </w:rPr>
            </w:pPr>
            <w:r>
              <w:rPr>
                <w:rFonts w:ascii="Arial" w:cs="Arial" w:eastAsia="Arial" w:hAnsi="Arial"/>
                <w:sz w:val="20"/>
                <w:szCs w:val="20"/>
                <w:color w:val="auto"/>
                <w:w w:val="98"/>
              </w:rPr>
              <w:t>Commencement Date –</w:t>
            </w:r>
          </w:p>
        </w:tc>
        <w:tc>
          <w:tcPr>
            <w:tcW w:w="2080" w:type="dxa"/>
            <w:vAlign w:val="bottom"/>
            <w:tcBorders>
              <w:right w:val="single" w:sz="8" w:color="auto"/>
            </w:tcBorders>
          </w:tcPr>
          <w:p>
            <w:pPr>
              <w:spacing w:after="0"/>
              <w:rPr>
                <w:sz w:val="16"/>
                <w:szCs w:val="16"/>
                <w:color w:val="auto"/>
              </w:rPr>
            </w:pPr>
          </w:p>
        </w:tc>
        <w:tc>
          <w:tcPr>
            <w:tcW w:w="23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9"/>
              </w:rPr>
              <w:t>Last day of 12th full</w:t>
            </w: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$812,857.56</w:t>
            </w: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$31.50</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$67,738.13</w:t>
            </w:r>
          </w:p>
        </w:tc>
        <w:tc>
          <w:tcPr>
            <w:tcW w:w="0" w:type="dxa"/>
            <w:vAlign w:val="bottom"/>
          </w:tcPr>
          <w:p>
            <w:pPr>
              <w:spacing w:after="0"/>
              <w:rPr>
                <w:sz w:val="1"/>
                <w:szCs w:val="1"/>
                <w:color w:val="auto"/>
              </w:rPr>
            </w:pPr>
          </w:p>
        </w:tc>
      </w:tr>
      <w:tr>
        <w:trPr>
          <w:trHeight w:val="233"/>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calendar month of Term</w:t>
            </w:r>
          </w:p>
        </w:tc>
        <w:tc>
          <w:tcPr>
            <w:tcW w:w="2080" w:type="dxa"/>
            <w:vAlign w:val="bottom"/>
            <w:tcBorders>
              <w:bottom w:val="single" w:sz="8" w:color="auto"/>
              <w:right w:val="single" w:sz="8" w:color="auto"/>
            </w:tcBorders>
            <w:vMerge w:val="continue"/>
          </w:tcPr>
          <w:p>
            <w:pPr>
              <w:spacing w:after="0"/>
              <w:rPr>
                <w:sz w:val="20"/>
                <w:szCs w:val="20"/>
                <w:color w:val="auto"/>
              </w:rPr>
            </w:pPr>
          </w:p>
        </w:tc>
        <w:tc>
          <w:tcPr>
            <w:tcW w:w="2380" w:type="dxa"/>
            <w:vAlign w:val="bottom"/>
            <w:tcBorders>
              <w:bottom w:val="single" w:sz="8" w:color="auto"/>
              <w:right w:val="single" w:sz="8" w:color="auto"/>
            </w:tcBorders>
            <w:vMerge w:val="continue"/>
          </w:tcPr>
          <w:p>
            <w:pPr>
              <w:spacing w:after="0"/>
              <w:rPr>
                <w:sz w:val="20"/>
                <w:szCs w:val="20"/>
                <w:color w:val="auto"/>
              </w:rPr>
            </w:pPr>
          </w:p>
        </w:tc>
        <w:tc>
          <w:tcPr>
            <w:tcW w:w="18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13th – 24th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$837,372.24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$32.45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$69,781.02</w:t>
            </w: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25th – 36th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$862,403.16</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$33.42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$71,866.93</w:t>
            </w:r>
          </w:p>
        </w:tc>
        <w:tc>
          <w:tcPr>
            <w:tcW w:w="0" w:type="dxa"/>
            <w:vAlign w:val="bottom"/>
          </w:tcPr>
          <w:p>
            <w:pPr>
              <w:spacing w:after="0"/>
              <w:rPr>
                <w:sz w:val="1"/>
                <w:szCs w:val="1"/>
                <w:color w:val="auto"/>
              </w:rPr>
            </w:pPr>
          </w:p>
        </w:tc>
      </w:tr>
      <w:tr>
        <w:trPr>
          <w:trHeight w:val="236"/>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37th – 48th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$888,208.08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$34.42</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$74,017.34</w:t>
            </w: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49th – 60th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$914,787.24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$35.45</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$76,232.27</w:t>
            </w:r>
          </w:p>
        </w:tc>
        <w:tc>
          <w:tcPr>
            <w:tcW w:w="0" w:type="dxa"/>
            <w:vAlign w:val="bottom"/>
          </w:tcPr>
          <w:p>
            <w:pPr>
              <w:spacing w:after="0"/>
              <w:rPr>
                <w:sz w:val="1"/>
                <w:szCs w:val="1"/>
                <w:color w:val="auto"/>
              </w:rPr>
            </w:pPr>
          </w:p>
        </w:tc>
      </w:tr>
      <w:tr>
        <w:trPr>
          <w:trHeight w:val="236"/>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61st – 72nd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$942,140.52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$36.51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$78,511.71</w:t>
            </w:r>
          </w:p>
        </w:tc>
        <w:tc>
          <w:tcPr>
            <w:tcW w:w="0" w:type="dxa"/>
            <w:vAlign w:val="bottom"/>
          </w:tcPr>
          <w:p>
            <w:pPr>
              <w:spacing w:after="0"/>
              <w:rPr>
                <w:sz w:val="1"/>
                <w:szCs w:val="1"/>
                <w:color w:val="auto"/>
              </w:rPr>
            </w:pPr>
          </w:p>
        </w:tc>
      </w:tr>
      <w:tr>
        <w:trPr>
          <w:trHeight w:val="237"/>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73rd</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$970,526.04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$37.61</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$80,877.17</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left="1380"/>
        <w:spacing w:after="0" w:line="202" w:lineRule="auto"/>
        <w:rPr>
          <w:sz w:val="20"/>
          <w:szCs w:val="20"/>
          <w:color w:val="auto"/>
        </w:rPr>
      </w:pPr>
      <w:r>
        <w:rPr>
          <w:rFonts w:ascii="Arial" w:cs="Arial" w:eastAsia="Arial" w:hAnsi="Arial"/>
          <w:sz w:val="20"/>
          <w:szCs w:val="20"/>
          <w:color w:val="auto"/>
        </w:rPr>
        <w:t xml:space="preserve">Notwithstanding anything in this Section of this Lease to the contrary, so long as Tenant is not in Material Default (as defined in Section 18) under this Lease, Tenant shall be entitled to an abatement of the entire Base Rent due for the Premises initially described in this Lease during the 1st full calendar month of the Term (as defined in Section 1.06) (the </w:t>
      </w:r>
      <w:r>
        <w:rPr>
          <w:rFonts w:ascii="Arial" w:cs="Arial" w:eastAsia="Arial" w:hAnsi="Arial"/>
          <w:sz w:val="20"/>
          <w:szCs w:val="20"/>
          <w:b w:val="1"/>
          <w:bCs w:val="1"/>
          <w:color w:val="auto"/>
        </w:rPr>
        <w:t>"Rent Abatement Period</w:t>
      </w:r>
      <w:r>
        <w:rPr>
          <w:rFonts w:ascii="Arial" w:cs="Arial" w:eastAsia="Arial" w:hAnsi="Arial"/>
          <w:sz w:val="20"/>
          <w:szCs w:val="20"/>
          <w:color w:val="auto"/>
        </w:rPr>
        <w:t>"). The total amount of Base Rent abated during the Rent Abatement Period shall be referred to as the "</w:t>
      </w:r>
      <w:r>
        <w:rPr>
          <w:rFonts w:ascii="Arial" w:cs="Arial" w:eastAsia="Arial" w:hAnsi="Arial"/>
          <w:sz w:val="20"/>
          <w:szCs w:val="20"/>
          <w:b w:val="1"/>
          <w:bCs w:val="1"/>
          <w:color w:val="auto"/>
        </w:rPr>
        <w:t>Abated Base Rent</w:t>
      </w:r>
      <w:r>
        <w:rPr>
          <w:rFonts w:ascii="Arial" w:cs="Arial" w:eastAsia="Arial" w:hAnsi="Arial"/>
          <w:sz w:val="20"/>
          <w:szCs w:val="20"/>
          <w:color w:val="auto"/>
        </w:rPr>
        <w:t>". If Tenant Defaults (as defined in Section 18) at any time during the Term and such Default results in termination of this Lease, all Abated Base Rent shall immediately become due and payable. The payment by Tenant of the Abated Base Rent in the event of such Default shall not limit or affect any of Landlord's other rights, pursuant to this Lease or at law or in equity. During the Rent Abatement Period, only Base Rent with respect to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94" w:right="339" w:bottom="1440" w:gutter="0" w:footer="0" w:header="0"/>
        </w:sectPr>
      </w:pPr>
    </w:p>
    <w:bookmarkStart w:id="122" w:name="page123"/>
    <w:bookmarkEnd w:id="122"/>
    <w:p>
      <w:pPr>
        <w:ind w:left="1380"/>
        <w:spacing w:after="0" w:line="222" w:lineRule="auto"/>
        <w:rPr>
          <w:sz w:val="20"/>
          <w:szCs w:val="20"/>
          <w:color w:val="auto"/>
        </w:rPr>
      </w:pPr>
      <w:r>
        <w:rPr>
          <w:rFonts w:ascii="Arial" w:cs="Arial" w:eastAsia="Arial" w:hAnsi="Arial"/>
          <w:sz w:val="20"/>
          <w:szCs w:val="20"/>
          <w:color w:val="auto"/>
        </w:rPr>
        <w:t>initially described in this Lease shall be abated, and all Additional Rent and other costs and charges specified in this Lease shall remain as due and payable pursuant to the provisions of this Lease.</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Tenant’s Pro Rata Share</w:t>
      </w:r>
      <w:r>
        <w:rPr>
          <w:rFonts w:ascii="Arial" w:cs="Arial" w:eastAsia="Arial" w:hAnsi="Arial"/>
          <w:sz w:val="19"/>
          <w:szCs w:val="19"/>
          <w:color w:val="auto"/>
        </w:rPr>
        <w:t>”: 14.7029%.</w:t>
      </w:r>
    </w:p>
    <w:p>
      <w:pPr>
        <w:spacing w:after="0" w:line="175" w:lineRule="exact"/>
        <w:rPr>
          <w:sz w:val="20"/>
          <w:szCs w:val="20"/>
          <w:color w:val="auto"/>
        </w:rPr>
      </w:pPr>
    </w:p>
    <w:p>
      <w:pPr>
        <w:ind w:left="1300" w:hanging="647"/>
        <w:spacing w:after="0" w:line="234" w:lineRule="auto"/>
        <w:tabs>
          <w:tab w:leader="none" w:pos="1280" w:val="left"/>
        </w:tabs>
        <w:rPr>
          <w:sz w:val="20"/>
          <w:szCs w:val="20"/>
          <w:color w:val="auto"/>
        </w:rPr>
      </w:pPr>
      <w:r>
        <w:rPr>
          <w:rFonts w:ascii="Arial" w:cs="Arial" w:eastAsia="Arial" w:hAnsi="Arial"/>
          <w:sz w:val="20"/>
          <w:szCs w:val="20"/>
          <w:color w:val="auto"/>
        </w:rPr>
        <w:t>1.05.</w:t>
        <w:tab/>
        <w:t>“</w:t>
      </w:r>
      <w:r>
        <w:rPr>
          <w:rFonts w:ascii="Arial" w:cs="Arial" w:eastAsia="Arial" w:hAnsi="Arial"/>
          <w:sz w:val="20"/>
          <w:szCs w:val="20"/>
          <w:b w:val="1"/>
          <w:bCs w:val="1"/>
          <w:color w:val="auto"/>
        </w:rPr>
        <w:t>Fiscal Year</w:t>
      </w:r>
      <w:r>
        <w:rPr>
          <w:rFonts w:ascii="Arial" w:cs="Arial" w:eastAsia="Arial" w:hAnsi="Arial"/>
          <w:sz w:val="20"/>
          <w:szCs w:val="20"/>
          <w:color w:val="auto"/>
        </w:rPr>
        <w:t>” shall mean the fiscal year for Taxes for the applicable jurisdiction, which is currently from the beginning of January to the end of December.</w:t>
      </w:r>
    </w:p>
    <w:p>
      <w:pPr>
        <w:spacing w:after="0" w:line="146"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1.06. “</w:t>
      </w:r>
      <w:r>
        <w:rPr>
          <w:rFonts w:ascii="Arial" w:cs="Arial" w:eastAsia="Arial" w:hAnsi="Arial"/>
          <w:sz w:val="20"/>
          <w:szCs w:val="20"/>
          <w:b w:val="1"/>
          <w:bCs w:val="1"/>
          <w:color w:val="auto"/>
        </w:rPr>
        <w:t>Term</w:t>
      </w:r>
      <w:r>
        <w:rPr>
          <w:rFonts w:ascii="Arial" w:cs="Arial" w:eastAsia="Arial" w:hAnsi="Arial"/>
          <w:sz w:val="20"/>
          <w:szCs w:val="20"/>
          <w:color w:val="auto"/>
        </w:rPr>
        <w:t>”: A period of 73 full calendar months, plus any partial calendar month at the beginning of the Term, commencing on the Commencement Date (defined below) and, unless terminated earlier in accordance with this Lease, ending on the last day of the 73rd full calendar month of the Term (the “</w:t>
      </w:r>
      <w:r>
        <w:rPr>
          <w:rFonts w:ascii="Arial" w:cs="Arial" w:eastAsia="Arial" w:hAnsi="Arial"/>
          <w:sz w:val="20"/>
          <w:szCs w:val="20"/>
          <w:b w:val="1"/>
          <w:bCs w:val="1"/>
          <w:color w:val="auto"/>
        </w:rPr>
        <w:t>Termination Date</w:t>
      </w:r>
      <w:r>
        <w:rPr>
          <w:rFonts w:ascii="Arial" w:cs="Arial" w:eastAsia="Arial" w:hAnsi="Arial"/>
          <w:sz w:val="20"/>
          <w:szCs w:val="20"/>
          <w:color w:val="auto"/>
        </w:rPr>
        <w:t>”). The “</w:t>
      </w:r>
      <w:r>
        <w:rPr>
          <w:rFonts w:ascii="Arial" w:cs="Arial" w:eastAsia="Arial" w:hAnsi="Arial"/>
          <w:sz w:val="20"/>
          <w:szCs w:val="20"/>
          <w:b w:val="1"/>
          <w:bCs w:val="1"/>
          <w:color w:val="auto"/>
        </w:rPr>
        <w:t>Commencement Date</w:t>
      </w:r>
      <w:r>
        <w:rPr>
          <w:rFonts w:ascii="Arial" w:cs="Arial" w:eastAsia="Arial" w:hAnsi="Arial"/>
          <w:sz w:val="20"/>
          <w:szCs w:val="20"/>
          <w:color w:val="auto"/>
        </w:rPr>
        <w:t>” shall mean date that is the earlier of: (a) 150 days after the Premises Delivery Date (defined below), (b) the date on which Tenant first occupies the Premises for the purpose of conducting its business, or (c) the date on which Tenant receives from the appropriate governmental authorities, with respect to the Initial Alterations, all approvals necessary for the occupancy of the Premises. The "</w:t>
      </w:r>
      <w:r>
        <w:rPr>
          <w:rFonts w:ascii="Arial" w:cs="Arial" w:eastAsia="Arial" w:hAnsi="Arial"/>
          <w:sz w:val="20"/>
          <w:szCs w:val="20"/>
          <w:b w:val="1"/>
          <w:bCs w:val="1"/>
          <w:color w:val="auto"/>
        </w:rPr>
        <w:t>Premises Delivery Date</w:t>
      </w:r>
      <w:r>
        <w:rPr>
          <w:rFonts w:ascii="Arial" w:cs="Arial" w:eastAsia="Arial" w:hAnsi="Arial"/>
          <w:sz w:val="20"/>
          <w:szCs w:val="20"/>
          <w:color w:val="auto"/>
        </w:rPr>
        <w:t xml:space="preserve">" shall mean the date on which Landlord delivers possession of the Premises to Tenant free from occupancy of any other party and free of all Mutual Mobile personal property. Tenant shall have the right to extend the Term of this Lease as set forth in </w:t>
      </w:r>
      <w:r>
        <w:rPr>
          <w:rFonts w:ascii="Arial" w:cs="Arial" w:eastAsia="Arial" w:hAnsi="Arial"/>
          <w:sz w:val="20"/>
          <w:szCs w:val="20"/>
          <w:b w:val="1"/>
          <w:bCs w:val="1"/>
          <w:color w:val="auto"/>
        </w:rPr>
        <w:t>Exhibit F</w:t>
      </w:r>
      <w:r>
        <w:rPr>
          <w:rFonts w:ascii="Arial" w:cs="Arial" w:eastAsia="Arial" w:hAnsi="Arial"/>
          <w:sz w:val="20"/>
          <w:szCs w:val="20"/>
          <w:color w:val="auto"/>
        </w:rPr>
        <w:t>.</w:t>
      </w:r>
    </w:p>
    <w:p>
      <w:pPr>
        <w:spacing w:after="0" w:line="149" w:lineRule="exact"/>
        <w:rPr>
          <w:sz w:val="20"/>
          <w:szCs w:val="20"/>
          <w:color w:val="auto"/>
        </w:rPr>
      </w:pPr>
    </w:p>
    <w:p>
      <w:pPr>
        <w:ind w:left="1300" w:hanging="647"/>
        <w:spacing w:after="0" w:line="234" w:lineRule="auto"/>
        <w:tabs>
          <w:tab w:leader="none" w:pos="1280" w:val="left"/>
        </w:tabs>
        <w:rPr>
          <w:sz w:val="20"/>
          <w:szCs w:val="20"/>
          <w:color w:val="auto"/>
        </w:rPr>
      </w:pPr>
      <w:r>
        <w:rPr>
          <w:rFonts w:ascii="Arial" w:cs="Arial" w:eastAsia="Arial" w:hAnsi="Arial"/>
          <w:sz w:val="20"/>
          <w:szCs w:val="20"/>
          <w:color w:val="auto"/>
        </w:rPr>
        <w:t>1.07.</w:t>
        <w:tab/>
        <w:t>“</w:t>
      </w:r>
      <w:r>
        <w:rPr>
          <w:rFonts w:ascii="Arial" w:cs="Arial" w:eastAsia="Arial" w:hAnsi="Arial"/>
          <w:sz w:val="20"/>
          <w:szCs w:val="20"/>
          <w:b w:val="1"/>
          <w:bCs w:val="1"/>
          <w:color w:val="auto"/>
        </w:rPr>
        <w:t>Allowance</w:t>
      </w:r>
      <w:r>
        <w:rPr>
          <w:rFonts w:ascii="Arial" w:cs="Arial" w:eastAsia="Arial" w:hAnsi="Arial"/>
          <w:sz w:val="20"/>
          <w:szCs w:val="20"/>
          <w:color w:val="auto"/>
        </w:rPr>
        <w:t xml:space="preserve">”: shall mean an amount equal to $1,032,200.00 ($40.00 per Rentable Square Foot in the Premises), which shall be used and paid in accordance with the terms of </w:t>
      </w:r>
      <w:r>
        <w:rPr>
          <w:rFonts w:ascii="Arial" w:cs="Arial" w:eastAsia="Arial" w:hAnsi="Arial"/>
          <w:sz w:val="20"/>
          <w:szCs w:val="20"/>
          <w:b w:val="1"/>
          <w:bCs w:val="1"/>
          <w:color w:val="auto"/>
        </w:rPr>
        <w:t>Exhibit C</w:t>
      </w:r>
      <w:r>
        <w:rPr>
          <w:rFonts w:ascii="Arial" w:cs="Arial" w:eastAsia="Arial" w:hAnsi="Arial"/>
          <w:sz w:val="20"/>
          <w:szCs w:val="20"/>
          <w:color w:val="auto"/>
        </w:rPr>
        <w:t>.</w:t>
      </w:r>
    </w:p>
    <w:p>
      <w:pPr>
        <w:spacing w:after="0" w:line="146" w:lineRule="exact"/>
        <w:rPr>
          <w:sz w:val="20"/>
          <w:szCs w:val="20"/>
          <w:color w:val="auto"/>
        </w:rPr>
      </w:pPr>
    </w:p>
    <w:p>
      <w:pPr>
        <w:ind w:left="1300" w:hanging="647"/>
        <w:spacing w:after="0" w:line="234" w:lineRule="auto"/>
        <w:tabs>
          <w:tab w:leader="none" w:pos="1280" w:val="left"/>
        </w:tabs>
        <w:rPr>
          <w:sz w:val="20"/>
          <w:szCs w:val="20"/>
          <w:color w:val="auto"/>
        </w:rPr>
      </w:pPr>
      <w:r>
        <w:rPr>
          <w:rFonts w:ascii="Arial" w:cs="Arial" w:eastAsia="Arial" w:hAnsi="Arial"/>
          <w:sz w:val="20"/>
          <w:szCs w:val="20"/>
          <w:color w:val="auto"/>
        </w:rPr>
        <w:t>1.08.</w:t>
        <w:tab/>
        <w:t>“</w:t>
      </w:r>
      <w:r>
        <w:rPr>
          <w:rFonts w:ascii="Arial" w:cs="Arial" w:eastAsia="Arial" w:hAnsi="Arial"/>
          <w:sz w:val="20"/>
          <w:szCs w:val="20"/>
          <w:b w:val="1"/>
          <w:bCs w:val="1"/>
          <w:color w:val="auto"/>
        </w:rPr>
        <w:t>Security Deposit</w:t>
      </w:r>
      <w:r>
        <w:rPr>
          <w:rFonts w:ascii="Arial" w:cs="Arial" w:eastAsia="Arial" w:hAnsi="Arial"/>
          <w:sz w:val="20"/>
          <w:szCs w:val="20"/>
          <w:color w:val="auto"/>
        </w:rPr>
        <w:t xml:space="preserve">”: $800,000.00, which shall be in the form of a letter of credit, as more fully described in Section 6, and is subject to reduction as provided in Section IV of </w:t>
      </w:r>
      <w:r>
        <w:rPr>
          <w:rFonts w:ascii="Arial" w:cs="Arial" w:eastAsia="Arial" w:hAnsi="Arial"/>
          <w:sz w:val="20"/>
          <w:szCs w:val="20"/>
          <w:b w:val="1"/>
          <w:bCs w:val="1"/>
          <w:color w:val="auto"/>
        </w:rPr>
        <w:t>Exhibit F</w:t>
      </w:r>
      <w:r>
        <w:rPr>
          <w:rFonts w:ascii="Arial" w:cs="Arial" w:eastAsia="Arial" w:hAnsi="Arial"/>
          <w:sz w:val="20"/>
          <w:szCs w:val="20"/>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9"/>
          <w:szCs w:val="19"/>
          <w:color w:val="auto"/>
        </w:rPr>
        <w:t>Intentionally Omitted</w:t>
      </w:r>
    </w:p>
    <w:p>
      <w:pPr>
        <w:spacing w:after="0" w:line="151" w:lineRule="exact"/>
        <w:rPr>
          <w:sz w:val="20"/>
          <w:szCs w:val="20"/>
          <w:color w:val="auto"/>
        </w:rPr>
      </w:pPr>
    </w:p>
    <w:p>
      <w:pPr>
        <w:ind w:left="1300" w:hanging="647"/>
        <w:spacing w:after="0" w:line="234" w:lineRule="auto"/>
        <w:tabs>
          <w:tab w:leader="none" w:pos="1280" w:val="left"/>
        </w:tabs>
        <w:rPr>
          <w:sz w:val="20"/>
          <w:szCs w:val="20"/>
          <w:color w:val="auto"/>
        </w:rPr>
      </w:pPr>
      <w:r>
        <w:rPr>
          <w:rFonts w:ascii="Arial" w:cs="Arial" w:eastAsia="Arial" w:hAnsi="Arial"/>
          <w:sz w:val="20"/>
          <w:szCs w:val="20"/>
          <w:color w:val="auto"/>
        </w:rPr>
        <w:t>1.10.</w:t>
        <w:tab/>
        <w:t>“</w:t>
      </w:r>
      <w:r>
        <w:rPr>
          <w:rFonts w:ascii="Arial" w:cs="Arial" w:eastAsia="Arial" w:hAnsi="Arial"/>
          <w:sz w:val="20"/>
          <w:szCs w:val="20"/>
          <w:b w:val="1"/>
          <w:bCs w:val="1"/>
          <w:color w:val="auto"/>
        </w:rPr>
        <w:t>Broker(s)</w:t>
      </w:r>
      <w:r>
        <w:rPr>
          <w:rFonts w:ascii="Arial" w:cs="Arial" w:eastAsia="Arial" w:hAnsi="Arial"/>
          <w:sz w:val="20"/>
          <w:szCs w:val="20"/>
          <w:color w:val="auto"/>
        </w:rPr>
        <w:t>”: Collectively the “</w:t>
      </w:r>
      <w:r>
        <w:rPr>
          <w:rFonts w:ascii="Arial" w:cs="Arial" w:eastAsia="Arial" w:hAnsi="Arial"/>
          <w:sz w:val="20"/>
          <w:szCs w:val="20"/>
          <w:b w:val="1"/>
          <w:bCs w:val="1"/>
          <w:color w:val="auto"/>
        </w:rPr>
        <w:t>Landlord’s Broker</w:t>
      </w:r>
      <w:r>
        <w:rPr>
          <w:rFonts w:ascii="Arial" w:cs="Arial" w:eastAsia="Arial" w:hAnsi="Arial"/>
          <w:sz w:val="20"/>
          <w:szCs w:val="20"/>
          <w:color w:val="auto"/>
        </w:rPr>
        <w:t>”, which is Jones Lang LaSalle, and the “</w:t>
      </w:r>
      <w:r>
        <w:rPr>
          <w:rFonts w:ascii="Arial" w:cs="Arial" w:eastAsia="Arial" w:hAnsi="Arial"/>
          <w:sz w:val="20"/>
          <w:szCs w:val="20"/>
          <w:b w:val="1"/>
          <w:bCs w:val="1"/>
          <w:color w:val="auto"/>
        </w:rPr>
        <w:t>Tenant’s Broker</w:t>
      </w:r>
      <w:r>
        <w:rPr>
          <w:rFonts w:ascii="Arial" w:cs="Arial" w:eastAsia="Arial" w:hAnsi="Arial"/>
          <w:sz w:val="20"/>
          <w:szCs w:val="20"/>
          <w:color w:val="auto"/>
        </w:rPr>
        <w:t>”, which is Jones Lang LaSalle</w:t>
      </w:r>
      <w:r>
        <w:rPr>
          <w:rFonts w:ascii="Arial" w:cs="Arial" w:eastAsia="Arial" w:hAnsi="Arial"/>
          <w:sz w:val="20"/>
          <w:szCs w:val="20"/>
          <w:b w:val="1"/>
          <w:bCs w:val="1"/>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Use</w:t>
      </w:r>
      <w:r>
        <w:rPr>
          <w:rFonts w:ascii="Arial" w:cs="Arial" w:eastAsia="Arial" w:hAnsi="Arial"/>
          <w:sz w:val="19"/>
          <w:szCs w:val="19"/>
          <w:color w:val="auto"/>
        </w:rPr>
        <w:t>”: General office purposes, and for no other use or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8" w:right="339" w:bottom="1440" w:gutter="0" w:footer="0" w:header="0"/>
        </w:sectPr>
      </w:pPr>
    </w:p>
    <w:bookmarkStart w:id="123" w:name="page124"/>
    <w:bookmarkEnd w:id="123"/>
    <w:tbl>
      <w:tblPr>
        <w:tblLayout w:type="fixed"/>
        <w:tblInd w:w="660" w:type="dxa"/>
        <w:tblCellMar>
          <w:top w:w="0" w:type="dxa"/>
          <w:left w:w="0" w:type="dxa"/>
          <w:bottom w:w="0" w:type="dxa"/>
          <w:right w:w="0" w:type="dxa"/>
        </w:tblCellMar>
      </w:tblPr>
      <w:tr>
        <w:trPr>
          <w:trHeight w:val="261"/>
        </w:trPr>
        <w:tc>
          <w:tcPr>
            <w:tcW w:w="4780" w:type="dxa"/>
            <w:vAlign w:val="bottom"/>
          </w:tcPr>
          <w:p>
            <w:pPr>
              <w:spacing w:after="0"/>
              <w:rPr>
                <w:sz w:val="20"/>
                <w:szCs w:val="20"/>
                <w:color w:val="auto"/>
              </w:rPr>
            </w:pPr>
            <w:r>
              <w:rPr>
                <w:rFonts w:ascii="Arial" w:cs="Arial" w:eastAsia="Arial" w:hAnsi="Arial"/>
                <w:sz w:val="20"/>
                <w:szCs w:val="20"/>
                <w:color w:val="auto"/>
              </w:rPr>
              <w:t>1.12.  “</w:t>
            </w:r>
            <w:r>
              <w:rPr>
                <w:rFonts w:ascii="Arial" w:cs="Arial" w:eastAsia="Arial" w:hAnsi="Arial"/>
                <w:sz w:val="20"/>
                <w:szCs w:val="20"/>
                <w:b w:val="1"/>
                <w:bCs w:val="1"/>
                <w:color w:val="auto"/>
              </w:rPr>
              <w:t>Notice Address(es)</w:t>
            </w:r>
            <w:r>
              <w:rPr>
                <w:rFonts w:ascii="Arial" w:cs="Arial" w:eastAsia="Arial" w:hAnsi="Arial"/>
                <w:sz w:val="20"/>
                <w:szCs w:val="20"/>
                <w:color w:val="auto"/>
              </w:rPr>
              <w:t>”:</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780" w:type="dxa"/>
            <w:vAlign w:val="bottom"/>
          </w:tcPr>
          <w:p>
            <w:pPr>
              <w:ind w:left="680"/>
              <w:spacing w:after="0"/>
              <w:rPr>
                <w:sz w:val="20"/>
                <w:szCs w:val="20"/>
                <w:color w:val="auto"/>
              </w:rPr>
            </w:pPr>
            <w:r>
              <w:rPr>
                <w:rFonts w:ascii="Arial" w:cs="Arial" w:eastAsia="Arial" w:hAnsi="Arial"/>
                <w:sz w:val="20"/>
                <w:szCs w:val="20"/>
                <w:color w:val="auto"/>
              </w:rPr>
              <w:t>Landlord:</w:t>
            </w:r>
          </w:p>
        </w:tc>
        <w:tc>
          <w:tcPr>
            <w:tcW w:w="3100" w:type="dxa"/>
            <w:vAlign w:val="bottom"/>
          </w:tcPr>
          <w:p>
            <w:pPr>
              <w:ind w:left="460"/>
              <w:spacing w:after="0"/>
              <w:rPr>
                <w:sz w:val="20"/>
                <w:szCs w:val="20"/>
                <w:color w:val="auto"/>
              </w:rPr>
            </w:pPr>
            <w:r>
              <w:rPr>
                <w:rFonts w:ascii="Arial" w:cs="Arial" w:eastAsia="Arial" w:hAnsi="Arial"/>
                <w:sz w:val="20"/>
                <w:szCs w:val="20"/>
                <w:color w:val="auto"/>
              </w:rPr>
              <w:t>Tenant:</w:t>
            </w:r>
          </w:p>
        </w:tc>
        <w:tc>
          <w:tcPr>
            <w:tcW w:w="0" w:type="dxa"/>
            <w:vAlign w:val="bottom"/>
          </w:tcPr>
          <w:p>
            <w:pPr>
              <w:spacing w:after="0"/>
              <w:rPr>
                <w:sz w:val="1"/>
                <w:szCs w:val="1"/>
                <w:color w:val="auto"/>
              </w:rPr>
            </w:pPr>
          </w:p>
        </w:tc>
      </w:tr>
      <w:tr>
        <w:trPr>
          <w:trHeight w:val="198"/>
        </w:trPr>
        <w:tc>
          <w:tcPr>
            <w:tcW w:w="4780" w:type="dxa"/>
            <w:vAlign w:val="bottom"/>
          </w:tcPr>
          <w:p>
            <w:pPr>
              <w:ind w:left="720"/>
              <w:spacing w:after="0" w:line="199" w:lineRule="exact"/>
              <w:rPr>
                <w:sz w:val="20"/>
                <w:szCs w:val="20"/>
                <w:color w:val="auto"/>
              </w:rPr>
            </w:pPr>
            <w:r>
              <w:rPr>
                <w:rFonts w:ascii="Arial" w:cs="Arial" w:eastAsia="Arial" w:hAnsi="Arial"/>
                <w:sz w:val="20"/>
                <w:szCs w:val="20"/>
                <w:color w:val="auto"/>
              </w:rPr>
              <w:t>Equity Commonwealth Management LLC</w:t>
            </w:r>
          </w:p>
        </w:tc>
        <w:tc>
          <w:tcPr>
            <w:tcW w:w="3100" w:type="dxa"/>
            <w:vAlign w:val="bottom"/>
          </w:tcPr>
          <w:p>
            <w:pPr>
              <w:ind w:left="520"/>
              <w:spacing w:after="0" w:line="199" w:lineRule="exact"/>
              <w:rPr>
                <w:sz w:val="20"/>
                <w:szCs w:val="20"/>
                <w:color w:val="auto"/>
              </w:rPr>
            </w:pPr>
            <w:r>
              <w:rPr>
                <w:rFonts w:ascii="Arial" w:cs="Arial" w:eastAsia="Arial" w:hAnsi="Arial"/>
                <w:sz w:val="20"/>
                <w:szCs w:val="20"/>
                <w:color w:val="auto"/>
              </w:rPr>
              <w:t>CrowdStrike</w:t>
            </w:r>
          </w:p>
        </w:tc>
        <w:tc>
          <w:tcPr>
            <w:tcW w:w="0" w:type="dxa"/>
            <w:vAlign w:val="bottom"/>
          </w:tcPr>
          <w:p>
            <w:pPr>
              <w:spacing w:after="0"/>
              <w:rPr>
                <w:sz w:val="1"/>
                <w:szCs w:val="1"/>
                <w:color w:val="auto"/>
              </w:rPr>
            </w:pPr>
          </w:p>
        </w:tc>
      </w:tr>
      <w:tr>
        <w:trPr>
          <w:trHeight w:val="229"/>
        </w:trPr>
        <w:tc>
          <w:tcPr>
            <w:tcW w:w="4780" w:type="dxa"/>
            <w:vAlign w:val="bottom"/>
          </w:tcPr>
          <w:p>
            <w:pPr>
              <w:ind w:left="720"/>
              <w:spacing w:after="0"/>
              <w:rPr>
                <w:sz w:val="20"/>
                <w:szCs w:val="20"/>
                <w:color w:val="auto"/>
              </w:rPr>
            </w:pPr>
            <w:r>
              <w:rPr>
                <w:rFonts w:ascii="Arial" w:cs="Arial" w:eastAsia="Arial" w:hAnsi="Arial"/>
                <w:sz w:val="20"/>
                <w:szCs w:val="20"/>
                <w:color w:val="auto"/>
              </w:rPr>
              <w:t>Two North Riverside Plaza</w:t>
            </w:r>
          </w:p>
        </w:tc>
        <w:tc>
          <w:tcPr>
            <w:tcW w:w="3100" w:type="dxa"/>
            <w:vAlign w:val="bottom"/>
          </w:tcPr>
          <w:p>
            <w:pPr>
              <w:ind w:left="520"/>
              <w:spacing w:after="0"/>
              <w:rPr>
                <w:sz w:val="20"/>
                <w:szCs w:val="20"/>
                <w:color w:val="auto"/>
              </w:rPr>
            </w:pPr>
            <w:r>
              <w:rPr>
                <w:rFonts w:ascii="Arial" w:cs="Arial" w:eastAsia="Arial" w:hAnsi="Arial"/>
                <w:sz w:val="20"/>
                <w:szCs w:val="20"/>
                <w:color w:val="auto"/>
                <w:w w:val="97"/>
              </w:rPr>
              <w:t>150 Mathilda Place, 3rd Floor</w:t>
            </w:r>
          </w:p>
        </w:tc>
        <w:tc>
          <w:tcPr>
            <w:tcW w:w="0" w:type="dxa"/>
            <w:vAlign w:val="bottom"/>
          </w:tcPr>
          <w:p>
            <w:pPr>
              <w:spacing w:after="0"/>
              <w:rPr>
                <w:sz w:val="1"/>
                <w:szCs w:val="1"/>
                <w:color w:val="auto"/>
              </w:rPr>
            </w:pPr>
          </w:p>
        </w:tc>
      </w:tr>
      <w:tr>
        <w:trPr>
          <w:trHeight w:val="145"/>
        </w:trPr>
        <w:tc>
          <w:tcPr>
            <w:tcW w:w="4780" w:type="dxa"/>
            <w:vAlign w:val="bottom"/>
          </w:tcPr>
          <w:p>
            <w:pPr>
              <w:ind w:left="720"/>
              <w:spacing w:after="0" w:line="145" w:lineRule="exact"/>
              <w:rPr>
                <w:sz w:val="20"/>
                <w:szCs w:val="20"/>
                <w:color w:val="auto"/>
              </w:rPr>
            </w:pPr>
            <w:r>
              <w:rPr>
                <w:rFonts w:ascii="Arial" w:cs="Arial" w:eastAsia="Arial" w:hAnsi="Arial"/>
                <w:sz w:val="16"/>
                <w:szCs w:val="16"/>
                <w:color w:val="auto"/>
              </w:rPr>
              <w:t>Suite 2100</w:t>
            </w:r>
          </w:p>
        </w:tc>
        <w:tc>
          <w:tcPr>
            <w:tcW w:w="3100" w:type="dxa"/>
            <w:vAlign w:val="bottom"/>
            <w:vMerge w:val="restart"/>
          </w:tcPr>
          <w:p>
            <w:pPr>
              <w:ind w:left="520"/>
              <w:spacing w:after="0"/>
              <w:rPr>
                <w:sz w:val="20"/>
                <w:szCs w:val="20"/>
                <w:color w:val="auto"/>
              </w:rPr>
            </w:pPr>
            <w:r>
              <w:rPr>
                <w:rFonts w:ascii="Arial" w:cs="Arial" w:eastAsia="Arial" w:hAnsi="Arial"/>
                <w:sz w:val="20"/>
                <w:szCs w:val="20"/>
                <w:color w:val="auto"/>
              </w:rPr>
              <w:t>Sunnyvale, CA 94086</w:t>
            </w:r>
          </w:p>
        </w:tc>
        <w:tc>
          <w:tcPr>
            <w:tcW w:w="0" w:type="dxa"/>
            <w:vAlign w:val="bottom"/>
          </w:tcPr>
          <w:p>
            <w:pPr>
              <w:spacing w:after="0"/>
              <w:rPr>
                <w:sz w:val="1"/>
                <w:szCs w:val="1"/>
                <w:color w:val="auto"/>
              </w:rPr>
            </w:pPr>
          </w:p>
        </w:tc>
      </w:tr>
      <w:tr>
        <w:trPr>
          <w:trHeight w:val="135"/>
        </w:trPr>
        <w:tc>
          <w:tcPr>
            <w:tcW w:w="4780" w:type="dxa"/>
            <w:vAlign w:val="bottom"/>
            <w:vMerge w:val="restart"/>
          </w:tcPr>
          <w:p>
            <w:pPr>
              <w:ind w:left="720"/>
              <w:spacing w:after="0" w:line="189" w:lineRule="exact"/>
              <w:rPr>
                <w:sz w:val="20"/>
                <w:szCs w:val="20"/>
                <w:color w:val="auto"/>
              </w:rPr>
            </w:pPr>
            <w:r>
              <w:rPr>
                <w:rFonts w:ascii="Arial" w:cs="Arial" w:eastAsia="Arial" w:hAnsi="Arial"/>
                <w:sz w:val="20"/>
                <w:szCs w:val="20"/>
                <w:color w:val="auto"/>
              </w:rPr>
              <w:t>Chicago, Illinois 60606</w:t>
            </w:r>
          </w:p>
        </w:tc>
        <w:tc>
          <w:tcPr>
            <w:tcW w:w="3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4780" w:type="dxa"/>
            <w:vAlign w:val="bottom"/>
            <w:vMerge w:val="continue"/>
          </w:tcPr>
          <w:p>
            <w:pPr>
              <w:spacing w:after="0"/>
              <w:rPr>
                <w:sz w:val="4"/>
                <w:szCs w:val="4"/>
                <w:color w:val="auto"/>
              </w:rPr>
            </w:pPr>
          </w:p>
        </w:tc>
        <w:tc>
          <w:tcPr>
            <w:tcW w:w="3100" w:type="dxa"/>
            <w:vAlign w:val="bottom"/>
            <w:vMerge w:val="restart"/>
          </w:tcPr>
          <w:p>
            <w:pPr>
              <w:ind w:left="520"/>
              <w:spacing w:after="0"/>
              <w:rPr>
                <w:sz w:val="20"/>
                <w:szCs w:val="20"/>
                <w:color w:val="auto"/>
              </w:rPr>
            </w:pPr>
            <w:r>
              <w:rPr>
                <w:rFonts w:ascii="Arial" w:cs="Arial" w:eastAsia="Arial" w:hAnsi="Arial"/>
                <w:sz w:val="20"/>
                <w:szCs w:val="20"/>
                <w:color w:val="auto"/>
              </w:rPr>
              <w:t>Attn: Robin Cline</w:t>
            </w:r>
          </w:p>
        </w:tc>
        <w:tc>
          <w:tcPr>
            <w:tcW w:w="0" w:type="dxa"/>
            <w:vAlign w:val="bottom"/>
          </w:tcPr>
          <w:p>
            <w:pPr>
              <w:spacing w:after="0"/>
              <w:rPr>
                <w:sz w:val="1"/>
                <w:szCs w:val="1"/>
                <w:color w:val="auto"/>
              </w:rPr>
            </w:pPr>
          </w:p>
        </w:tc>
      </w:tr>
      <w:tr>
        <w:trPr>
          <w:trHeight w:val="237"/>
        </w:trPr>
        <w:tc>
          <w:tcPr>
            <w:tcW w:w="4780" w:type="dxa"/>
            <w:vAlign w:val="bottom"/>
          </w:tcPr>
          <w:p>
            <w:pPr>
              <w:ind w:left="720"/>
              <w:spacing w:after="0"/>
              <w:rPr>
                <w:sz w:val="20"/>
                <w:szCs w:val="20"/>
                <w:color w:val="auto"/>
              </w:rPr>
            </w:pPr>
            <w:r>
              <w:rPr>
                <w:rFonts w:ascii="Arial" w:cs="Arial" w:eastAsia="Arial" w:hAnsi="Arial"/>
                <w:sz w:val="20"/>
                <w:szCs w:val="20"/>
                <w:color w:val="auto"/>
              </w:rPr>
              <w:t>Attn: Legal Department - Leasing</w:t>
            </w: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780" w:type="dxa"/>
            <w:vAlign w:val="bottom"/>
          </w:tcPr>
          <w:p>
            <w:pPr>
              <w:ind w:left="720"/>
              <w:spacing w:after="0"/>
              <w:rPr>
                <w:sz w:val="20"/>
                <w:szCs w:val="20"/>
                <w:color w:val="auto"/>
              </w:rPr>
            </w:pPr>
            <w:r>
              <w:rPr>
                <w:rFonts w:ascii="Arial" w:cs="Arial" w:eastAsia="Arial" w:hAnsi="Arial"/>
                <w:sz w:val="20"/>
                <w:szCs w:val="20"/>
                <w:color w:val="auto"/>
              </w:rPr>
              <w:t>With a copy to:</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780" w:type="dxa"/>
            <w:vAlign w:val="bottom"/>
          </w:tcPr>
          <w:p>
            <w:pPr>
              <w:ind w:left="720"/>
              <w:spacing w:after="0"/>
              <w:rPr>
                <w:sz w:val="20"/>
                <w:szCs w:val="20"/>
                <w:color w:val="auto"/>
              </w:rPr>
            </w:pPr>
            <w:r>
              <w:rPr>
                <w:rFonts w:ascii="Arial" w:cs="Arial" w:eastAsia="Arial" w:hAnsi="Arial"/>
                <w:sz w:val="20"/>
                <w:szCs w:val="20"/>
                <w:color w:val="auto"/>
              </w:rPr>
              <w:t>Equity Commonwealth Management LLC</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720"/>
              <w:spacing w:after="0" w:line="189" w:lineRule="exact"/>
              <w:rPr>
                <w:sz w:val="20"/>
                <w:szCs w:val="20"/>
                <w:color w:val="auto"/>
              </w:rPr>
            </w:pPr>
            <w:r>
              <w:rPr>
                <w:rFonts w:ascii="Arial" w:cs="Arial" w:eastAsia="Arial" w:hAnsi="Arial"/>
                <w:sz w:val="20"/>
                <w:szCs w:val="20"/>
                <w:color w:val="auto"/>
              </w:rPr>
              <w:t>Two North Riverside Plaza</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720"/>
              <w:spacing w:after="0" w:line="189" w:lineRule="exact"/>
              <w:rPr>
                <w:sz w:val="20"/>
                <w:szCs w:val="20"/>
                <w:color w:val="auto"/>
              </w:rPr>
            </w:pPr>
            <w:r>
              <w:rPr>
                <w:rFonts w:ascii="Arial" w:cs="Arial" w:eastAsia="Arial" w:hAnsi="Arial"/>
                <w:sz w:val="20"/>
                <w:szCs w:val="20"/>
                <w:color w:val="auto"/>
              </w:rPr>
              <w:t>Suite 2100</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ind w:left="720"/>
              <w:spacing w:after="0" w:line="189" w:lineRule="exact"/>
              <w:rPr>
                <w:sz w:val="20"/>
                <w:szCs w:val="20"/>
                <w:color w:val="auto"/>
              </w:rPr>
            </w:pPr>
            <w:r>
              <w:rPr>
                <w:rFonts w:ascii="Arial" w:cs="Arial" w:eastAsia="Arial" w:hAnsi="Arial"/>
                <w:sz w:val="20"/>
                <w:szCs w:val="20"/>
                <w:color w:val="auto"/>
              </w:rPr>
              <w:t>Chicago, Illinois 60606</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720"/>
              <w:spacing w:after="0"/>
              <w:rPr>
                <w:sz w:val="20"/>
                <w:szCs w:val="20"/>
                <w:color w:val="auto"/>
              </w:rPr>
            </w:pPr>
            <w:r>
              <w:rPr>
                <w:rFonts w:ascii="Arial" w:cs="Arial" w:eastAsia="Arial" w:hAnsi="Arial"/>
                <w:sz w:val="20"/>
                <w:szCs w:val="20"/>
                <w:color w:val="auto"/>
              </w:rPr>
              <w:t>Attn: General Counsel</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left="1300" w:hanging="647"/>
        <w:spacing w:after="0" w:line="209" w:lineRule="auto"/>
        <w:tabs>
          <w:tab w:leader="none" w:pos="1280" w:val="left"/>
        </w:tabs>
        <w:rPr>
          <w:sz w:val="20"/>
          <w:szCs w:val="20"/>
          <w:color w:val="auto"/>
        </w:rPr>
      </w:pPr>
      <w:r>
        <w:rPr>
          <w:rFonts w:ascii="Arial" w:cs="Arial" w:eastAsia="Arial" w:hAnsi="Arial"/>
          <w:sz w:val="20"/>
          <w:szCs w:val="20"/>
          <w:color w:val="auto"/>
        </w:rPr>
        <w:t>1.13.</w:t>
        <w:tab/>
        <w:t>“</w:t>
      </w:r>
      <w:r>
        <w:rPr>
          <w:rFonts w:ascii="Arial" w:cs="Arial" w:eastAsia="Arial" w:hAnsi="Arial"/>
          <w:sz w:val="20"/>
          <w:szCs w:val="20"/>
          <w:b w:val="1"/>
          <w:bCs w:val="1"/>
          <w:color w:val="auto"/>
        </w:rPr>
        <w:t>Business Day(s)</w:t>
      </w:r>
      <w:r>
        <w:rPr>
          <w:rFonts w:ascii="Arial" w:cs="Arial" w:eastAsia="Arial" w:hAnsi="Arial"/>
          <w:sz w:val="20"/>
          <w:szCs w:val="20"/>
          <w:color w:val="auto"/>
        </w:rPr>
        <w:t>” are Monday through Friday of each week, exclusive of New Year’s Day, Memorial Day, Independence Day, Labor Day, Thanksgiving Day and Christmas Day (“</w:t>
      </w:r>
      <w:r>
        <w:rPr>
          <w:rFonts w:ascii="Arial" w:cs="Arial" w:eastAsia="Arial" w:hAnsi="Arial"/>
          <w:sz w:val="20"/>
          <w:szCs w:val="20"/>
          <w:b w:val="1"/>
          <w:bCs w:val="1"/>
          <w:color w:val="auto"/>
        </w:rPr>
        <w:t>Holidays</w:t>
      </w:r>
      <w:r>
        <w:rPr>
          <w:rFonts w:ascii="Arial" w:cs="Arial" w:eastAsia="Arial" w:hAnsi="Arial"/>
          <w:sz w:val="20"/>
          <w:szCs w:val="20"/>
          <w:color w:val="auto"/>
        </w:rPr>
        <w:t>”). Landlord may designate additional Holidays that are commonly recognized by other office buildings in the area where the Building is located. “</w:t>
      </w:r>
      <w:r>
        <w:rPr>
          <w:rFonts w:ascii="Arial" w:cs="Arial" w:eastAsia="Arial" w:hAnsi="Arial"/>
          <w:sz w:val="20"/>
          <w:szCs w:val="20"/>
          <w:b w:val="1"/>
          <w:bCs w:val="1"/>
          <w:color w:val="auto"/>
        </w:rPr>
        <w:t>Building Service Hours</w:t>
      </w:r>
      <w:r>
        <w:rPr>
          <w:rFonts w:ascii="Arial" w:cs="Arial" w:eastAsia="Arial" w:hAnsi="Arial"/>
          <w:sz w:val="20"/>
          <w:szCs w:val="20"/>
          <w:color w:val="auto"/>
        </w:rPr>
        <w:t>” are 8:00 a.m. to 6:00 p.m. on Business Days and 8:00 a.m. to 1:00 p.m. on Saturdays, excluding Holidays (but may be different for freight elevator and/or loading dock purposes, if applicable).</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Landlord Work</w:t>
      </w:r>
      <w:r>
        <w:rPr>
          <w:rFonts w:ascii="Arial" w:cs="Arial" w:eastAsia="Arial" w:hAnsi="Arial"/>
          <w:sz w:val="19"/>
          <w:szCs w:val="19"/>
          <w:color w:val="auto"/>
        </w:rPr>
        <w:t xml:space="preserve">” means none, except as expressly provided in </w:t>
      </w:r>
      <w:r>
        <w:rPr>
          <w:rFonts w:ascii="Arial" w:cs="Arial" w:eastAsia="Arial" w:hAnsi="Arial"/>
          <w:sz w:val="19"/>
          <w:szCs w:val="19"/>
          <w:b w:val="1"/>
          <w:bCs w:val="1"/>
          <w:color w:val="auto"/>
        </w:rPr>
        <w:t>Exhibit C</w:t>
      </w:r>
      <w:r>
        <w:rPr>
          <w:rFonts w:ascii="Arial" w:cs="Arial" w:eastAsia="Arial" w:hAnsi="Arial"/>
          <w:sz w:val="19"/>
          <w:szCs w:val="19"/>
          <w:color w:val="auto"/>
        </w:rPr>
        <w:t>, Section 5.</w:t>
      </w:r>
    </w:p>
    <w:p>
      <w:pPr>
        <w:spacing w:after="0" w:line="175" w:lineRule="exact"/>
        <w:rPr>
          <w:sz w:val="20"/>
          <w:szCs w:val="20"/>
          <w:color w:val="auto"/>
        </w:rPr>
      </w:pPr>
    </w:p>
    <w:p>
      <w:pPr>
        <w:jc w:val="both"/>
        <w:ind w:left="1300" w:hanging="647"/>
        <w:spacing w:after="0" w:line="222" w:lineRule="auto"/>
        <w:tabs>
          <w:tab w:leader="none" w:pos="1280" w:val="left"/>
        </w:tabs>
        <w:rPr>
          <w:sz w:val="20"/>
          <w:szCs w:val="20"/>
          <w:color w:val="auto"/>
        </w:rPr>
      </w:pPr>
      <w:r>
        <w:rPr>
          <w:rFonts w:ascii="Arial" w:cs="Arial" w:eastAsia="Arial" w:hAnsi="Arial"/>
          <w:sz w:val="20"/>
          <w:szCs w:val="20"/>
          <w:color w:val="auto"/>
        </w:rPr>
        <w:t>1.15.</w:t>
        <w:tab/>
        <w:t>“</w:t>
      </w:r>
      <w:r>
        <w:rPr>
          <w:rFonts w:ascii="Arial" w:cs="Arial" w:eastAsia="Arial" w:hAnsi="Arial"/>
          <w:sz w:val="20"/>
          <w:szCs w:val="20"/>
          <w:b w:val="1"/>
          <w:bCs w:val="1"/>
          <w:color w:val="auto"/>
        </w:rPr>
        <w:t>Property</w:t>
      </w:r>
      <w:r>
        <w:rPr>
          <w:rFonts w:ascii="Arial" w:cs="Arial" w:eastAsia="Arial" w:hAnsi="Arial"/>
          <w:sz w:val="20"/>
          <w:szCs w:val="20"/>
          <w:color w:val="auto"/>
        </w:rPr>
        <w:t>” means the Building and the parcel(s) of land on which it is located and, at Landlord’s discretion, the parking facilities and other improvements, if any, serving, or operated in connection with, the Building and the parcel(s) of land on which they are located.</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9"/>
          <w:szCs w:val="19"/>
          <w:b w:val="1"/>
          <w:bCs w:val="1"/>
          <w:u w:val="single" w:color="auto"/>
          <w:color w:val="auto"/>
        </w:rPr>
        <w:t>Additional Rights Granted to Tenant</w:t>
      </w:r>
      <w:r>
        <w:rPr>
          <w:rFonts w:ascii="Arial" w:cs="Arial" w:eastAsia="Arial" w:hAnsi="Arial"/>
          <w:sz w:val="19"/>
          <w:szCs w:val="19"/>
          <w:b w:val="1"/>
          <w:bCs w:val="1"/>
          <w:color w:val="auto"/>
        </w:rPr>
        <w: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Renewal Option (See Section I of Exhibit F)</w:t>
      </w:r>
    </w:p>
    <w:p>
      <w:pPr>
        <w:ind w:left="1300"/>
        <w:spacing w:after="0" w:line="197" w:lineRule="auto"/>
        <w:rPr>
          <w:sz w:val="20"/>
          <w:szCs w:val="20"/>
          <w:color w:val="auto"/>
        </w:rPr>
      </w:pPr>
      <w:r>
        <w:rPr>
          <w:rFonts w:ascii="Arial" w:cs="Arial" w:eastAsia="Arial" w:hAnsi="Arial"/>
          <w:sz w:val="20"/>
          <w:szCs w:val="20"/>
          <w:color w:val="auto"/>
        </w:rPr>
        <w:t>Right of First Offer (See Section II of Exhibit F)</w:t>
      </w:r>
    </w:p>
    <w:p>
      <w:pPr>
        <w:ind w:left="1300"/>
        <w:spacing w:after="0" w:line="197" w:lineRule="auto"/>
        <w:rPr>
          <w:sz w:val="20"/>
          <w:szCs w:val="20"/>
          <w:color w:val="auto"/>
        </w:rPr>
      </w:pPr>
      <w:r>
        <w:rPr>
          <w:rFonts w:ascii="Arial" w:cs="Arial" w:eastAsia="Arial" w:hAnsi="Arial"/>
          <w:sz w:val="20"/>
          <w:szCs w:val="20"/>
          <w:color w:val="auto"/>
        </w:rPr>
        <w:t>Right of First Refusal (See Section III of Exhibit F)</w:t>
      </w:r>
    </w:p>
    <w:p>
      <w:pPr>
        <w:ind w:left="1300"/>
        <w:spacing w:after="0"/>
        <w:rPr>
          <w:sz w:val="20"/>
          <w:szCs w:val="20"/>
          <w:color w:val="auto"/>
        </w:rPr>
      </w:pPr>
      <w:r>
        <w:rPr>
          <w:rFonts w:ascii="Arial" w:cs="Arial" w:eastAsia="Arial" w:hAnsi="Arial"/>
          <w:sz w:val="20"/>
          <w:szCs w:val="20"/>
          <w:color w:val="auto"/>
        </w:rPr>
        <w:t>Parking (See Exhibit H)</w:t>
      </w:r>
    </w:p>
    <w:p>
      <w:pPr>
        <w:spacing w:after="0" w:line="175"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Lease Grant.</w:t>
      </w:r>
    </w:p>
    <w:p>
      <w:pPr>
        <w:spacing w:after="0" w:line="175"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The Premises are hereby leased to Tenant from Landlord, together with the right to use any portions of the Property that are designated by Landlord for the common use of tenants and others (the “</w:t>
      </w:r>
      <w:r>
        <w:rPr>
          <w:rFonts w:ascii="Arial" w:cs="Arial" w:eastAsia="Arial" w:hAnsi="Arial"/>
          <w:sz w:val="20"/>
          <w:szCs w:val="20"/>
          <w:b w:val="1"/>
          <w:bCs w:val="1"/>
          <w:color w:val="auto"/>
        </w:rPr>
        <w:t>Common Areas</w:t>
      </w:r>
      <w:r>
        <w:rPr>
          <w:rFonts w:ascii="Arial" w:cs="Arial" w:eastAsia="Arial" w:hAnsi="Arial"/>
          <w:sz w:val="20"/>
          <w:szCs w:val="20"/>
          <w:color w:val="auto"/>
        </w:rPr>
        <w:t>”).</w:t>
      </w:r>
    </w:p>
    <w:p>
      <w:pPr>
        <w:spacing w:after="0" w:line="169"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Adjustment of Commencement Date;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4" w:right="339" w:bottom="1440" w:gutter="0" w:footer="0" w:header="0"/>
        </w:sectPr>
      </w:pPr>
    </w:p>
    <w:bookmarkStart w:id="124" w:name="page125"/>
    <w:bookmarkEnd w:id="124"/>
    <w:p>
      <w:pPr>
        <w:jc w:val="both"/>
        <w:ind w:firstLine="648"/>
        <w:spacing w:after="0" w:line="207" w:lineRule="auto"/>
        <w:rPr>
          <w:sz w:val="20"/>
          <w:szCs w:val="20"/>
          <w:color w:val="auto"/>
        </w:rPr>
      </w:pPr>
      <w:r>
        <w:rPr>
          <w:rFonts w:ascii="Arial" w:cs="Arial" w:eastAsia="Arial" w:hAnsi="Arial"/>
          <w:sz w:val="20"/>
          <w:szCs w:val="20"/>
          <w:color w:val="auto"/>
        </w:rPr>
        <w:t>3.01. (a) Landlord anticipates delivering possession of the Premises to Tenant on April 1, 2018. Notwithstanding the foregoing, Landlord’s failure to deliver possession of the Premises to Tenant by such date for reasons outside Landlord’s reasonable control, including, without limitation, the holding over in possession of the Premises or any portion thereof by the current occupant thereof, shall not affect the enforceability of this Lease, or subject Landlord to any liability to Tenant for damage or be deemed a default by Landlord of its obligations under the Lease.</w:t>
      </w:r>
    </w:p>
    <w:p>
      <w:pPr>
        <w:spacing w:after="0" w:line="169" w:lineRule="exact"/>
        <w:rPr>
          <w:sz w:val="20"/>
          <w:szCs w:val="20"/>
          <w:color w:val="auto"/>
        </w:rPr>
      </w:pPr>
    </w:p>
    <w:p>
      <w:pPr>
        <w:jc w:val="both"/>
        <w:ind w:firstLine="656"/>
        <w:spacing w:after="0" w:line="205" w:lineRule="auto"/>
        <w:tabs>
          <w:tab w:leader="none" w:pos="1295"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If the Commencement Date is not a fixed date, the provisions of this Section 3.01(b) shall apply. A form of premises acceptance letter is attached as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(the </w:t>
      </w:r>
      <w:r>
        <w:rPr>
          <w:rFonts w:ascii="Arial" w:cs="Arial" w:eastAsia="Arial" w:hAnsi="Arial"/>
          <w:sz w:val="20"/>
          <w:szCs w:val="20"/>
          <w:b w:val="1"/>
          <w:bCs w:val="1"/>
          <w:color w:val="auto"/>
        </w:rPr>
        <w:t>“Premises Acceptance Letter”</w:t>
      </w:r>
      <w:r>
        <w:rPr>
          <w:rFonts w:ascii="Arial" w:cs="Arial" w:eastAsia="Arial" w:hAnsi="Arial"/>
          <w:sz w:val="20"/>
          <w:szCs w:val="20"/>
          <w:color w:val="auto"/>
        </w:rPr>
        <w:t>). Promptly after the determination of the Commencement Date, and prior to Tenant being permitted to move Tenant’s Property (defined in Section 14 below) into the Premises, Tenant shall execute and deliver to Landlord a completed Premises Acceptance Letter, provided Landlord has prepared and furnished the same to Tenant. In addition, Tenant hereby designates Robin Cline as the party authorized to execute the Premises Acceptance Letter on Tenant’s behalf.</w:t>
      </w:r>
    </w:p>
    <w:p>
      <w:pPr>
        <w:spacing w:after="0" w:line="171" w:lineRule="exact"/>
        <w:rPr>
          <w:sz w:val="20"/>
          <w:szCs w:val="20"/>
          <w:color w:val="auto"/>
        </w:rPr>
      </w:pPr>
    </w:p>
    <w:p>
      <w:pPr>
        <w:jc w:val="both"/>
        <w:ind w:firstLine="648"/>
        <w:spacing w:after="0" w:line="199" w:lineRule="auto"/>
        <w:rPr>
          <w:sz w:val="20"/>
          <w:szCs w:val="20"/>
          <w:color w:val="auto"/>
        </w:rPr>
      </w:pPr>
      <w:r>
        <w:rPr>
          <w:rFonts w:ascii="Arial" w:cs="Arial" w:eastAsia="Arial" w:hAnsi="Arial"/>
          <w:sz w:val="20"/>
          <w:szCs w:val="20"/>
          <w:color w:val="auto"/>
        </w:rPr>
        <w:t>3.02. The Premises are accepted by Tenant in “as is” condition and configuration, without any representations or warranties by Landlord or any party acting on Landlord’s behalf, except as expressly set forth in this Lease. On the Premises Delivery Date, (i) the HVAC systems, electrical systems and plumbing systems serving the Premises, and the HVAC systems, electrical systems and plumbing systems serving the common areas serving the Premises shall be in good working order, (ii) the structure of the Premises (exterior walls, exterior windows, floor slabs, columns and other base building elements) shall be structurally sound and in water tight condition, and (iii) all personal property of the prior tenant shall be removed. Tenant’s failure to notify Landlord of any failure to deliver the Premises in the condition required by this Lease within fifteen (15) Business Days after the Premises Delivery Date shall be construed as Tenant’s agreement that the Premises are in good order and satisfactory condition as delivered. Subject to the foregoing, by taking possession of the Premises, Tenant agrees that the Premises are in good order and satisfactory condition and that Landlord has no obligation to perform any work in the Premises, the Building or the Property or otherwise prepare the Premises for Tenant’s occupancy. Landlord shall not be liable for, and the validity of this Lease shall not be impaired by, a failure to deliver possession of the Premises or any other space due to the holdover or continued wrongful possession of such space by another party, provided, however, Landlord shall use reasonable efforts to obtain possession of any such space. Except as otherwise provided in this Lease, Tenant shall not be permitted to take possession of or enter the Premises prior to the Commencement Date without Landlord’s permission. Provided that Tenant has delivered to Landlord the Security Deposit, the installment of Base Rent due for the 2nd full calendar month of the Term, and evidence of the insurance required of Tenant hereunder, Landlord shall permit Tenant to have access to the Premises on the Premises Delivery Date for the sole purpose of performing, in accordance with the terms of this Lease (including, without limitation, Section 9.03 hereof), the Initial Alterations and, to the extent permitted by applicable Law, installing furniture, equipment and other personal property. If Tenant takes possession of or enters the Premises before the Commencement Date, Tenant shall pay for all services requested by Tenant other than freight elevator and loading dock usage and Tenant shall be subject to the terms and conditions of this Lease; provided, however, Tenant shall not be required to pay any Base Rent, Tax Rent or Expense Rent for any entry or possession before the Commencement Date during which Tenant, with Landlord’s approval, has entered, or is in possession of, the Premises for the sole purpose of performing improvements or installing furniture, equipment or other personal property.</w:t>
      </w:r>
    </w:p>
    <w:p>
      <w:pPr>
        <w:spacing w:after="0" w:line="174"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Rent.</w:t>
      </w:r>
    </w:p>
    <w:p>
      <w:pPr>
        <w:spacing w:after="0" w:line="175"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0"/>
          <w:szCs w:val="20"/>
          <w:color w:val="auto"/>
        </w:rPr>
        <w:t>4.01. Tenant shall pay Landlord in lawful money of the United States of America, without any setoff or deduction, unless expressly set forth in this Lease, all Base Rent and Additional Rent due for the Term (collectively referred to as “</w:t>
      </w:r>
      <w:r>
        <w:rPr>
          <w:rFonts w:ascii="Arial" w:cs="Arial" w:eastAsia="Arial" w:hAnsi="Arial"/>
          <w:sz w:val="20"/>
          <w:szCs w:val="20"/>
          <w:b w:val="1"/>
          <w:bCs w:val="1"/>
          <w:color w:val="auto"/>
        </w:rPr>
        <w:t>Rent</w:t>
      </w:r>
      <w:r>
        <w:rPr>
          <w:rFonts w:ascii="Arial" w:cs="Arial" w:eastAsia="Arial" w:hAnsi="Arial"/>
          <w:sz w:val="20"/>
          <w:szCs w:val="20"/>
          <w:color w:val="auto"/>
        </w:rPr>
        <w:t>”). “</w:t>
      </w:r>
      <w:r>
        <w:rPr>
          <w:rFonts w:ascii="Arial" w:cs="Arial" w:eastAsia="Arial" w:hAnsi="Arial"/>
          <w:sz w:val="20"/>
          <w:szCs w:val="20"/>
          <w:b w:val="1"/>
          <w:bCs w:val="1"/>
          <w:color w:val="auto"/>
        </w:rPr>
        <w:t>Additional Rent</w:t>
      </w:r>
      <w:r>
        <w:rPr>
          <w:rFonts w:ascii="Arial" w:cs="Arial" w:eastAsia="Arial" w:hAnsi="Arial"/>
          <w:sz w:val="20"/>
          <w:szCs w:val="20"/>
          <w:color w:val="auto"/>
        </w:rPr>
        <w:t>” means all sums (exclusive of Base Rent) that Tenant is required to pay Landlord under this Lease. Tenant shall pay and be liable for all rental, sales and use taxes (but excluding income taxes),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8" w:right="339" w:bottom="1440" w:gutter="0" w:footer="0" w:header="0"/>
        </w:sectPr>
      </w:pPr>
    </w:p>
    <w:bookmarkStart w:id="125" w:name="page126"/>
    <w:bookmarkEnd w:id="125"/>
    <w:p>
      <w:pPr>
        <w:jc w:val="both"/>
        <w:spacing w:after="0" w:line="210" w:lineRule="auto"/>
        <w:rPr>
          <w:sz w:val="20"/>
          <w:szCs w:val="20"/>
          <w:color w:val="auto"/>
        </w:rPr>
      </w:pPr>
      <w:r>
        <w:rPr>
          <w:rFonts w:ascii="Arial" w:cs="Arial" w:eastAsia="Arial" w:hAnsi="Arial"/>
          <w:sz w:val="19"/>
          <w:szCs w:val="19"/>
          <w:color w:val="auto"/>
        </w:rPr>
        <w:t>any, imposed upon or measured by Rent. Base Rent and recurring monthly charges of Additional Rent shall be due and payable in advance on the first day of each calendar month without notice or demand, provided that the installment of Base Rent for the first full calendar month of the Term following the Rent Abatement Period, and the first monthly installment of Expense Rent and Tax Rent, shall be payable upon the execution of this Lease by Tenant. All other items of Rent shall be due and payable by Tenant on or before 30 days after billing by Landlord. All payments of Rent shall be made by electronic money transfer in accordance with Landlord’s written instructions regarding the same or by such other means or method of payment as Landlord may direct in writing. Unless otherwise notified in writing by Landlord, all payments of Rent shall be made by ACH transfer to Landlord in accordance with the following: Bank: Citizens Bank, Bank Address: 1 Citizens Drive, Riverside, RI 02915, Account Name: Equity Commonwealth, ABA Routing #: 211070175, Account #: 1324602233, Reference: 605330. If Tenant does not pay any Rent when due hereunder, Tenant shall pay Landlord an administration fee in the amount of 5% of the past due Rent, provided that Tenant shall be entitled to a grace period of up to 5 days after delivery of notice from Landlord for the first 2 late payments of Rent in a calendar year. In addition, past due Rent shall accrue interest at a rate (the “</w:t>
      </w:r>
      <w:r>
        <w:rPr>
          <w:rFonts w:ascii="Arial" w:cs="Arial" w:eastAsia="Arial" w:hAnsi="Arial"/>
          <w:sz w:val="19"/>
          <w:szCs w:val="19"/>
          <w:b w:val="1"/>
          <w:bCs w:val="1"/>
          <w:color w:val="auto"/>
        </w:rPr>
        <w:t>Interest Rate</w:t>
      </w:r>
      <w:r>
        <w:rPr>
          <w:rFonts w:ascii="Arial" w:cs="Arial" w:eastAsia="Arial" w:hAnsi="Arial"/>
          <w:sz w:val="19"/>
          <w:szCs w:val="19"/>
          <w:color w:val="auto"/>
        </w:rPr>
        <w:t>”) per annum equal to the lesser of (i) 12% per annum and (ii) 4 percentage points above the rate of interest then most recently publicly announced by a federally insured bank selected by Landlord as its “prime rate” or “base rate” (the “</w:t>
      </w:r>
      <w:r>
        <w:rPr>
          <w:rFonts w:ascii="Arial" w:cs="Arial" w:eastAsia="Arial" w:hAnsi="Arial"/>
          <w:sz w:val="19"/>
          <w:szCs w:val="19"/>
          <w:b w:val="1"/>
          <w:bCs w:val="1"/>
          <w:color w:val="auto"/>
        </w:rPr>
        <w:t>Prime Rate</w:t>
      </w:r>
      <w:r>
        <w:rPr>
          <w:rFonts w:ascii="Arial" w:cs="Arial" w:eastAsia="Arial" w:hAnsi="Arial"/>
          <w:sz w:val="19"/>
          <w:szCs w:val="19"/>
          <w:color w:val="auto"/>
        </w:rPr>
        <w:t>”) until paid in full, including after the entry of any judgment. If accrual or payment of interest at the Interest Rate should be unlawful, then the Interest Rate shall be the maximum legal rate. Tenant shall pay Landlord a reasonable fee for any checks returned by Tenant’s bank for any reason. Landlord’s acceptance of less than the correct amount of Rent shall be considered a payment on account of the oldest obligation due from Tenant hereunder, then to any current Rent then due hereunder, notwithstanding any statement to the contrary contained on or accompanying any such payment from Tenant and acceptance of any such partial payment shall not be deemed a waiver of Landlord’s right to the full amount due. Rent for any partial month during the Term shall be prorated based on the number of days in such month. No endorsement or statement on a check or letter accompanying payment shall be considered an accord and satisfaction. Tenant’s covenant to pay Rent is independent of every other covenant in this Lease.</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9"/>
          <w:szCs w:val="19"/>
          <w:color w:val="auto"/>
        </w:rPr>
        <w:t xml:space="preserve">Tenant shall pay Expense Rent and Tax Rent in accordance with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to this Lease.</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 xml:space="preserve">4.03. Tenant shall pay the Parking Charges (as defined in Section 1 of </w:t>
      </w:r>
      <w:r>
        <w:rPr>
          <w:rFonts w:ascii="Arial" w:cs="Arial" w:eastAsia="Arial" w:hAnsi="Arial"/>
          <w:sz w:val="20"/>
          <w:szCs w:val="20"/>
          <w:b w:val="1"/>
          <w:bCs w:val="1"/>
          <w:color w:val="auto"/>
        </w:rPr>
        <w:t>Exhibit H</w:t>
      </w:r>
      <w:r>
        <w:rPr>
          <w:rFonts w:ascii="Arial" w:cs="Arial" w:eastAsia="Arial" w:hAnsi="Arial"/>
          <w:sz w:val="20"/>
          <w:szCs w:val="20"/>
          <w:color w:val="auto"/>
        </w:rPr>
        <w:t>) and shall have the parking rights set forth in Exhibit H.</w:t>
      </w:r>
    </w:p>
    <w:p>
      <w:pPr>
        <w:spacing w:after="0" w:line="170"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Compliance with Laws; Use.</w:t>
      </w:r>
    </w:p>
    <w:p>
      <w:pPr>
        <w:spacing w:after="0" w:line="175"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The Premises shall be used for the Permitted Use and for no other use whatsoever. Tenant shall comply, and shall cause all of the Tenant Related Parties to comply, with all laws, statutes, codes, ordinances, orders, rules and regulations of any municipal or governmental entity whether in effect now or later, including, without limitation, the Americans with Disabilities Act (“</w:t>
      </w:r>
      <w:r>
        <w:rPr>
          <w:rFonts w:ascii="Arial" w:cs="Arial" w:eastAsia="Arial" w:hAnsi="Arial"/>
          <w:sz w:val="20"/>
          <w:szCs w:val="20"/>
          <w:b w:val="1"/>
          <w:bCs w:val="1"/>
          <w:color w:val="auto"/>
        </w:rPr>
        <w:t>Law(s)</w:t>
      </w:r>
      <w:r>
        <w:rPr>
          <w:rFonts w:ascii="Arial" w:cs="Arial" w:eastAsia="Arial" w:hAnsi="Arial"/>
          <w:sz w:val="20"/>
          <w:szCs w:val="20"/>
          <w:color w:val="auto"/>
        </w:rPr>
        <w:t>”), regarding the operation of Tenant’s business and the use, condition, configuration and occupancy of the Premises. In addition, Tenant shall, at its sole cost, promptly comply with any Laws that relate to the Common Areas and other portions of the Property, other than the Premises, but only to the extent such obligations are triggered by Tenant’s specific use of the Premises, or Alterations or improvements in the Premises performed or requested by Tenant, or Tenant’s obligations as an employer, or the breach of any of Tenant’s obligations under this Lease, or the negligence or willful misconduct of Tenant or any of the Tenant Related Parties (“</w:t>
      </w:r>
      <w:r>
        <w:rPr>
          <w:rFonts w:ascii="Arial" w:cs="Arial" w:eastAsia="Arial" w:hAnsi="Arial"/>
          <w:sz w:val="20"/>
          <w:szCs w:val="20"/>
          <w:b w:val="1"/>
          <w:bCs w:val="1"/>
          <w:color w:val="auto"/>
        </w:rPr>
        <w:t>Tenant Triggered Compliance</w:t>
      </w:r>
      <w:r>
        <w:rPr>
          <w:rFonts w:ascii="Arial" w:cs="Arial" w:eastAsia="Arial" w:hAnsi="Arial"/>
          <w:sz w:val="20"/>
          <w:szCs w:val="20"/>
          <w:color w:val="auto"/>
        </w:rPr>
        <w:t>”). Notwithstanding the foregoing, Tenant shall notify Landlord prior to commencing any Tenant Triggered Compliance and Landlord may elect, by written notice to Tenant within 10 days after receipt of Tenant’s notice, to perform any such Tenant Triggered Compliance, at Tenant’s sole cost. Tenant shall promptly provide Landlord with copies of any notices it receives regarding an alleged violation of Law. Notwithstanding anything to the contrary contained in this Lease, Tenant shall limit the number of work seats in the Premises at any time in such a manner as to not exceed a ratio of one work seat for each 167 rentable square feet of the Premises, Tenant acknowledging that the number of work seats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8" w:right="339" w:bottom="1440" w:gutter="0" w:footer="0" w:header="0"/>
        </w:sectPr>
      </w:pPr>
    </w:p>
    <w:bookmarkStart w:id="126" w:name="page127"/>
    <w:bookmarkEnd w:id="126"/>
    <w:p>
      <w:pPr>
        <w:jc w:val="both"/>
        <w:spacing w:after="0" w:line="202" w:lineRule="auto"/>
        <w:rPr>
          <w:sz w:val="20"/>
          <w:szCs w:val="20"/>
          <w:color w:val="auto"/>
        </w:rPr>
      </w:pPr>
      <w:r>
        <w:rPr>
          <w:rFonts w:ascii="Arial" w:cs="Arial" w:eastAsia="Arial" w:hAnsi="Arial"/>
          <w:sz w:val="20"/>
          <w:szCs w:val="20"/>
          <w:color w:val="auto"/>
        </w:rPr>
        <w:t xml:space="preserve">per rentable square foot of the Premises has a material effect on Landlord’s ability to provide the HVAC, electrical, elevator and other services set forth in this Lease. If any upgrade to the Building standard systems, including but not limited to the Building's mechanical and electrical systems and restroom fixtures, is necessary by reason of Tenant's failure to comply with such occupancy density requirements, as reasonably determined by Landlord, to accommodate Tenant's needs, and Tenant fails to cure such failure within ten (10) days after notice from Landlord, Tenant will reimburse Landlord promptly upon Landlord's demand for all costs incurred by Landlord in connection with such upgrade. Tenant shall comply (and cause the Tenant Related Parties and their respective contractors and vendors to comply) with the rules and regulations of the Building attached as </w:t>
      </w:r>
      <w:r>
        <w:rPr>
          <w:rFonts w:ascii="Arial" w:cs="Arial" w:eastAsia="Arial" w:hAnsi="Arial"/>
          <w:sz w:val="20"/>
          <w:szCs w:val="20"/>
          <w:b w:val="1"/>
          <w:bCs w:val="1"/>
          <w:color w:val="auto"/>
        </w:rPr>
        <w:t xml:space="preserve">Exhibit E </w:t>
      </w:r>
      <w:r>
        <w:rPr>
          <w:rFonts w:ascii="Arial" w:cs="Arial" w:eastAsia="Arial" w:hAnsi="Arial"/>
          <w:sz w:val="20"/>
          <w:szCs w:val="20"/>
          <w:color w:val="auto"/>
        </w:rPr>
        <w:t>and such other reasonable rules and regulations adopted by Landlord from time to time, including rules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regulations for the performance of Alterations (defined in Section 9.03).</w:t>
      </w:r>
    </w:p>
    <w:p>
      <w:pPr>
        <w:spacing w:after="0" w:line="175"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Security Deposit.</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9"/>
          <w:szCs w:val="19"/>
          <w:color w:val="auto"/>
        </w:rPr>
        <w:t>The Security Deposit shall be delivered to Landlord upon the execution of this Lease by Tenant and held by Landlord without liability for interest (unless required by Law) as security for the performance of Tenant’s obligations. The Security Deposit is not an advance payment of Rent or a measure of damages. Landlord may from time to time and without prejudice to any other remedy provided in this Lease or by Law, use all or a portion of the Security Deposit to the extent necessary to satisfy past due Rent or to satisfy any other obligation, loss or damage resulting from Tenant’s breach under this Lease. If Landlord uses any portion of the Security Deposit, Tenant, within 5 days after demand, shall restore the Security Deposit to its original amount. Landlord shall return any unapplied portion of the Security Deposit to Tenant within 45 days after the later to occur of:</w:t>
      </w:r>
    </w:p>
    <w:p>
      <w:pPr>
        <w:spacing w:after="0" w:line="4" w:lineRule="exact"/>
        <w:rPr>
          <w:sz w:val="20"/>
          <w:szCs w:val="20"/>
          <w:color w:val="auto"/>
        </w:rPr>
      </w:pPr>
    </w:p>
    <w:p>
      <w:pPr>
        <w:jc w:val="both"/>
        <w:ind w:firstLine="8"/>
        <w:spacing w:after="0" w:line="205" w:lineRule="auto"/>
        <w:tabs>
          <w:tab w:leader="none" w:pos="3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determination of the final Rent due from Tenant; or (b) the later to occur of the Termination Date or the date Tenant surrenders the Premises to Landlord in compliance with Section 25. Landlord may assign the Security Deposit to a successor or transferee and, following the assignment, Landlord shall have no further liability for the return of the Security Deposit. Landlord shall not be required to keep the Security Deposit separate from its other accounts. Notwithstanding the foregoing, the Security Deposit shall be the form of a Letter of Credit and shall be subject to reduction as more particularly described in Section IV of Exhibit F.</w:t>
      </w:r>
    </w:p>
    <w:p>
      <w:pPr>
        <w:spacing w:after="0" w:line="171" w:lineRule="exact"/>
        <w:rPr>
          <w:sz w:val="20"/>
          <w:szCs w:val="20"/>
          <w:color w:val="auto"/>
        </w:rPr>
      </w:pPr>
    </w:p>
    <w:p>
      <w:pPr>
        <w:ind w:left="640" w:hanging="632"/>
        <w:spacing w:after="0"/>
        <w:tabs>
          <w:tab w:leader="none" w:pos="640" w:val="left"/>
        </w:tabs>
        <w:numPr>
          <w:ilvl w:val="0"/>
          <w:numId w:val="78"/>
        </w:numPr>
        <w:rPr>
          <w:rFonts w:ascii="Arial" w:cs="Arial" w:eastAsia="Arial" w:hAnsi="Arial"/>
          <w:sz w:val="20"/>
          <w:szCs w:val="20"/>
          <w:color w:val="auto"/>
        </w:rPr>
      </w:pPr>
      <w:r>
        <w:rPr>
          <w:rFonts w:ascii="Arial" w:cs="Arial" w:eastAsia="Arial" w:hAnsi="Arial"/>
          <w:sz w:val="20"/>
          <w:szCs w:val="20"/>
          <w:color w:val="auto"/>
        </w:rPr>
        <w:t>Building Services and Signage.</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9"/>
          <w:szCs w:val="19"/>
          <w:color w:val="auto"/>
        </w:rPr>
        <w:t>7.01. Landlord shall furnish Tenant with the following services: (a) water for normal office use within the Premises (including the lavatories), consistent with water service provided to other premises within the Building; (b) customary heat and air conditioning in season during Building Service Hours, although (i) Tenant shall have the right to receive HVAC service during hours other than Building Service Hours (and Landlord may impose a minimum number of hours for such HVAC usage after Building Service Hours) by paying Landlord’s then standard charge for additional HVAC service and providing such prior notice to Landlord as is reasonably specified by Landlord, and (ii) if Tenant is permitted to connect any supplemental HVAC units to the Building’s condenser water loop or chilled water line (if any), such permission shall be conditioned upon Landlord having adequate excess capacity from time to time and such connection and use shall be subject to Landlord’s reasonable approval and reasonable restrictions imposed by Landlord, and Landlord shall have the right to charge Tenant a connection fee and/or a monthly usage fee, as reasonably determined by Landlord; (c) standard janitorial service on Business Days in accordance with Landlord’s standard cleaning specifications then in effect for the Building, provided that if Tenant’s use, floor covering or other improvements require special services in excess of the standard services for the Building (and for purposes of this Lease, cleaning a kitchen or private bathroom [among other things] shall be deemed to be special services) or if Tenant’s trash requires special handling (including, without limitation, because of its size or volume or because it cannot be disposed of in the ordinary course), Tenant shall pay the additional cost attributable to such special services or special handling, which payment shall be made monthly if the services are regularly recurring services and otherwise within 15 days after receipt of an invoice therefor;</w:t>
      </w:r>
    </w:p>
    <w:p>
      <w:pPr>
        <w:spacing w:after="0" w:line="9" w:lineRule="exact"/>
        <w:rPr>
          <w:sz w:val="20"/>
          <w:szCs w:val="20"/>
          <w:color w:val="auto"/>
        </w:rPr>
      </w:pPr>
    </w:p>
    <w:p>
      <w:pPr>
        <w:ind w:left="300" w:hanging="292"/>
        <w:spacing w:after="0"/>
        <w:tabs>
          <w:tab w:leader="none" w:pos="3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elevator service and, if there is a freight elevator or loading area available for Tenant’s use, Tenant shall have the right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22" w:lineRule="exact"/>
        <w:rPr>
          <w:rFonts w:ascii="Arial" w:cs="Arial" w:eastAsia="Arial" w:hAnsi="Arial"/>
          <w:sz w:val="20"/>
          <w:szCs w:val="20"/>
          <w:color w:val="auto"/>
        </w:rPr>
      </w:pPr>
    </w:p>
    <w:p>
      <w:pPr>
        <w:ind w:left="5560"/>
        <w:spacing w:after="0"/>
        <w:rPr>
          <w:rFonts w:ascii="Arial" w:cs="Arial" w:eastAsia="Arial" w:hAnsi="Arial"/>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8" w:right="339" w:bottom="1440" w:gutter="0" w:footer="0" w:header="0"/>
        </w:sectPr>
      </w:pPr>
    </w:p>
    <w:bookmarkStart w:id="127" w:name="page128"/>
    <w:bookmarkEnd w:id="127"/>
    <w:p>
      <w:pPr>
        <w:jc w:val="both"/>
        <w:spacing w:after="0" w:line="200" w:lineRule="auto"/>
        <w:rPr>
          <w:sz w:val="20"/>
          <w:szCs w:val="20"/>
          <w:color w:val="auto"/>
        </w:rPr>
      </w:pPr>
      <w:r>
        <w:rPr>
          <w:rFonts w:ascii="Arial" w:cs="Arial" w:eastAsia="Arial" w:hAnsi="Arial"/>
          <w:sz w:val="20"/>
          <w:szCs w:val="20"/>
          <w:color w:val="auto"/>
        </w:rPr>
        <w:t>to use the same subject to availability and provided Tenant complies with Landlord’s scheduling requirements, if any (including, without limitation, minimum hours of usage after Building Service Hours and required usage after Building Service Hours if Tenant’s use will be construction related or otherwise lengthy or disruptive to Building operations), and, if Tenant uses such freight elevator or loading dock after Building Service Hours, then, with respect to any such use following substantial completion of the Initial Alterations, Tenant shall pay Landlord’s standard charge for such use; (e) electricity in accordance with the terms and conditions in Section 7.02; (f) access to the Building for Tenant and its employees 24 hours per day/7 days per week, subject to the terms of this Lease and such protective services or monitoring systems, if any, as Landlord may reasonably impose, including, without limitation, sign-in procedures and/or use of card keys; and (g) such other services as Landlord reasonably determines are necessary or appropriate for the Property. Tenant shall participate in any recycling programs adopted by Landlord. Tenant shall (i) obtain, at Tenant’s sole cost, any services that are required for Tenant to operate its business in the Premises and that are not Landlord’s express responsibility under this Lease and (ii) pay, prior to delinquency, for all such services, and if Tenant fails to timely do so, Landlord may, at its option (and without any obligation to investigate the validity of the amounts due), do so and Tenant shall reimburse Landlord therefor (plus interest at the Interest Rate until paid, including after the entry of any judgment) upon demand. Landlord shall have the right to designate the service provider for any such services. If Landlord, at Tenant’s request, elects to provide any services which are not Landlord’s express obligation under this Lease, including, without limitation, any repairs which are Tenant’s responsibility pursuant to Section 9 below, Tenant shall pay Landlord, or such other party designated by Landlord, the cost of providing such service plus, to the extent not prohibited by applicable Laws, a reasonable administrative charge.</w:t>
      </w:r>
    </w:p>
    <w:p>
      <w:pPr>
        <w:spacing w:after="0" w:line="168" w:lineRule="exact"/>
        <w:rPr>
          <w:sz w:val="20"/>
          <w:szCs w:val="20"/>
          <w:color w:val="auto"/>
        </w:rPr>
      </w:pPr>
    </w:p>
    <w:p>
      <w:pPr>
        <w:jc w:val="both"/>
        <w:ind w:firstLine="648"/>
        <w:spacing w:after="0" w:line="197" w:lineRule="auto"/>
        <w:rPr>
          <w:sz w:val="20"/>
          <w:szCs w:val="20"/>
          <w:color w:val="auto"/>
        </w:rPr>
      </w:pPr>
      <w:r>
        <w:rPr>
          <w:rFonts w:ascii="Arial" w:cs="Arial" w:eastAsia="Arial" w:hAnsi="Arial"/>
          <w:sz w:val="20"/>
          <w:szCs w:val="20"/>
          <w:color w:val="auto"/>
        </w:rPr>
        <w:t>7.02. Subject to the provision below with respect to excess electrical usage, electricity and water used by Tenant in the Premises shall, at Landlord’s option, be paid for by Tenant either: (a) through inclusion in Expenses (except as provided for excess electrical usage); (b) by a separate charge payable by Tenant to Landlord; or (c) by separate charge billed by the applicable utility company and payable directly by Tenant. Without the consent of Landlord, Tenant’s use of electrical service shall not exceed the Building standard usage, per square foot. For purposes hereof, the “electrical standard” for the Building is:</w:t>
      </w:r>
    </w:p>
    <w:p>
      <w:pPr>
        <w:spacing w:after="0" w:line="1" w:lineRule="exact"/>
        <w:rPr>
          <w:sz w:val="20"/>
          <w:szCs w:val="20"/>
          <w:color w:val="auto"/>
        </w:rPr>
      </w:pPr>
    </w:p>
    <w:p>
      <w:pPr>
        <w:jc w:val="both"/>
        <w:ind w:firstLine="8"/>
        <w:spacing w:after="0" w:line="207" w:lineRule="auto"/>
        <w:tabs>
          <w:tab w:leader="none" w:pos="2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 design load of 2 watts per square foot of net usable floor area for all building standard overhead lighting located within the Premises which requires a voltage of 480/277 volts; and (ii) a connected load of 5 watts per square foot of net usable area for all equipment located and operated within the Premises which requires a voltage of 120/208 volts single phase or less, it being understood that electricity required to operate the base building HVAC system is not included within or deducted from the watts per square foot described in this subsection (ii). Without the consent of Landlord, Tenant’s use of electrical service shall not exceed the Building standard usage, per square foot, as reasonably determined by Landlord, based upon the Building standard electrical design load. If electrical or water service to all or any portion of the Premises is not separately metered, Landlord may add Landlord’s reasonable administrative charge to the cost of such service (to the extent not prohibited by applicable Laws). Landlord shall have the right to measure usage of electricity and/or water by any commonly accepted method, including, without limitation, (i) installing (or requiring Tenant to install) measuring devices such as submeters and check meters, at Tenant’s cost,</w:t>
      </w:r>
    </w:p>
    <w:p>
      <w:pPr>
        <w:spacing w:after="0" w:line="5" w:lineRule="exact"/>
        <w:rPr>
          <w:rFonts w:ascii="Arial" w:cs="Arial" w:eastAsia="Arial" w:hAnsi="Arial"/>
          <w:sz w:val="19"/>
          <w:szCs w:val="19"/>
          <w:color w:val="auto"/>
        </w:rPr>
      </w:pPr>
    </w:p>
    <w:p>
      <w:pPr>
        <w:jc w:val="both"/>
        <w:ind w:firstLine="8"/>
        <w:spacing w:after="0" w:line="202" w:lineRule="auto"/>
        <w:tabs>
          <w:tab w:leader="none" w:pos="2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allocating to the Premises a share of the cost of such utility based on the Rentable Square Footage of the Premises as a percentage of the rentable square footage of premises occupied by tenants whose consumption of such utility is measured by the meter serving the Premises and (iii) estimating Tenant’s usage of such utility (based on reasonable estimates by Landlord’s consultants or engineers or such other reasonable measuring methodologies as Landlord may utilize from time to time). If it is determined that Tenant is using electricity in such quantities or during such periods as to cause the total cost of Tenant’s electrical usage, on a monthly, per-rentable-square-foot basis, to materially exceed that which Landlord reasonably deems to be standard for the Building, Tenant shall pay Landlord Additional Rent for the cost of such excess electrical usage (plus Landlord’s reasonable administrative charge [to the extent not prohibited by applicable Laws]) and, if applicable, for the cost of purchasing, installing, repairing and maintaining the measuring device(s). The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8" w:right="339" w:bottom="1440" w:gutter="0" w:footer="0" w:header="0"/>
        </w:sectPr>
      </w:pPr>
    </w:p>
    <w:bookmarkStart w:id="128" w:name="page129"/>
    <w:bookmarkEnd w:id="128"/>
    <w:p>
      <w:pPr>
        <w:jc w:val="both"/>
        <w:spacing w:after="0" w:line="222" w:lineRule="auto"/>
        <w:rPr>
          <w:sz w:val="20"/>
          <w:szCs w:val="20"/>
          <w:color w:val="auto"/>
        </w:rPr>
      </w:pPr>
      <w:r>
        <w:rPr>
          <w:rFonts w:ascii="Arial" w:cs="Arial" w:eastAsia="Arial" w:hAnsi="Arial"/>
          <w:sz w:val="20"/>
          <w:szCs w:val="20"/>
          <w:color w:val="auto"/>
        </w:rPr>
        <w:t>electricity and water to be paid by Tenant shall include all federal, state and local taxes imposed upon or payable in connection with utility services.</w:t>
      </w:r>
    </w:p>
    <w:p>
      <w:pPr>
        <w:spacing w:after="0" w:line="169"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19"/>
          <w:szCs w:val="19"/>
          <w:color w:val="auto"/>
        </w:rPr>
        <w:t>7.03. Landlord’s failure to furnish, or any interruption, diminishment or termination of services due to the application of Laws, the failure of any equipment, the performance of maintenance, repairs, improvements or alterations, utility interruptions or the occurrence of an event of Force Majeure (defined in Section 26.03) or any other cause (collectively a “</w:t>
      </w:r>
      <w:r>
        <w:rPr>
          <w:rFonts w:ascii="Arial" w:cs="Arial" w:eastAsia="Arial" w:hAnsi="Arial"/>
          <w:sz w:val="19"/>
          <w:szCs w:val="19"/>
          <w:b w:val="1"/>
          <w:bCs w:val="1"/>
          <w:color w:val="auto"/>
        </w:rPr>
        <w:t>Service Failure</w:t>
      </w:r>
      <w:r>
        <w:rPr>
          <w:rFonts w:ascii="Arial" w:cs="Arial" w:eastAsia="Arial" w:hAnsi="Arial"/>
          <w:sz w:val="19"/>
          <w:szCs w:val="19"/>
          <w:color w:val="auto"/>
        </w:rPr>
        <w:t>”) shall not render Landlord liable to Tenant, constitute a constructive eviction of Tenant, give rise to an abatement of Rent, nor relieve Tenant from the obligation to fulfill any covenant or agreement. Without limiting the foregoing, Tenant agrees that Landlord shall not be liable to Tenant for any loss or damage, including the theft of Tenant’s Property (defined in Section 14), arising out of or in connection with the failure of any security services, personnel or equipment, or the breach or failure of any data, computer or telecommunication network, equipment, system or infrastructure (collectively, “</w:t>
      </w:r>
      <w:r>
        <w:rPr>
          <w:rFonts w:ascii="Arial" w:cs="Arial" w:eastAsia="Arial" w:hAnsi="Arial"/>
          <w:sz w:val="19"/>
          <w:szCs w:val="19"/>
          <w:b w:val="1"/>
          <w:bCs w:val="1"/>
          <w:color w:val="auto"/>
        </w:rPr>
        <w:t>Data Systems</w:t>
      </w:r>
      <w:r>
        <w:rPr>
          <w:rFonts w:ascii="Arial" w:cs="Arial" w:eastAsia="Arial" w:hAnsi="Arial"/>
          <w:sz w:val="19"/>
          <w:szCs w:val="19"/>
          <w:color w:val="auto"/>
        </w:rPr>
        <w:t>”). However, if the Premises, or a material portion of the Premises, are made untenantable for a period in excess of 3 consecutive Business Days as a result of a Service Failure that is reasonably within the control of Landlord to correct (provided that such 3 Business Day period shall be extended to the extent that Landlord is delayed in correcting the Service Failure due to Force Majeure), then Tenant, as its sole remedy, shall be entitled to receive an abatement of Base Rent, Tax Rent and Expense Rent payable hereunder during the period beginning on the 4</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consecutive Business Day after the later to occur of (a) the Service Failure and</w:t>
      </w:r>
    </w:p>
    <w:p>
      <w:pPr>
        <w:spacing w:after="0" w:line="6" w:lineRule="exact"/>
        <w:rPr>
          <w:sz w:val="20"/>
          <w:szCs w:val="20"/>
          <w:color w:val="auto"/>
        </w:rPr>
      </w:pPr>
    </w:p>
    <w:p>
      <w:pPr>
        <w:jc w:val="both"/>
        <w:ind w:firstLine="8"/>
        <w:spacing w:after="0" w:line="207" w:lineRule="auto"/>
        <w:tabs>
          <w:tab w:leader="none" w:pos="29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date Landlord receives notice of the Service Failure from Tenant, and ending on the day the service has been restored. If the entire Premises have not been rendered untenantable by the Service Failure, the amount of abatement shall be equitably prorated based on the square footage of the Premises that is not usable for the Permitted Use. For purposes of this Lease, the Premises shall be deemed to be untenantable only if the Premises (or the portion thereof claimed to be untenantable) cannot be used for the use contemplated hereunder and Tenant has actually ceased using the same.</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7.04. If any lights, machines, equipment or methods of operation are used by Tenant in the Premises which materially affect the temperature otherwise maintained by the HVAC system of the Building or generate substantially more heat in the Premises than would be generated by lighting standard to the Building and normal tenant use, Landlord shall have the right, with prior written notice to Tenant, to install any machinery and equipment which Landlord deems necessary to restore the temperature balance in any affected part of the Building. The reasonable cost thereof, including the cost of installation and any additional cost of operations and maintenance occasioned thereby, shall be paid by Tenant to Landlord within 15 days after Landlord’s demand.</w:t>
      </w:r>
    </w:p>
    <w:p>
      <w:pPr>
        <w:spacing w:after="0" w:line="17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7.05. Tenant agrees to cooperate fully, at all times, with Landlord in abiding by all reasonable regulations and requirements which Landlord may prescribe for the Building to conserve energy related services or for the proper functioning and protection of all utilities and services reasonably necessary for the operation of the Premises and the Building.</w:t>
      </w:r>
    </w:p>
    <w:p>
      <w:pPr>
        <w:spacing w:after="0" w:line="147"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 xml:space="preserve">7.06. (a) Notwithstanding anything to the contrary contained in Section 3 and Section 4 of </w:t>
      </w:r>
      <w:r>
        <w:rPr>
          <w:rFonts w:ascii="Arial" w:cs="Arial" w:eastAsia="Arial" w:hAnsi="Arial"/>
          <w:sz w:val="20"/>
          <w:szCs w:val="20"/>
          <w:b w:val="1"/>
          <w:bCs w:val="1"/>
          <w:color w:val="auto"/>
        </w:rPr>
        <w:t>Exhibit E</w:t>
      </w:r>
      <w:r>
        <w:rPr>
          <w:rFonts w:ascii="Arial" w:cs="Arial" w:eastAsia="Arial" w:hAnsi="Arial"/>
          <w:sz w:val="20"/>
          <w:szCs w:val="20"/>
          <w:color w:val="auto"/>
        </w:rPr>
        <w:t xml:space="preserve"> (Building Rules and Regulations) to this Lease, Landlord, at Landlord’s cost, shall install for the Tenant initially named herein, using the standard graphics for the Building, initial Building standard tenant identification (a) at the entrance to the initial Premises, and (b) on the Building directory in the main Building lobby (subject to Section 4 of Exhibit E to this Lease). Thereafter, any additional or replacement tenant identification shall be subject to Landlord’s prior review and reasonable approval, and shall be installed by Landlord, at Tenant’s cost, using the standard graphics for the Building. Upon expiration or earlier termination of this Lease or Tenant’s right to occupancy, if requested by Landlord, Tenant, at its cost, shall remove all suite entry signage installed by or for the benefit of Tenant and repair any damage resulting therefrom and restore the affected area to the condition it was in prior to installation of such signage.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8" w:right="339" w:bottom="1440" w:gutter="0" w:footer="0" w:header="0"/>
        </w:sectPr>
      </w:pPr>
    </w:p>
    <w:bookmarkStart w:id="129" w:name="page130"/>
    <w:bookmarkEnd w:id="129"/>
    <w:p>
      <w:pPr>
        <w:jc w:val="both"/>
        <w:ind w:firstLine="656"/>
        <w:spacing w:after="0" w:line="200" w:lineRule="auto"/>
        <w:tabs>
          <w:tab w:leader="none" w:pos="12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So long as CrowdStrike, Inc. or its Permitted Transferee is leasing and occupying at least all of the rentable area on an entire floor within the Building (and not subleasing any portion thereof) and subject to (i) the terms of this Section 7.06, and (ii) Tenant's obtaining all required governmental approvals, Tenant shall have the non-exclusive right to install and maintain, at Tenant's sole cost and expense, one (1) sign on the façade of the Building that faces westward toward Congress Avenue at a location that is on the 12th floor of the Building or lower agreed upon by Landlord and Tenant ("</w:t>
      </w:r>
      <w:r>
        <w:rPr>
          <w:rFonts w:ascii="Arial" w:cs="Arial" w:eastAsia="Arial" w:hAnsi="Arial"/>
          <w:sz w:val="20"/>
          <w:szCs w:val="20"/>
          <w:b w:val="1"/>
          <w:bCs w:val="1"/>
          <w:color w:val="auto"/>
        </w:rPr>
        <w:t>Façade Sign</w:t>
      </w:r>
      <w:r>
        <w:rPr>
          <w:rFonts w:ascii="Arial" w:cs="Arial" w:eastAsia="Arial" w:hAnsi="Arial"/>
          <w:sz w:val="20"/>
          <w:szCs w:val="20"/>
          <w:color w:val="auto"/>
        </w:rPr>
        <w:t>"). The size, configuration, design, location, materials, color and construction of the Façade Sign, as well as the way in which it is attached to the Building, shall be subject to Landlord's reasonable written approval and the approval of applicable governmental authorities. The Façade Sign shall be professionally fabricated. The content of the Façade Sign shall be limited to Tenant's name and/or trade name or business logo, and shall be subject to Landlord's prior written approval. Tenant shall obtain all required governmental approvals to install and maintain the Façade Sign. Tenant shall maintain Façade Sign in first class condition and in compliance with all applicable laws, at Tenant's sole cost and expense. If Tenant fails to so maintain the Façade Sign, Landlord, after delivering notice to Tenant and the passage of any applicable cure period, shall have the right, but not the obligation, to do so, at Tenant's sole cost and expense. At the expiration of the Term or the sooner termination of Tenant's right to possession of the Premises or Tenant's right to maintain the Façade Sign under this Section or if Tenant replaces the Façade Sign with the Rooftop Sign (as defined and described below), Tenant shall remove the Façade Sign and repair all damage caused in connection therewith at Tenant's sole cost and expense. Tenant's rights with respect to the Façade Sign shall automatically expire if, at any time from and after the Commencement Date, CrowdStrike, Inc. shall not be leasing and occupying at least all of the rentable area on an entire floor within the Building.</w:t>
      </w:r>
    </w:p>
    <w:p>
      <w:pPr>
        <w:spacing w:after="0" w:line="168" w:lineRule="exact"/>
        <w:rPr>
          <w:rFonts w:ascii="Arial" w:cs="Arial" w:eastAsia="Arial" w:hAnsi="Arial"/>
          <w:sz w:val="20"/>
          <w:szCs w:val="20"/>
          <w:color w:val="auto"/>
        </w:rPr>
      </w:pPr>
    </w:p>
    <w:p>
      <w:pPr>
        <w:jc w:val="both"/>
        <w:ind w:firstLine="656"/>
        <w:spacing w:after="0" w:line="200" w:lineRule="auto"/>
        <w:tabs>
          <w:tab w:leader="none" w:pos="1284" w:val="left"/>
        </w:tabs>
        <w:numPr>
          <w:ilvl w:val="0"/>
          <w:numId w:val="82"/>
        </w:numPr>
        <w:rPr>
          <w:rFonts w:ascii="Arial" w:cs="Arial" w:eastAsia="Arial" w:hAnsi="Arial"/>
          <w:sz w:val="20"/>
          <w:szCs w:val="20"/>
          <w:color w:val="auto"/>
        </w:rPr>
      </w:pPr>
      <w:r>
        <w:rPr>
          <w:rFonts w:ascii="Arial" w:cs="Arial" w:eastAsia="Arial" w:hAnsi="Arial"/>
          <w:sz w:val="20"/>
          <w:szCs w:val="20"/>
          <w:color w:val="auto"/>
        </w:rPr>
        <w:t>So long as CrowdStrike, Inc. is leasing and occupying at least 48,000 square feet of rentable area within the Building (and not subleasing any portion thereof) and subject to (i) the terms of this Section 7.06, and (ii) Tenant's obtaining all required governmental approvals, Tenant shall have the non-exclusive right to install and maintain one (1) sign on the exterior top of the Building in a location agreed upon by Landlord and Tenant (the "</w:t>
      </w:r>
      <w:r>
        <w:rPr>
          <w:rFonts w:ascii="Arial" w:cs="Arial" w:eastAsia="Arial" w:hAnsi="Arial"/>
          <w:sz w:val="20"/>
          <w:szCs w:val="20"/>
          <w:b w:val="1"/>
          <w:bCs w:val="1"/>
          <w:color w:val="auto"/>
        </w:rPr>
        <w:t>Rooftop Sign</w:t>
      </w:r>
      <w:r>
        <w:rPr>
          <w:rFonts w:ascii="Arial" w:cs="Arial" w:eastAsia="Arial" w:hAnsi="Arial"/>
          <w:sz w:val="20"/>
          <w:szCs w:val="20"/>
          <w:color w:val="auto"/>
        </w:rPr>
        <w:t>"). If Tenant elects to install the Rooftop Sign, it shall remove the Façade Sign, as provided in Section 7.06(b). The size, configuration, design, location, materials, color and construction of the Rooftop Sign, as well as the way in which it is attached to the Building, shall be subject to Landlord's reasonable written approval and the approval of applicable governmental authorities. The Rooftop Sign shall be professionally fabricated. The content of the Rooftop Sign shall be limited to Tenant's name and/or trade name or business logo, and shall be subject to Landlord's prior written approval. Tenant shall obtain all required governmental approvals to install and maintain the Rooftop Sign. Tenant shall maintain the Rooftop Sign in first class condition and in compliance with all applicable laws, at Tenant's sole cost and expense. If Tenant fails to so maintain the Rooftop Sign, Landlord, after delivering notice to Tenant and the passage of any applicable cure period, shall have the right, but not the obligation, to do so, at Tenant's sole cost and expense. At the expiration of the Term or the sooner termination of Tenant's right to possession of the Premises or Tenant's right to maintain the Rooftop Sign under this Section, Tenant shall remove the Rooftop Sign and repair all damage caused in connection therewith at Tenant's sole cost and expense. Tenant's rights with respect to the Rooftop Sign shall automatically expire if, at any time from and after the Commencement Date, CrowdStrike, Inc. shall not be leasing and occupying at least 48,000 square feet of rentable area within the Building.</w:t>
      </w:r>
    </w:p>
    <w:p>
      <w:pPr>
        <w:spacing w:after="0" w:line="197" w:lineRule="exact"/>
        <w:rPr>
          <w:rFonts w:ascii="Arial" w:cs="Arial" w:eastAsia="Arial" w:hAnsi="Arial"/>
          <w:sz w:val="20"/>
          <w:szCs w:val="20"/>
          <w:color w:val="auto"/>
        </w:rPr>
      </w:pPr>
    </w:p>
    <w:p>
      <w:pPr>
        <w:jc w:val="both"/>
        <w:ind w:firstLine="656"/>
        <w:spacing w:after="0" w:line="204" w:lineRule="auto"/>
        <w:tabs>
          <w:tab w:leader="none" w:pos="1295" w:val="left"/>
        </w:tabs>
        <w:numPr>
          <w:ilvl w:val="0"/>
          <w:numId w:val="82"/>
        </w:numPr>
        <w:rPr>
          <w:rFonts w:ascii="Arial" w:cs="Arial" w:eastAsia="Arial" w:hAnsi="Arial"/>
          <w:sz w:val="20"/>
          <w:szCs w:val="20"/>
          <w:color w:val="auto"/>
        </w:rPr>
      </w:pPr>
      <w:r>
        <w:rPr>
          <w:rFonts w:ascii="Arial" w:cs="Arial" w:eastAsia="Arial" w:hAnsi="Arial"/>
          <w:sz w:val="20"/>
          <w:szCs w:val="20"/>
          <w:color w:val="auto"/>
        </w:rPr>
        <w:t>Tenant's rights under Sections 7.06(b) and 7.06(c) shall be personal to CrowdStrike, Inc. and its Permitted Transferee and are not otherwise assignable. Notwithstanding anything to the contrary contained herein, Landlord's prior written consent shall be required to any change in the name on the Façade Sign or the Rooftop Sign, which consent shall not be unreasonably withheld, conditioned or delayed, it being agreed that it shall not be unreasonable for Landlord to withhold its consent to any such change in name if, among other things, Landlord determines that signage bearing the name of such party (whether because of such party's name itself or because of such party's reputation or business operations) is not acceptable given the character of the Building as a first class office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8" w:right="339" w:bottom="1440" w:gutter="0" w:footer="0" w:header="0"/>
        </w:sectPr>
      </w:pPr>
    </w:p>
    <w:bookmarkStart w:id="130" w:name="page131"/>
    <w:bookmarkEnd w:id="130"/>
    <w:p>
      <w:pPr>
        <w:ind w:left="640" w:hanging="632"/>
        <w:spacing w:after="0"/>
        <w:tabs>
          <w:tab w:leader="none" w:pos="6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Leasehold Improvements.</w:t>
      </w:r>
    </w:p>
    <w:p>
      <w:pPr>
        <w:spacing w:after="0" w:line="15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9"/>
          <w:szCs w:val="19"/>
          <w:color w:val="auto"/>
        </w:rPr>
        <w:t>All improvements in and to the Premises, including any Alterations (defined in Section 9.03) (collectively, “</w:t>
      </w:r>
      <w:r>
        <w:rPr>
          <w:rFonts w:ascii="Arial" w:cs="Arial" w:eastAsia="Arial" w:hAnsi="Arial"/>
          <w:sz w:val="19"/>
          <w:szCs w:val="19"/>
          <w:b w:val="1"/>
          <w:bCs w:val="1"/>
          <w:color w:val="auto"/>
        </w:rPr>
        <w:t>Leasehold</w:t>
      </w:r>
      <w:r>
        <w:rPr>
          <w:rFonts w:ascii="Arial" w:cs="Arial" w:eastAsia="Arial" w:hAnsi="Arial"/>
          <w:sz w:val="19"/>
          <w:szCs w:val="19"/>
          <w:color w:val="auto"/>
        </w:rPr>
        <w:t xml:space="preserve"> </w:t>
      </w:r>
      <w:r>
        <w:rPr>
          <w:rFonts w:ascii="Arial" w:cs="Arial" w:eastAsia="Arial" w:hAnsi="Arial"/>
          <w:sz w:val="19"/>
          <w:szCs w:val="19"/>
          <w:b w:val="1"/>
          <w:bCs w:val="1"/>
          <w:color w:val="auto"/>
        </w:rPr>
        <w:t>Improvements</w:t>
      </w:r>
      <w:r>
        <w:rPr>
          <w:rFonts w:ascii="Arial" w:cs="Arial" w:eastAsia="Arial" w:hAnsi="Arial"/>
          <w:sz w:val="19"/>
          <w:szCs w:val="19"/>
          <w:color w:val="auto"/>
        </w:rPr>
        <w:t>”) shall remain upon the Premises at the end of the Term without compensation to Tenant, provided that Tenant,</w:t>
      </w:r>
      <w:r>
        <w:rPr>
          <w:rFonts w:ascii="Arial" w:cs="Arial" w:eastAsia="Arial" w:hAnsi="Arial"/>
          <w:sz w:val="19"/>
          <w:szCs w:val="19"/>
          <w:b w:val="1"/>
          <w:bCs w:val="1"/>
          <w:color w:val="auto"/>
        </w:rPr>
        <w:t xml:space="preserve"> </w:t>
      </w:r>
      <w:r>
        <w:rPr>
          <w:rFonts w:ascii="Arial" w:cs="Arial" w:eastAsia="Arial" w:hAnsi="Arial"/>
          <w:sz w:val="19"/>
          <w:szCs w:val="19"/>
          <w:color w:val="auto"/>
        </w:rPr>
        <w:t>at its expense, shall remove any Cable (defined in Section 9.01 below) that Landlord requires be removed pursuant to written notice delivered to Tenant at least 120 days prior to the expiration of the Lease, with such removal to be in compliance with the National Electric Code or other applicable Law. Any Cable which Tenant is not required to remove and which is to remain behind shall be handled in a manner so as not to cause such Cable to be deemed “abandoned” or otherwise in a condition requiring removal under applicable Law. In addition, Landlord, by written notice to Tenant at least 30 days prior to the Termination Date, may require Tenant, at Tenant’s cost, to remove any Alterations that, in Landlord’s reasonable judgment, are of a nature that would require removal and repair costs that are materially in excess of the removal and repair costs associated with standard office improvements (the Cable and such other items collectively are referred to as “</w:t>
      </w:r>
      <w:r>
        <w:rPr>
          <w:rFonts w:ascii="Arial" w:cs="Arial" w:eastAsia="Arial" w:hAnsi="Arial"/>
          <w:sz w:val="19"/>
          <w:szCs w:val="19"/>
          <w:b w:val="1"/>
          <w:bCs w:val="1"/>
          <w:color w:val="auto"/>
        </w:rPr>
        <w:t>Required Removables</w:t>
      </w:r>
      <w:r>
        <w:rPr>
          <w:rFonts w:ascii="Arial" w:cs="Arial" w:eastAsia="Arial" w:hAnsi="Arial"/>
          <w:sz w:val="19"/>
          <w:szCs w:val="19"/>
          <w:color w:val="auto"/>
        </w:rPr>
        <w:t xml:space="preserve">”), except to the extent that Landlord has notified Tenant that any such Alteration is not a Required Removable in accordance with the last sentence of this paragraph. Required Removables shall include, without limitation, internal stairways, raised floors, personal baths and showers, vaults, rolling file systems and structural alterations and modifications. The Required Removables shall be removed by Tenant before the Termination Date. Tenant shall repair damage caused by the installation or removal of Required Removables. If Tenant fails to perform its obligations under this Section 8 in a timely manner, Landlord may perform such work at Tenant’s cost. Tenant, at the time it requests approval for a proposed Alteration, including any Initial Alterations, as such term may be defined in the Work Letter attached as </w:t>
      </w:r>
      <w:r>
        <w:rPr>
          <w:rFonts w:ascii="Arial" w:cs="Arial" w:eastAsia="Arial" w:hAnsi="Arial"/>
          <w:sz w:val="19"/>
          <w:szCs w:val="19"/>
          <w:b w:val="1"/>
          <w:bCs w:val="1"/>
          <w:color w:val="auto"/>
        </w:rPr>
        <w:t>Exhibit C</w:t>
      </w:r>
      <w:r>
        <w:rPr>
          <w:rFonts w:ascii="Arial" w:cs="Arial" w:eastAsia="Arial" w:hAnsi="Arial"/>
          <w:sz w:val="19"/>
          <w:szCs w:val="19"/>
          <w:color w:val="auto"/>
        </w:rPr>
        <w:t>, may request in writing that Landlord advise Tenant whether the Alteration, including any Initial Alterations, or any portion thereof, is a Required Removable. Within 10 days after receipt of Tenant’s request, Landlord shall advise Tenant in writing as to which portions of the Alterations are Required Removables.</w:t>
      </w:r>
    </w:p>
    <w:p>
      <w:pPr>
        <w:spacing w:after="0" w:line="181" w:lineRule="exact"/>
        <w:rPr>
          <w:sz w:val="20"/>
          <w:szCs w:val="20"/>
          <w:color w:val="auto"/>
        </w:rPr>
      </w:pPr>
    </w:p>
    <w:p>
      <w:pPr>
        <w:jc w:val="both"/>
        <w:ind w:firstLine="648"/>
        <w:spacing w:after="0" w:line="199" w:lineRule="auto"/>
        <w:rPr>
          <w:sz w:val="20"/>
          <w:szCs w:val="20"/>
          <w:color w:val="auto"/>
        </w:rPr>
      </w:pPr>
      <w:r>
        <w:rPr>
          <w:rFonts w:ascii="Arial" w:cs="Arial" w:eastAsia="Arial" w:hAnsi="Arial"/>
          <w:sz w:val="20"/>
          <w:szCs w:val="20"/>
          <w:color w:val="auto"/>
        </w:rPr>
        <w:t>Tenant may, at its sole cost and expense, install a security system within the Premises, subject to: (a) the terms and conditions of this paragraph, (b) compliance with the terms and conditions of Section 9 of, and Exhibit C to, this Lease; (c) Landlord's approval of the plans and specifications for the same, which shall not be unreasonably withheld, conditioned or delayed; and (d) the requirement that Landlord at all times have access to all portions of the Premises and keys or passcodes to the same, except as specifically provided in the second paragraph of Section 10 of this Lease ("</w:t>
      </w:r>
      <w:r>
        <w:rPr>
          <w:rFonts w:ascii="Arial" w:cs="Arial" w:eastAsia="Arial" w:hAnsi="Arial"/>
          <w:sz w:val="20"/>
          <w:szCs w:val="20"/>
          <w:b w:val="1"/>
          <w:bCs w:val="1"/>
          <w:color w:val="auto"/>
        </w:rPr>
        <w:t>Tenant's Security System</w:t>
      </w:r>
      <w:r>
        <w:rPr>
          <w:rFonts w:ascii="Arial" w:cs="Arial" w:eastAsia="Arial" w:hAnsi="Arial"/>
          <w:sz w:val="20"/>
          <w:szCs w:val="20"/>
          <w:color w:val="auto"/>
        </w:rPr>
        <w:t>"). Notwithstanding anything to the contrary contained herein, if Tenant's Security System ties into the Building security system, Tenant shall, at its sole cost and expense, coordinate the installation and operation of Tenant's Security System with Landlord to assure that Tenant's Security System is compatible with the Building security system and the systems and equipment of the Building and to the extent that Tenant's Security System is not compatible with the Building security system or the systems and equipment of the Building, Tenant shall not be entitled to install or operate it. Subject to the terms of this Section 8, Tenant's Security System may include a biometric locking security system (with upgrades from time to time) on all entry doors to the Premises (including an intercom and camera installed at the main entrance to the Premises provided the same is, in Landlord's sole but good faith discretion, aesthetically consistent with the Building), provided that such system does not prevent Landlord, at any time, from having access to the entire Premises that is as effective as use of Landlord's master key to the Building (subject to the second paragraph of Section 10 of this Lease). Tenant shall be solely responsible, at Tenant's sole cost and expense, for the monitoring, operation and removal of Tenant's Security System, subject to Section 25 of this Lease. Promptly upon installation and from time to time thereafter, Tenant shall provide and update Landlord with any information reasonably required regarding Tenant's Security System that will allow Landlord, its agents and emergency personnel such access to the Premises as is necessary in an emergency. Upon the expiration or earlier termination of the Term (unless Landlord elects otherwise in writing), Tenant shall remove Tenant's Security System and repair all damage to the Building resulting from such removal, at Tenant's sole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8" w:right="339" w:bottom="1440" w:gutter="0" w:footer="0" w:header="0"/>
        </w:sectPr>
      </w:pPr>
    </w:p>
    <w:bookmarkStart w:id="131" w:name="page132"/>
    <w:bookmarkEnd w:id="131"/>
    <w:p>
      <w:pPr>
        <w:ind w:left="640" w:hanging="632"/>
        <w:spacing w:after="0"/>
        <w:tabs>
          <w:tab w:leader="none" w:pos="6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Repairs and Alterations.</w:t>
      </w:r>
    </w:p>
    <w:p>
      <w:pPr>
        <w:spacing w:after="0" w:line="175"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9.01. Tenant shall periodically inspect the Premises to identify any conditions that are dangerous or in need of maintenance or repair. Tenant shall promptly provide Landlord with notice of any such conditions. Tenant, at its sole cost, shall promptly perform all maintenance and repairs to the Premises that are not Landlord’s express responsibility under this Lease, and keep the Premises in good condition and repair, reasonable wear and tear excepted. Tenant’s repair and maintenance obligations include, without limitation, repairs to: (a) floor covering; (b) interior partitions; (c) doors; (d) the interior side of demising walls; (e) Alterations (defined in Section 9.03); (f) supplemental air conditioning units, restrooms, kitchens, including hot water heaters, plumbing, and similar facilities and other mechanical (including HVAC), electrical, plumbing and fire/life safety systems and equipment exclusively serving Tenant, whether such items are installed by Tenant, or by Landlord for the benefit of Tenant, or are currently existing in the Premises; (g) electronic, fiber, phone and data cabling and related equipment that is installed by or for the exclusive benefit of Tenant and located in the Premises or other portions of the Building (collectively, “</w:t>
      </w:r>
      <w:r>
        <w:rPr>
          <w:rFonts w:ascii="Arial" w:cs="Arial" w:eastAsia="Arial" w:hAnsi="Arial"/>
          <w:sz w:val="20"/>
          <w:szCs w:val="20"/>
          <w:b w:val="1"/>
          <w:bCs w:val="1"/>
          <w:color w:val="auto"/>
        </w:rPr>
        <w:t>Cable</w:t>
      </w:r>
      <w:r>
        <w:rPr>
          <w:rFonts w:ascii="Arial" w:cs="Arial" w:eastAsia="Arial" w:hAnsi="Arial"/>
          <w:sz w:val="20"/>
          <w:szCs w:val="20"/>
          <w:color w:val="auto"/>
        </w:rPr>
        <w:t>”) and (h) window blinds. All repairs and other work performed by Tenant or its contractors, including that involving Cable, shall be subject to the terms of Section 9.03 below. If Tenant fails to make any repairs to the Premises for more than 15 days after written notice from Landlord (although notice shall not be required in an emergency), Landlord may make the repairs, and, within 30 days after demand, Tenant shall pay the reasonable cost of the repairs, together with an administrative charge in an amount equal to 10% of the cost of the repairs.</w:t>
      </w:r>
    </w:p>
    <w:p>
      <w:pPr>
        <w:spacing w:after="0" w:line="17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9.02. Landlord shall, in a manner consistent with other Class-A office buildings located in the central business district of Austin, Texas, keep and maintain in good repair and working order and perform maintenance upon the: (a) structural elements of the Building, including structural elements within the Premises; (b) mechanical (including HVAC), electrical, plumbing and fire/life safety systems serving the Building in general; (c) Common Areas; (d) roof of the Building; (e) exterior windows of the Building; and (f) elevators serving the Building. Landlord shall promptly make repairs for which Landlord is responsible.</w:t>
      </w:r>
    </w:p>
    <w:p>
      <w:pPr>
        <w:spacing w:after="0" w:line="169"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9"/>
          <w:szCs w:val="19"/>
          <w:color w:val="auto"/>
        </w:rPr>
        <w:t xml:space="preserve">9.03. Tenant shall not make alterations, repairs, additions or improvements, including any Initial Alterations (as defined in </w:t>
      </w:r>
      <w:r>
        <w:rPr>
          <w:rFonts w:ascii="Arial" w:cs="Arial" w:eastAsia="Arial" w:hAnsi="Arial"/>
          <w:sz w:val="19"/>
          <w:szCs w:val="19"/>
          <w:b w:val="1"/>
          <w:bCs w:val="1"/>
          <w:color w:val="auto"/>
        </w:rPr>
        <w:t>Exhibit C</w:t>
      </w:r>
      <w:r>
        <w:rPr>
          <w:rFonts w:ascii="Arial" w:cs="Arial" w:eastAsia="Arial" w:hAnsi="Arial"/>
          <w:sz w:val="19"/>
          <w:szCs w:val="19"/>
          <w:color w:val="auto"/>
        </w:rPr>
        <w:t>), or install any Cable (collectively referred to as “</w:t>
      </w:r>
      <w:r>
        <w:rPr>
          <w:rFonts w:ascii="Arial" w:cs="Arial" w:eastAsia="Arial" w:hAnsi="Arial"/>
          <w:sz w:val="19"/>
          <w:szCs w:val="19"/>
          <w:b w:val="1"/>
          <w:bCs w:val="1"/>
          <w:color w:val="auto"/>
        </w:rPr>
        <w:t>Alterations</w:t>
      </w:r>
      <w:r>
        <w:rPr>
          <w:rFonts w:ascii="Arial" w:cs="Arial" w:eastAsia="Arial" w:hAnsi="Arial"/>
          <w:sz w:val="19"/>
          <w:szCs w:val="19"/>
          <w:color w:val="auto"/>
        </w:rPr>
        <w:t>”) without first obtaining the written consent of Landlord in each instance, which consent shall not be unreasonably withheld or delayed. However, Landlord’s consent shall not be required for any Alteration that satisfies all of the following criteria (a “</w:t>
      </w:r>
      <w:r>
        <w:rPr>
          <w:rFonts w:ascii="Arial" w:cs="Arial" w:eastAsia="Arial" w:hAnsi="Arial"/>
          <w:sz w:val="19"/>
          <w:szCs w:val="19"/>
          <w:b w:val="1"/>
          <w:bCs w:val="1"/>
          <w:color w:val="auto"/>
        </w:rPr>
        <w:t>Cosmetic Alteration</w:t>
      </w:r>
      <w:r>
        <w:rPr>
          <w:rFonts w:ascii="Arial" w:cs="Arial" w:eastAsia="Arial" w:hAnsi="Arial"/>
          <w:sz w:val="19"/>
          <w:szCs w:val="19"/>
          <w:color w:val="auto"/>
        </w:rPr>
        <w:t>”): (a) is of a cosmetic nature such as painting, wallpapering, hanging pictures and installing carpeting; (b) is not visible from the exterior of the Premises or Building;</w:t>
      </w:r>
    </w:p>
    <w:p>
      <w:pPr>
        <w:spacing w:after="0" w:line="3" w:lineRule="exact"/>
        <w:rPr>
          <w:sz w:val="20"/>
          <w:szCs w:val="20"/>
          <w:color w:val="auto"/>
        </w:rPr>
      </w:pPr>
    </w:p>
    <w:p>
      <w:pPr>
        <w:jc w:val="both"/>
        <w:ind w:firstLine="8"/>
        <w:spacing w:after="0" w:line="200" w:lineRule="auto"/>
        <w:tabs>
          <w:tab w:leader="none" w:pos="2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will not affect the Building mechanical, electrical, plumbing and fire/life safety systems and equipment serving or designed to serve more than one occupant of the Building (the “</w:t>
      </w:r>
      <w:r>
        <w:rPr>
          <w:rFonts w:ascii="Arial" w:cs="Arial" w:eastAsia="Arial" w:hAnsi="Arial"/>
          <w:sz w:val="20"/>
          <w:szCs w:val="20"/>
          <w:b w:val="1"/>
          <w:bCs w:val="1"/>
          <w:color w:val="auto"/>
        </w:rPr>
        <w:t>Common Systems</w:t>
      </w:r>
      <w:r>
        <w:rPr>
          <w:rFonts w:ascii="Arial" w:cs="Arial" w:eastAsia="Arial" w:hAnsi="Arial"/>
          <w:sz w:val="20"/>
          <w:szCs w:val="20"/>
          <w:color w:val="auto"/>
        </w:rPr>
        <w:t>”) or the structure of the Building; and (d) does not require work to be performed inside the walls, below the floor or above the ceiling of the Premises or outside of the Premises. Cosmetic Alterations shall be subject to all the other provisions of this Section 9.03. Prior to starting work, Tenant shall furnish Landlord with plans and specifications reasonably acceptable to Landlord (which shall be in CAD format if requested by Landlord); names of contractors reasonably acceptable to Landlord (provided that Landlord may designate specific contractors with respect to structural alterations, fire/life safety systems, or other Common Systems or vertical Cable, as may be described more fully below); required permits and approvals; evidence of contractor’s and subcontractor’s insurance in amounts and with coverages and waivers of subrogation reasonably required by Landlord and naming Landlord and the Additional Insureds (as defined in Section 14) as additional insureds (pursuant to the form of additional insured endorsement providing the broadest coverage for the additional insured); and, for Alterations estimated to cost more than $50,000.00 per project, any security for performance in amounts reasonably required by Landlord. Landlord may designate specific contractors with respect to oversight, installation, repair, connection to, and removal of vertical Cable. All Cable shall be clearly marked with adhesive plastic labels (or plastic tags attached to such Cable with wire) to show Tenant’s name, suite number, and the purpose of such Cable (i) every 6 feet outside the Premises (specifically including, but not limited to, the electrical room risers and any Common Areas), and (ii)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8" w:right="339" w:bottom="1440" w:gutter="0" w:footer="0" w:header="0"/>
        </w:sectPr>
      </w:pPr>
    </w:p>
    <w:bookmarkStart w:id="132" w:name="page133"/>
    <w:bookmarkEnd w:id="132"/>
    <w:p>
      <w:pPr>
        <w:jc w:val="both"/>
        <w:spacing w:after="0" w:line="199" w:lineRule="auto"/>
        <w:rPr>
          <w:sz w:val="20"/>
          <w:szCs w:val="20"/>
          <w:color w:val="auto"/>
        </w:rPr>
      </w:pPr>
      <w:r>
        <w:rPr>
          <w:rFonts w:ascii="Arial" w:cs="Arial" w:eastAsia="Arial" w:hAnsi="Arial"/>
          <w:sz w:val="20"/>
          <w:szCs w:val="20"/>
          <w:color w:val="auto"/>
        </w:rPr>
        <w:t>termination point(s) of such Cable. Changes to the plans and specifications must also be submitted to Landlord for its approval. Alterations shall comply with applicable Laws and shall be constructed in a good and workmanlike manner, using materials of a quality reasonably approved by Landlord, and Tenant shall ensure that no Alteration impairs any of the Common Systems or Landlord’s ability to perform its obligations hereunder. Tenant shall comply (and shall cause the Tenant Related Parties and their respective contractors and vendors to comply) with Landlord’s reasonable rules, regulations and procedures for the performance of work in the Building and, to the extent reasonably necessary to avoid disruption to the occupants of the Building, Landlord shall have the right to designate the time when Alterations may be performed. Tenant shall not take any action which would cause a work stoppage, picketing, labor disruption or dispute, or interfere with Landlord’s or any other tenant’s or occupant’s business or with the rights and privileges of any person lawfully in the Building. Further, Tenant agrees that the installation, operation or modification of any Data Systems (as previously defined in Section 7.03) installed by or for the benefit of Tenant (“</w:t>
      </w:r>
      <w:r>
        <w:rPr>
          <w:rFonts w:ascii="Arial" w:cs="Arial" w:eastAsia="Arial" w:hAnsi="Arial"/>
          <w:sz w:val="20"/>
          <w:szCs w:val="20"/>
          <w:b w:val="1"/>
          <w:bCs w:val="1"/>
          <w:color w:val="auto"/>
        </w:rPr>
        <w:t>Tenant’s Data Systems</w:t>
      </w:r>
      <w:r>
        <w:rPr>
          <w:rFonts w:ascii="Arial" w:cs="Arial" w:eastAsia="Arial" w:hAnsi="Arial"/>
          <w:sz w:val="20"/>
          <w:szCs w:val="20"/>
          <w:color w:val="auto"/>
        </w:rPr>
        <w:t>”) shall not interfere with the operation, or cause a loss of quality, of any other Data Systems that are installed in or at the Building prior to the installation, or, if applicable, the modification, of such portions of Tenant’s Data Systems that are causing such interference or loss of quality, and if any such interference or loss of quality described in this sentence occurs, Tenant shall eliminate the cause thereof at Tenant’s expense. Tenant shall reimburse Landlord for any sums paid by Landlord for third party examination of Tenant’s plans for non-Cosmetic Alterations. In addition, Tenant shall pay Landlord a fee for Landlord’s oversight and coordination of any non-Cosmetic Alterations equal to 3% of the cost of the non-Cosmetic Alterations. Upon completion, Tenant shall furnish “as-built” plans (in CAD format, if requested by Landlord) for non-Cosmetic Alterations, completion affidavits and full and final waivers of lien. Neither Landlord’s approval of an Alteration or the plans therefor nor Landlord’s coordination or oversight of an Alteration shall be deemed a representation by Landlord that the Alteration complies with applicable Laws or is structurally sound or adequate for its intended purpose.</w:t>
      </w:r>
    </w:p>
    <w:p>
      <w:pPr>
        <w:spacing w:after="0" w:line="182" w:lineRule="exact"/>
        <w:rPr>
          <w:sz w:val="20"/>
          <w:szCs w:val="20"/>
          <w:color w:val="auto"/>
        </w:rPr>
      </w:pPr>
    </w:p>
    <w:p>
      <w:pPr>
        <w:ind w:left="640" w:hanging="632"/>
        <w:spacing w:after="0"/>
        <w:tabs>
          <w:tab w:leader="none" w:pos="6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Entry by Landlord.</w:t>
      </w:r>
    </w:p>
    <w:p>
      <w:pPr>
        <w:spacing w:after="0" w:line="175"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Landlord and the Landlord Related Parties may enter the Premises to inspect, show or clean the Premises or to perform or facilitate the performance of repairs, alterations or additions to the Premises or any portion of the Building or to perform any of its obligations or exercise any of its rights under this Lease. Except in emergencies or to provide Building services, Landlord shall provide Tenant with reasonable prior verbal notice of entry and shall use reasonable efforts to minimize any interference with Tenant’s use of the Premises. If reasonably necessary, Landlord may temporarily close all or a portion of the Premises to perform repairs, alterations and additions. However, except in emergencies, Landlord will not close the Premises if the work can reasonably be completed on weekends and/or after Building Service Hours on Business Days. Entry by Landlord shall not constitute a constructive eviction or entitle Tenant to an abatement or reduction of Rent.</w:t>
      </w:r>
    </w:p>
    <w:p>
      <w:pPr>
        <w:spacing w:after="0" w:line="17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Tenant may, upon not less than ten (10) days' prior written notice to Landlord, reasonably establish a reasonable number of secured areas within the Premises, which shall not be generally accessible to Landlord (collectively, the "</w:t>
      </w:r>
      <w:r>
        <w:rPr>
          <w:rFonts w:ascii="Arial" w:cs="Arial" w:eastAsia="Arial" w:hAnsi="Arial"/>
          <w:sz w:val="19"/>
          <w:szCs w:val="19"/>
          <w:b w:val="1"/>
          <w:bCs w:val="1"/>
          <w:color w:val="auto"/>
        </w:rPr>
        <w:t>Secured Area</w:t>
      </w:r>
      <w:r>
        <w:rPr>
          <w:rFonts w:ascii="Arial" w:cs="Arial" w:eastAsia="Arial" w:hAnsi="Arial"/>
          <w:sz w:val="19"/>
          <w:szCs w:val="19"/>
          <w:color w:val="auto"/>
        </w:rPr>
        <w:t>"). Landlord shall have no obligation to provide janitorial or cleaning services to the Secured Area and Tenant shall cause such Secured Area to be maintained in a neat and clean manner at Tenant's sole cost and expense. If Landlord must gain access to a Secured Area in a non-emergency situation (</w:t>
      </w:r>
      <w:r>
        <w:rPr>
          <w:rFonts w:ascii="Arial" w:cs="Arial" w:eastAsia="Arial" w:hAnsi="Arial"/>
          <w:sz w:val="19"/>
          <w:szCs w:val="19"/>
          <w:i w:val="1"/>
          <w:iCs w:val="1"/>
          <w:color w:val="auto"/>
        </w:rPr>
        <w:t>e.g.</w:t>
      </w:r>
      <w:r>
        <w:rPr>
          <w:rFonts w:ascii="Arial" w:cs="Arial" w:eastAsia="Arial" w:hAnsi="Arial"/>
          <w:sz w:val="19"/>
          <w:szCs w:val="19"/>
          <w:color w:val="auto"/>
        </w:rPr>
        <w:t>, to perform a repair for which Landlord needs access to the Premises), Landlord shall contact Tenant in writing or orally, and Landlord and Tenant, both acting reasonably and in good faith, shall arrange a time for Landlord to have access, no less than twenty-four hours thereafter. If Landlord determines in its reasonable discretion that an emergency in the Building or the Premises involving the health or safety of persons or the damage to property requires Landlord to gain access to a Secured Area, Tenant hereby authorizes Landlord to forcibly enter the Secured Area. In such event, Landlord shall have no liability whatsoever to Tenant, and Tenant shall pay all reasonable expenses incurred by Landlord in repairing or reconstructing any portion of the Premises damaged as a result of such forced entry.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8" w:right="339" w:bottom="1440" w:gutter="0" w:footer="0" w:header="0"/>
        </w:sectPr>
      </w:pPr>
    </w:p>
    <w:bookmarkStart w:id="133" w:name="page134"/>
    <w:bookmarkEnd w:id="133"/>
    <w:p>
      <w:pPr>
        <w:ind w:left="640" w:hanging="632"/>
        <w:spacing w:after="0"/>
        <w:tabs>
          <w:tab w:leader="none" w:pos="6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Assignment and Subletting.</w:t>
      </w:r>
    </w:p>
    <w:p>
      <w:pPr>
        <w:spacing w:after="0" w:line="175"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11.01. Except in connection with a Permitted Transfer (defined in Section 11.04), Tenant shall not assign (by operation of Law or otherwise), transfer or encumber any interest in this Lease or sublease or allow any third party to use any portion of the Premises (collectively or individually, a “</w:t>
      </w:r>
      <w:r>
        <w:rPr>
          <w:rFonts w:ascii="Arial" w:cs="Arial" w:eastAsia="Arial" w:hAnsi="Arial"/>
          <w:sz w:val="20"/>
          <w:szCs w:val="20"/>
          <w:b w:val="1"/>
          <w:bCs w:val="1"/>
          <w:color w:val="auto"/>
        </w:rPr>
        <w:t>Transfer</w:t>
      </w:r>
      <w:r>
        <w:rPr>
          <w:rFonts w:ascii="Arial" w:cs="Arial" w:eastAsia="Arial" w:hAnsi="Arial"/>
          <w:sz w:val="20"/>
          <w:szCs w:val="20"/>
          <w:color w:val="auto"/>
        </w:rPr>
        <w:t>”) without the prior written consent of Landlord, which consent, in the case of a proposed assignment of this Lease or a subletting of all or a portion of the Premises, shall not be unreasonably withheld, conditioned or delayed if Landlord does not exercise its recapture rights under Section 11.02. Without limitation, it is agreed that Landlord’s consent shall not be considered unreasonably withheld if Tenant is in Material Default under this Lease or if, in Landlord’s reasonable judgment, the proposed transferee does not have sufficient financial means to perform all of its obligations under this Lease or the sublease, as applicable, or its business is not suitable for a first class building like the Building or if Landlord has had prior unsatisfactory dealings with the proposed transferee or the proposed transferee is a governmental entity or entity entitled to sovereign immunity or the proposed transferee (or an affiliate) is an occupant of the Building or is (or has been, in the last 6 months) in discussions with Landlord regarding the leasing of space within the Building or if Landlord has any other reasonable basis for withholding consent. If the entity(ies) which directly or indirectly controls the voting shares/rights of Tenant (other than through the ownership of voting securities listed on a recognized securities exchange) changes at any time, whether in a single transaction or a series of transactions, such change of ownership or control shall constitute a Transfer. Any Transfer in violation of this Section shall, at Landlord’s option, be deemed a Default by Tenant as described in Section 18, and shall be voidable by Landlord. In no event shall any Transfer, including a Permitted Transfer, release or relieve Tenant from any obligation under this Lease, and Tenant shall remain primarily liable for the performance of the tenant’s obligations under this Lease, as amended from time to time.</w:t>
      </w:r>
    </w:p>
    <w:p>
      <w:pPr>
        <w:spacing w:after="0" w:line="168"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9"/>
          <w:szCs w:val="19"/>
          <w:color w:val="auto"/>
        </w:rPr>
        <w:t>11.02. Tenant shall provide Landlord with financial statements for the proposed transferee (or, in the case of a change of ownership or control, for the proposed new controlling entity(ies)), a fully executed copy of the proposed assignment, sublease or other Transfer documentation and such other information as Landlord may reasonably request. Within 10 Business Days after receipt of the required information and documentation, Landlord shall either: (a) consent to the Transfer by execution of a consent agreement in a form reasonably designated by Landlord; (b) reasonably refuse to consent to the Transfer in writing; or</w:t>
      </w:r>
    </w:p>
    <w:p>
      <w:pPr>
        <w:spacing w:after="0" w:line="3" w:lineRule="exact"/>
        <w:rPr>
          <w:sz w:val="20"/>
          <w:szCs w:val="20"/>
          <w:color w:val="auto"/>
        </w:rPr>
      </w:pPr>
    </w:p>
    <w:p>
      <w:pPr>
        <w:jc w:val="both"/>
        <w:ind w:firstLine="8"/>
        <w:spacing w:after="0" w:line="201" w:lineRule="auto"/>
        <w:tabs>
          <w:tab w:leader="none" w:pos="289"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the event of an assignment of this Lease or subletting of more than 50% of the Rentable Square Footage of the Premises, except to a Permitted Transferee, recapture the portion of the Premises that Tenant is proposing to Transfer. If Landlord exercises its right to recapture, this Lease shall automatically be amended (or terminated if the entire Premises is being assigned or sublet) to delete the applicable portion of the Premises effective on the proposed effective date of the Transfer, although Landlord may require Tenant to execute a reasonable amendment or other document reflecting such reduction or termination. Notwithstanding the above, Tenant, within 5 Business Days after receipt of Landlord’s notice of intent to recapture, may withdraw its request for consent to the Transfer. In that event, Landlord’s election to recapture the Premises (or applicable portion thereof) shall be null and void and of no force and effect. Tenant shall pay Landlord the actual reasonable costs (including reasonable attorney’s fees) incurred by Landlord in connection with any Permitted Transfer or requested Transfer, including the review thereof and the preparation and negotiation of any consent Landlord requires related thereto; provided, however, if neither the Tenant nor the proposed transferee requests any changes to this Lease or Landlord’s standard form of consent in connection with the proposed Transfer, such costs shall not exceed $1,500.00.</w:t>
      </w:r>
    </w:p>
    <w:p>
      <w:pPr>
        <w:spacing w:after="0" w:line="149"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0"/>
          <w:szCs w:val="20"/>
          <w:color w:val="auto"/>
        </w:rPr>
        <w:t>11.03. Tenant shall pay Landlord 50% of the “</w:t>
      </w:r>
      <w:r>
        <w:rPr>
          <w:rFonts w:ascii="Arial" w:cs="Arial" w:eastAsia="Arial" w:hAnsi="Arial"/>
          <w:sz w:val="20"/>
          <w:szCs w:val="20"/>
          <w:b w:val="1"/>
          <w:bCs w:val="1"/>
          <w:color w:val="auto"/>
        </w:rPr>
        <w:t>Transfer Consideration</w:t>
      </w:r>
      <w:r>
        <w:rPr>
          <w:rFonts w:ascii="Arial" w:cs="Arial" w:eastAsia="Arial" w:hAnsi="Arial"/>
          <w:sz w:val="20"/>
          <w:szCs w:val="20"/>
          <w:color w:val="auto"/>
        </w:rPr>
        <w:t>” (being defined as all rent and other consideration which Tenant receives as a result of a Transfer) in the case of an assignment and 50% of the Transfer Consideration that is in excess of the Rent payable to Landlord for the portion of the Premises and Term covered by the Transfer, in the case of a sublease. Tenant shall pay Landlord for Landlord’s share of the excess within 30 days after Tenant’s receipt of the excess. In determining the excess due Landlord, Tenant may deduct from the excess (prior to splitting the same with Landlord), on a straight-line basis,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8" w:right="339" w:bottom="1440" w:gutter="0" w:footer="0" w:header="0"/>
        </w:sectPr>
      </w:pPr>
    </w:p>
    <w:bookmarkStart w:id="134" w:name="page135"/>
    <w:bookmarkEnd w:id="134"/>
    <w:p>
      <w:pPr>
        <w:jc w:val="both"/>
        <w:spacing w:after="0" w:line="213" w:lineRule="auto"/>
        <w:rPr>
          <w:sz w:val="20"/>
          <w:szCs w:val="20"/>
          <w:color w:val="auto"/>
        </w:rPr>
      </w:pPr>
      <w:r>
        <w:rPr>
          <w:rFonts w:ascii="Arial" w:cs="Arial" w:eastAsia="Arial" w:hAnsi="Arial"/>
          <w:sz w:val="20"/>
          <w:szCs w:val="20"/>
          <w:color w:val="auto"/>
        </w:rPr>
        <w:t>reasonable and customary expenses directly incurred by Tenant attributable to the Transfer. If Tenant is in Material Default, Landlord may require that all sublease payments be made directly to Landlord, in which case Tenant shall receive a credit against Rent in the amount of Tenant’s share of payments received by Landlord.</w:t>
      </w:r>
    </w:p>
    <w:p>
      <w:pPr>
        <w:spacing w:after="0" w:line="171"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color w:val="auto"/>
        </w:rPr>
        <w:t>11.04. Tenant may assign this Lease to a successor to Tenant by merger, consolidation or the purchase of substantially all of Tenant’s assets (“</w:t>
      </w:r>
      <w:r>
        <w:rPr>
          <w:rFonts w:ascii="Arial" w:cs="Arial" w:eastAsia="Arial" w:hAnsi="Arial"/>
          <w:sz w:val="20"/>
          <w:szCs w:val="20"/>
          <w:b w:val="1"/>
          <w:bCs w:val="1"/>
          <w:color w:val="auto"/>
        </w:rPr>
        <w:t>Permitted Successor Event</w:t>
      </w:r>
      <w:r>
        <w:rPr>
          <w:rFonts w:ascii="Arial" w:cs="Arial" w:eastAsia="Arial" w:hAnsi="Arial"/>
          <w:sz w:val="20"/>
          <w:szCs w:val="20"/>
          <w:color w:val="auto"/>
        </w:rPr>
        <w:t>”), or assign this Lease or sublet all or a portion of the Premises to an Affiliate (defined below), without the consent of Landlord, provided that all of the following conditions are satisfied (each a “</w:t>
      </w:r>
      <w:r>
        <w:rPr>
          <w:rFonts w:ascii="Arial" w:cs="Arial" w:eastAsia="Arial" w:hAnsi="Arial"/>
          <w:sz w:val="20"/>
          <w:szCs w:val="20"/>
          <w:b w:val="1"/>
          <w:bCs w:val="1"/>
          <w:color w:val="auto"/>
        </w:rPr>
        <w:t>Permitted Transfer</w:t>
      </w:r>
      <w:r>
        <w:rPr>
          <w:rFonts w:ascii="Arial" w:cs="Arial" w:eastAsia="Arial" w:hAnsi="Arial"/>
          <w:sz w:val="20"/>
          <w:szCs w:val="20"/>
          <w:color w:val="auto"/>
        </w:rPr>
        <w:t>”, and any transferee of a Permitted Transfer being a “</w:t>
      </w:r>
      <w:r>
        <w:rPr>
          <w:rFonts w:ascii="Arial" w:cs="Arial" w:eastAsia="Arial" w:hAnsi="Arial"/>
          <w:sz w:val="20"/>
          <w:szCs w:val="20"/>
          <w:b w:val="1"/>
          <w:bCs w:val="1"/>
          <w:color w:val="auto"/>
        </w:rPr>
        <w:t>Permitted Transferee</w:t>
      </w:r>
      <w:r>
        <w:rPr>
          <w:rFonts w:ascii="Arial" w:cs="Arial" w:eastAsia="Arial" w:hAnsi="Arial"/>
          <w:sz w:val="20"/>
          <w:szCs w:val="20"/>
          <w:color w:val="auto"/>
        </w:rPr>
        <w:t>”): (a) Tenant must not be in Material Default; (b) Tenant must give Landlord written notice at least 15 Business Days before such Transfer; (c) the Transfer is not a subterfuge by Tenant to avoid its obligations under this Lease to get consent to a Transfer; and (d) if the Transfer is a Permitted Successor Event, Tenant’s successor shall own all or substantially all of the assets of Tenant and Tenant’s successor shall have a tangible net worth which is at least equal to the greater of Tenant’s tangible net worth at the date of this Lease or Tenant’s tangible net worth as of the day prior to the proposed merger, consolidation or purchase. Tenant’s notice to Landlord shall include information and documentation evidencing the Permitted Transfer and showing that each of the above conditions has been satisfied. “</w:t>
      </w:r>
      <w:r>
        <w:rPr>
          <w:rFonts w:ascii="Arial" w:cs="Arial" w:eastAsia="Arial" w:hAnsi="Arial"/>
          <w:sz w:val="20"/>
          <w:szCs w:val="20"/>
          <w:b w:val="1"/>
          <w:bCs w:val="1"/>
          <w:color w:val="auto"/>
        </w:rPr>
        <w:t>Affiliate</w:t>
      </w:r>
      <w:r>
        <w:rPr>
          <w:rFonts w:ascii="Arial" w:cs="Arial" w:eastAsia="Arial" w:hAnsi="Arial"/>
          <w:sz w:val="20"/>
          <w:szCs w:val="20"/>
          <w:color w:val="auto"/>
        </w:rPr>
        <w:t>” shall mean an entity controlled by, controlling or under common control with Tenant and the term “</w:t>
      </w:r>
      <w:r>
        <w:rPr>
          <w:rFonts w:ascii="Arial" w:cs="Arial" w:eastAsia="Arial" w:hAnsi="Arial"/>
          <w:sz w:val="20"/>
          <w:szCs w:val="20"/>
          <w:b w:val="1"/>
          <w:bCs w:val="1"/>
          <w:color w:val="auto"/>
        </w:rPr>
        <w:t>control</w:t>
      </w:r>
      <w:r>
        <w:rPr>
          <w:rFonts w:ascii="Arial" w:cs="Arial" w:eastAsia="Arial" w:hAnsi="Arial"/>
          <w:sz w:val="20"/>
          <w:szCs w:val="20"/>
          <w:color w:val="auto"/>
        </w:rPr>
        <w:t>” shall mean ownership of a majority of the voting shares/rights of the applicable entity.</w:t>
      </w:r>
    </w:p>
    <w:p>
      <w:pPr>
        <w:spacing w:after="0" w:line="173"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color w:val="auto"/>
        </w:rPr>
        <w:t>11.05. Notwithstanding anything to the contrary contained in this Section 11, neither Tenant nor any other person having a right to possess, use, or occupy (for convenience, collectively referred to in this subsection as “</w:t>
      </w:r>
      <w:r>
        <w:rPr>
          <w:rFonts w:ascii="Arial" w:cs="Arial" w:eastAsia="Arial" w:hAnsi="Arial"/>
          <w:sz w:val="20"/>
          <w:szCs w:val="20"/>
          <w:b w:val="1"/>
          <w:bCs w:val="1"/>
          <w:color w:val="auto"/>
        </w:rPr>
        <w:t>Use</w:t>
      </w:r>
      <w:r>
        <w:rPr>
          <w:rFonts w:ascii="Arial" w:cs="Arial" w:eastAsia="Arial" w:hAnsi="Arial"/>
          <w:sz w:val="20"/>
          <w:szCs w:val="20"/>
          <w:color w:val="auto"/>
        </w:rPr>
        <w:t>”) the Premises shall enter into any lease, sublease, license, concession or other agreement for Use of all or any portion of the Premises which provides for rental or other payment for such Use based, in whole or in part, on the net income or profits derived by any person that leases, possesses, uses, or occupies all or any portion of the Premises (other than an amount based on a fixed percentage or percentages of receipts or sales), and any such purported lease, sublease, license, concession or other agreement shall be absolutely void and ineffective as a transfer of any right or interest in the Use of all or any part of the Premises. Each and every assignment and sublease shall be expressly subject and subordinate to each and every provision contained in this Lease. Each assignee (including, without limitation, an assignee pursuant to a Permitted Transfer) shall expressly assume in writing for the benefit of Landlord the obligations of Tenant under this Lease and shall be liable jointly and severally with Tenant for the payment of the Rent and the performance of all the terms, covenants, conditions and agreements herein contained on Tenant’s part to be performed for the Term.</w:t>
      </w:r>
    </w:p>
    <w:p>
      <w:pPr>
        <w:spacing w:after="0" w:line="173"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Liens.</w:t>
      </w:r>
    </w:p>
    <w:p>
      <w:pPr>
        <w:spacing w:after="0" w:line="175"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20"/>
          <w:szCs w:val="20"/>
          <w:color w:val="auto"/>
        </w:rPr>
        <w:t>Tenant shall not permit mechanics’ or other liens to be placed upon the Property, Premises or Tenant’s leasehold interest in connection with any work or service done or purportedly done by or for the benefit of Tenant or its transferees. Tenant shall give Landlord notice at least 15 days prior to the commencement of any work in the Premises to afford Landlord the opportunity, where applicable, to post and record notices of non-responsibility. Tenant, within 10 days of written notice from Landlord, shall fully discharge any lien by settlement, by bonding or by insuring over the lien in the manner prescribed by the applicable lien Law and, if Tenant fails to do so, Tenant shall be deemed in Default under this Lease (without any further notice or opportunity to cure) and, in addition to any other remedies available to Landlord as a result of such Default by Tenant, Landlord, at its option</w:t>
      </w:r>
      <w:r>
        <w:rPr>
          <w:rFonts w:ascii="Arial" w:cs="Arial" w:eastAsia="Arial" w:hAnsi="Arial"/>
          <w:sz w:val="20"/>
          <w:szCs w:val="20"/>
          <w:b w:val="1"/>
          <w:bCs w:val="1"/>
          <w:color w:val="auto"/>
        </w:rPr>
        <w:t>,</w:t>
      </w:r>
      <w:r>
        <w:rPr>
          <w:rFonts w:ascii="Arial" w:cs="Arial" w:eastAsia="Arial" w:hAnsi="Arial"/>
          <w:sz w:val="20"/>
          <w:szCs w:val="20"/>
          <w:color w:val="auto"/>
        </w:rPr>
        <w:t xml:space="preserve"> may bond, insure over or otherwise discharge the lien and Tenant shall reimburse Landlord for any amount paid by Landlord, including, without limitation, reasonable attorneys’ fees.</w:t>
      </w:r>
    </w:p>
    <w:p>
      <w:pPr>
        <w:spacing w:after="0" w:line="175"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Indemnity and Waiver of Claims.</w:t>
      </w:r>
    </w:p>
    <w:p>
      <w:pPr>
        <w:spacing w:after="0" w:line="175"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Tenant hereby agrees to indemnify, defend and hold Landlord and its trustees, members, principals, beneficiaries, partners, officers, directors, employees, Mortgagees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8" w:right="339" w:bottom="1440" w:gutter="0" w:footer="0" w:header="0"/>
        </w:sectPr>
      </w:pPr>
    </w:p>
    <w:bookmarkStart w:id="135" w:name="page136"/>
    <w:bookmarkEnd w:id="135"/>
    <w:p>
      <w:pPr>
        <w:jc w:val="both"/>
        <w:spacing w:after="0" w:line="209" w:lineRule="auto"/>
        <w:rPr>
          <w:sz w:val="20"/>
          <w:szCs w:val="20"/>
          <w:color w:val="auto"/>
        </w:rPr>
      </w:pPr>
      <w:r>
        <w:rPr>
          <w:rFonts w:ascii="Arial" w:cs="Arial" w:eastAsia="Arial" w:hAnsi="Arial"/>
          <w:sz w:val="19"/>
          <w:szCs w:val="19"/>
          <w:color w:val="auto"/>
        </w:rPr>
        <w:t>Section 23) and agents (the “</w:t>
      </w:r>
      <w:r>
        <w:rPr>
          <w:rFonts w:ascii="Arial" w:cs="Arial" w:eastAsia="Arial" w:hAnsi="Arial"/>
          <w:sz w:val="19"/>
          <w:szCs w:val="19"/>
          <w:b w:val="1"/>
          <w:bCs w:val="1"/>
          <w:color w:val="auto"/>
        </w:rPr>
        <w:t>Landlord Related Parties</w:t>
      </w:r>
      <w:r>
        <w:rPr>
          <w:rFonts w:ascii="Arial" w:cs="Arial" w:eastAsia="Arial" w:hAnsi="Arial"/>
          <w:sz w:val="19"/>
          <w:szCs w:val="19"/>
          <w:color w:val="auto"/>
        </w:rPr>
        <w:t>”) harmless from and against any and all claims, charges, liabilities, obligations, penalties, causes of action, liens, damages, costs and expenses, including, without limitation, reasonable attorneys’ fees and other professional fees (to the extent permitted by Law) (collectively, “</w:t>
      </w:r>
      <w:r>
        <w:rPr>
          <w:rFonts w:ascii="Arial" w:cs="Arial" w:eastAsia="Arial" w:hAnsi="Arial"/>
          <w:sz w:val="19"/>
          <w:szCs w:val="19"/>
          <w:b w:val="1"/>
          <w:bCs w:val="1"/>
          <w:color w:val="auto"/>
        </w:rPr>
        <w:t>Claims</w:t>
      </w:r>
      <w:r>
        <w:rPr>
          <w:rFonts w:ascii="Arial" w:cs="Arial" w:eastAsia="Arial" w:hAnsi="Arial"/>
          <w:sz w:val="19"/>
          <w:szCs w:val="19"/>
          <w:color w:val="auto"/>
        </w:rPr>
        <w:t>”) for property damage, personal injury or any other matter arising, claimed, charged or incurred against or by Landlord or any of the Landlord Related Parties in connection with or relating to any event, condition, matter or thing which (a) occurs in, at or about the Premises from any cause, except to the extent due to the negligence or willful misconduct of Landlord or any of the Landlord Related Parties, or (b) occurs in, at or about the remainder of the Property to the extent due to the negligence or willful misconduct of Tenant or any of its trustees, members, principals, beneficiaries, partners, officers, directors, employees and agents (the “</w:t>
      </w:r>
      <w:r>
        <w:rPr>
          <w:rFonts w:ascii="Arial" w:cs="Arial" w:eastAsia="Arial" w:hAnsi="Arial"/>
          <w:sz w:val="19"/>
          <w:szCs w:val="19"/>
          <w:b w:val="1"/>
          <w:bCs w:val="1"/>
          <w:color w:val="auto"/>
        </w:rPr>
        <w:t>Tenant Related Parties</w:t>
      </w:r>
      <w:r>
        <w:rPr>
          <w:rFonts w:ascii="Arial" w:cs="Arial" w:eastAsia="Arial" w:hAnsi="Arial"/>
          <w:sz w:val="19"/>
          <w:szCs w:val="19"/>
          <w:color w:val="auto"/>
        </w:rPr>
        <w:t>” and together with the Landlord Related Parties, the “</w:t>
      </w:r>
      <w:r>
        <w:rPr>
          <w:rFonts w:ascii="Arial" w:cs="Arial" w:eastAsia="Arial" w:hAnsi="Arial"/>
          <w:sz w:val="19"/>
          <w:szCs w:val="19"/>
          <w:b w:val="1"/>
          <w:bCs w:val="1"/>
          <w:color w:val="auto"/>
        </w:rPr>
        <w:t>Related Parties</w:t>
      </w:r>
      <w:r>
        <w:rPr>
          <w:rFonts w:ascii="Arial" w:cs="Arial" w:eastAsia="Arial" w:hAnsi="Arial"/>
          <w:sz w:val="19"/>
          <w:szCs w:val="19"/>
          <w:color w:val="auto"/>
        </w:rPr>
        <w:t>”), or (c) is caused by or relates to any default, breach, violation or non-performance by Tenant of any provision of this Lease. Landlord hereby agrees to indemnify, defend and hold Tenant and the Tenant Related Parties harmless from and against any and all Claims for property damage, personal injury or any other matter arising, claimed, charged or incurred against or by Tenant or any of the Tenant Related Parties in connection with or relating to any event, condition, matter or thing which occurs in, at or about the Property to the extent due to the negligence or willful misconduct of Landlord or any of the Landlord Related Parties. Notwithstanding anything to the contrary contained herein, Tenant hereby waives all claims against and releases Landlord and the Landlord Related Parties from all claims for any injury to or death of persons, damage to property or business loss in any manner related to (i) Force Majeure,</w:t>
      </w:r>
    </w:p>
    <w:p>
      <w:pPr>
        <w:spacing w:after="0" w:line="4" w:lineRule="exact"/>
        <w:rPr>
          <w:sz w:val="20"/>
          <w:szCs w:val="20"/>
          <w:color w:val="auto"/>
        </w:rPr>
      </w:pPr>
    </w:p>
    <w:p>
      <w:pPr>
        <w:jc w:val="both"/>
        <w:ind w:firstLine="8"/>
        <w:spacing w:after="0" w:line="213" w:lineRule="auto"/>
        <w:tabs>
          <w:tab w:leader="none" w:pos="282" w:val="left"/>
        </w:tabs>
        <w:numPr>
          <w:ilvl w:val="0"/>
          <w:numId w:val="91"/>
        </w:numPr>
        <w:rPr>
          <w:rFonts w:ascii="Arial" w:cs="Arial" w:eastAsia="Arial" w:hAnsi="Arial"/>
          <w:sz w:val="20"/>
          <w:szCs w:val="20"/>
          <w:color w:val="auto"/>
        </w:rPr>
      </w:pPr>
      <w:r>
        <w:rPr>
          <w:rFonts w:ascii="Arial" w:cs="Arial" w:eastAsia="Arial" w:hAnsi="Arial"/>
          <w:sz w:val="20"/>
          <w:szCs w:val="20"/>
          <w:color w:val="auto"/>
        </w:rPr>
        <w:t>acts of third parties, (iii) the bursting or leaking of any tank, water closet, drain or other pipe, (iv) the inadequacy or failure of any security or protective services, personnel or equipment, (v) the breach or failure of any Data Systems, or (vi) any other cause except the negligence or intentional misconduct of Landlord or any of the Landlord Related Parties.</w:t>
      </w:r>
    </w:p>
    <w:p>
      <w:pPr>
        <w:spacing w:after="0" w:line="171"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20"/>
          <w:szCs w:val="20"/>
          <w:color w:val="auto"/>
        </w:rPr>
      </w:pPr>
      <w:r>
        <w:rPr>
          <w:rFonts w:ascii="Arial" w:cs="Arial" w:eastAsia="Arial" w:hAnsi="Arial"/>
          <w:sz w:val="20"/>
          <w:szCs w:val="20"/>
          <w:color w:val="auto"/>
        </w:rPr>
        <w:t>Insurance.</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9"/>
          <w:szCs w:val="19"/>
          <w:color w:val="auto"/>
        </w:rPr>
        <w:t>Commencing on the Commencement Date or, if earlier, the date the Tenant enters the Premises for any purpose, Tenant shall maintain the following insurance (“</w:t>
      </w:r>
      <w:r>
        <w:rPr>
          <w:rFonts w:ascii="Arial" w:cs="Arial" w:eastAsia="Arial" w:hAnsi="Arial"/>
          <w:sz w:val="19"/>
          <w:szCs w:val="19"/>
          <w:b w:val="1"/>
          <w:bCs w:val="1"/>
          <w:color w:val="auto"/>
        </w:rPr>
        <w:t>Tenant’s Insurance</w:t>
      </w:r>
      <w:r>
        <w:rPr>
          <w:rFonts w:ascii="Arial" w:cs="Arial" w:eastAsia="Arial" w:hAnsi="Arial"/>
          <w:sz w:val="19"/>
          <w:szCs w:val="19"/>
          <w:color w:val="auto"/>
        </w:rPr>
        <w:t>”): (a) Commercial General Liability Insurance applicable to the Premises and its appurtenances providing, on an occurrence basis, a minimum limit of $5,000,000.00</w:t>
      </w:r>
      <w:r>
        <w:rPr>
          <w:rFonts w:ascii="Arial" w:cs="Arial" w:eastAsia="Arial" w:hAnsi="Arial"/>
          <w:sz w:val="19"/>
          <w:szCs w:val="19"/>
          <w:b w:val="1"/>
          <w:bCs w:val="1"/>
          <w:color w:val="auto"/>
        </w:rPr>
        <w:t>,</w:t>
      </w:r>
      <w:r>
        <w:rPr>
          <w:rFonts w:ascii="Arial" w:cs="Arial" w:eastAsia="Arial" w:hAnsi="Arial"/>
          <w:sz w:val="19"/>
          <w:szCs w:val="19"/>
          <w:color w:val="auto"/>
        </w:rPr>
        <w:t xml:space="preserve"> with a host liquor liability endorsement; (b) Property and Business Income Coverage Insurance written on an All Risk or Special Cause of Loss Form, including flood, earthquake and water damage of all types, including sprinkler leakage, at replacement cost value and with a replacement cost endorsement covering all of Tenant’s business and trade fixtures, equipment, movable partitions, furniture, merchandise and other personal property within the Premises (“</w:t>
      </w:r>
      <w:r>
        <w:rPr>
          <w:rFonts w:ascii="Arial" w:cs="Arial" w:eastAsia="Arial" w:hAnsi="Arial"/>
          <w:sz w:val="19"/>
          <w:szCs w:val="19"/>
          <w:b w:val="1"/>
          <w:bCs w:val="1"/>
          <w:color w:val="auto"/>
        </w:rPr>
        <w:t>Tenant’s Property</w:t>
      </w:r>
      <w:r>
        <w:rPr>
          <w:rFonts w:ascii="Arial" w:cs="Arial" w:eastAsia="Arial" w:hAnsi="Arial"/>
          <w:sz w:val="19"/>
          <w:szCs w:val="19"/>
          <w:color w:val="auto"/>
        </w:rPr>
        <w:t>”) and all Leasehold Improvements in the Premises (whether installed by Tenant or another party); (c) Workers’ Compensation Insurance in amounts required by Law; and</w:t>
      </w:r>
    </w:p>
    <w:p>
      <w:pPr>
        <w:spacing w:after="0" w:line="4" w:lineRule="exact"/>
        <w:rPr>
          <w:sz w:val="20"/>
          <w:szCs w:val="20"/>
          <w:color w:val="auto"/>
        </w:rPr>
      </w:pPr>
    </w:p>
    <w:p>
      <w:pPr>
        <w:jc w:val="both"/>
        <w:ind w:firstLine="8"/>
        <w:spacing w:after="0" w:line="200" w:lineRule="auto"/>
        <w:tabs>
          <w:tab w:leader="none" w:pos="318" w:val="left"/>
        </w:tabs>
        <w:numPr>
          <w:ilvl w:val="0"/>
          <w:numId w:val="93"/>
        </w:numPr>
        <w:rPr>
          <w:rFonts w:ascii="Arial" w:cs="Arial" w:eastAsia="Arial" w:hAnsi="Arial"/>
          <w:sz w:val="20"/>
          <w:szCs w:val="20"/>
          <w:color w:val="auto"/>
        </w:rPr>
      </w:pPr>
      <w:r>
        <w:rPr>
          <w:rFonts w:ascii="Arial" w:cs="Arial" w:eastAsia="Arial" w:hAnsi="Arial"/>
          <w:sz w:val="20"/>
          <w:szCs w:val="20"/>
          <w:color w:val="auto"/>
        </w:rPr>
        <w:t>Employers Liability Coverage of at least $1,000,000.00 per occurrence. Whenever good business practice, in accordance with industry standards, indicates the need for additional insurance in connection with the Premises or Tenant’s use and occupancy thereof, as reasonably determined by Landlord, Tenant shall, upon request from Landlord, obtain such insurance at Tenant’s cost and provide Landlord with evidence thereof, subject to the terms and provisions of this Section. Any company writing Tenant’s Insurance shall have an A.M. Best rating of not less than A-VII. All Commercial General Liability Insurance policies shall name as additional insureds (pursuant to the form of additional insured endorsement providing the broadest possible coverage for the additional insureds) the following: EQC Capitol Tower Property LLC, the managing agent for the Building, Equity Commonwealth, Equity Commonwealth Management LLC, EQC Operating Trust, and their respective successors and assigns and, with respect to such parties, their respective members, principals, beneficiaries, partners, officers, directors, employees, and agents, and other designees of Landlord and its successors and assigns as the interest of such designees shall appear (the “</w:t>
      </w:r>
      <w:r>
        <w:rPr>
          <w:rFonts w:ascii="Arial" w:cs="Arial" w:eastAsia="Arial" w:hAnsi="Arial"/>
          <w:sz w:val="20"/>
          <w:szCs w:val="20"/>
          <w:b w:val="1"/>
          <w:bCs w:val="1"/>
          <w:color w:val="auto"/>
        </w:rPr>
        <w:t>Additional Insureds</w:t>
      </w:r>
      <w:r>
        <w:rPr>
          <w:rFonts w:ascii="Arial" w:cs="Arial" w:eastAsia="Arial" w:hAnsi="Arial"/>
          <w:sz w:val="20"/>
          <w:szCs w:val="20"/>
          <w:color w:val="auto"/>
        </w:rPr>
        <w:t>”). In addition, Landlord shall be named as a loss payee with respect to Tenant’s Property Insurance on the Leasehold Improvements. Tenant shall give Landlord and its designees at least 30 days’ advance written notice of any cancellation, termination, material change or lapse of insurance. Tenant shall provide Landlord with a certificate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394" w:right="339" w:bottom="1440" w:gutter="0" w:footer="0" w:header="0"/>
        </w:sectPr>
      </w:pPr>
    </w:p>
    <w:bookmarkStart w:id="136" w:name="page137"/>
    <w:bookmarkEnd w:id="136"/>
    <w:p>
      <w:pPr>
        <w:jc w:val="both"/>
        <w:spacing w:after="0" w:line="200" w:lineRule="auto"/>
        <w:rPr>
          <w:sz w:val="20"/>
          <w:szCs w:val="20"/>
          <w:color w:val="auto"/>
        </w:rPr>
      </w:pPr>
      <w:r>
        <w:rPr>
          <w:rFonts w:ascii="Arial" w:cs="Arial" w:eastAsia="Arial" w:hAnsi="Arial"/>
          <w:sz w:val="20"/>
          <w:szCs w:val="20"/>
          <w:color w:val="auto"/>
        </w:rPr>
        <w:t>evidencing Tenant’s Insurance prior to the earlier to occur of the Commencement Date or the date Tenant is provided with possession of the Premises, and thereafter as necessary to assure that Landlord always has current certificates evidencing Tenant’s Insurance. Tenant’s insurance shall be primary and any insurance carried by the Additional Insureds shall be excess and non-contributory. Required limits may be provided by a combination of primary and/or excess or umbrella policies provided that all other terms and conditions of this Section are complied with. Tenant’s Insurance may provide for commercially reasonable deductibles, but Tenant shall not have any self-insured retention or self-insure for the coverages required under this Lease. Except as specifically provided to the contrary, the limits of Tenant’s Insurance shall not limit its liability under this Lease. In the event Tenant’s occupancy or operation causes any increase of premiums for the property coverage and/or casualty rates on the Premises or Building or any part thereof or causes any increase in the premiums for any other insurance policy that may be carried by Landlord above the rate for the least hazardous type of occupancy legally permitted in the Premises, Tenant shall pay the additional premium with respect to such insurance policies by reason thereof within 10 days following the billing thereof as additional rent. So long as the same is available at commercially reasonable rates, Landlord shall maintain so called All Risk property insurance on the Building at replacement cost value as reasonably estimated by Landlord, together with such other insurance coverage as Landlord, in its reasonable judgment, may elect to maintain. Landlord may self-insure for the insurance coverage required to be maintained by Landlord hereunder.</w:t>
      </w:r>
    </w:p>
    <w:p>
      <w:pPr>
        <w:spacing w:after="0" w:line="176"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20"/>
          <w:szCs w:val="20"/>
          <w:color w:val="auto"/>
        </w:rPr>
      </w:pPr>
      <w:r>
        <w:rPr>
          <w:rFonts w:ascii="Arial" w:cs="Arial" w:eastAsia="Arial" w:hAnsi="Arial"/>
          <w:sz w:val="20"/>
          <w:szCs w:val="20"/>
          <w:color w:val="auto"/>
        </w:rPr>
        <w:t>Subrogation.</w:t>
      </w:r>
    </w:p>
    <w:p>
      <w:pPr>
        <w:spacing w:after="0" w:line="175"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Notwithstanding anything herein to the contrary, Landlord and Tenant hereby waive and shall cause their respective insurance carriers to waive any and all rights of recovery, claims, actions or causes of action against the other, and the other’s Related Parties, for any loss or damage with respect to Tenant’s Property, Leasehold Improvements, the Building, the Premises, or any contents thereof, including rights, claims, actions and causes of action based on negligence, which loss or damage is (or would have been, had the insurance required by this Lease been carried) covered by insurance. Landlord and Tenant shall each cause their property insurance policies to be properly endorsed to reflect the insurer’s waiver of its rights of subrogation. For the purposes of this waiver, any deductible with respect to a party’s insurance shall be deemed covered by and recoverable by such party under valid and collectable policies of insurance.</w:t>
      </w:r>
    </w:p>
    <w:p>
      <w:pPr>
        <w:spacing w:after="0" w:line="172" w:lineRule="exact"/>
        <w:rPr>
          <w:sz w:val="20"/>
          <w:szCs w:val="20"/>
          <w:color w:val="auto"/>
        </w:rPr>
      </w:pPr>
    </w:p>
    <w:p>
      <w:pPr>
        <w:ind w:left="640" w:hanging="632"/>
        <w:spacing w:after="0"/>
        <w:tabs>
          <w:tab w:leader="none" w:pos="640" w:val="left"/>
        </w:tabs>
        <w:numPr>
          <w:ilvl w:val="0"/>
          <w:numId w:val="95"/>
        </w:numPr>
        <w:rPr>
          <w:rFonts w:ascii="Arial" w:cs="Arial" w:eastAsia="Arial" w:hAnsi="Arial"/>
          <w:sz w:val="20"/>
          <w:szCs w:val="20"/>
          <w:color w:val="auto"/>
        </w:rPr>
      </w:pPr>
      <w:r>
        <w:rPr>
          <w:rFonts w:ascii="Arial" w:cs="Arial" w:eastAsia="Arial" w:hAnsi="Arial"/>
          <w:sz w:val="20"/>
          <w:szCs w:val="20"/>
          <w:color w:val="auto"/>
        </w:rPr>
        <w:t>Casualty Damage.</w:t>
      </w:r>
    </w:p>
    <w:p>
      <w:pPr>
        <w:spacing w:after="0" w:line="175"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16.01. If all or any portion of the Premises becomes untenantable or inaccessible by fire or other casualty to the Premises or the Common Areas (collectively a “</w:t>
      </w:r>
      <w:r>
        <w:rPr>
          <w:rFonts w:ascii="Arial" w:cs="Arial" w:eastAsia="Arial" w:hAnsi="Arial"/>
          <w:sz w:val="20"/>
          <w:szCs w:val="20"/>
          <w:b w:val="1"/>
          <w:bCs w:val="1"/>
          <w:color w:val="auto"/>
        </w:rPr>
        <w:t>Casualty</w:t>
      </w:r>
      <w:r>
        <w:rPr>
          <w:rFonts w:ascii="Arial" w:cs="Arial" w:eastAsia="Arial" w:hAnsi="Arial"/>
          <w:sz w:val="20"/>
          <w:szCs w:val="20"/>
          <w:color w:val="auto"/>
        </w:rPr>
        <w:t>”), Landlord, with reasonable promptness, shall cause a general contractor selected by Landlord to provide Landlord with a written estimate (“</w:t>
      </w:r>
      <w:r>
        <w:rPr>
          <w:rFonts w:ascii="Arial" w:cs="Arial" w:eastAsia="Arial" w:hAnsi="Arial"/>
          <w:sz w:val="20"/>
          <w:szCs w:val="20"/>
          <w:b w:val="1"/>
          <w:bCs w:val="1"/>
          <w:color w:val="auto"/>
        </w:rPr>
        <w:t>Completion Estimate</w:t>
      </w:r>
      <w:r>
        <w:rPr>
          <w:rFonts w:ascii="Arial" w:cs="Arial" w:eastAsia="Arial" w:hAnsi="Arial"/>
          <w:sz w:val="20"/>
          <w:szCs w:val="20"/>
          <w:color w:val="auto"/>
        </w:rPr>
        <w:t>”) of the amount of time required, using standard working methods, to substantially complete the repair and restoration of the Premises and any Common Areas necessary to provide access to the Premises (“</w:t>
      </w:r>
      <w:r>
        <w:rPr>
          <w:rFonts w:ascii="Arial" w:cs="Arial" w:eastAsia="Arial" w:hAnsi="Arial"/>
          <w:sz w:val="20"/>
          <w:szCs w:val="20"/>
          <w:b w:val="1"/>
          <w:bCs w:val="1"/>
          <w:color w:val="auto"/>
        </w:rPr>
        <w:t>Landlord’s Restoration Work</w:t>
      </w:r>
      <w:r>
        <w:rPr>
          <w:rFonts w:ascii="Arial" w:cs="Arial" w:eastAsia="Arial" w:hAnsi="Arial"/>
          <w:sz w:val="20"/>
          <w:szCs w:val="20"/>
          <w:color w:val="auto"/>
        </w:rPr>
        <w:t>”). Landlord shall promptly forward a copy of the Completion Estimate to Tenant. If (a) the Completion Estimate indicates that the Premises or any Common Areas necessary to provide access to the Premises cannot be made tenantable within 270 days (or, in the case of a major Casualty affecting more than just the Building [such as, for example, a hurricane], 365 days) from the date the repair is started or (b) the Premises have been materially damaged and there is less than 2 years of the Term remaining on the date of the Casualty, then either party shall have the right to terminate this Lease upon written notice to the other within 10 days after Tenant’s receipt of the Completion Estimate, in the case of clause (a), and within 90 days after the date of the Casualty, in the case of clause (b). Tenant, however, shall not have the right to terminate this Lease if the Casualty was caused by the negligence or willful misconduct of Tenant or any Tenant Related Parties. In addition, Landlord, by written notice to Tenant within 90 days after the date of the Casualty, shall have the right to terminate this Lease if: (1) the Property or the Building shall be damaged so that, in Landlord’s reasonable judgment, substantial alteration or reconstruction of the Property or the Building (as applicable) shall be required (whether or not the Premises has been damaged); (2) Landlord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8"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not permitted by Law to rebuild the Property or the Building in substantially the same form as existed before the fire or casualty;</w:t>
      </w:r>
    </w:p>
    <w:p>
      <w:pPr>
        <w:ind w:firstLine="8"/>
        <w:spacing w:after="0" w:line="222" w:lineRule="auto"/>
        <w:tabs>
          <w:tab w:leader="none" w:pos="328" w:val="left"/>
        </w:tabs>
        <w:numPr>
          <w:ilvl w:val="0"/>
          <w:numId w:val="96"/>
        </w:numPr>
        <w:rPr>
          <w:rFonts w:ascii="Arial" w:cs="Arial" w:eastAsia="Arial" w:hAnsi="Arial"/>
          <w:sz w:val="20"/>
          <w:szCs w:val="20"/>
          <w:color w:val="auto"/>
        </w:rPr>
      </w:pPr>
      <w:r>
        <w:rPr>
          <w:rFonts w:ascii="Arial" w:cs="Arial" w:eastAsia="Arial" w:hAnsi="Arial"/>
          <w:sz w:val="20"/>
          <w:szCs w:val="20"/>
          <w:color w:val="auto"/>
        </w:rPr>
        <w:t>any Mortgagee requires that the insurance proceeds be applied to the payment of the mortgage debt; or (4) a material uninsured loss to the Building or Premises occurs.</w:t>
      </w:r>
    </w:p>
    <w:p>
      <w:pPr>
        <w:spacing w:after="0" w:line="169" w:lineRule="exact"/>
        <w:rPr>
          <w:sz w:val="20"/>
          <w:szCs w:val="20"/>
          <w:color w:val="auto"/>
        </w:rPr>
      </w:pPr>
    </w:p>
    <w:p>
      <w:pPr>
        <w:jc w:val="both"/>
        <w:ind w:firstLine="648"/>
        <w:spacing w:after="0" w:line="199" w:lineRule="auto"/>
        <w:rPr>
          <w:sz w:val="20"/>
          <w:szCs w:val="20"/>
          <w:color w:val="auto"/>
        </w:rPr>
      </w:pPr>
      <w:r>
        <w:rPr>
          <w:rFonts w:ascii="Arial" w:cs="Arial" w:eastAsia="Arial" w:hAnsi="Arial"/>
          <w:sz w:val="20"/>
          <w:szCs w:val="20"/>
          <w:color w:val="auto"/>
        </w:rPr>
        <w:t>16.02. If this Lease is not terminated, Landlord shall promptly and diligently, subject to reasonable delays for insurance adjustment or other matters beyond Landlord’s reasonable control, complete Landlord’s Restoration Work. Such restoration shall be to substantially the same condition that existed prior to the Casualty, except for modifications required by Law or any other modifications to the Common Areas deemed desirable by Landlord. Upon written notice from Landlord, Tenant shall assign or endorse over to Landlord (or to any party designated by Landlord) all property insurance proceeds payable to Tenant under Tenant’s Insurance with respect to any Leasehold Improvements in the Premises; provided if the estimated cost to repair such Leasehold Improvements exceeds the amount of insurance proceeds received by Landlord from Tenant’s insurance carrier, the excess cost of such repairs shall be paid by Tenant to Landlord prior to Landlord’s commencement of repairs. Within 15 days of demand, Tenant shall also pay Landlord for any additional excess costs that are determined during the performance of the repairs to such Leasehold Improvements. In no event shall Landlord be required to spend more for the restoration of the Premises (including the Leasehold Improvements) and Common Areas than the proceeds received by Landlord, whether insurance proceeds (whether from Landlord’s or Tenant’s insurance) or proceeds from Tenant. Landlord shall not be liable for any inconvenience to Tenant, or injury to Tenant’s business resulting in any way from the Casualty or the repair thereof. Provided that Tenant is not in Material Default, during any period of time that all or a material portion of the Premises is rendered untenantable as a result of a Casualty, the Rent shall abate for the portion of the Premises that is untenantable and not used by Tenant. Such Rent abatement shall end on the date Landlord has substantially completed Landlord’s Restoration Work, including restoration of the Leasehold Improvements to the extent required above. Landlord and Tenant hereby waive the provisions of any Law relating to the matters addressed in this Section 16, and agree that their respective rights for damage to or destruction of the Premises shall be those specifically provided in this Lease.</w:t>
      </w:r>
    </w:p>
    <w:p>
      <w:pPr>
        <w:spacing w:after="0" w:line="184"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Condemnation.</w:t>
      </w:r>
    </w:p>
    <w:p>
      <w:pPr>
        <w:spacing w:after="0" w:line="175"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Either party may terminate this Lease if any material part of the Premises is taken or condemned for any public or quasi-public use under Law, by eminent domain or private purchase in lieu thereof (a “</w:t>
      </w:r>
      <w:r>
        <w:rPr>
          <w:rFonts w:ascii="Arial" w:cs="Arial" w:eastAsia="Arial" w:hAnsi="Arial"/>
          <w:sz w:val="20"/>
          <w:szCs w:val="20"/>
          <w:b w:val="1"/>
          <w:bCs w:val="1"/>
          <w:color w:val="auto"/>
        </w:rPr>
        <w:t>Taking</w:t>
      </w:r>
      <w:r>
        <w:rPr>
          <w:rFonts w:ascii="Arial" w:cs="Arial" w:eastAsia="Arial" w:hAnsi="Arial"/>
          <w:sz w:val="20"/>
          <w:szCs w:val="20"/>
          <w:color w:val="auto"/>
        </w:rPr>
        <w:t>”). Landlord shall also have the right to terminate this Lease if there is a Taking of any portion of the Building or Property which would have a material adverse effect on Landlord’s ability to profitably operate the remainder of the Building. Tenant may also terminate this Lease if there is a Taking of a material part of the Building such that Tenant is prevented from accessing the Premises or otherwise utilizing the Premises for the purposes described herein. The terminating party shall provide written notice of termination to the other party within 45 days after it first receives notice of the Taking. The termination shall be effective as of the effective date of any order granting possession to, or vesting legal title in, the condemning authority. If this Lease is not terminated, Base Rent and Tenant’s Pro Rata Share shall be appropriately adjusted to account for any reduction in the square footage of the Building and/or Premises. All compensation awarded for a Taking shall be the property of Landlord. The right to receive compensation or proceeds is expressly waived by Tenant, provided, however, Tenant may file a separate claim for Tenant’s Property and Tenant’s reasonable relocation expenses, provided the filing of the claim does not diminish the amount of Landlord’s award. If only a part of the Premises is subject to a Taking and this Lease is not terminated, Landlord, with reasonable diligence, will restore the remaining portion of the Premises as nearly as practicable to the condition immediately prior to the Taking.</w:t>
      </w:r>
    </w:p>
    <w:p>
      <w:pPr>
        <w:spacing w:after="0" w:line="179" w:lineRule="exact"/>
        <w:rPr>
          <w:sz w:val="20"/>
          <w:szCs w:val="20"/>
          <w:color w:val="auto"/>
        </w:rPr>
      </w:pPr>
    </w:p>
    <w:p>
      <w:pPr>
        <w:ind w:left="640" w:hanging="632"/>
        <w:spacing w:after="0"/>
        <w:tabs>
          <w:tab w:leader="none" w:pos="6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Default.</w:t>
      </w:r>
    </w:p>
    <w:p>
      <w:pPr>
        <w:spacing w:after="0" w:line="175" w:lineRule="exact"/>
        <w:rPr>
          <w:sz w:val="20"/>
          <w:szCs w:val="20"/>
          <w:color w:val="auto"/>
        </w:rPr>
      </w:pPr>
    </w:p>
    <w:p>
      <w:pPr>
        <w:ind w:firstLine="648"/>
        <w:spacing w:after="0" w:line="222" w:lineRule="auto"/>
        <w:rPr>
          <w:sz w:val="20"/>
          <w:szCs w:val="20"/>
          <w:color w:val="auto"/>
        </w:rPr>
      </w:pPr>
      <w:r>
        <w:rPr>
          <w:rFonts w:ascii="Arial" w:cs="Arial" w:eastAsia="Arial" w:hAnsi="Arial"/>
          <w:sz w:val="20"/>
          <w:szCs w:val="20"/>
          <w:color w:val="auto"/>
        </w:rPr>
        <w:t>In addition to any other default specifically described in this Lease, each of the following occurrences shall be a “</w:t>
      </w:r>
      <w:r>
        <w:rPr>
          <w:rFonts w:ascii="Arial" w:cs="Arial" w:eastAsia="Arial" w:hAnsi="Arial"/>
          <w:sz w:val="20"/>
          <w:szCs w:val="20"/>
          <w:b w:val="1"/>
          <w:bCs w:val="1"/>
          <w:color w:val="auto"/>
        </w:rPr>
        <w:t>Default</w:t>
      </w:r>
      <w:r>
        <w:rPr>
          <w:rFonts w:ascii="Arial" w:cs="Arial" w:eastAsia="Arial" w:hAnsi="Arial"/>
          <w:sz w:val="20"/>
          <w:szCs w:val="20"/>
          <w:color w:val="auto"/>
        </w:rPr>
        <w:t>”: (a) Tenant’s failure to pay any portion of Rent when due,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377" w:right="339" w:bottom="1440" w:gutter="0" w:footer="0" w:header="0"/>
        </w:sectPr>
      </w:pPr>
    </w:p>
    <w:bookmarkStart w:id="138" w:name="page139"/>
    <w:bookmarkEnd w:id="138"/>
    <w:p>
      <w:pPr>
        <w:jc w:val="both"/>
        <w:spacing w:after="0" w:line="207" w:lineRule="auto"/>
        <w:rPr>
          <w:sz w:val="20"/>
          <w:szCs w:val="20"/>
          <w:color w:val="auto"/>
        </w:rPr>
      </w:pPr>
      <w:r>
        <w:rPr>
          <w:rFonts w:ascii="Arial" w:cs="Arial" w:eastAsia="Arial" w:hAnsi="Arial"/>
          <w:sz w:val="19"/>
          <w:szCs w:val="19"/>
          <w:color w:val="auto"/>
        </w:rPr>
        <w:t>failure continues for more than 5 days after such payment was due, provided that in the case of only the first 2 such failures by Tenant to timely pay any portion of the Rent in a given calendar year, such 5 day grace period shall not commence until Landlord gives Tenant written notice of the applicable failure by Tenant to timely pay such portion of the Rent (“</w:t>
      </w:r>
      <w:r>
        <w:rPr>
          <w:rFonts w:ascii="Arial" w:cs="Arial" w:eastAsia="Arial" w:hAnsi="Arial"/>
          <w:sz w:val="19"/>
          <w:szCs w:val="19"/>
          <w:b w:val="1"/>
          <w:bCs w:val="1"/>
          <w:color w:val="auto"/>
        </w:rPr>
        <w:t>Monetary</w:t>
      </w:r>
      <w:r>
        <w:rPr>
          <w:rFonts w:ascii="Arial" w:cs="Arial" w:eastAsia="Arial" w:hAnsi="Arial"/>
          <w:sz w:val="19"/>
          <w:szCs w:val="19"/>
          <w:color w:val="auto"/>
        </w:rPr>
        <w:t xml:space="preserve"> </w:t>
      </w:r>
      <w:r>
        <w:rPr>
          <w:rFonts w:ascii="Arial" w:cs="Arial" w:eastAsia="Arial" w:hAnsi="Arial"/>
          <w:sz w:val="19"/>
          <w:szCs w:val="19"/>
          <w:b w:val="1"/>
          <w:bCs w:val="1"/>
          <w:color w:val="auto"/>
        </w:rPr>
        <w:t>Default</w:t>
      </w:r>
      <w:r>
        <w:rPr>
          <w:rFonts w:ascii="Arial" w:cs="Arial" w:eastAsia="Arial" w:hAnsi="Arial"/>
          <w:sz w:val="19"/>
          <w:szCs w:val="19"/>
          <w:color w:val="auto"/>
        </w:rPr>
        <w:t>”); (b) Tenant’s failure (other than a Monetary Default) to comply with any term, provision, condition or covenant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Lease, if the failure is not cured within 30 days after written notice to Tenant provided, however, (i) if Tenant’s failure to comply cannot reasonably be cured within 30 days, Tenant shall be allowed additional time (not to exceed 90 days) as is reasonably necessary to cure the failure so long as Tenant begins the cure within 15 days and diligently pursues the cure to completion and</w:t>
      </w:r>
    </w:p>
    <w:p>
      <w:pPr>
        <w:spacing w:after="0" w:line="4" w:lineRule="exact"/>
        <w:rPr>
          <w:sz w:val="20"/>
          <w:szCs w:val="20"/>
          <w:color w:val="auto"/>
        </w:rPr>
      </w:pPr>
    </w:p>
    <w:p>
      <w:pPr>
        <w:jc w:val="both"/>
        <w:ind w:firstLine="8"/>
        <w:spacing w:after="0" w:line="197" w:lineRule="auto"/>
        <w:tabs>
          <w:tab w:leader="none" w:pos="303"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Tenant’s failure to comply creates a hazardous condition, the failure must be cured immediately upon written notice to Tenant; (c) Tenant permits a Transfer without Landlord’s required approval or otherwise in violation of Section 11 of this Lease;</w:t>
      </w:r>
    </w:p>
    <w:p>
      <w:pPr>
        <w:jc w:val="both"/>
        <w:ind w:firstLine="8"/>
        <w:spacing w:after="0" w:line="207" w:lineRule="auto"/>
        <w:tabs>
          <w:tab w:leader="none" w:pos="30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Tenant or any Guarantor becomes insolvent, makes a transfer in fraud of creditors, makes an assignment for the benefit of creditors, admits in writing its inability to pay its debts when due or forfeits or loses its right to conduct business; (e) the leasehold estate is taken by process or operation of Law; (f) in the case of any ground floor or retail Tenant, Tenant does not take possession of or abandons or vacates all or any portion of the Premises; or (g) Tenant is in default beyond any notice and cure period under any other lease or agreement with Landlord at the Building or Property. All notices sent under this Section shall be in satisfaction of, and not in addition to, notice required by Law. As used in this Lease, the term "</w:t>
      </w:r>
      <w:r>
        <w:rPr>
          <w:rFonts w:ascii="Arial" w:cs="Arial" w:eastAsia="Arial" w:hAnsi="Arial"/>
          <w:sz w:val="19"/>
          <w:szCs w:val="19"/>
          <w:b w:val="1"/>
          <w:bCs w:val="1"/>
          <w:color w:val="auto"/>
        </w:rPr>
        <w:t>Material Default</w:t>
      </w:r>
      <w:r>
        <w:rPr>
          <w:rFonts w:ascii="Arial" w:cs="Arial" w:eastAsia="Arial" w:hAnsi="Arial"/>
          <w:sz w:val="19"/>
          <w:szCs w:val="19"/>
          <w:color w:val="auto"/>
        </w:rPr>
        <w:t>" shall mean (i) any Default by Tenant as provided in Section 18(a), Section 18(b)(ii), Section 18(c), Section 18(d) or Section 18(e), or</w:t>
      </w:r>
    </w:p>
    <w:p>
      <w:pPr>
        <w:spacing w:after="0" w:line="3" w:lineRule="exact"/>
        <w:rPr>
          <w:rFonts w:ascii="Arial" w:cs="Arial" w:eastAsia="Arial" w:hAnsi="Arial"/>
          <w:sz w:val="19"/>
          <w:szCs w:val="19"/>
          <w:color w:val="auto"/>
        </w:rPr>
      </w:pPr>
    </w:p>
    <w:p>
      <w:pPr>
        <w:jc w:val="both"/>
        <w:ind w:firstLine="8"/>
        <w:spacing w:after="0" w:line="209" w:lineRule="auto"/>
        <w:tabs>
          <w:tab w:leader="none" w:pos="27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Default by Tenant as provided in Section 18(b)(i) the circumstances of which either (1) involve imminent harm to persons or material damage to property, (2) increase Landlord's cost to operate the Building as a first class office building or to provide services to other tenants of the Building, (3) create a nuisance to tenants of the Building, or (4) cause a violation of law for which Landlord is liable.</w:t>
      </w:r>
    </w:p>
    <w:p>
      <w:pPr>
        <w:spacing w:after="0" w:line="171"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Remedies.</w:t>
      </w:r>
    </w:p>
    <w:p>
      <w:pPr>
        <w:spacing w:after="0" w:line="17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19.01. Upon Default, Landlord shall have the right to pursue any one or more of the following remedies:</w:t>
      </w:r>
    </w:p>
    <w:p>
      <w:pPr>
        <w:spacing w:after="0" w:line="175" w:lineRule="exact"/>
        <w:rPr>
          <w:rFonts w:ascii="Arial" w:cs="Arial" w:eastAsia="Arial" w:hAnsi="Arial"/>
          <w:sz w:val="20"/>
          <w:szCs w:val="20"/>
          <w:color w:val="auto"/>
        </w:rPr>
      </w:pPr>
    </w:p>
    <w:p>
      <w:pPr>
        <w:jc w:val="both"/>
        <w:ind w:firstLine="656"/>
        <w:spacing w:after="0" w:line="202" w:lineRule="auto"/>
        <w:tabs>
          <w:tab w:leader="none" w:pos="129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Terminate this Lease, in which case Tenant shall immediately surrender the Premises to Landlord. If Tenant fails to surrender the Premises, Landlord, in compliance with Law, may enter upon and take possession of the Premises and remove Tenant, Tenant’s Property and any party occupying the Premises. Tenant shall pay Landlord, on demand, all past due Rent and other losses and damages Landlord suffers as a result of Tenant’s Default, including, without limitation, all Costs of Reletting (defined below) and any deficiency that may arise from reletting or the failure to relet the Premises. “</w:t>
      </w:r>
      <w:r>
        <w:rPr>
          <w:rFonts w:ascii="Arial" w:cs="Arial" w:eastAsia="Arial" w:hAnsi="Arial"/>
          <w:sz w:val="20"/>
          <w:szCs w:val="20"/>
          <w:b w:val="1"/>
          <w:bCs w:val="1"/>
          <w:color w:val="auto"/>
        </w:rPr>
        <w:t>Costs of Reletting</w:t>
      </w:r>
      <w:r>
        <w:rPr>
          <w:rFonts w:ascii="Arial" w:cs="Arial" w:eastAsia="Arial" w:hAnsi="Arial"/>
          <w:sz w:val="20"/>
          <w:szCs w:val="20"/>
          <w:color w:val="auto"/>
        </w:rPr>
        <w:t>” shall include all reasonable costs and expenses incurred by Landlord in reletting or attempting to relet the Premises, including, without limitation, legal fees, brokerage commissions, the cost of alterations and the value of other concessions or allowances granted to a new tenant. Landlord agrees to use reasonable efforts to mitigate damages, provided that those efforts shall not require Landlord to relet the Premises in preference to any other space in the Building or to relet the Premises to any party that Landlord could reasonably reject as a transferee pursuant to Section 11.</w:t>
      </w:r>
    </w:p>
    <w:p>
      <w:pPr>
        <w:spacing w:after="0" w:line="170" w:lineRule="exact"/>
        <w:rPr>
          <w:rFonts w:ascii="Arial" w:cs="Arial" w:eastAsia="Arial" w:hAnsi="Arial"/>
          <w:sz w:val="20"/>
          <w:szCs w:val="20"/>
          <w:color w:val="auto"/>
        </w:rPr>
      </w:pPr>
    </w:p>
    <w:p>
      <w:pPr>
        <w:jc w:val="both"/>
        <w:ind w:firstLine="656"/>
        <w:spacing w:after="0" w:line="202" w:lineRule="auto"/>
        <w:tabs>
          <w:tab w:leader="none" w:pos="129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Terminate Tenant’s right to possession of the Premises, without terminating this Lease, and, in compliance with Law, remove Tenant, Tenant’s Property and any parties occupying the Premises, in which case Tenant shall immediately surrender the Premises to Landlord. Landlord may (but, except to the extent required by Law, shall not be obligated to) relet all or any part of the Premises, without notice to Tenant, for such period of time and on such terms and conditions (which may include concessions, free rent and work allowances) as Landlord in its absolute discretion shall determine. Landlord may collect and receive all rents and other income from the reletting. Tenant shall pay Landlord on demand all past due Rent, all Costs of Reletting and any deficiency arising from the reletting or failure to relet the Premises. In no event shall Tenant be entitled to receive any excess of such net rents over the sums payable by Tenant to Landlord hereunder, nor shall Tenant be entitled in any suit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8" w:right="339" w:bottom="1440" w:gutter="0" w:footer="0" w:header="0"/>
        </w:sectPr>
      </w:pPr>
    </w:p>
    <w:bookmarkStart w:id="139" w:name="page140"/>
    <w:bookmarkEnd w:id="139"/>
    <w:p>
      <w:pPr>
        <w:jc w:val="both"/>
        <w:spacing w:after="0" w:line="213" w:lineRule="auto"/>
        <w:rPr>
          <w:sz w:val="20"/>
          <w:szCs w:val="20"/>
          <w:color w:val="auto"/>
        </w:rPr>
      </w:pPr>
      <w:r>
        <w:rPr>
          <w:rFonts w:ascii="Arial" w:cs="Arial" w:eastAsia="Arial" w:hAnsi="Arial"/>
          <w:sz w:val="20"/>
          <w:szCs w:val="20"/>
          <w:color w:val="auto"/>
        </w:rPr>
        <w:t>collection of damages pursuant hereto to a credit in respect of any net rents from a re-letting. Landlord shall not be responsible or liable for the failure to relet all or any part of the Premises or for the failure to collect any Rent. The re-entry or taking of possession of the Premises shall not be construed as an election by Landlord to terminate this Lease.</w:t>
      </w:r>
    </w:p>
    <w:p>
      <w:pPr>
        <w:spacing w:after="0" w:line="171"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19.02. In lieu of calculating damages under Section 19.01, Landlord may elect to receive as damages the sum of (a) all Rent accrued through the date of termination of this Lease or Tenant’s right to possession, and (b) an amount equal to (i) the total Rent that Tenant would have been required to pay for the remainder of the Term discounted to present value at the Prime Rate (as defined in Section 4.01) then in effect, minus (ii) the then fair rental value of the Premises (taking into account the period of time the Premises can reasonably be expected to be vacant) for the remainder of the Term, similarly discounted to present value, provided that Landlord shall deduct from the present value of the fair rental value, all anticipated Costs of Reletting.</w:t>
      </w:r>
    </w:p>
    <w:p>
      <w:pPr>
        <w:spacing w:after="0" w:line="171"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19.03. If Tenant is in Default of any of its non-monetary obligations under this Lease, Landlord shall have the right to perform such obligations, with 2 days prior written notice (except in the case of any dangerous condition or emergency, in which case no notice shall be required). Tenant shall reimburse Landlord for the cost of such performance upon demand together with an administrative charge equal to 10% of the cost of the work performed by Landlord. The repossession or re-entering of all or any part of the Premises shall not relieve Tenant of its liabilities and obligations under this Lease. Without limiting the foregoing, receipt by Landlord of Tenant’s keys to the Premises shall not constitute an acceptance or surrender of the Premises. No right or remedy of Landlord shall be exclusive of any other right or remedy. Each right and remedy shall be cumulative and in addition to any other right and remedy now or subsequently available to Landlord at Law or in equity.</w:t>
      </w:r>
    </w:p>
    <w:p>
      <w:pPr>
        <w:spacing w:after="0" w:line="17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0"/>
          <w:szCs w:val="20"/>
          <w:color w:val="auto"/>
        </w:rPr>
        <w:t>19.04. Tenant expressly waives any and all rights of redemption and all rights to relief from forfeiture under any present or future Laws.</w:t>
      </w:r>
    </w:p>
    <w:p>
      <w:pPr>
        <w:spacing w:after="0" w:line="169" w:lineRule="exact"/>
        <w:rPr>
          <w:sz w:val="20"/>
          <w:szCs w:val="20"/>
          <w:color w:val="auto"/>
        </w:rPr>
      </w:pPr>
    </w:p>
    <w:p>
      <w:pPr>
        <w:ind w:left="640" w:hanging="632"/>
        <w:spacing w:after="0"/>
        <w:tabs>
          <w:tab w:leader="none" w:pos="6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Limitation of Liability.</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9"/>
          <w:szCs w:val="19"/>
          <w:color w:val="auto"/>
        </w:rPr>
        <w:t>NOTWITHSTANDING ANYTHING TO THE CONTRARY CONTAINED IN THIS LEASE, THE LIABILITY OF LANDLORD (AND OF ANY SUCCESSOR LANDLORD) HEREUNDER SHALL BE LIMITED TO THE INTEREST OF LANDLORD IN THE PROPERTY (INCLUDING, WITHOUT LIMITATION, UNCOLLECTED RENT, PROPERTY INSURANCE, CONDEMNATION AND SALE PROCEEDS PRIOR TO DISTRIBUTION THEREOF, BUT SUBJECT TO THE RIGHTS OF ANY MORTGAGEE AND TO LANDLORD’S RIGHT TO USE ANY INSURANCE AND CONDEMNATION PROCEEDS FOR THE PURPOSES OF REPAIRING AND RESTORING THE BUILDING AND THE PROPERTY) (THE “</w:t>
      </w:r>
      <w:r>
        <w:rPr>
          <w:rFonts w:ascii="Arial" w:cs="Arial" w:eastAsia="Arial" w:hAnsi="Arial"/>
          <w:sz w:val="19"/>
          <w:szCs w:val="19"/>
          <w:b w:val="1"/>
          <w:bCs w:val="1"/>
          <w:color w:val="auto"/>
        </w:rPr>
        <w:t>LANDLORD’S EQUITY INTEREST</w:t>
      </w:r>
      <w:r>
        <w:rPr>
          <w:rFonts w:ascii="Arial" w:cs="Arial" w:eastAsia="Arial" w:hAnsi="Arial"/>
          <w:sz w:val="19"/>
          <w:szCs w:val="19"/>
          <w:color w:val="auto"/>
        </w:rPr>
        <w:t>”), AND TENANT SHALL LOOK SOLELY TO LANDLORD’S EQUITY INTEREST FOR THE RECOVERY OF ANY JUDGMENT OR AWARD AGAINST LANDLORD OR ANY LANDLORD RELATED PARTY. NEITHER LANDLORD (EXCEPT TO THE EXTENT OF LANDLORD’S EQUITY INTEREST) NOR ANY LANDLORD RELATED PARTY SHALL BE PERSONALLY LIABLE FOR ANY JUDGMENT OR DEFICIENCY, AND IN NO EVENT SHALL LANDLORD OR ANY LANDLORD RELATED PARTY BE LIABLE TO TENANT FOR ANY LOST PROFIT, DAMAGE TO OR LOSS OF BUSINESS OR ANY FORM OF SPECIAL, INDIRECT OR CONSEQUENTIAL DAMAGE. BEFORE FILING SUIT FOR AN ALLEGED DEFAULT BY LANDLORD, TENANT SHALL GIVE LANDLORD AND THE MORTGAGEE(S) WHOM TENANT HAS BEEN NOTIFIED HOLD MORTGAGES (DEFINED IN SECTION 23 BELOW), NOTICE AND REASONABLE TIME TO CURE THE ALLEGED DEFAULT. IN ADDITION, TENANT ACKNOWLEDGES THAT ANY ENTITY MANAGING THE BUILDING OR PROPERTY ON BEHALF OF LANDLORD, OR WHICH EXECUTES THIS LEASE AS AGENT FOR LANDLORD, IS ACTING SOLELY IN ITS CAPACITY AS AGENT FOR LANDLORD AND SHALL NOT BE LIABLE FOR ANY OBLIGATIONS, LIABILITIES, LOSSES, DAMAGES OR CLAIMS ARISING OUT OF OR IN CONNECTION WITH THIS LEASE, ALL OF WHICH ARE EXPRESSLY WAIVED BY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8" w:right="339" w:bottom="1440" w:gutter="0" w:footer="0" w:header="0"/>
        </w:sectPr>
      </w:pPr>
    </w:p>
    <w:bookmarkStart w:id="140" w:name="page141"/>
    <w:bookmarkEnd w:id="140"/>
    <w:p>
      <w:pPr>
        <w:ind w:left="640" w:hanging="632"/>
        <w:spacing w:after="0"/>
        <w:tabs>
          <w:tab w:leader="none" w:pos="6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75" w:lineRule="exact"/>
        <w:rPr>
          <w:rFonts w:ascii="Arial" w:cs="Arial" w:eastAsia="Arial" w:hAnsi="Arial"/>
          <w:sz w:val="20"/>
          <w:szCs w:val="20"/>
          <w:color w:val="auto"/>
        </w:rPr>
      </w:pPr>
    </w:p>
    <w:p>
      <w:pPr>
        <w:ind w:left="640" w:hanging="632"/>
        <w:spacing w:after="0"/>
        <w:tabs>
          <w:tab w:leader="none" w:pos="6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Holding Over.</w:t>
      </w:r>
    </w:p>
    <w:p>
      <w:pPr>
        <w:spacing w:after="0" w:line="175" w:lineRule="exact"/>
        <w:rPr>
          <w:sz w:val="20"/>
          <w:szCs w:val="20"/>
          <w:color w:val="auto"/>
        </w:rPr>
      </w:pPr>
    </w:p>
    <w:p>
      <w:pPr>
        <w:jc w:val="both"/>
        <w:ind w:firstLine="648"/>
        <w:spacing w:after="0" w:line="199" w:lineRule="auto"/>
        <w:rPr>
          <w:sz w:val="20"/>
          <w:szCs w:val="20"/>
          <w:color w:val="auto"/>
        </w:rPr>
      </w:pPr>
      <w:r>
        <w:rPr>
          <w:rFonts w:ascii="Arial" w:cs="Arial" w:eastAsia="Arial" w:hAnsi="Arial"/>
          <w:sz w:val="20"/>
          <w:szCs w:val="20"/>
          <w:color w:val="auto"/>
        </w:rPr>
        <w:t>Subject to the provisions of this Section 22, so long as no Material Default then exists under this Lease, Tenant shall have the one (1) time right to extend the Term for either thirty (30) days, sixty (60) days or ninety (90) days by delivering written notice (a "</w:t>
      </w:r>
      <w:r>
        <w:rPr>
          <w:rFonts w:ascii="Arial" w:cs="Arial" w:eastAsia="Arial" w:hAnsi="Arial"/>
          <w:sz w:val="20"/>
          <w:szCs w:val="20"/>
          <w:b w:val="1"/>
          <w:bCs w:val="1"/>
          <w:color w:val="auto"/>
        </w:rPr>
        <w:t>Holdover Notice</w:t>
      </w:r>
      <w:r>
        <w:rPr>
          <w:rFonts w:ascii="Arial" w:cs="Arial" w:eastAsia="Arial" w:hAnsi="Arial"/>
          <w:sz w:val="20"/>
          <w:szCs w:val="20"/>
          <w:color w:val="auto"/>
        </w:rPr>
        <w:t>") thereof to Landlord no later than twelve (12) months before the then current Termination Date of the Term, time being of the essence. The Holdover Notice shall specify the period (either thirty (30) days, sixty (60) days or ninety (90) days) that Tenant desires to hold over in possession of the Premises after the then scheduled Termination Date of the Term (the "</w:t>
      </w:r>
      <w:r>
        <w:rPr>
          <w:rFonts w:ascii="Arial" w:cs="Arial" w:eastAsia="Arial" w:hAnsi="Arial"/>
          <w:sz w:val="20"/>
          <w:szCs w:val="20"/>
          <w:b w:val="1"/>
          <w:bCs w:val="1"/>
          <w:color w:val="auto"/>
        </w:rPr>
        <w:t>Permitted Holdover Period</w:t>
      </w:r>
      <w:r>
        <w:rPr>
          <w:rFonts w:ascii="Arial" w:cs="Arial" w:eastAsia="Arial" w:hAnsi="Arial"/>
          <w:sz w:val="20"/>
          <w:szCs w:val="20"/>
          <w:color w:val="auto"/>
        </w:rPr>
        <w:t>"). During the Permitted Holdover Period, Tenant shall pay shall pay an amount (on a per month basis without reduction for partial months during the holdover) equal to the sum of the Additional Rent, plus 125% (the “</w:t>
      </w:r>
      <w:r>
        <w:rPr>
          <w:rFonts w:ascii="Arial" w:cs="Arial" w:eastAsia="Arial" w:hAnsi="Arial"/>
          <w:sz w:val="20"/>
          <w:szCs w:val="20"/>
          <w:b w:val="1"/>
          <w:bCs w:val="1"/>
          <w:color w:val="auto"/>
        </w:rPr>
        <w:t>Permitted Holdover Percentage</w:t>
      </w:r>
      <w:r>
        <w:rPr>
          <w:rFonts w:ascii="Arial" w:cs="Arial" w:eastAsia="Arial" w:hAnsi="Arial"/>
          <w:sz w:val="20"/>
          <w:szCs w:val="20"/>
          <w:color w:val="auto"/>
        </w:rPr>
        <w:t>”) of the Base Rent due for the period immediately preceding the holdover (not taking into consideration any Rent abatement Tenant might have been entitled to during such period). If Tenant fails to deliver the Holdover Notice and holds over in possession of the Premises or a part thereof after the then scheduled Termination Date of the Term or the sooner termination of this Lease or Tenant's right to possession of the Premises, or if Tenant delivers the Holdover Notice and holds over in possession of the Premises or a part thereof beyond the Permitted Holdover Period or the sooner termination of this Lease or Tenant's right to possession of the Premises (each such event being referred to herein as an "</w:t>
      </w:r>
      <w:r>
        <w:rPr>
          <w:rFonts w:ascii="Arial" w:cs="Arial" w:eastAsia="Arial" w:hAnsi="Arial"/>
          <w:sz w:val="20"/>
          <w:szCs w:val="20"/>
          <w:b w:val="1"/>
          <w:bCs w:val="1"/>
          <w:color w:val="auto"/>
        </w:rPr>
        <w:t>Unpermitted</w:t>
      </w:r>
      <w:r>
        <w:rPr>
          <w:rFonts w:ascii="Arial" w:cs="Arial" w:eastAsia="Arial" w:hAnsi="Arial"/>
          <w:sz w:val="20"/>
          <w:szCs w:val="20"/>
          <w:color w:val="auto"/>
        </w:rPr>
        <w:t xml:space="preserve"> </w:t>
      </w:r>
      <w:r>
        <w:rPr>
          <w:rFonts w:ascii="Arial" w:cs="Arial" w:eastAsia="Arial" w:hAnsi="Arial"/>
          <w:sz w:val="20"/>
          <w:szCs w:val="20"/>
          <w:b w:val="1"/>
          <w:bCs w:val="1"/>
          <w:color w:val="auto"/>
        </w:rPr>
        <w:t>Holdover Period</w:t>
      </w:r>
      <w:r>
        <w:rPr>
          <w:rFonts w:ascii="Arial" w:cs="Arial" w:eastAsia="Arial" w:hAnsi="Arial"/>
          <w:sz w:val="20"/>
          <w:szCs w:val="20"/>
          <w:color w:val="auto"/>
        </w:rPr>
        <w:t>"), such holding over shall be a tenancy at sufferance and Tenant shall, throughout the entire Unpermitted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Holdover Period, be subject to all the terms and provisions of this Lease and Tenant shall pay an amount (on a per month basis without reduction for partial months during the Unpermitted Holdover Period) equal to one hundred fifty percent (150%) of the Base Rent and Additional Rent due under this Lease for the last full month of the Term (not taking into consideration any Rent abatement Tenant might have been entitled to during such period) for the first thirty (30) days of such Unpermitted Holdover Period and thereafter two hundred percent (200%) of the Base Rent and Additional Rent due under this Lease for the last full month of the Term (not taking into consideration any Rent abatement Tenant might have been entitled to during such period). No holdover by Tenant during an Unpermitted Holdover Period or payment by Tenant after the termination of this Lease shall be construed to extend the Term or prevent Landlord from immediate recovery of possession of the Premises by summary proceedings or otherwise. If, during an Unpermitted Holdover Period, Landlord is unable to deliver possession of the Premises to a new tenant or to perform improvements for a new tenant as a result of Tenant’s holdover and Tenant fails to vacate the Premises within 15 days after written notice from Landlord, Tenant shall be liable for all damages that Landlord suffers from the holdover (including, without limitation, consequential damages).</w:t>
      </w:r>
    </w:p>
    <w:p>
      <w:pPr>
        <w:spacing w:after="0" w:line="172"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Subordination to Mortgages; Estoppel Certificate.</w:t>
      </w:r>
    </w:p>
    <w:p>
      <w:pPr>
        <w:spacing w:after="0" w:line="17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color w:val="auto"/>
        </w:rPr>
        <w:t>Tenant accepts this Lease subject and subordinate to any mortgage(s), deed(s) of trust, ground or underlying lease(s) and other lien(s) now existing or subsequently arising upon the Premises, the Building or the Property, and to renewals, modifications, refinancings and extensions thereof (collectively referred to as a “</w:t>
      </w:r>
      <w:r>
        <w:rPr>
          <w:rFonts w:ascii="Arial" w:cs="Arial" w:eastAsia="Arial" w:hAnsi="Arial"/>
          <w:sz w:val="19"/>
          <w:szCs w:val="19"/>
          <w:b w:val="1"/>
          <w:bCs w:val="1"/>
          <w:color w:val="auto"/>
        </w:rPr>
        <w:t>Mortgage</w:t>
      </w:r>
      <w:r>
        <w:rPr>
          <w:rFonts w:ascii="Arial" w:cs="Arial" w:eastAsia="Arial" w:hAnsi="Arial"/>
          <w:sz w:val="19"/>
          <w:szCs w:val="19"/>
          <w:color w:val="auto"/>
        </w:rPr>
        <w:t>”). The party having the benefit of a Mortgage shall be referred to as a “</w:t>
      </w:r>
      <w:r>
        <w:rPr>
          <w:rFonts w:ascii="Arial" w:cs="Arial" w:eastAsia="Arial" w:hAnsi="Arial"/>
          <w:sz w:val="19"/>
          <w:szCs w:val="19"/>
          <w:b w:val="1"/>
          <w:bCs w:val="1"/>
          <w:color w:val="auto"/>
        </w:rPr>
        <w:t>Mortgagee</w:t>
      </w:r>
      <w:r>
        <w:rPr>
          <w:rFonts w:ascii="Arial" w:cs="Arial" w:eastAsia="Arial" w:hAnsi="Arial"/>
          <w:sz w:val="19"/>
          <w:szCs w:val="19"/>
          <w:color w:val="auto"/>
        </w:rPr>
        <w:t>”. This clause shall be self-operative, but upon request from a Mortgagee, Tenant shall execute a commercially reasonable subordination and attornment agreement in favor of the Mortgagee. As an alternative, a Mortgagee shall have the right at any time to subordinate its Mortgage to this Lease. Upon request, Tenant, without charge, shall attorn to any successor to Landlord’s interest in this Lease. Tenant shall, within 10 days after receipt of a written request from Landlord, execute and deliver a commercially reasonable, factually correct estoppel certificate to those parties as are reasonably requested by Landlord (including a Mortgagee or prospective purchaser). Without limitation, such estoppel certificate may include a certification as to the status of this Lease, the existence of any defaults and the date to which Rent has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8" w:right="339" w:bottom="1440" w:gutter="0" w:footer="0" w:header="0"/>
        </w:sectPr>
      </w:pPr>
    </w:p>
    <w:bookmarkStart w:id="141" w:name="page142"/>
    <w:bookmarkEnd w:id="141"/>
    <w:p>
      <w:pPr>
        <w:jc w:val="both"/>
        <w:ind w:firstLine="648"/>
        <w:spacing w:after="0" w:line="202" w:lineRule="auto"/>
        <w:rPr>
          <w:sz w:val="20"/>
          <w:szCs w:val="20"/>
          <w:color w:val="auto"/>
        </w:rPr>
      </w:pPr>
      <w:r>
        <w:rPr>
          <w:rFonts w:ascii="Arial" w:cs="Arial" w:eastAsia="Arial" w:hAnsi="Arial"/>
          <w:sz w:val="20"/>
          <w:szCs w:val="20"/>
          <w:color w:val="auto"/>
        </w:rPr>
        <w:t>Landlord represents and warrants to Tenant, that except for a mortgage or deed of trust in favor of Wells Fargo Bank National Association, not individually, but solely as Trustee for the Morgan Stanley Capital I Inc., Commercial Mortgage Pass-Through Certificates Series 2011-C1, under that certain Pooling and Servicing Agreement dated as of February 1, 2011 ("</w:t>
      </w:r>
      <w:r>
        <w:rPr>
          <w:rFonts w:ascii="Arial" w:cs="Arial" w:eastAsia="Arial" w:hAnsi="Arial"/>
          <w:sz w:val="20"/>
          <w:szCs w:val="20"/>
          <w:b w:val="1"/>
          <w:bCs w:val="1"/>
          <w:color w:val="auto"/>
        </w:rPr>
        <w:t>Current Lender</w:t>
      </w:r>
      <w:r>
        <w:rPr>
          <w:rFonts w:ascii="Arial" w:cs="Arial" w:eastAsia="Arial" w:hAnsi="Arial"/>
          <w:sz w:val="20"/>
          <w:szCs w:val="20"/>
          <w:color w:val="auto"/>
        </w:rPr>
        <w:t xml:space="preserve">"), neither the Building nor the land upon which the Building is situated is encumbered by any other mortgage or deed of trust. Concurrently with the execution and delivery of this Lease, Tenant, Landlord and Landlord's current Mortgagee shall enter into a Subordination, Non- Disturbance and Attornment Agreement in the form of </w:t>
      </w:r>
      <w:r>
        <w:rPr>
          <w:rFonts w:ascii="Arial" w:cs="Arial" w:eastAsia="Arial" w:hAnsi="Arial"/>
          <w:sz w:val="20"/>
          <w:szCs w:val="20"/>
          <w:b w:val="1"/>
          <w:bCs w:val="1"/>
          <w:color w:val="auto"/>
        </w:rPr>
        <w:t>Exhibit I</w:t>
      </w:r>
      <w:r>
        <w:rPr>
          <w:rFonts w:ascii="Arial" w:cs="Arial" w:eastAsia="Arial" w:hAnsi="Arial"/>
          <w:sz w:val="20"/>
          <w:szCs w:val="20"/>
          <w:color w:val="auto"/>
        </w:rPr>
        <w:t xml:space="preserve"> attached hereto ("</w:t>
      </w:r>
      <w:r>
        <w:rPr>
          <w:rFonts w:ascii="Arial" w:cs="Arial" w:eastAsia="Arial" w:hAnsi="Arial"/>
          <w:sz w:val="20"/>
          <w:szCs w:val="20"/>
          <w:b w:val="1"/>
          <w:bCs w:val="1"/>
          <w:color w:val="auto"/>
        </w:rPr>
        <w:t>Current</w:t>
      </w:r>
      <w:r>
        <w:rPr>
          <w:rFonts w:ascii="Arial" w:cs="Arial" w:eastAsia="Arial" w:hAnsi="Arial"/>
          <w:sz w:val="20"/>
          <w:szCs w:val="20"/>
          <w:color w:val="auto"/>
        </w:rPr>
        <w:t xml:space="preserve"> </w:t>
      </w:r>
      <w:r>
        <w:rPr>
          <w:rFonts w:ascii="Arial" w:cs="Arial" w:eastAsia="Arial" w:hAnsi="Arial"/>
          <w:sz w:val="20"/>
          <w:szCs w:val="20"/>
          <w:b w:val="1"/>
          <w:bCs w:val="1"/>
          <w:color w:val="auto"/>
        </w:rPr>
        <w:t>Mortgage SNDA</w:t>
      </w:r>
      <w:r>
        <w:rPr>
          <w:rFonts w:ascii="Arial" w:cs="Arial" w:eastAsia="Arial" w:hAnsi="Arial"/>
          <w:sz w:val="20"/>
          <w:szCs w:val="20"/>
          <w:color w:val="auto"/>
        </w:rPr>
        <w:t>"). Landlord shall not be required to incur any cost, expense or liability in connection with obtaining or</w:t>
      </w:r>
      <w:r>
        <w:rPr>
          <w:rFonts w:ascii="Arial" w:cs="Arial" w:eastAsia="Arial" w:hAnsi="Arial"/>
          <w:sz w:val="20"/>
          <w:szCs w:val="20"/>
          <w:b w:val="1"/>
          <w:bCs w:val="1"/>
          <w:color w:val="auto"/>
        </w:rPr>
        <w:t xml:space="preserve"> </w:t>
      </w:r>
      <w:r>
        <w:rPr>
          <w:rFonts w:ascii="Arial" w:cs="Arial" w:eastAsia="Arial" w:hAnsi="Arial"/>
          <w:sz w:val="20"/>
          <w:szCs w:val="20"/>
          <w:color w:val="auto"/>
        </w:rPr>
        <w:t>negotiating the Current Mortgage SNDA, and Tenant shall bear all such cost, expense and liability. With respect to any fee or review costs charged by the Current Lender in connection with the Current Mortgage SNDA, Tenant shall pay all such amounts to Current Lender, including any required retainer, promptly upon Current Lender's or Landlord's request.</w:t>
      </w:r>
    </w:p>
    <w:p>
      <w:pPr>
        <w:spacing w:after="0" w:line="170"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20"/>
          <w:szCs w:val="20"/>
          <w:color w:val="auto"/>
        </w:rPr>
        <w:t>Notwithstanding the foregoing in this Section to the contrary, as a condition precedent to the future subordination of this Lease to a future Mortgage, Landlord shall be required to provide Tenant with a non-disturbance, subordination, and attornment agreement in favor of Tenant from any Mortgagee who comes into existence after the Commencement Date. Such non-disturbance, subordination, and attornment agreement in favor of Tenant shall provide that, so long as Tenant is paying the Rent due under the Lease and is not otherwise in default under the Lease beyond any applicable cure period, its right to possession and the other terms of the Lease shall remain in full force and effect. Such non-disturbance, subordination, and attornment agreement may include other commercially reasonable provisions in favor of the Mortgagee, including, without limitation, additional time on behalf of the Mortgagee to cure defaults of the Landlord and provide that (a) neither Mortgagee nor any successor-in-interest shall be bound by (i) any payment of the Base Rent, Additional Rent, or other sum due under this Lease for more than 1 month in advance or (ii) any amendment or modification of the Lease made without the express written consent of Mortgagee or any successor-in-interest; (b) neither Mortgagee nor any successor-in-interest will be liable for (i) any act or omission or warranties of any prior landlord (including Landlord), (ii) the breach of any warranties or obligations relating to construction of improvements on the Property or any tenant finish work performed or to have been performed by any prior landlord (including Landlord), or (iii) the return of any security deposit, except to the extent such deposits have been received by Mortgagee; and (c) neither Mortgagee nor any successor-in-interest shall be subject to any offsets or defenses which Tenant might have against any prior landlord (including Landlord).</w:t>
      </w:r>
    </w:p>
    <w:p>
      <w:pPr>
        <w:spacing w:after="0" w:line="174" w:lineRule="exact"/>
        <w:rPr>
          <w:sz w:val="20"/>
          <w:szCs w:val="20"/>
          <w:color w:val="auto"/>
        </w:rPr>
      </w:pPr>
    </w:p>
    <w:p>
      <w:pPr>
        <w:ind w:left="640" w:hanging="632"/>
        <w:spacing w:after="0"/>
        <w:tabs>
          <w:tab w:leader="none" w:pos="64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Notice.</w:t>
      </w:r>
    </w:p>
    <w:p>
      <w:pPr>
        <w:spacing w:after="0" w:line="151"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All demands, approvals, consents or notices (collectively referred to as a “</w:t>
      </w:r>
      <w:r>
        <w:rPr>
          <w:rFonts w:ascii="Arial" w:cs="Arial" w:eastAsia="Arial" w:hAnsi="Arial"/>
          <w:sz w:val="20"/>
          <w:szCs w:val="20"/>
          <w:b w:val="1"/>
          <w:bCs w:val="1"/>
          <w:color w:val="auto"/>
        </w:rPr>
        <w:t>notice</w:t>
      </w:r>
      <w:r>
        <w:rPr>
          <w:rFonts w:ascii="Arial" w:cs="Arial" w:eastAsia="Arial" w:hAnsi="Arial"/>
          <w:sz w:val="20"/>
          <w:szCs w:val="20"/>
          <w:color w:val="auto"/>
        </w:rPr>
        <w:t>”) shall be in writing and delivered by hand or sent by registered, express, or certified mail, with return receipt requested or with delivery confirmation requested from the U.S. postal service, or sent by overnight or same day courier service at the party’s respective Notice Address(es) set forth in Section 1; provided, however, notices sent by Landlord regarding general Building operational matters may be posted in the Building mailroom or the general Building newsletter or sent via e-mail to the e-mail address provided by Tenant to Landlord for such purpose. In addition, if the Building is closed (whether due to emergency, governmental order or any other reason), then any notice address at the Building shall not be deemed a required notice address during such closure, and, unless Tenant has provided an alternative valid notice address to Landlord for use during such closure, any notices sent during such closure may be sent via e-mail or in any other practical manner reasonably designed to ensure receipt by the intended recipient. Each notice shall be deemed to have been received on the earlier to occur of actual delivery or the date on which delivery is refused, or, if Tenant has vacated the Premises or any other Notice Address of Tenant without providing a new Notice Address, 3 days after notice is deposited in the U.S. mail or with a courier service in the manner described above. Either party may, at any time, change its Notice Address (other than to a post office box address) by giving the other party written notice of the new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18" w:right="339" w:bottom="1440" w:gutter="0" w:footer="0" w:header="0"/>
        </w:sectPr>
      </w:pPr>
    </w:p>
    <w:bookmarkStart w:id="142" w:name="page143"/>
    <w:bookmarkEnd w:id="142"/>
    <w:p>
      <w:pPr>
        <w:ind w:left="640" w:hanging="632"/>
        <w:spacing w:after="0"/>
        <w:tabs>
          <w:tab w:leader="none" w:pos="64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Surrender of Premises.</w:t>
      </w:r>
    </w:p>
    <w:p>
      <w:pPr>
        <w:spacing w:after="0" w:line="175"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color w:val="auto"/>
        </w:rPr>
        <w:t>At the termination of this Lease or Tenant’s right of possession, Tenant shall comply with Section 8 hereof and shall remove Tenant’s Property from the Premises, and quit and surrender the Premises to Landlord, broom clean, and in good order, condition and repair, ordinary wear and tear, Casualty Damage and damage which Landlord is obligated to repair hereunder excepted. If Tenant fails to remove any of Tenant’s Property, or to restore the Premises to the required condition, within 2 Business Days after termination of this Lease or Tenant’s right to possession, subject to applicable Laws, Landlord, at Tenant’s sole cost, shall be entitled (but not obligated) to remove and store Tenant’s Property and/or perform such restoration of the Premises. Landlord shall not be responsible for the value, preservation or safekeeping of Tenant’s Property. Tenant shall pay Landlord, upon demand, the expenses and storage charges incurred. If Tenant fails to remove Tenant’s Property from the Premises or storage, within 30 days after written notice, Landlord may deem all or any part of Tenant’s Property to be abandoned and, at Landlord’s option, subject to applicable Laws, title to Tenant’s Property shall vest in Landlord or Landlord may dispose of Tenant’s Property in any manner Landlord deems appropriate.</w:t>
      </w:r>
    </w:p>
    <w:p>
      <w:pPr>
        <w:spacing w:after="0" w:line="176" w:lineRule="exact"/>
        <w:rPr>
          <w:sz w:val="20"/>
          <w:szCs w:val="20"/>
          <w:color w:val="auto"/>
        </w:rPr>
      </w:pPr>
    </w:p>
    <w:p>
      <w:pPr>
        <w:ind w:left="640" w:hanging="632"/>
        <w:spacing w:after="0"/>
        <w:tabs>
          <w:tab w:leader="none" w:pos="6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Miscellaneous.</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9"/>
          <w:szCs w:val="19"/>
          <w:color w:val="auto"/>
        </w:rPr>
        <w:t>26.01. This Lease shall be interpreted and enforced in accordance with the Laws of the state or commonwealth in which the Building is located and Landlord and Tenant hereby irrevocably consent to the jurisdiction and proper venue of such state or commonwealth. If any term or provision of this Lease shall to any extent be void or unenforceable, the remainder of this Lease shall not be affected. Whenever a matter is subject to the approval of governmental authorities or other governmental parties, or whenever the approval of any such parties is otherwise required under this Lease, the parties agree that the same shall include quasi-governmental authorities. The headings and titles to the Articles and Sections of this Lease are for convenience only and shall have no effect on the interpretation of any part of this Lease. If there is more than one Tenant or if Tenant is comprised of more than one party or entity, the obligations imposed upon Tenant shall be joint and several obligations of all the parties and entities, and requests or demands from any one person or entity comprising Tenant shall be deemed to have been made by all such persons or entities. Notices to any one person or entity shall be deemed to have been given to all persons and entities. Tenant represents and warrants to Landlord, and agrees, that each individual executing this Lease on behalf of Tenant is authorized to do so on behalf of Tenant and that the entity(ies) or individual(s) constituting Tenant or Guarantor or which may own or control Tenant or Guarantor or which may be owned or controlled by Tenant or Guarantor are not and at no time will be</w:t>
      </w:r>
    </w:p>
    <w:p>
      <w:pPr>
        <w:spacing w:after="0" w:line="7" w:lineRule="exact"/>
        <w:rPr>
          <w:sz w:val="20"/>
          <w:szCs w:val="20"/>
          <w:color w:val="auto"/>
        </w:rPr>
      </w:pPr>
    </w:p>
    <w:p>
      <w:pPr>
        <w:jc w:val="both"/>
        <w:ind w:firstLine="8"/>
        <w:spacing w:after="0" w:line="205" w:lineRule="auto"/>
        <w:tabs>
          <w:tab w:leader="none" w:pos="23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in violation of any Laws relating to terrorism or money laundering, or (ii) among the individuals or entities identified on any list compiled pursuant to Executive Order 13224 for the purpose of identifying suspected terrorists or on the most current list published by the U.S. Treasury Department Office of Foreign Assets Control at its official website, </w:t>
      </w:r>
      <w:r>
        <w:rPr>
          <w:rFonts w:ascii="Arial" w:cs="Arial" w:eastAsia="Arial" w:hAnsi="Arial"/>
          <w:sz w:val="20"/>
          <w:szCs w:val="20"/>
          <w:u w:val="single" w:color="auto"/>
          <w:color w:val="0000FF"/>
        </w:rPr>
        <w:t>http://www.treas.gov/ofac/tllsdn.pdf</w:t>
      </w:r>
      <w:r>
        <w:rPr>
          <w:rFonts w:ascii="Arial" w:cs="Arial" w:eastAsia="Arial" w:hAnsi="Arial"/>
          <w:sz w:val="20"/>
          <w:szCs w:val="20"/>
          <w:color w:val="0000FF"/>
        </w:rPr>
        <w:t xml:space="preserve"> </w:t>
      </w:r>
      <w:r>
        <w:rPr>
          <w:rFonts w:ascii="Arial" w:cs="Arial" w:eastAsia="Arial" w:hAnsi="Arial"/>
          <w:sz w:val="20"/>
          <w:szCs w:val="20"/>
          <w:color w:val="000000"/>
        </w:rPr>
        <w:t>or any replacement website or other replacement official publication of such list. A breach by</w:t>
      </w:r>
      <w:r>
        <w:rPr>
          <w:rFonts w:ascii="Arial" w:cs="Arial" w:eastAsia="Arial" w:hAnsi="Arial"/>
          <w:sz w:val="20"/>
          <w:szCs w:val="20"/>
          <w:color w:val="0000FF"/>
        </w:rPr>
        <w:t xml:space="preserve"> </w:t>
      </w:r>
      <w:r>
        <w:rPr>
          <w:rFonts w:ascii="Arial" w:cs="Arial" w:eastAsia="Arial" w:hAnsi="Arial"/>
          <w:sz w:val="20"/>
          <w:szCs w:val="20"/>
          <w:color w:val="000000"/>
        </w:rPr>
        <w:t>Tenant of the foregoing representation or warranty contained in this Section 26.01 will constitute an immediate and incurable Default.</w:t>
      </w:r>
    </w:p>
    <w:p>
      <w:pPr>
        <w:spacing w:after="0" w:line="17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26.02. If Landlord retains an attorney or institutes legal proceedings due to Tenant’s failure to pay Rent when due, then Tenant shall be required to pay Additional Rent in an amount equal to the reasonable attorneys’ fees and costs actually incurred by Landlord in connection therewith. Notwithstanding the foregoing, in any action or proceeding between Landlord and Tenant, including any appellate or alternative dispute resolution proceeding, the prevailing party shall be entitled to recover from the non-prevailing party all of its costs and expenses in connection therewith, including, but not limited to, reasonable attorneys’ fees actually incurred. TENANT HEREBY WAIVES ANY RIGHT TO TRIAL BY JURY IN ANY PROCEEDING BASED UPON A BREACH OF THIS LEASE AND TENANT WAIVES THE RIGHT TO FILE ANY COUNTERCLAIMS OR CROSS-CLAIMS (OTHER THAN COMPULSORY COUNTERCLAIMS OR CROSS-CLAIMS) IN ACTIONS FOR RECOVERY OF POSSESSION OF THE PREMISES ONLY. No failure by either party to declare a default immediately upon its occurrence, nor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8" w:right="339" w:bottom="1440" w:gutter="0" w:footer="0" w:header="0"/>
        </w:sectPr>
      </w:pPr>
    </w:p>
    <w:bookmarkStart w:id="143" w:name="page144"/>
    <w:bookmarkEnd w:id="143"/>
    <w:p>
      <w:pPr>
        <w:jc w:val="both"/>
        <w:spacing w:after="0" w:line="222" w:lineRule="auto"/>
        <w:rPr>
          <w:sz w:val="20"/>
          <w:szCs w:val="20"/>
          <w:color w:val="auto"/>
        </w:rPr>
      </w:pPr>
      <w:r>
        <w:rPr>
          <w:rFonts w:ascii="Arial" w:cs="Arial" w:eastAsia="Arial" w:hAnsi="Arial"/>
          <w:sz w:val="20"/>
          <w:szCs w:val="20"/>
          <w:color w:val="auto"/>
        </w:rPr>
        <w:t>delay by either party in taking action for a default, nor Landlord’s acceptance of Rent with knowledge of a default by Tenant, shall constitute a waiver of the default, nor shall it constitute an estoppel.</w:t>
      </w:r>
    </w:p>
    <w:p>
      <w:pPr>
        <w:spacing w:after="0" w:line="16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26.03. Whenever a period of time is prescribed for the taking of an action by Landlord or Tenant (other than the payment of the Security Deposit or Rent), the period of time for the performance of such action shall be extended by the number of days that the performance is actually delayed due to strikes, acts of God, shortages of labor or materials, war, terrorist acts or breach or failure of any Data Systems, pandemics, civil disturbances and other causes beyond the reasonable control of the performing party (“</w:t>
      </w:r>
      <w:r>
        <w:rPr>
          <w:rFonts w:ascii="Arial" w:cs="Arial" w:eastAsia="Arial" w:hAnsi="Arial"/>
          <w:sz w:val="19"/>
          <w:szCs w:val="19"/>
          <w:b w:val="1"/>
          <w:bCs w:val="1"/>
          <w:color w:val="auto"/>
        </w:rPr>
        <w:t>Force Majeure</w:t>
      </w:r>
      <w:r>
        <w:rPr>
          <w:rFonts w:ascii="Arial" w:cs="Arial" w:eastAsia="Arial" w:hAnsi="Arial"/>
          <w:sz w:val="19"/>
          <w:szCs w:val="19"/>
          <w:color w:val="auto"/>
        </w:rPr>
        <w:t>”). However, events of Force Majeure shall not extend any period of time for the payment of Rent or other sums payable by either party or any period of time for the written exercise of an option or right by either party.</w:t>
      </w:r>
    </w:p>
    <w:p>
      <w:pPr>
        <w:spacing w:after="0" w:line="170"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26.04. Landlord shall have the right to transfer and assign, in whole or in part, all of its rights and obligations under this Lease and in the Building and Property. Upon transfer, Landlord shall be released from any further obligations hereunder and Tenant agrees to look solely to the successor in interest of Landlord for the performance of such obligations. If Landlord is requested to produce the following information in connection with a proposed financing or sale, then Tenant, within 15 days after request, shall provide Landlord with a current financial statement and such other information as Landlord may reasonably request in order to create a “business profile” of Tenant and determine Tenant’s ability to fulfill its obligations under this Lease.</w:t>
      </w:r>
    </w:p>
    <w:p>
      <w:pPr>
        <w:spacing w:after="0" w:line="171"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color w:val="auto"/>
        </w:rPr>
        <w:t>26.05. Landlord has delivered a copy of this Lease to Tenant for Tenant’s review only and the delivery of it does not constitute an offer to Tenant or an option. Tenant represents that it has dealt directly with and only with the Tenant’s Broker (as defined in Section 1.10) as a broker representing Tenant in connection with this Lease. Tenant shall indemnify and hold Landlord and the Landlord Related Parties harmless from all claims of any other brokers claiming to have represented Tenant in connection with this Lease. Landlord hereby agrees to pay all brokerage commissions or finder’s fees (if any) that may be due to the Brokers in connection with this Lease pursuant to its written agreements, if any, with each such Broker. Landlord shall indemnify and hold Tenant and the Tenant Related Parties harmless from all claims of any brokers claiming to have represented Landlord in connection with this Lease. Landlord’s Broker (as defined in Section 1.10), or such other entity affiliated with Landlord’s Broker, that is involved in the negotiation of this Lease, represents only the Landlord in this transaction. Any assistance rendered by any agent or employee of Landlord’s Broker, or of such other entity affiliated with Landlord’s Broker, in connection with this Lease or any subsequent amendment or modification or any other document related hereto has been or will be made as an accommodation to Tenant solely in furtherance of consummating the transaction on behalf of Landlord, and not as agent for Tenant.</w:t>
      </w:r>
    </w:p>
    <w:p>
      <w:pPr>
        <w:spacing w:after="0" w:line="169"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20"/>
          <w:szCs w:val="20"/>
          <w:color w:val="auto"/>
        </w:rPr>
        <w:t>26.06. Time is of the essence with respect to all of the provisions of this Lease. This Lease shall create only the relationship of Landlord and Tenant between the parties, and not a partnership, joint venture or any other relationship. This Lease and the covenants and conditions in this Lease shall inure only to the benefit of and be binding only upon Landlord and Tenant and their permitted successors and assigns. Tenant agrees that Tenant may acknowledge only the existence of this Lease by and between Landlord and Tenant, that Tenant may not disclose any of the terms and provisions contained in this Lease to any tenant or other occupant in the Building or to any agent, employee, subtenant or assignee of such tenant or occupant, and Tenant also shall cause the Tenant Related Parties (including, without limitation, its brokers) to comply with the restrictions set forth in this sentence. The terms and provisions of the preceding sentence shall survive the termination of this Lease (whether by lapse of time or otherwise).</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26.07. The expiration of the Term, whether by lapse of time, termination or otherwise, shall not relieve either party of any obligations which accrued prior to or which may continue to accrue after the expiration or termination of this Lease. Without limiting the scope of the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8" w:right="339" w:bottom="1440" w:gutter="0" w:footer="0" w:header="0"/>
        </w:sectPr>
      </w:pPr>
    </w:p>
    <w:bookmarkStart w:id="144" w:name="page145"/>
    <w:bookmarkEnd w:id="144"/>
    <w:p>
      <w:pPr>
        <w:jc w:val="both"/>
        <w:ind w:right="20"/>
        <w:spacing w:after="0" w:line="222" w:lineRule="auto"/>
        <w:rPr>
          <w:sz w:val="20"/>
          <w:szCs w:val="20"/>
          <w:color w:val="auto"/>
        </w:rPr>
      </w:pPr>
      <w:r>
        <w:rPr>
          <w:rFonts w:ascii="Arial" w:cs="Arial" w:eastAsia="Arial" w:hAnsi="Arial"/>
          <w:sz w:val="20"/>
          <w:szCs w:val="20"/>
          <w:color w:val="auto"/>
        </w:rPr>
        <w:t>sentence, it is agreed that Tenant’s obligations under Sections 4, 8, 12, 13, 19, 22, 25 and 26.10 shall survive the expiration or early termination of this Lease.</w:t>
      </w:r>
    </w:p>
    <w:p>
      <w:pPr>
        <w:spacing w:after="0" w:line="169"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color w:val="auto"/>
        </w:rPr>
        <w:t>26.08. Landlord represents and warrants that it has full right and authority to enter into this Lease. Tenant may peacefully have, hold and enjoy the Premises, subject to the terms of this Lease and to all Mortgages and other matters of record from time to time, provided Tenant pays the Rent and fully performs all of its covenants and agreements. This covenant shall be binding upon Landlord and its successors only during its or their respective periods of ownership of the Building. Landlord shall not be responsible for the acts or omissions of any other tenant, Tenant or third party that may interfere with Tenant's use and enjoyment of the Premises; provided upon receipt of notice from Tenant of such interference, Landlord shall use commercially reasonable efforts (</w:t>
      </w:r>
      <w:r>
        <w:rPr>
          <w:rFonts w:ascii="Arial" w:cs="Arial" w:eastAsia="Arial" w:hAnsi="Arial"/>
          <w:sz w:val="20"/>
          <w:szCs w:val="20"/>
          <w:i w:val="1"/>
          <w:iCs w:val="1"/>
          <w:color w:val="auto"/>
        </w:rPr>
        <w:t>e.g.</w:t>
      </w:r>
      <w:r>
        <w:rPr>
          <w:rFonts w:ascii="Arial" w:cs="Arial" w:eastAsia="Arial" w:hAnsi="Arial"/>
          <w:sz w:val="20"/>
          <w:szCs w:val="20"/>
          <w:color w:val="auto"/>
        </w:rPr>
        <w:t xml:space="preserve"> by enforcing the terms of applicable leases and the Building Rules and Regulations of the Building) to remedy such interference but shall incur no liability as a result of the refusal or failure of such third parties to comply. Notwithstanding the foregoing, Landlord shall not be required to take any legal action in connection therewith, including, without limitation, exercising any rights Landlord may have to terminate the lease or other agreement with any such other tenant or third party.</w:t>
      </w:r>
    </w:p>
    <w:p>
      <w:pPr>
        <w:spacing w:after="0" w:line="176"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9"/>
          <w:szCs w:val="19"/>
          <w:color w:val="auto"/>
        </w:rPr>
        <w:t>26.09. This Lease does not grant any rights to light or air over or about the Building. Landlord excepts and reserves exclusively to itself any and all rights not specifically granted to Tenant under this Lease, including, without limitation, the exclusive right to the use of: (1) roofs, (2) telephone, electrical and janitorial closets, (3) equipment rooms, Building risers or similar areas that are used by Landlord for the provision of Building services, (4) rights to the land and improvements below the floor of the Premises (including, without limitation, any basements, cellars, vaults, vault space or area), (5) the improvements and air rights above the Premises, (6) the improvements and air rights outside the demising walls of the Premises, including, without limitation, all balconies, terraces and roofs adjacent to the Premises and (7) the areas below the improved floor level of the Premises, within the walls of the Premises, and above the improved ceiling of the Premises and those areas and risers within the Premises used for the installation of utility lines, facilities and equipment and other installations serving the Building or occupants of the Building, and Landlord specifically reserves to itself the right to use, maintain and repair the same and the right to make additional installations therein and elsewhere in the Premises, provided the same are concealed and do not reduce the usable square footage of the Premises by more than a de minimis amount. Without limiting the foregoing, Tenant agrees that Landlord, throughout the Term of this Lease, shall have free access to any and all mechanical installations, and Tenant agrees that there shall be no construction or partitions or other obstructions which might interfere with the moving of the servicing equipment of Landlord to or from the enclosures containing said installations. Tenant further agrees that neither Tenant nor any of the Tenant Parties shall at any time tamper with, adjust or otherwise in any manner affect Landlord’s mechanical installations. Landlord shall have the right at any time to change the name or address of the Building and to install, affix and maintain any and all signs on the exterior and on the interior of the Building. Landlord shall also have the right to make such other changes to the Property and Building as Landlord deems appropriate, provided the changes do not materially adversely affect Tenant’s ability to use the Premises for the Permitted Use, materially increase Tenant's obligations under this Lease or materially reduce Tenant's rights under this Lease. Landlord shall also have the right (but not the obligation) to temporarily close the Building if Landlord reasonably determines that there is an imminent danger of significant damage to the Building or of personal injury to Landlord’s employees or the occupants of the Building. The circumstances under which Landlord may temporarily close the Building shall include, without limitation, electrical interruptions, hurricanes and civil disturbances. A closure of the Building under such circumstances shall not constitute a constructive eviction nor entitle Tenant to an abatement or reduction of Rent.</w:t>
      </w:r>
    </w:p>
    <w:p>
      <w:pPr>
        <w:spacing w:after="0" w:line="184"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0"/>
          <w:szCs w:val="20"/>
          <w:color w:val="auto"/>
        </w:rPr>
        <w:t>26.10. Tenant covenants and agrees that Tenant shall, at all times during the Term and at its sole cost, comply with and assume responsibility and liability under all Environmental Laws applicable to occupancy or use of or operations at the Premises by Tenant and the Tenant Related Parties and their respective contractors and vendors. In the event that Tenant proposes to undertake any Alterations, Tenant shall comply (at Tenant’s sole cost) with Landlord’s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8" w:right="339" w:bottom="1440" w:gutter="0" w:footer="0" w:header="0"/>
        </w:sectPr>
      </w:pPr>
    </w:p>
    <w:bookmarkStart w:id="145" w:name="page146"/>
    <w:bookmarkEnd w:id="145"/>
    <w:p>
      <w:pPr>
        <w:jc w:val="both"/>
        <w:spacing w:after="0" w:line="213" w:lineRule="auto"/>
        <w:rPr>
          <w:sz w:val="20"/>
          <w:szCs w:val="20"/>
          <w:color w:val="auto"/>
        </w:rPr>
      </w:pPr>
      <w:r>
        <w:rPr>
          <w:rFonts w:ascii="Arial" w:cs="Arial" w:eastAsia="Arial" w:hAnsi="Arial"/>
          <w:sz w:val="19"/>
          <w:szCs w:val="19"/>
          <w:color w:val="auto"/>
        </w:rPr>
        <w:t>(as established from time to time), if any, for testing and remediation of Hazardous Materials. Tenant agrees that should it or any of the Tenant Related Parties know of (a) any violation of Environmental Laws relating to the Premises, or (b) the escape, release or threatened release of any Hazardous Materials in, at or about the Premises, Tenant shall promptly notify Landlord in writing of such violation, escape, release or threatened release, and Tenant shall provide all warnings of exposure to Hazardous Materials in, at or about the Premises in strict compliance with all applicable Environmental Laws. Tenant shall at no time use, analyze, generate, manufacture, produce, transport, store, treat, release, dispose of or permit the escape of, or otherwise deposit in, at or about the Premises or the Property, any Hazardous Materials, or permit or allow any of the Tenant Related Parties or their respective contractors or vendors to do so. If Tenant or any of the Tenant Related Parties or their respective contractors or vendors violates the provisions of this Section 26.10, in addition to Landlord’s other rights and remedies in the case of such default, Tenant shall be responsible, at its sole cost, for the removal and disposal, in compliance with Environmental Laws, of any Hazardous Materials present at or emanating from the Property as a result of such violation and for the repair and restoration of any damage to the Property caused thereby (or, at Landlord’s option, Landlord may perform such work, at Tenant’s sole cost). As used in this Lease, the term “</w:t>
      </w:r>
      <w:r>
        <w:rPr>
          <w:rFonts w:ascii="Arial" w:cs="Arial" w:eastAsia="Arial" w:hAnsi="Arial"/>
          <w:sz w:val="19"/>
          <w:szCs w:val="19"/>
          <w:b w:val="1"/>
          <w:bCs w:val="1"/>
          <w:color w:val="auto"/>
        </w:rPr>
        <w:t>Environmental Laws</w:t>
      </w:r>
      <w:r>
        <w:rPr>
          <w:rFonts w:ascii="Arial" w:cs="Arial" w:eastAsia="Arial" w:hAnsi="Arial"/>
          <w:sz w:val="19"/>
          <w:szCs w:val="19"/>
          <w:color w:val="auto"/>
        </w:rPr>
        <w:t>” shall mean any and all federal, state and local laws, regulations, ordinances, codes and policies, and any and all judicial or administrative interpretations thereof by governmental authorities, as now in effect or hereinafter amended or enacted, relating to (i) pollution or protection of the environment, natural resources or health and safety; including, without limitation, those regulating, relating to, or imposing liability for emissions, discharges, releases or threatened releases of Hazardous Materials into the environment, or otherwise relating to the manufacture, processing, distribution, use, treatment, storage, disposal, release, transport or handling of Hazardous Materials; and (ii) the use of chemical, electrical, radiological or nuclear processes, radiation, sophisticated electrical and/or mechanical equipment, sonar and sound equipment, lasers, and laboratory analysis and materials, and the term “</w:t>
      </w:r>
      <w:r>
        <w:rPr>
          <w:rFonts w:ascii="Arial" w:cs="Arial" w:eastAsia="Arial" w:hAnsi="Arial"/>
          <w:sz w:val="19"/>
          <w:szCs w:val="19"/>
          <w:b w:val="1"/>
          <w:bCs w:val="1"/>
          <w:color w:val="auto"/>
        </w:rPr>
        <w:t>Hazardous Materials</w:t>
      </w:r>
      <w:r>
        <w:rPr>
          <w:rFonts w:ascii="Arial" w:cs="Arial" w:eastAsia="Arial" w:hAnsi="Arial"/>
          <w:sz w:val="19"/>
          <w:szCs w:val="19"/>
          <w:color w:val="auto"/>
        </w:rPr>
        <w:t>” shall mean any and all substances, chemicals, wastes, sewage or other materials that are now or hereafter regulated, controlled or prohibited by any Environmental Laws, including, without limitation, any (1) substance defined as a “hazardous substance”, “extremely hazardous substance”, “hazardous material”, “hazardous chemical”, “hazardous waste”, “toxic substance” or “air pollutant” by the Comprehensive Environmental Response, Compensation and Liability Act, 42 U.S.C. Section 9601, et seq.; the Hazardous Materials Transportation Act, 49 U.S.C. Section 5101, et seq.; the Resource Conservation and Recovery Act, 42 U.S.C. Section 6901, et seq.; the Federal Water Pollution Control Act, 33 U.S.C. Section 1251, et seq.; the Clean Air Act, 42 U.S.C. Section 7401, et seq.; the Emergency Planning and Community Right-to-Know Act, 42 U.S.C. Section 11001, et seq.; the Toxic Substances Control Act, 15 U.S.C. Section 2601 et seq.; the Occupational Safety and Health Act, 29 U.S.C. Section 651 et seq.; or the Occupational Safety and Health Standards, 25 C.F.R. 1910-1000 et seq., or regulations promulgated thereunder, all as amended to date and as amended hereafter; (2) hazardous substance, hazardous waste, toxic substance, toxic waste or hazardous material, waste, chemical or compound described in any other Environmental Laws; and (3) asbestos, polychlorinated biphenyls, urea formaldehyde insulation, flammable or explosive or radioactive materials, gasoline, oil, motor oil, waste oil, petroleum (including, without limitation, crude oil or any component thereof), petroleum-based products, paints, solvents, lead, cyanide, DDT, printing inks, acids, pesticides, ammonium compounds, and other regulated chemical products. To the actual knowledge of Mike Nootens (Landlord's employee whose responsibilities include the management of environmental matters related to the Building), Landlord has not received any written notice from any governmental entity that the Property or the Building is currently in breach of any Environmental Laws. If Landlord receives written notice of the presence of Hazardous Materials in the Building in violation of Environmental Laws which were not brought into the Building by Tenant, by any Tenant Related Party or by any contractor or invitee of Tenant or any Tenant Related Party, Landlord shall remediate such Hazardous Materials to the extent required by applicable Environmental Laws. The cost of such remediation shall not be included in Operating Expenses except to the extent such costs are incurred in the ordinary course of operating the Building, such as costs to dispose of batteries, electronics, paint, ballasts, lamps, diesel fuel and similar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8" w:right="339" w:bottom="1440" w:gutter="0" w:footer="0" w:header="0"/>
        </w:sectPr>
      </w:pPr>
    </w:p>
    <w:bookmarkStart w:id="146" w:name="page147"/>
    <w:bookmarkEnd w:id="146"/>
    <w:p>
      <w:pPr>
        <w:jc w:val="both"/>
        <w:ind w:firstLine="648"/>
        <w:spacing w:after="0" w:line="204" w:lineRule="auto"/>
        <w:rPr>
          <w:sz w:val="20"/>
          <w:szCs w:val="20"/>
          <w:color w:val="auto"/>
        </w:rPr>
      </w:pPr>
      <w:r>
        <w:rPr>
          <w:rFonts w:ascii="Arial" w:cs="Arial" w:eastAsia="Arial" w:hAnsi="Arial"/>
          <w:sz w:val="20"/>
          <w:szCs w:val="20"/>
          <w:color w:val="auto"/>
        </w:rPr>
        <w:t xml:space="preserve">26.11. Landlord or its beneficial owner is a real estate investment trust (REIT). A REIT is subject to regulations regarding the nature of its income. As long as an adjustment </w:t>
      </w:r>
      <w:r>
        <w:rPr>
          <w:rFonts w:ascii="Arial" w:cs="Arial" w:eastAsia="Arial" w:hAnsi="Arial"/>
          <w:sz w:val="20"/>
          <w:szCs w:val="20"/>
          <w:u w:val="single" w:color="auto"/>
          <w:color w:val="auto"/>
        </w:rPr>
        <w:t>does not increase</w:t>
      </w:r>
      <w:r>
        <w:rPr>
          <w:rFonts w:ascii="Arial" w:cs="Arial" w:eastAsia="Arial" w:hAnsi="Arial"/>
          <w:sz w:val="20"/>
          <w:szCs w:val="20"/>
          <w:color w:val="auto"/>
        </w:rPr>
        <w:t xml:space="preserve"> the monetary obligations of Tenant, and in order to protect Landlord and its beneficial owners from an adverse tax event under the REIT regulations, Landlord may require that the rent or fees (or a portion thereof) payable under this Lease be decreased or paid directly to an affiliate of Landlord, and Tenant shall, without charge and within 10 days after Landlord’s written request, execute and deliver to Landlord such amendments to this Lease, or such other documents, as may be reasonably required by Landlord to avoid the adverse tax event in the manner described above.</w:t>
      </w:r>
    </w:p>
    <w:p>
      <w:pPr>
        <w:spacing w:after="0" w:line="171"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26.12. This Lease shall be construed without regard to any presumption or other rule requiring construction against the party causing this Lease to be drafted. This Lease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Lease may be executed by electronic signature, which 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of an original signature.</w:t>
      </w:r>
    </w:p>
    <w:p>
      <w:pPr>
        <w:spacing w:after="0" w:line="172"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26.13. Tenant agrees to submit to Landlord any information required (directly or indirectly) in order for Landlord to (a) comply with Laws and (b) submit to any governmental authority any information legally required by such authority. In addition, Tenant authorizes Landlord to request and receive directly from any utility provider providing utilities to the Premises on a separately metered basis, copies of Tenant’s utility billing records, if required by Landlord in connection with an analysis of utility consumption at the Building and Tenant agrees to furnish any such records in Tenant’s possession to Landlord within 10 days after a written request from Landlord, if Landlord is not able to obtain such records from the utility company.</w:t>
      </w:r>
    </w:p>
    <w:p>
      <w:pPr>
        <w:spacing w:after="0" w:line="171"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26.14. The Building name (and/or any other trade names and/or marks of Landlord or any affiliate of Landlord) and the goodwill associated therewith (collectively, the “</w:t>
      </w:r>
      <w:r>
        <w:rPr>
          <w:rFonts w:ascii="Arial" w:cs="Arial" w:eastAsia="Arial" w:hAnsi="Arial"/>
          <w:sz w:val="20"/>
          <w:szCs w:val="20"/>
          <w:b w:val="1"/>
          <w:bCs w:val="1"/>
          <w:color w:val="auto"/>
        </w:rPr>
        <w:t>Trademark</w:t>
      </w:r>
      <w:r>
        <w:rPr>
          <w:rFonts w:ascii="Arial" w:cs="Arial" w:eastAsia="Arial" w:hAnsi="Arial"/>
          <w:sz w:val="20"/>
          <w:szCs w:val="20"/>
          <w:color w:val="auto"/>
        </w:rPr>
        <w:t>”) used by Landlord is owned by Landlord and/or an affiliate of Landlord and all rights with respect to the Trademark are reserved to Landlord and its affiliates. Neither Tenant nor any other party affiliated with Tenant shall use the Trademark without Landlord’s prior written consent. In addition, Tenant shall not use (or permit any party affiliated with Tenant to use) any name associated with the Building or any pictures, illustrations or likenesses of the Property or Building or any symbol, design, mark or insignia adopted by Landlord for the Building, in Tenant’s advertising or other publicity or for any purpose other than as the address of the business to be conducted by Tenant in the Premises, without the prior written consent of Landlord.</w:t>
      </w:r>
    </w:p>
    <w:p>
      <w:pPr>
        <w:spacing w:after="0" w:line="17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26.15. This Lease (including, without limitation, the exhibits and attachments listed in the table of contents, which constitute part of this Lease and are hereby incorporated into and made a part of this Lease and shall be binding on, and shall be complied with, by the parties to this Lease, as if fully set forth in the body of this Lease) constitutes the entire agreement between the parties and supersedes all prior agreements and understandings related to the Premises, including all lease proposals, letters of intent and other documents. Neither party is relying upon any warranty, statement or representation not contained in this Lease. This Lease may be modified only by a written agreement signed by an authorized representative of Landlord and Tenant. Tenant shall not record this Lease or any memorandum or notice without Landlord’s prior written consent.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18" w:right="339" w:bottom="1440" w:gutter="0" w:footer="0" w:header="0"/>
        </w:sectPr>
      </w:pPr>
    </w:p>
    <w:bookmarkStart w:id="147" w:name="page148"/>
    <w:bookmarkEnd w:id="147"/>
    <w:p>
      <w:pPr>
        <w:spacing w:after="0"/>
        <w:rPr>
          <w:sz w:val="20"/>
          <w:szCs w:val="20"/>
          <w:color w:val="auto"/>
        </w:rPr>
      </w:pPr>
      <w:r>
        <w:rPr>
          <w:rFonts w:ascii="Arial" w:cs="Arial" w:eastAsia="Arial" w:hAnsi="Arial"/>
          <w:sz w:val="20"/>
          <w:szCs w:val="20"/>
          <w:color w:val="auto"/>
        </w:rPr>
        <w:t>Landlord and Tenant have executed this Lease as of the day and year first above written.</w:t>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LANDLORD:</w:t>
      </w:r>
    </w:p>
    <w:p>
      <w:pPr>
        <w:spacing w:after="0" w:line="256" w:lineRule="exact"/>
        <w:rPr>
          <w:sz w:val="20"/>
          <w:szCs w:val="20"/>
          <w:color w:val="auto"/>
        </w:rPr>
      </w:pPr>
    </w:p>
    <w:p>
      <w:pPr>
        <w:ind w:left="4860"/>
        <w:spacing w:after="0" w:line="234" w:lineRule="auto"/>
        <w:rPr>
          <w:sz w:val="20"/>
          <w:szCs w:val="20"/>
          <w:color w:val="auto"/>
        </w:rPr>
      </w:pPr>
      <w:r>
        <w:rPr>
          <w:rFonts w:ascii="Arial" w:cs="Arial" w:eastAsia="Arial" w:hAnsi="Arial"/>
          <w:sz w:val="20"/>
          <w:szCs w:val="20"/>
          <w:b w:val="1"/>
          <w:bCs w:val="1"/>
          <w:color w:val="auto"/>
        </w:rPr>
        <w:t>EQC CAPITOL TOWER PROPERTY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140"/>
        <w:spacing w:after="0"/>
        <w:tabs>
          <w:tab w:leader="none" w:pos="666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20"/>
          <w:szCs w:val="20"/>
          <w:b w:val="1"/>
          <w:bCs w:val="1"/>
          <w:u w:val="single" w:color="auto"/>
          <w:color w:val="auto"/>
        </w:rPr>
        <w:t>/s/ Eric Marx</w:t>
      </w:r>
    </w:p>
    <w:p>
      <w:pPr>
        <w:spacing w:after="0" w:line="175" w:lineRule="exact"/>
        <w:rPr>
          <w:sz w:val="20"/>
          <w:szCs w:val="20"/>
          <w:color w:val="auto"/>
        </w:rPr>
      </w:pPr>
    </w:p>
    <w:p>
      <w:pPr>
        <w:ind w:left="6140"/>
        <w:spacing w:after="0"/>
        <w:tabs>
          <w:tab w:leader="none" w:pos="694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u w:val="single" w:color="auto"/>
          <w:color w:val="auto"/>
        </w:rPr>
        <w:t>Eric Marx</w:t>
      </w:r>
    </w:p>
    <w:p>
      <w:pPr>
        <w:spacing w:after="0" w:line="175" w:lineRule="exact"/>
        <w:rPr>
          <w:sz w:val="20"/>
          <w:szCs w:val="20"/>
          <w:color w:val="auto"/>
        </w:rPr>
      </w:pPr>
    </w:p>
    <w:p>
      <w:pPr>
        <w:ind w:left="6140"/>
        <w:spacing w:after="0"/>
        <w:tabs>
          <w:tab w:leader="none" w:pos="6820" w:val="left"/>
        </w:tabs>
        <w:rPr>
          <w:sz w:val="20"/>
          <w:szCs w:val="20"/>
          <w:color w:val="auto"/>
        </w:rPr>
      </w:pPr>
      <w:r>
        <w:rPr>
          <w:rFonts w:ascii="Arial" w:cs="Arial" w:eastAsia="Arial" w:hAnsi="Arial"/>
          <w:sz w:val="20"/>
          <w:szCs w:val="20"/>
          <w:b w:val="1"/>
          <w:bCs w:val="1"/>
          <w:color w:val="auto"/>
        </w:rPr>
        <w:t>Title:</w:t>
      </w:r>
      <w:r>
        <w:rPr>
          <w:sz w:val="20"/>
          <w:szCs w:val="20"/>
          <w:color w:val="auto"/>
        </w:rPr>
        <w:tab/>
      </w:r>
      <w:r>
        <w:rPr>
          <w:rFonts w:ascii="Arial" w:cs="Arial" w:eastAsia="Arial" w:hAnsi="Arial"/>
          <w:sz w:val="20"/>
          <w:szCs w:val="20"/>
          <w:b w:val="1"/>
          <w:bCs w:val="1"/>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TENANT:</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CROWDSTRIKE, INC., a Delaware corporation</w:t>
      </w:r>
    </w:p>
    <w:p>
      <w:pPr>
        <w:spacing w:after="0" w:line="175"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20"/>
          <w:szCs w:val="20"/>
          <w:b w:val="1"/>
          <w:bCs w:val="1"/>
          <w:u w:val="single" w:color="auto"/>
          <w:color w:val="auto"/>
        </w:rPr>
        <w:t>/s/ Burt Podbere</w:t>
      </w:r>
    </w:p>
    <w:p>
      <w:pPr>
        <w:spacing w:after="0" w:line="175" w:lineRule="exact"/>
        <w:rPr>
          <w:sz w:val="20"/>
          <w:szCs w:val="20"/>
          <w:color w:val="auto"/>
        </w:rPr>
      </w:pPr>
    </w:p>
    <w:p>
      <w:pPr>
        <w:ind w:left="4860"/>
        <w:spacing w:after="0"/>
        <w:tabs>
          <w:tab w:leader="none" w:pos="566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u w:val="single" w:color="auto"/>
          <w:color w:val="auto"/>
        </w:rPr>
        <w:t>Burt Podbere</w:t>
      </w:r>
    </w:p>
    <w:p>
      <w:pPr>
        <w:spacing w:after="0" w:line="175" w:lineRule="exact"/>
        <w:rPr>
          <w:sz w:val="20"/>
          <w:szCs w:val="20"/>
          <w:color w:val="auto"/>
        </w:rPr>
      </w:pPr>
    </w:p>
    <w:p>
      <w:pPr>
        <w:ind w:left="4860"/>
        <w:spacing w:after="0"/>
        <w:tabs>
          <w:tab w:leader="none" w:pos="5540" w:val="left"/>
        </w:tabs>
        <w:rPr>
          <w:sz w:val="20"/>
          <w:szCs w:val="20"/>
          <w:color w:val="auto"/>
        </w:rPr>
      </w:pPr>
      <w:r>
        <w:rPr>
          <w:rFonts w:ascii="Arial" w:cs="Arial" w:eastAsia="Arial" w:hAnsi="Arial"/>
          <w:sz w:val="20"/>
          <w:szCs w:val="20"/>
          <w:b w:val="1"/>
          <w:bCs w:val="1"/>
          <w:color w:val="auto"/>
        </w:rPr>
        <w:t>Title:</w:t>
      </w:r>
      <w:r>
        <w:rPr>
          <w:sz w:val="20"/>
          <w:szCs w:val="20"/>
          <w:color w:val="auto"/>
        </w:rPr>
        <w:tab/>
      </w:r>
      <w:r>
        <w:rPr>
          <w:rFonts w:ascii="Arial" w:cs="Arial" w:eastAsia="Arial" w:hAnsi="Arial"/>
          <w:sz w:val="20"/>
          <w:szCs w:val="20"/>
          <w:b w:val="1"/>
          <w:bCs w:val="1"/>
          <w:u w:val="single" w:color="auto"/>
          <w:color w:val="auto"/>
        </w:rPr>
        <w:t>CFO</w:t>
      </w:r>
    </w:p>
    <w:p>
      <w:pPr>
        <w:spacing w:after="0" w:line="175"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Tenant’s Tax ID Number (SSN or FEIN):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940"/>
          </w:cols>
          <w:pgMar w:left="540" w:top="1418" w:right="419" w:bottom="1440" w:gutter="0" w:footer="0" w:header="0"/>
        </w:sectPr>
      </w:pPr>
    </w:p>
    <w:bookmarkStart w:id="148" w:name="page149"/>
    <w:bookmarkEnd w:id="148"/>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OUTLINE AND LOCATION OF PREMISES</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9"/>
          <w:szCs w:val="19"/>
          <w:color w:val="auto"/>
        </w:rPr>
        <w:t>This Exhibit is attached to and made a part of the Office Lease Agreement (the “</w:t>
      </w:r>
      <w:r>
        <w:rPr>
          <w:rFonts w:ascii="Arial" w:cs="Arial" w:eastAsia="Arial" w:hAnsi="Arial"/>
          <w:sz w:val="19"/>
          <w:szCs w:val="19"/>
          <w:b w:val="1"/>
          <w:bCs w:val="1"/>
          <w:color w:val="auto"/>
        </w:rPr>
        <w:t>Lease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EQC CAPITOL</w:t>
      </w:r>
      <w:r>
        <w:rPr>
          <w:rFonts w:ascii="Arial" w:cs="Arial" w:eastAsia="Arial" w:hAnsi="Arial"/>
          <w:sz w:val="19"/>
          <w:szCs w:val="19"/>
          <w:color w:val="auto"/>
        </w:rPr>
        <w:t xml:space="preserve"> </w:t>
      </w:r>
      <w:r>
        <w:rPr>
          <w:rFonts w:ascii="Arial" w:cs="Arial" w:eastAsia="Arial" w:hAnsi="Arial"/>
          <w:sz w:val="19"/>
          <w:szCs w:val="19"/>
          <w:b w:val="1"/>
          <w:bCs w:val="1"/>
          <w:color w:val="auto"/>
        </w:rPr>
        <w:t>TOWER PROPERTY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w:t>
      </w:r>
      <w:r>
        <w:rPr>
          <w:rFonts w:ascii="Arial" w:cs="Arial" w:eastAsia="Arial" w:hAnsi="Arial"/>
          <w:sz w:val="19"/>
          <w:szCs w:val="19"/>
          <w:b w:val="1"/>
          <w:bCs w:val="1"/>
          <w:color w:val="auto"/>
        </w:rPr>
        <w:t xml:space="preserve"> CROWDSTRIKE, INC.</w:t>
      </w:r>
      <w:r>
        <w:rPr>
          <w:rFonts w:ascii="Arial" w:cs="Arial" w:eastAsia="Arial" w:hAnsi="Arial"/>
          <w:sz w:val="19"/>
          <w:szCs w:val="19"/>
          <w:color w:val="auto"/>
        </w:rPr>
        <w:t>,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w:t>
      </w:r>
      <w:r>
        <w:rPr>
          <w:rFonts w:ascii="Arial" w:cs="Arial" w:eastAsia="Arial" w:hAnsi="Arial"/>
          <w:sz w:val="19"/>
          <w:szCs w:val="19"/>
          <w:b w:val="1"/>
          <w:bCs w:val="1"/>
          <w:color w:val="auto"/>
        </w:rPr>
        <w:t>Tenant</w:t>
      </w:r>
      <w:r>
        <w:rPr>
          <w:rFonts w:ascii="Arial" w:cs="Arial" w:eastAsia="Arial" w:hAnsi="Arial"/>
          <w:sz w:val="19"/>
          <w:szCs w:val="19"/>
          <w:color w:val="auto"/>
        </w:rPr>
        <w:t>”) for space in the Building (as defined in the Lease) located at 206 East 9th Street, Austin, Texas.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A</w:t>
      </w: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911860</wp:posOffset>
            </wp:positionV>
            <wp:extent cx="4783455" cy="7406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478345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1440"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20"/>
          <w:szCs w:val="20"/>
          <w:b w:val="1"/>
          <w:bCs w:val="1"/>
          <w:color w:val="auto"/>
        </w:rPr>
        <w:t>EXHIBIT A-1</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OUTLINE AND LOCATION OF OFFER SPACE</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9"/>
          <w:szCs w:val="19"/>
          <w:color w:val="auto"/>
        </w:rPr>
        <w:t>This Exhibit is attached to and made a part of the Office Lease Agreement (the “</w:t>
      </w:r>
      <w:r>
        <w:rPr>
          <w:rFonts w:ascii="Arial" w:cs="Arial" w:eastAsia="Arial" w:hAnsi="Arial"/>
          <w:sz w:val="19"/>
          <w:szCs w:val="19"/>
          <w:b w:val="1"/>
          <w:bCs w:val="1"/>
          <w:color w:val="auto"/>
        </w:rPr>
        <w:t>Lease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EQC CAPITOL</w:t>
      </w:r>
      <w:r>
        <w:rPr>
          <w:rFonts w:ascii="Arial" w:cs="Arial" w:eastAsia="Arial" w:hAnsi="Arial"/>
          <w:sz w:val="19"/>
          <w:szCs w:val="19"/>
          <w:color w:val="auto"/>
        </w:rPr>
        <w:t xml:space="preserve"> </w:t>
      </w:r>
      <w:r>
        <w:rPr>
          <w:rFonts w:ascii="Arial" w:cs="Arial" w:eastAsia="Arial" w:hAnsi="Arial"/>
          <w:sz w:val="19"/>
          <w:szCs w:val="19"/>
          <w:b w:val="1"/>
          <w:bCs w:val="1"/>
          <w:color w:val="auto"/>
        </w:rPr>
        <w:t>TOWER PROPERTY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w:t>
      </w:r>
      <w:r>
        <w:rPr>
          <w:rFonts w:ascii="Arial" w:cs="Arial" w:eastAsia="Arial" w:hAnsi="Arial"/>
          <w:sz w:val="19"/>
          <w:szCs w:val="19"/>
          <w:b w:val="1"/>
          <w:bCs w:val="1"/>
          <w:color w:val="auto"/>
        </w:rPr>
        <w:t xml:space="preserve"> CROWDSTRIKE, INC.</w:t>
      </w:r>
      <w:r>
        <w:rPr>
          <w:rFonts w:ascii="Arial" w:cs="Arial" w:eastAsia="Arial" w:hAnsi="Arial"/>
          <w:sz w:val="19"/>
          <w:szCs w:val="19"/>
          <w:color w:val="auto"/>
        </w:rPr>
        <w:t>,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w:t>
      </w:r>
      <w:r>
        <w:rPr>
          <w:rFonts w:ascii="Arial" w:cs="Arial" w:eastAsia="Arial" w:hAnsi="Arial"/>
          <w:sz w:val="19"/>
          <w:szCs w:val="19"/>
          <w:b w:val="1"/>
          <w:bCs w:val="1"/>
          <w:color w:val="auto"/>
        </w:rPr>
        <w:t>Tenant</w:t>
      </w:r>
      <w:r>
        <w:rPr>
          <w:rFonts w:ascii="Arial" w:cs="Arial" w:eastAsia="Arial" w:hAnsi="Arial"/>
          <w:sz w:val="19"/>
          <w:szCs w:val="19"/>
          <w:color w:val="auto"/>
        </w:rPr>
        <w:t>”) for space in the Building (as defined in the Lease) located at 206 East 9th Street, Austin, Texas.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A-1</w:t>
      </w: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4"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1399540</wp:posOffset>
            </wp:positionH>
            <wp:positionV relativeFrom="page">
              <wp:posOffset>911860</wp:posOffset>
            </wp:positionV>
            <wp:extent cx="4749165" cy="7406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474916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A-1</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1313815</wp:posOffset>
            </wp:positionH>
            <wp:positionV relativeFrom="page">
              <wp:posOffset>911860</wp:posOffset>
            </wp:positionV>
            <wp:extent cx="4920615" cy="7406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492061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A-1</w:t>
      </w: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00" w:lineRule="exact"/>
        <w:rPr>
          <w:sz w:val="20"/>
          <w:szCs w:val="20"/>
          <w:color w:val="auto"/>
        </w:rPr>
      </w:pPr>
    </w:p>
    <w:p>
      <w:pPr>
        <w:spacing w:after="0" w:line="241"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color w:val="auto"/>
        </w:rPr>
        <w:t>EXHIBIT A-2</w:t>
      </w:r>
    </w:p>
    <w:p>
      <w:pPr>
        <w:spacing w:after="0" w:line="175" w:lineRule="exact"/>
        <w:rPr>
          <w:sz w:val="20"/>
          <w:szCs w:val="20"/>
          <w:color w:val="auto"/>
        </w:rPr>
      </w:pPr>
    </w:p>
    <w:p>
      <w:pPr>
        <w:jc w:val="center"/>
        <w:ind w:right="420"/>
        <w:spacing w:after="0"/>
        <w:rPr>
          <w:sz w:val="20"/>
          <w:szCs w:val="20"/>
          <w:color w:val="auto"/>
        </w:rPr>
      </w:pPr>
      <w:r>
        <w:rPr>
          <w:rFonts w:ascii="Arial" w:cs="Arial" w:eastAsia="Arial" w:hAnsi="Arial"/>
          <w:sz w:val="20"/>
          <w:szCs w:val="20"/>
          <w:b w:val="1"/>
          <w:bCs w:val="1"/>
          <w:u w:val="single" w:color="auto"/>
          <w:color w:val="auto"/>
        </w:rPr>
        <w:t>OUTLINE AND LOCATION OF ROFR SPACE</w:t>
      </w:r>
    </w:p>
    <w:p>
      <w:pPr>
        <w:spacing w:after="0" w:line="175" w:lineRule="exact"/>
        <w:rPr>
          <w:sz w:val="20"/>
          <w:szCs w:val="20"/>
          <w:color w:val="auto"/>
        </w:rPr>
      </w:pPr>
    </w:p>
    <w:p>
      <w:pPr>
        <w:ind w:firstLine="221"/>
        <w:spacing w:after="0" w:line="234" w:lineRule="auto"/>
        <w:rPr>
          <w:sz w:val="20"/>
          <w:szCs w:val="20"/>
          <w:color w:val="auto"/>
        </w:rPr>
      </w:pPr>
      <w:r>
        <w:rPr>
          <w:rFonts w:ascii="Arial" w:cs="Arial" w:eastAsia="Arial" w:hAnsi="Arial"/>
          <w:sz w:val="19"/>
          <w:szCs w:val="19"/>
          <w:color w:val="auto"/>
        </w:rPr>
        <w:t>This Exhibit is attached to and made a part of the Office Lease Agreement (the “</w:t>
      </w:r>
      <w:r>
        <w:rPr>
          <w:rFonts w:ascii="Arial" w:cs="Arial" w:eastAsia="Arial" w:hAnsi="Arial"/>
          <w:sz w:val="19"/>
          <w:szCs w:val="19"/>
          <w:b w:val="1"/>
          <w:bCs w:val="1"/>
          <w:color w:val="auto"/>
        </w:rPr>
        <w:t>Lease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EQC CAPITOL</w:t>
      </w:r>
      <w:r>
        <w:rPr>
          <w:rFonts w:ascii="Arial" w:cs="Arial" w:eastAsia="Arial" w:hAnsi="Arial"/>
          <w:sz w:val="19"/>
          <w:szCs w:val="19"/>
          <w:color w:val="auto"/>
        </w:rPr>
        <w:t xml:space="preserve"> </w:t>
      </w:r>
      <w:r>
        <w:rPr>
          <w:rFonts w:ascii="Arial" w:cs="Arial" w:eastAsia="Arial" w:hAnsi="Arial"/>
          <w:sz w:val="19"/>
          <w:szCs w:val="19"/>
          <w:b w:val="1"/>
          <w:bCs w:val="1"/>
          <w:color w:val="auto"/>
        </w:rPr>
        <w:t>TOWER PROPERTY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w:t>
      </w:r>
      <w:r>
        <w:rPr>
          <w:rFonts w:ascii="Arial" w:cs="Arial" w:eastAsia="Arial" w:hAnsi="Arial"/>
          <w:sz w:val="19"/>
          <w:szCs w:val="19"/>
          <w:b w:val="1"/>
          <w:bCs w:val="1"/>
          <w:color w:val="auto"/>
        </w:rPr>
        <w:t xml:space="preserve"> CROWDSTRIKE, INC.</w:t>
      </w:r>
      <w:r>
        <w:rPr>
          <w:rFonts w:ascii="Arial" w:cs="Arial" w:eastAsia="Arial" w:hAnsi="Arial"/>
          <w:sz w:val="19"/>
          <w:szCs w:val="19"/>
          <w:color w:val="auto"/>
        </w:rPr>
        <w:t>, a Delaware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w:t>
      </w:r>
      <w:r>
        <w:rPr>
          <w:rFonts w:ascii="Arial" w:cs="Arial" w:eastAsia="Arial" w:hAnsi="Arial"/>
          <w:sz w:val="19"/>
          <w:szCs w:val="19"/>
          <w:b w:val="1"/>
          <w:bCs w:val="1"/>
          <w:color w:val="auto"/>
        </w:rPr>
        <w:t>Tenant</w:t>
      </w:r>
      <w:r>
        <w:rPr>
          <w:rFonts w:ascii="Arial" w:cs="Arial" w:eastAsia="Arial" w:hAnsi="Arial"/>
          <w:sz w:val="19"/>
          <w:szCs w:val="19"/>
          <w:color w:val="auto"/>
        </w:rPr>
        <w:t>”) for space in the Building (as defined in the Lease) located at 206 East 9th Street, Austin, Texas.</w:t>
      </w:r>
    </w:p>
    <w:p>
      <w:pPr>
        <w:spacing w:after="0" w:line="168"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EXHIBIT A-2</w:t>
      </w:r>
    </w:p>
    <w:p>
      <w:pPr>
        <w:jc w:val="center"/>
        <w:ind w:right="4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760"/>
          </w:cols>
          <w:pgMar w:left="780" w:top="1440" w:right="35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1425575</wp:posOffset>
            </wp:positionH>
            <wp:positionV relativeFrom="page">
              <wp:posOffset>911860</wp:posOffset>
            </wp:positionV>
            <wp:extent cx="4705985" cy="7406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470598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A-2</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1440"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auto"/>
        </w:rPr>
        <w:t>EXHIBIT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EXPENSES AND TAXES</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EQC CAPITOL</w:t>
      </w:r>
      <w:r>
        <w:rPr>
          <w:rFonts w:ascii="Arial" w:cs="Arial" w:eastAsia="Arial" w:hAnsi="Arial"/>
          <w:sz w:val="20"/>
          <w:szCs w:val="20"/>
          <w:color w:val="auto"/>
        </w:rPr>
        <w:t xml:space="preserve"> </w:t>
      </w:r>
      <w:r>
        <w:rPr>
          <w:rFonts w:ascii="Arial" w:cs="Arial" w:eastAsia="Arial" w:hAnsi="Arial"/>
          <w:sz w:val="20"/>
          <w:szCs w:val="20"/>
          <w:b w:val="1"/>
          <w:bCs w:val="1"/>
          <w:color w:val="auto"/>
        </w:rPr>
        <w:t>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CROWDSTRIKE,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for space in the Building (as defined in the Lease) located at 206 East 9th Street, Austin, Texas. Capitalized terms used but not defined herein shall have the meanings given in the Lease.</w:t>
      </w:r>
    </w:p>
    <w:p>
      <w:pPr>
        <w:spacing w:after="0" w:line="144" w:lineRule="exact"/>
        <w:rPr>
          <w:sz w:val="20"/>
          <w:szCs w:val="20"/>
          <w:color w:val="auto"/>
        </w:rPr>
      </w:pPr>
    </w:p>
    <w:p>
      <w:pPr>
        <w:ind w:left="220" w:hanging="212"/>
        <w:spacing w:after="0"/>
        <w:tabs>
          <w:tab w:leader="none" w:pos="220"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Payments</w:t>
      </w:r>
      <w:r>
        <w:rPr>
          <w:rFonts w:ascii="Arial" w:cs="Arial" w:eastAsia="Arial" w:hAnsi="Arial"/>
          <w:sz w:val="20"/>
          <w:szCs w:val="20"/>
          <w:color w:val="auto"/>
        </w:rPr>
        <w:t>.</w:t>
      </w:r>
    </w:p>
    <w:p>
      <w:pPr>
        <w:spacing w:after="0" w:line="202" w:lineRule="exact"/>
        <w:rPr>
          <w:sz w:val="20"/>
          <w:szCs w:val="20"/>
          <w:color w:val="auto"/>
        </w:rPr>
      </w:pPr>
    </w:p>
    <w:p>
      <w:pPr>
        <w:jc w:val="both"/>
        <w:ind w:firstLine="324"/>
        <w:spacing w:after="0" w:line="213" w:lineRule="auto"/>
        <w:rPr>
          <w:sz w:val="20"/>
          <w:szCs w:val="20"/>
          <w:color w:val="auto"/>
        </w:rPr>
      </w:pPr>
      <w:r>
        <w:rPr>
          <w:rFonts w:ascii="Arial" w:cs="Arial" w:eastAsia="Arial" w:hAnsi="Arial"/>
          <w:sz w:val="19"/>
          <w:szCs w:val="19"/>
          <w:color w:val="auto"/>
        </w:rPr>
        <w:t>1.01. Tenant shall pay Tenant’s Pro Rata Share of Expenses (as defined in Section 2 below) (the “</w:t>
      </w:r>
      <w:r>
        <w:rPr>
          <w:rFonts w:ascii="Arial" w:cs="Arial" w:eastAsia="Arial" w:hAnsi="Arial"/>
          <w:sz w:val="19"/>
          <w:szCs w:val="19"/>
          <w:b w:val="1"/>
          <w:bCs w:val="1"/>
          <w:color w:val="auto"/>
        </w:rPr>
        <w:t>Expense Rent</w:t>
      </w:r>
      <w:r>
        <w:rPr>
          <w:rFonts w:ascii="Arial" w:cs="Arial" w:eastAsia="Arial" w:hAnsi="Arial"/>
          <w:sz w:val="19"/>
          <w:szCs w:val="19"/>
          <w:color w:val="auto"/>
        </w:rPr>
        <w:t>”) for each calendar year during the Term and Tenant’s Pro Rata Share of Taxes (as defined in Section 2 below) (the “</w:t>
      </w:r>
      <w:r>
        <w:rPr>
          <w:rFonts w:ascii="Arial" w:cs="Arial" w:eastAsia="Arial" w:hAnsi="Arial"/>
          <w:sz w:val="19"/>
          <w:szCs w:val="19"/>
          <w:b w:val="1"/>
          <w:bCs w:val="1"/>
          <w:color w:val="auto"/>
        </w:rPr>
        <w:t>Tax Rent</w:t>
      </w:r>
      <w:r>
        <w:rPr>
          <w:rFonts w:ascii="Arial" w:cs="Arial" w:eastAsia="Arial" w:hAnsi="Arial"/>
          <w:sz w:val="19"/>
          <w:szCs w:val="19"/>
          <w:color w:val="auto"/>
        </w:rPr>
        <w:t>”) for each Fiscal Year during the Term. Landlord shall provide Tenant with a good faith estimate of the Expense Rent for each calendar year and of the Tax Rent for each Fiscal Year during the Term. On or before the first day of each month, Tenant shall pay to Landlord a monthly installment equal to 1/12th of Landlord’s estimate of both the Expense Rent and the Tax Rent. If Landlord determines that its good faith estimate was incorrect by a material amount, Landlord may provide Tenant with a revised estimate and bill Tenant for any deficiency which may have accrued. After its receipt of the revised estimate, Tenant’s monthly payments shall be based upon the revised estimate. If Landlord does not provide Tenant with an estimate of the Expense Rent by January 1 of a calendar year or of the Tax Rent by the first day of a Fiscal Year, Tenant shall continue to pay monthly installments based on the previous year’s estimate(s) until Landlord provides Tenant with the new estimate. Upon delivery of the new estimate, an adjustment shall be made for any month for which Tenant paid monthly installments based on the previous year’s estimate. Tenant shall pay Landlord the amount of any underpayment within 30 days after receipt of the new estimate. Any overpayment shall be refunded to Tenant within 30 days or credited against the next due future installment(s) of Additional Rent.</w:t>
      </w:r>
    </w:p>
    <w:p>
      <w:pPr>
        <w:spacing w:after="0" w:line="203" w:lineRule="exact"/>
        <w:rPr>
          <w:sz w:val="20"/>
          <w:szCs w:val="20"/>
          <w:color w:val="auto"/>
        </w:rPr>
      </w:pPr>
    </w:p>
    <w:p>
      <w:pPr>
        <w:jc w:val="both"/>
        <w:ind w:firstLine="324"/>
        <w:spacing w:after="0" w:line="202" w:lineRule="auto"/>
        <w:rPr>
          <w:sz w:val="20"/>
          <w:szCs w:val="20"/>
          <w:color w:val="auto"/>
        </w:rPr>
      </w:pPr>
      <w:r>
        <w:rPr>
          <w:rFonts w:ascii="Arial" w:cs="Arial" w:eastAsia="Arial" w:hAnsi="Arial"/>
          <w:sz w:val="20"/>
          <w:szCs w:val="20"/>
          <w:color w:val="auto"/>
        </w:rPr>
        <w:t>1.02. As soon as is practical following the end of each calendar year or Fiscal Year, as the case may be, Landlord shall furnish Tenant with a statement of the actual Expenses and Expense Rent for such calendar year or the actual Taxes and Tax Rent for such Fiscal Year, as applicable (“</w:t>
      </w:r>
      <w:r>
        <w:rPr>
          <w:rFonts w:ascii="Arial" w:cs="Arial" w:eastAsia="Arial" w:hAnsi="Arial"/>
          <w:sz w:val="20"/>
          <w:szCs w:val="20"/>
          <w:b w:val="1"/>
          <w:bCs w:val="1"/>
          <w:color w:val="auto"/>
        </w:rPr>
        <w:t>Landlord’s Statement</w:t>
      </w:r>
      <w:r>
        <w:rPr>
          <w:rFonts w:ascii="Arial" w:cs="Arial" w:eastAsia="Arial" w:hAnsi="Arial"/>
          <w:sz w:val="20"/>
          <w:szCs w:val="20"/>
          <w:color w:val="auto"/>
        </w:rPr>
        <w:t>”). If the estimated Expense Rent or estimated Tax Rent is more than the actual Expense Rent or actual Tax Rent for the applicable calendar year or Fiscal Year, as applicable, Landlord shall either provide Tenant with a refund or apply any overpayment by Tenant against Additional Rent due or next becoming due, provided if the Term expires before the determination of the overpayment, Landlord shall refund any overpayment to Tenant after first deducting the amount of Rent due. If the estimated Expense Rent or estimated Tax Rent is less than the actual Expense Rent or actual Tax Rent for the applicable calendar year or Fiscal Year, as applicable, Tenant shall pay Landlord, within 30 days after its receipt of Landlord’s Statement, any underpayment for the prior calendar year.</w:t>
      </w:r>
    </w:p>
    <w:p>
      <w:pPr>
        <w:spacing w:after="0" w:line="178" w:lineRule="exact"/>
        <w:rPr>
          <w:sz w:val="20"/>
          <w:szCs w:val="20"/>
          <w:color w:val="auto"/>
        </w:rPr>
      </w:pPr>
    </w:p>
    <w:p>
      <w:pPr>
        <w:ind w:left="220" w:hanging="212"/>
        <w:spacing w:after="0"/>
        <w:tabs>
          <w:tab w:leader="none" w:pos="220" w:val="left"/>
        </w:tabs>
        <w:numPr>
          <w:ilvl w:val="0"/>
          <w:numId w:val="111"/>
        </w:numPr>
        <w:rPr>
          <w:rFonts w:ascii="Arial" w:cs="Arial" w:eastAsia="Arial" w:hAnsi="Arial"/>
          <w:sz w:val="20"/>
          <w:szCs w:val="20"/>
          <w:color w:val="auto"/>
        </w:rPr>
      </w:pPr>
      <w:r>
        <w:rPr>
          <w:rFonts w:ascii="Arial" w:cs="Arial" w:eastAsia="Arial" w:hAnsi="Arial"/>
          <w:sz w:val="20"/>
          <w:szCs w:val="20"/>
          <w:b w:val="1"/>
          <w:bCs w:val="1"/>
          <w:color w:val="auto"/>
        </w:rPr>
        <w:t>Expenses</w:t>
      </w:r>
      <w:r>
        <w:rPr>
          <w:rFonts w:ascii="Arial" w:cs="Arial" w:eastAsia="Arial" w:hAnsi="Arial"/>
          <w:sz w:val="20"/>
          <w:szCs w:val="20"/>
          <w:color w:val="auto"/>
        </w:rPr>
        <w:t>.</w:t>
      </w:r>
    </w:p>
    <w:p>
      <w:pPr>
        <w:spacing w:after="0" w:line="20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9"/>
          <w:szCs w:val="19"/>
          <w:color w:val="auto"/>
        </w:rPr>
        <w:t>2.01. “</w:t>
      </w:r>
      <w:r>
        <w:rPr>
          <w:rFonts w:ascii="Arial" w:cs="Arial" w:eastAsia="Arial" w:hAnsi="Arial"/>
          <w:sz w:val="19"/>
          <w:szCs w:val="19"/>
          <w:b w:val="1"/>
          <w:bCs w:val="1"/>
          <w:color w:val="auto"/>
        </w:rPr>
        <w:t>Expenses</w:t>
      </w:r>
      <w:r>
        <w:rPr>
          <w:rFonts w:ascii="Arial" w:cs="Arial" w:eastAsia="Arial" w:hAnsi="Arial"/>
          <w:sz w:val="19"/>
          <w:szCs w:val="19"/>
          <w:color w:val="auto"/>
        </w:rPr>
        <w:t>” shall mean all costs and expenses incurred in each calendar year in connection with operating, equipping, maintaining, repairing, managing and making replacements to the Building and the Property (including, without limitation, all systems, structures, structural elements, personal property and Common Areas related thereto), including, but not limited to:</w:t>
      </w:r>
    </w:p>
    <w:p>
      <w:pPr>
        <w:spacing w:after="0" w:line="195" w:lineRule="exact"/>
        <w:rPr>
          <w:sz w:val="20"/>
          <w:szCs w:val="20"/>
          <w:color w:val="auto"/>
        </w:rPr>
      </w:pPr>
    </w:p>
    <w:p>
      <w:pPr>
        <w:ind w:left="660" w:firstLine="1292"/>
        <w:spacing w:after="0" w:line="222" w:lineRule="auto"/>
        <w:tabs>
          <w:tab w:leader="none" w:pos="259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Labor costs, including, wages, salaries, social security and employment taxes, medical and other types of insurance, uniforms, training, and retirement and pension plans and other employee benefits.</w:t>
      </w:r>
    </w:p>
    <w:p>
      <w:pPr>
        <w:spacing w:after="0" w:line="168" w:lineRule="exact"/>
        <w:rPr>
          <w:rFonts w:ascii="Arial" w:cs="Arial" w:eastAsia="Arial" w:hAnsi="Arial"/>
          <w:sz w:val="20"/>
          <w:szCs w:val="20"/>
          <w:color w:val="auto"/>
        </w:rPr>
      </w:pPr>
    </w:p>
    <w:p>
      <w:pPr>
        <w:ind w:left="660" w:firstLine="1292"/>
        <w:spacing w:after="0" w:line="222" w:lineRule="auto"/>
        <w:tabs>
          <w:tab w:leader="none" w:pos="259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Management fees, the cost of equipping, staffing, operating and maintaining an on-site or off-site management office (provided if the management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5" w:right="339" w:bottom="1440" w:gutter="0" w:footer="0" w:header="0"/>
        </w:sectPr>
      </w:pPr>
    </w:p>
    <w:bookmarkStart w:id="156" w:name="page157"/>
    <w:bookmarkEnd w:id="156"/>
    <w:p>
      <w:pPr>
        <w:jc w:val="both"/>
        <w:ind w:left="4"/>
        <w:spacing w:after="0" w:line="204" w:lineRule="auto"/>
        <w:rPr>
          <w:sz w:val="20"/>
          <w:szCs w:val="20"/>
          <w:color w:val="auto"/>
        </w:rPr>
      </w:pPr>
      <w:r>
        <w:rPr>
          <w:rFonts w:ascii="Arial" w:cs="Arial" w:eastAsia="Arial" w:hAnsi="Arial"/>
          <w:sz w:val="20"/>
          <w:szCs w:val="20"/>
          <w:color w:val="auto"/>
        </w:rPr>
        <w:t>services one or more other buildings or properties, the shared costs and expenses of such management office[s] shall be equitably prorated and apportioned between the Building and the other buildings or properties), accounting and bookkeeping services, legal fees not attributable to leasing or collection activity, and other administrative costs, and Landlord, by itself or through an affiliate, shall have the right to directly perform or provide any services under the Lease (including management services) and be compensated therefor, provided that the cost of any such services shall not exceed the cost that would have been incurred had Landlord entered into an arm’s-length contract for such services with an unaffiliated entity of comparable skill and experience.</w:t>
      </w:r>
    </w:p>
    <w:p>
      <w:pPr>
        <w:spacing w:after="0" w:line="171" w:lineRule="exact"/>
        <w:rPr>
          <w:sz w:val="20"/>
          <w:szCs w:val="20"/>
          <w:color w:val="auto"/>
        </w:rPr>
      </w:pPr>
    </w:p>
    <w:p>
      <w:pPr>
        <w:jc w:val="both"/>
        <w:ind w:left="4" w:firstLine="1292"/>
        <w:spacing w:after="0" w:line="209" w:lineRule="auto"/>
        <w:tabs>
          <w:tab w:leader="none" w:pos="1941"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cost of services, including amounts paid to service providers (including, without limitation, contractors and/or suppliers) and the rental and purchase cost of parts, materials, supplies, tools and equipment. At Landlord’s option, major equipment purchases may be amortized over a reasonable period selected by Landlord and major repair items may be amortized over a period of up to 5 years.</w:t>
      </w:r>
    </w:p>
    <w:p>
      <w:pPr>
        <w:spacing w:after="0" w:line="170" w:lineRule="exact"/>
        <w:rPr>
          <w:rFonts w:ascii="Arial" w:cs="Arial" w:eastAsia="Arial" w:hAnsi="Arial"/>
          <w:sz w:val="20"/>
          <w:szCs w:val="20"/>
          <w:color w:val="auto"/>
        </w:rPr>
      </w:pPr>
    </w:p>
    <w:p>
      <w:pPr>
        <w:jc w:val="both"/>
        <w:ind w:left="4" w:firstLine="1292"/>
        <w:spacing w:after="0" w:line="207" w:lineRule="auto"/>
        <w:tabs>
          <w:tab w:leader="none" w:pos="1939" w:val="left"/>
        </w:tabs>
        <w:numPr>
          <w:ilvl w:val="1"/>
          <w:numId w:val="113"/>
        </w:numPr>
        <w:rPr>
          <w:rFonts w:ascii="Arial" w:cs="Arial" w:eastAsia="Arial" w:hAnsi="Arial"/>
          <w:sz w:val="20"/>
          <w:szCs w:val="20"/>
          <w:color w:val="auto"/>
        </w:rPr>
      </w:pPr>
      <w:r>
        <w:rPr>
          <w:rFonts w:ascii="Arial" w:cs="Arial" w:eastAsia="Arial" w:hAnsi="Arial"/>
          <w:sz w:val="20"/>
          <w:szCs w:val="20"/>
          <w:color w:val="auto"/>
        </w:rPr>
        <w:t>Premiums and deductibles paid by Landlord for insurance, including workers compensation, property coverage, earthquake, general liability, rental loss, elevator, boiler and other insurance customarily carried from time to time by owners of comparable properties. If Landlord self-insures any risk rather than obtaining third party coverage therefor, Landlord shall be entitled to include in Expenses the fees, costs and charges Landlord would have incurred if Landlord had not elected to self-insure any such risk.</w:t>
      </w:r>
    </w:p>
    <w:p>
      <w:pPr>
        <w:spacing w:after="0" w:line="169" w:lineRule="exact"/>
        <w:rPr>
          <w:rFonts w:ascii="Arial" w:cs="Arial" w:eastAsia="Arial" w:hAnsi="Arial"/>
          <w:sz w:val="20"/>
          <w:szCs w:val="20"/>
          <w:color w:val="auto"/>
        </w:rPr>
      </w:pPr>
    </w:p>
    <w:p>
      <w:pPr>
        <w:jc w:val="both"/>
        <w:ind w:left="4" w:firstLine="1292"/>
        <w:spacing w:after="0" w:line="197" w:lineRule="auto"/>
        <w:tabs>
          <w:tab w:leader="none" w:pos="1936" w:val="left"/>
        </w:tabs>
        <w:numPr>
          <w:ilvl w:val="1"/>
          <w:numId w:val="113"/>
        </w:numPr>
        <w:rPr>
          <w:rFonts w:ascii="Arial" w:cs="Arial" w:eastAsia="Arial" w:hAnsi="Arial"/>
          <w:sz w:val="20"/>
          <w:szCs w:val="20"/>
          <w:color w:val="auto"/>
        </w:rPr>
      </w:pPr>
      <w:r>
        <w:rPr>
          <w:rFonts w:ascii="Arial" w:cs="Arial" w:eastAsia="Arial" w:hAnsi="Arial"/>
          <w:sz w:val="20"/>
          <w:szCs w:val="20"/>
          <w:color w:val="auto"/>
        </w:rPr>
        <w:t>Electrical Costs (defined below) and charges for water, hot and/or chilled water, gas, steam, heat (including, without limitation, heating oil), air conditioning and ventilation and sewer and other utilities, but excluding (1) those charges for which Landlord is reimbursed by tenants (other than through a payment of a share of Expenses) and</w:t>
      </w:r>
    </w:p>
    <w:p>
      <w:pPr>
        <w:jc w:val="both"/>
        <w:ind w:left="4" w:hanging="4"/>
        <w:spacing w:after="0" w:line="203" w:lineRule="auto"/>
        <w:tabs>
          <w:tab w:leader="none" w:pos="30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cost of providing a given utility service to individual tenant spaces in the Building if Tenant is billed directly for the cost of providing such utility service to the Premises as a separate charge in addition to Base Rent and Expense Rent. “</w:t>
      </w:r>
      <w:r>
        <w:rPr>
          <w:rFonts w:ascii="Arial" w:cs="Arial" w:eastAsia="Arial" w:hAnsi="Arial"/>
          <w:sz w:val="20"/>
          <w:szCs w:val="20"/>
          <w:b w:val="1"/>
          <w:bCs w:val="1"/>
          <w:color w:val="auto"/>
        </w:rPr>
        <w:t>Electrical Costs</w:t>
      </w:r>
      <w:r>
        <w:rPr>
          <w:rFonts w:ascii="Arial" w:cs="Arial" w:eastAsia="Arial" w:hAnsi="Arial"/>
          <w:sz w:val="20"/>
          <w:szCs w:val="20"/>
          <w:color w:val="auto"/>
        </w:rPr>
        <w:t>” means: (i) charges paid by Landlord for electricity; (ii) costs incurred in connection with an energy management program for the Property; and (iii) if and to the extent permitted by Law, a fee for the services provided by Landlord in connection with the selection of utility companies and the negotiation and administration of contracts for electricity, provided that such fee shall not exceed 50% of any savings obtained by Landlord. For purposes of determining utility charges to be included in Expenses, Landlord may make reasonable estimates of usage to the extent service to any relevant portion of the Building is not separately metered.</w:t>
      </w:r>
    </w:p>
    <w:p>
      <w:pPr>
        <w:spacing w:after="0" w:line="171" w:lineRule="exact"/>
        <w:rPr>
          <w:rFonts w:ascii="Arial" w:cs="Arial" w:eastAsia="Arial" w:hAnsi="Arial"/>
          <w:sz w:val="20"/>
          <w:szCs w:val="20"/>
          <w:color w:val="auto"/>
        </w:rPr>
      </w:pPr>
    </w:p>
    <w:p>
      <w:pPr>
        <w:jc w:val="both"/>
        <w:ind w:left="4" w:firstLine="1292"/>
        <w:spacing w:after="0" w:line="201" w:lineRule="auto"/>
        <w:tabs>
          <w:tab w:leader="none" w:pos="1939"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cost of capital improvements (as distinguished from replacement parts or components installed in the ordinary course of business, which shall be included in Expenses) made to the Property, which are (a) performed primarily to reduce current or future operating expense costs, upgrade security or otherwise improve the operating efficiency of the Property or (b) required to comply with any Laws that are enacted, or first interpreted to apply to the Property after the date of the Lease. The cost of capital improvements shall be amortized by Landlord over the useful life of the applicable item or, in the case of a cost saving capital improvement, over the Payback Period (as defined below), if such period is fewer years. The amortized cost of capital improvements, and the amortized cost of the items amortized pursuant to Section 2.01(iii) above, may, at Landlord’s option, include actual or imputed interest at the rate that Landlord would reasonably be required to pay to finance the cost of the capital improvement or such other items. “</w:t>
      </w:r>
      <w:r>
        <w:rPr>
          <w:rFonts w:ascii="Arial" w:cs="Arial" w:eastAsia="Arial" w:hAnsi="Arial"/>
          <w:sz w:val="20"/>
          <w:szCs w:val="20"/>
          <w:b w:val="1"/>
          <w:bCs w:val="1"/>
          <w:color w:val="auto"/>
        </w:rPr>
        <w:t>Payback Period</w:t>
      </w:r>
      <w:r>
        <w:rPr>
          <w:rFonts w:ascii="Arial" w:cs="Arial" w:eastAsia="Arial" w:hAnsi="Arial"/>
          <w:sz w:val="20"/>
          <w:szCs w:val="20"/>
          <w:color w:val="auto"/>
        </w:rPr>
        <w:t>” means the reasonably estimated period of time that it takes for the cost savings resulting from a capital improvement to equal the total cost of the capital 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36"/>
        <w:spacing w:after="0"/>
        <w:rPr>
          <w:sz w:val="20"/>
          <w:szCs w:val="20"/>
          <w:color w:val="auto"/>
        </w:rPr>
      </w:pPr>
      <w:r>
        <w:rPr>
          <w:rFonts w:ascii="Arial" w:cs="Arial" w:eastAsia="Arial" w:hAnsi="Arial"/>
          <w:sz w:val="14"/>
          <w:szCs w:val="14"/>
          <w:color w:val="auto"/>
        </w:rPr>
        <w:t>EXHIBIT B</w:t>
      </w:r>
    </w:p>
    <w:p>
      <w:pPr>
        <w:jc w:val="center"/>
        <w:ind w:right="636"/>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584"/>
          </w:cols>
          <w:pgMar w:left="976" w:top="1419" w:right="339" w:bottom="1440" w:gutter="0" w:footer="0" w:header="0"/>
        </w:sectPr>
      </w:pPr>
    </w:p>
    <w:bookmarkStart w:id="157" w:name="page158"/>
    <w:bookmarkEnd w:id="157"/>
    <w:p>
      <w:pPr>
        <w:ind w:left="660" w:firstLine="1292"/>
        <w:spacing w:after="0" w:line="234" w:lineRule="auto"/>
        <w:tabs>
          <w:tab w:leader="none" w:pos="259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other expense or charge of any nature whatsoever which, in accordance with general industry practice with respect to the operation of a first class office building, would be construed as an operating expense.</w:t>
      </w:r>
    </w:p>
    <w:p>
      <w:pPr>
        <w:spacing w:after="0" w:line="168" w:lineRule="exact"/>
        <w:rPr>
          <w:sz w:val="20"/>
          <w:szCs w:val="20"/>
          <w:color w:val="auto"/>
        </w:rPr>
      </w:pPr>
    </w:p>
    <w:p>
      <w:pPr>
        <w:jc w:val="both"/>
        <w:ind w:firstLine="324"/>
        <w:spacing w:after="0" w:line="202" w:lineRule="auto"/>
        <w:rPr>
          <w:sz w:val="20"/>
          <w:szCs w:val="20"/>
          <w:color w:val="auto"/>
        </w:rPr>
      </w:pPr>
      <w:r>
        <w:rPr>
          <w:rFonts w:ascii="Arial" w:cs="Arial" w:eastAsia="Arial" w:hAnsi="Arial"/>
          <w:sz w:val="20"/>
          <w:szCs w:val="20"/>
          <w:color w:val="auto"/>
        </w:rPr>
        <w:t>Notwithstanding anything to the contrary contained herein, if any Expenses are incurred with respect to an item or service or portion of the Beneficial Common Areas (defined in Section 2.05 below) that serves or benefits another building or property in addition to the Building or Property, in order to determine the amount of the Expenses for the applicable period allocable or attributable to the Building and Property, Landlord shall make a reasonable allocation of any such Expenses between the Building or Property and such other buildings or properties, which need not be based on relative size and use, provided that if any such Expenses are paid pursuant to a reciprocal easement agreement, common area agreement or similar agreement, any allocation shall be made in accordance with such agreement to the extent such allocation is addressed by such agreement. Nothing contained in this Section 2.01 shall expand Landlord’s obligations under this Lease (including, without limitation, Landlord’s obligations to provide services).</w:t>
      </w:r>
    </w:p>
    <w:p>
      <w:pPr>
        <w:spacing w:after="0" w:line="202" w:lineRule="exact"/>
        <w:rPr>
          <w:sz w:val="20"/>
          <w:szCs w:val="20"/>
          <w:color w:val="auto"/>
        </w:rPr>
      </w:pPr>
    </w:p>
    <w:p>
      <w:pPr>
        <w:jc w:val="both"/>
        <w:ind w:firstLine="324"/>
        <w:spacing w:after="0" w:line="201" w:lineRule="auto"/>
        <w:rPr>
          <w:sz w:val="20"/>
          <w:szCs w:val="20"/>
          <w:color w:val="auto"/>
        </w:rPr>
      </w:pPr>
      <w:r>
        <w:rPr>
          <w:rFonts w:ascii="Arial" w:cs="Arial" w:eastAsia="Arial" w:hAnsi="Arial"/>
          <w:sz w:val="20"/>
          <w:szCs w:val="20"/>
          <w:color w:val="auto"/>
        </w:rPr>
        <w:t>2.02. Expenses shall not include: (a) the cost of capital improvements (except as set forth above); (b) depreciation; (c) principal payments of mortgage and other non-operating debts of Landlord; (d) the cost of repairs or other work to the extent Landlord is reimbursed by insurance or condemnation proceeds; (e) costs in connection with leasing space in the Building; (f) lease concessions, rental abatements and construction allowances granted to specific tenants; (g) costs incurred in connection with the sale, financing or refinancing of the Building; (h) fines, interest and penalties incurred due to the late payment of Taxes or Expenses by Landlord; (i) organizational expenses associated with the creation and operation of the entity which constitutes Landlord; (j) any penalties or damages that Landlord pays to Tenant under the Lease or to other tenants in the Building under their respective leases (k) real estate brokers’ leasing commissions; (l) costs of other services or work performed for the singular benefit of another tenant or occupant (other than for Common Areas of the Building) and either not available to Tenant or provided to Tenant only for an additional fee (in addition to its payment of a share of Expenses under this Exhibit); (m) Taxes and any inheritance, estate, succession, transfer, gift, franchise, corporation, income, gains or profit tax or capital levy and other taxes excluded from the definition of Taxes; (n) rental under any ground lease; (o) reserves of any kind; and (p) political contributions or contributions to charities.</w:t>
      </w:r>
    </w:p>
    <w:p>
      <w:pPr>
        <w:spacing w:after="0" w:line="196"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20"/>
          <w:szCs w:val="20"/>
          <w:color w:val="auto"/>
        </w:rPr>
        <w:t>2.03. If at any time during a calendar year the Building is less than 95% occupied or Landlord is not supplying services to at least 95% of the total Rentable Square Footage of the Building, Expenses shall, at Landlord’s option, be determined as if the Building had been 95% occupied and Landlord had been supplying services to 95% of the Rentable Square Footage of the Building during that calendar year.</w:t>
      </w:r>
    </w:p>
    <w:p>
      <w:pPr>
        <w:spacing w:after="0" w:line="174" w:lineRule="exact"/>
        <w:rPr>
          <w:sz w:val="20"/>
          <w:szCs w:val="20"/>
          <w:color w:val="auto"/>
        </w:rPr>
      </w:pPr>
    </w:p>
    <w:p>
      <w:pPr>
        <w:jc w:val="both"/>
        <w:ind w:firstLine="324"/>
        <w:spacing w:after="0" w:line="203" w:lineRule="auto"/>
        <w:rPr>
          <w:sz w:val="20"/>
          <w:szCs w:val="20"/>
          <w:color w:val="auto"/>
        </w:rPr>
      </w:pPr>
      <w:r>
        <w:rPr>
          <w:rFonts w:ascii="Arial" w:cs="Arial" w:eastAsia="Arial" w:hAnsi="Arial"/>
          <w:sz w:val="20"/>
          <w:szCs w:val="20"/>
          <w:color w:val="auto"/>
        </w:rPr>
        <w:t>2.04. “</w:t>
      </w:r>
      <w:r>
        <w:rPr>
          <w:rFonts w:ascii="Arial" w:cs="Arial" w:eastAsia="Arial" w:hAnsi="Arial"/>
          <w:sz w:val="20"/>
          <w:szCs w:val="20"/>
          <w:b w:val="1"/>
          <w:bCs w:val="1"/>
          <w:color w:val="auto"/>
        </w:rPr>
        <w:t>Taxes</w:t>
      </w:r>
      <w:r>
        <w:rPr>
          <w:rFonts w:ascii="Arial" w:cs="Arial" w:eastAsia="Arial" w:hAnsi="Arial"/>
          <w:sz w:val="20"/>
          <w:szCs w:val="20"/>
          <w:color w:val="auto"/>
        </w:rPr>
        <w:t>” shall mean: (a) all real property taxes and other assessments on or allocable or attributable to the Building and/or Property, including, but not limited to, gross receipts taxes, assessments for special improvement districts and building improvement districts, governmental charges and fees and assessments for police, fire, traffic mitigation or other governmental service of purported benefit to the Property; (b) all personal property taxes for property that is owned by Landlord and used in connection with the operation, maintenance and repair of the Property;(c) all impositions (whether or not such impositions constitute tax receipts to governmental agencies) in substitution, partially or totally, of any impositions now or previously included within the definition of Taxes, including, without limitation, those imposed or required by governmental agencies to increase tax increments to governmental agencies and (d) all costs and fees incurred in connection with seeking reductions in any tax liabilities described in (a), (b) and (c) above, including, without limitation, any costs incurred by Landlord for compliance, review and appeal of tax liabilities. Taxes shall not include any income, capital levy, transfer, capital stock, gift, estate or inheritance tax or any taxes for which any tenant of the Property is directly responsible to taxing authorities or any fines, interest and penalties incurred due to the late payment of Taxes. If a reduction in Taxes is obtained for any year of the Term with respect to which Tenant paid Tax Rent, then Taxes for that year will be retroactively adjusted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w:t>
      </w: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9" w:right="339" w:bottom="1440" w:gutter="0" w:footer="0" w:header="0"/>
        </w:sectPr>
      </w:pPr>
    </w:p>
    <w:bookmarkStart w:id="158" w:name="page159"/>
    <w:bookmarkEnd w:id="158"/>
    <w:p>
      <w:pPr>
        <w:jc w:val="both"/>
        <w:spacing w:after="0" w:line="213" w:lineRule="auto"/>
        <w:rPr>
          <w:sz w:val="20"/>
          <w:szCs w:val="20"/>
          <w:color w:val="auto"/>
        </w:rPr>
      </w:pPr>
      <w:r>
        <w:rPr>
          <w:rFonts w:ascii="Arial" w:cs="Arial" w:eastAsia="Arial" w:hAnsi="Arial"/>
          <w:sz w:val="20"/>
          <w:szCs w:val="20"/>
          <w:color w:val="auto"/>
        </w:rPr>
        <w:t>Landlord shall provide Tenant with a credit, if any, based on the adjustment, provided that if a reduction in Taxes pertains to a particular tenant (such as, for example, if a particular tenant is tax exempt), Tenant shall not be entitled to any portion of such reduction and for purposes of determining Tenant’s Pro Rata Share of Taxes, such reduction shall be disregarded.</w:t>
      </w:r>
    </w:p>
    <w:p>
      <w:pPr>
        <w:spacing w:after="0" w:line="198" w:lineRule="exact"/>
        <w:rPr>
          <w:sz w:val="20"/>
          <w:szCs w:val="20"/>
          <w:color w:val="auto"/>
        </w:rPr>
      </w:pPr>
    </w:p>
    <w:p>
      <w:pPr>
        <w:jc w:val="both"/>
        <w:ind w:firstLine="324"/>
        <w:spacing w:after="0" w:line="201" w:lineRule="auto"/>
        <w:rPr>
          <w:sz w:val="20"/>
          <w:szCs w:val="20"/>
          <w:color w:val="auto"/>
        </w:rPr>
      </w:pPr>
      <w:r>
        <w:rPr>
          <w:rFonts w:ascii="Arial" w:cs="Arial" w:eastAsia="Arial" w:hAnsi="Arial"/>
          <w:sz w:val="20"/>
          <w:szCs w:val="20"/>
          <w:color w:val="auto"/>
        </w:rPr>
        <w:t>If Landlord is permitted to pay a Tax assessment in installments, and Landlord elects to do so, Taxes for the year shall include the amount of the installment and any interest due and payable during that year. For all other taxes, Taxes for a given year shall, at Landlord’s election, include either the amount accrued, assessed or otherwise imposed for the applicable year or the amount due and payable for such year, provided that Landlord’s election shall be applied consistently throughout the Term. Notwithstanding anything to the contrary contained herein, if the Property or any portion thereof is not separately assessed or if any portion of the Beneficial Common Areas serves or benefits another building or property in addition to the Building or Property, in order to determine the amount of the Taxes allocable or attributable to the Property for the applicable period, Landlord shall make a reasonable allocation of the Taxes for the tax parcels containing the applicable portion of the Property or such Beneficial Common Area (as applicable) between the Property and the other building[s] or property[ies] involved, which allocation may, at Landlord’s option, take into account (among other things), the differential tax rates applicable to the different uses in the Property or such other buildings or properties, provided that if any such Tax is paid pursuant to a reciprocal easement agreement, common area agreement or similar agreement, any allocation shall be made in accordance with such agreement to the extent such allocation is addressed by such agreement.</w:t>
      </w:r>
    </w:p>
    <w:p>
      <w:pPr>
        <w:spacing w:after="0" w:line="196"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20"/>
          <w:szCs w:val="20"/>
          <w:color w:val="auto"/>
        </w:rPr>
        <w:t>2.05. Notwithstanding anything to the contrary contained herein, for purposes only of calculating Expenses and Taxes for purposes of the Lease, the Common Areas may include, at Landlord’s election, areas which are not part of the Property, but which serve or otherwise benefit the Property, and are maintained in whole or in part by Landlord or an affiliate of Landlord (or by another party to whom Landlord is obligated to pay all or any portion of the cost thereof) (“</w:t>
      </w:r>
      <w:r>
        <w:rPr>
          <w:rFonts w:ascii="Arial" w:cs="Arial" w:eastAsia="Arial" w:hAnsi="Arial"/>
          <w:sz w:val="20"/>
          <w:szCs w:val="20"/>
          <w:b w:val="1"/>
          <w:bCs w:val="1"/>
          <w:color w:val="auto"/>
        </w:rPr>
        <w:t>Beneficial Common Areas</w:t>
      </w:r>
      <w:r>
        <w:rPr>
          <w:rFonts w:ascii="Arial" w:cs="Arial" w:eastAsia="Arial" w:hAnsi="Arial"/>
          <w:sz w:val="20"/>
          <w:szCs w:val="20"/>
          <w:color w:val="auto"/>
        </w:rPr>
        <w:t>”).</w:t>
      </w:r>
    </w:p>
    <w:p>
      <w:pPr>
        <w:spacing w:after="0" w:line="198" w:lineRule="exact"/>
        <w:rPr>
          <w:sz w:val="20"/>
          <w:szCs w:val="20"/>
          <w:color w:val="auto"/>
        </w:rPr>
      </w:pPr>
    </w:p>
    <w:p>
      <w:pPr>
        <w:jc w:val="both"/>
        <w:ind w:firstLine="324"/>
        <w:spacing w:after="0" w:line="202" w:lineRule="auto"/>
        <w:rPr>
          <w:sz w:val="20"/>
          <w:szCs w:val="20"/>
          <w:color w:val="auto"/>
        </w:rPr>
      </w:pPr>
      <w:r>
        <w:rPr>
          <w:rFonts w:ascii="Arial" w:cs="Arial" w:eastAsia="Arial" w:hAnsi="Arial"/>
          <w:sz w:val="20"/>
          <w:szCs w:val="20"/>
          <w:color w:val="auto"/>
        </w:rPr>
        <w:t>2.06. Notwithstanding the foregoing, for purposes of computing Tenant's Pro Rata Share of Expenses, commencing with the calendar year following the first full calendar year of the Term, Controllable Expenses (hereinafter defined) shall not increase by more than five percent (5%) each calendar year, on a cumulative, compounded basis, over the course of the Term. "</w:t>
      </w:r>
      <w:r>
        <w:rPr>
          <w:rFonts w:ascii="Arial" w:cs="Arial" w:eastAsia="Arial" w:hAnsi="Arial"/>
          <w:sz w:val="20"/>
          <w:szCs w:val="20"/>
          <w:b w:val="1"/>
          <w:bCs w:val="1"/>
          <w:color w:val="auto"/>
        </w:rPr>
        <w:t>Controllable Expenses</w:t>
      </w:r>
      <w:r>
        <w:rPr>
          <w:rFonts w:ascii="Arial" w:cs="Arial" w:eastAsia="Arial" w:hAnsi="Arial"/>
          <w:sz w:val="20"/>
          <w:szCs w:val="20"/>
          <w:color w:val="auto"/>
        </w:rPr>
        <w:t>" shall mean all Expenses exclusive of (i) the cost of insurance, taxes, utilities, snow removal, (ii) the annual amortized capital costs incurred by Landlord to comply with laws that were not applicable to the Building as of the Commencement Date or incurred by Landlord primarily for the purpose of reducing operating expenses or otherwise improving the operating efficiency of the Property or Building, (iii) costs incurred by Landlord in connection with increased levels or additional types of services at the Property or Building, and (iv) any other costs incurred by Landlord for reasons outside Landlord's reasonable control (e.g., costs incurred as a result of increases in union wages or non-capital costs incurred in complying with governmental laws and regulations).</w:t>
      </w:r>
    </w:p>
    <w:p>
      <w:pPr>
        <w:spacing w:after="0" w:line="173" w:lineRule="exact"/>
        <w:rPr>
          <w:sz w:val="20"/>
          <w:szCs w:val="20"/>
          <w:color w:val="auto"/>
        </w:rPr>
      </w:pPr>
    </w:p>
    <w:p>
      <w:pPr>
        <w:ind w:left="220" w:hanging="212"/>
        <w:spacing w:after="0"/>
        <w:tabs>
          <w:tab w:leader="none" w:pos="220" w:val="left"/>
        </w:tabs>
        <w:numPr>
          <w:ilvl w:val="0"/>
          <w:numId w:val="116"/>
        </w:numPr>
        <w:rPr>
          <w:rFonts w:ascii="Arial" w:cs="Arial" w:eastAsia="Arial" w:hAnsi="Arial"/>
          <w:sz w:val="20"/>
          <w:szCs w:val="20"/>
          <w:color w:val="auto"/>
        </w:rPr>
      </w:pPr>
      <w:r>
        <w:rPr>
          <w:rFonts w:ascii="Arial" w:cs="Arial" w:eastAsia="Arial" w:hAnsi="Arial"/>
          <w:sz w:val="20"/>
          <w:szCs w:val="20"/>
          <w:b w:val="1"/>
          <w:bCs w:val="1"/>
          <w:color w:val="auto"/>
        </w:rPr>
        <w:t>Audit Rights</w:t>
      </w:r>
      <w:r>
        <w:rPr>
          <w:rFonts w:ascii="Arial" w:cs="Arial" w:eastAsia="Arial" w:hAnsi="Arial"/>
          <w:sz w:val="20"/>
          <w:szCs w:val="20"/>
          <w:color w:val="auto"/>
        </w:rPr>
        <w:t>.</w:t>
      </w:r>
    </w:p>
    <w:p>
      <w:pPr>
        <w:spacing w:after="0" w:line="202" w:lineRule="exact"/>
        <w:rPr>
          <w:sz w:val="20"/>
          <w:szCs w:val="20"/>
          <w:color w:val="auto"/>
        </w:rPr>
      </w:pPr>
    </w:p>
    <w:p>
      <w:pPr>
        <w:jc w:val="both"/>
        <w:ind w:firstLine="324"/>
        <w:spacing w:after="0" w:line="204" w:lineRule="auto"/>
        <w:rPr>
          <w:sz w:val="20"/>
          <w:szCs w:val="20"/>
          <w:color w:val="auto"/>
        </w:rPr>
      </w:pPr>
      <w:r>
        <w:rPr>
          <w:rFonts w:ascii="Arial" w:cs="Arial" w:eastAsia="Arial" w:hAnsi="Arial"/>
          <w:sz w:val="20"/>
          <w:szCs w:val="20"/>
          <w:color w:val="auto"/>
        </w:rPr>
        <w:t>3.01. Within 60 days after receiving Landlord’s Statement of Expenses (each such period is referred to as the “</w:t>
      </w:r>
      <w:r>
        <w:rPr>
          <w:rFonts w:ascii="Arial" w:cs="Arial" w:eastAsia="Arial" w:hAnsi="Arial"/>
          <w:sz w:val="20"/>
          <w:szCs w:val="20"/>
          <w:b w:val="1"/>
          <w:bCs w:val="1"/>
          <w:color w:val="auto"/>
        </w:rPr>
        <w:t>Review</w:t>
      </w:r>
      <w:r>
        <w:rPr>
          <w:rFonts w:ascii="Arial" w:cs="Arial" w:eastAsia="Arial" w:hAnsi="Arial"/>
          <w:sz w:val="20"/>
          <w:szCs w:val="20"/>
          <w:color w:val="auto"/>
        </w:rPr>
        <w:t xml:space="preserve"> </w:t>
      </w:r>
      <w:r>
        <w:rPr>
          <w:rFonts w:ascii="Arial" w:cs="Arial" w:eastAsia="Arial" w:hAnsi="Arial"/>
          <w:sz w:val="20"/>
          <w:szCs w:val="20"/>
          <w:b w:val="1"/>
          <w:bCs w:val="1"/>
          <w:color w:val="auto"/>
        </w:rPr>
        <w:t>Notice Period</w:t>
      </w:r>
      <w:r>
        <w:rPr>
          <w:rFonts w:ascii="Arial" w:cs="Arial" w:eastAsia="Arial" w:hAnsi="Arial"/>
          <w:sz w:val="20"/>
          <w:szCs w:val="20"/>
          <w:color w:val="auto"/>
        </w:rPr>
        <w:t>”), Tenant may give Landlord written notice (“</w:t>
      </w:r>
      <w:r>
        <w:rPr>
          <w:rFonts w:ascii="Arial" w:cs="Arial" w:eastAsia="Arial" w:hAnsi="Arial"/>
          <w:sz w:val="20"/>
          <w:szCs w:val="20"/>
          <w:b w:val="1"/>
          <w:bCs w:val="1"/>
          <w:color w:val="auto"/>
        </w:rPr>
        <w:t>Review Notice</w:t>
      </w:r>
      <w:r>
        <w:rPr>
          <w:rFonts w:ascii="Arial" w:cs="Arial" w:eastAsia="Arial" w:hAnsi="Arial"/>
          <w:sz w:val="20"/>
          <w:szCs w:val="20"/>
          <w:color w:val="auto"/>
        </w:rPr>
        <w:t>”) that Tenant intends to review Landlord’s records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Expenses for the calendar year to which the statement applies, and within 60 days after sending the Review Notice to Landlord (such period is referred to as the “</w:t>
      </w:r>
      <w:r>
        <w:rPr>
          <w:rFonts w:ascii="Arial" w:cs="Arial" w:eastAsia="Arial" w:hAnsi="Arial"/>
          <w:sz w:val="20"/>
          <w:szCs w:val="20"/>
          <w:b w:val="1"/>
          <w:bCs w:val="1"/>
          <w:color w:val="auto"/>
        </w:rPr>
        <w:t>Request for Information Period</w:t>
      </w:r>
      <w:r>
        <w:rPr>
          <w:rFonts w:ascii="Arial" w:cs="Arial" w:eastAsia="Arial" w:hAnsi="Arial"/>
          <w:sz w:val="20"/>
          <w:szCs w:val="20"/>
          <w:color w:val="auto"/>
        </w:rPr>
        <w:t>”), Tenant shall send Landlord a written request identifying, with a reasonable degree of specificity, the information that Tenant desires to review (the “</w:t>
      </w:r>
      <w:r>
        <w:rPr>
          <w:rFonts w:ascii="Arial" w:cs="Arial" w:eastAsia="Arial" w:hAnsi="Arial"/>
          <w:sz w:val="20"/>
          <w:szCs w:val="20"/>
          <w:b w:val="1"/>
          <w:bCs w:val="1"/>
          <w:color w:val="auto"/>
        </w:rPr>
        <w:t>Request for</w:t>
      </w:r>
      <w:r>
        <w:rPr>
          <w:rFonts w:ascii="Arial" w:cs="Arial" w:eastAsia="Arial" w:hAnsi="Arial"/>
          <w:sz w:val="20"/>
          <w:szCs w:val="20"/>
          <w:color w:val="auto"/>
        </w:rPr>
        <w:t xml:space="preserve"> </w:t>
      </w:r>
      <w:r>
        <w:rPr>
          <w:rFonts w:ascii="Arial" w:cs="Arial" w:eastAsia="Arial" w:hAnsi="Arial"/>
          <w:sz w:val="20"/>
          <w:szCs w:val="20"/>
          <w:b w:val="1"/>
          <w:bCs w:val="1"/>
          <w:color w:val="auto"/>
        </w:rPr>
        <w:t>Information</w:t>
      </w:r>
      <w:r>
        <w:rPr>
          <w:rFonts w:ascii="Arial" w:cs="Arial" w:eastAsia="Arial" w:hAnsi="Arial"/>
          <w:sz w:val="20"/>
          <w:szCs w:val="20"/>
          <w:color w:val="auto"/>
        </w:rPr>
        <w:t>”). Within a reasonable time after Landlord’s receipt of a timely Request for Information and executed Audit</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Confidentiality Agreement (referenced below), Landlord, as determined by Landlord, shall forward to Tenant, or make all pertinent records available for inspection on site at such location deemed reasonably appropriate by Landlord, such records (or copies thereof) for the applicable calendar year that are reasonably necessary for Tenant to conduct its review of the information 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w:t>
      </w: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19" w:right="339" w:bottom="1440" w:gutter="0" w:footer="0" w:header="0"/>
        </w:sectPr>
      </w:pPr>
    </w:p>
    <w:bookmarkStart w:id="159" w:name="page160"/>
    <w:bookmarkEnd w:id="159"/>
    <w:p>
      <w:pPr>
        <w:jc w:val="both"/>
        <w:spacing w:after="0" w:line="210" w:lineRule="auto"/>
        <w:rPr>
          <w:sz w:val="20"/>
          <w:szCs w:val="20"/>
          <w:color w:val="auto"/>
        </w:rPr>
      </w:pPr>
      <w:r>
        <w:rPr>
          <w:rFonts w:ascii="Arial" w:cs="Arial" w:eastAsia="Arial" w:hAnsi="Arial"/>
          <w:sz w:val="19"/>
          <w:szCs w:val="19"/>
          <w:color w:val="auto"/>
        </w:rPr>
        <w:t>identified in the Request for Information. Within 60 days after any particular records are made available to Tenant (such period is referred to as the “</w:t>
      </w:r>
      <w:r>
        <w:rPr>
          <w:rFonts w:ascii="Arial" w:cs="Arial" w:eastAsia="Arial" w:hAnsi="Arial"/>
          <w:sz w:val="19"/>
          <w:szCs w:val="19"/>
          <w:b w:val="1"/>
          <w:bCs w:val="1"/>
          <w:color w:val="auto"/>
        </w:rPr>
        <w:t>Objection Period</w:t>
      </w:r>
      <w:r>
        <w:rPr>
          <w:rFonts w:ascii="Arial" w:cs="Arial" w:eastAsia="Arial" w:hAnsi="Arial"/>
          <w:sz w:val="19"/>
          <w:szCs w:val="19"/>
          <w:color w:val="auto"/>
        </w:rPr>
        <w:t>”), Tenant shall have the right to give Landlord written notice (an “</w:t>
      </w:r>
      <w:r>
        <w:rPr>
          <w:rFonts w:ascii="Arial" w:cs="Arial" w:eastAsia="Arial" w:hAnsi="Arial"/>
          <w:sz w:val="19"/>
          <w:szCs w:val="19"/>
          <w:b w:val="1"/>
          <w:bCs w:val="1"/>
          <w:color w:val="auto"/>
        </w:rPr>
        <w:t>Objection Notice</w:t>
      </w:r>
      <w:r>
        <w:rPr>
          <w:rFonts w:ascii="Arial" w:cs="Arial" w:eastAsia="Arial" w:hAnsi="Arial"/>
          <w:sz w:val="19"/>
          <w:szCs w:val="19"/>
          <w:color w:val="auto"/>
        </w:rPr>
        <w:t>”) stating in reasonable detail any objection to Landlord’s Statement of Expenses for that year which relates to the records that have been made available to Tenant. If Tenant provides Landlord with a timely Objection Notice, Landlord and Tenant shall work together in good faith to resolve any issues raised in Tenant’s Objection Notice. If Landlord and Tenant determine that Expenses for the calendar year are less than reported, Landlord shall provide Tenant with a credit against the next installment of Rent in the amount of the overpayment by Tenant. Likewise, if Landlord and Tenant determine that Expenses for the calendar year are greater than reported, Tenant shall pay Landlord the amount of any underpayment within 30 days. If Tenant fails to give Landlord an Objection Notice with respect to any records that have been made available to Tenant prior to expiration of the Objection Period applicable to the records which have been provided to Tenant, Tenant shall be deemed to have approved Landlord’s Statement of Expenses with respect to the matters reflected in such records and shall be barred from raising any claims regarding the Expenses relating to such records for that year. If Tenant fails to provide Landlord with a Review Notice prior to expiration of the Review Notice Period or fails to provide Landlord with a Request for Information prior to expiration of the Request for Information Period described above, Tenant shall be deemed to have approved Landlord’s Statement of Expenses and shall be barred from raising any claims regarding the Expenses for that year. If Tenant provides Landlord with a timely Review Notice and Request for Information and Objection Notice, Tenant shall be barred from raising any issues with respect to the applicable statement of Expenses or the Expenses for the applicable year that are not covered by such Objection Notice.</w:t>
      </w:r>
    </w:p>
    <w:p>
      <w:pPr>
        <w:spacing w:after="0" w:line="206" w:lineRule="exact"/>
        <w:rPr>
          <w:sz w:val="20"/>
          <w:szCs w:val="20"/>
          <w:color w:val="auto"/>
        </w:rPr>
      </w:pPr>
    </w:p>
    <w:p>
      <w:pPr>
        <w:jc w:val="both"/>
        <w:spacing w:after="0" w:line="200" w:lineRule="auto"/>
        <w:rPr>
          <w:sz w:val="20"/>
          <w:szCs w:val="20"/>
          <w:color w:val="auto"/>
        </w:rPr>
      </w:pPr>
      <w:r>
        <w:rPr>
          <w:rFonts w:ascii="Arial" w:cs="Arial" w:eastAsia="Arial" w:hAnsi="Arial"/>
          <w:sz w:val="20"/>
          <w:szCs w:val="20"/>
          <w:color w:val="auto"/>
        </w:rPr>
        <w:t>If Tenant retains an agent to review Landlord’s records, the agent must be with a CPA firm licensed to do business in the state or commonwealth where the Property is located, and the fees charged cannot be based in whole or in part on a contingency basis. Tenant shall be solely responsible for all costs, expenses and fees incurred for the audit; provided, if it is ultimately determined that the amount paid by Tenant as Tenant's Pro Rata Share of Expenses and Tenant's Pro Rata Share of Taxes, in the aggregate, exceeds the actual Tenant's Pro Rata Share of Expenses and Tenant's Pro Rata Share of Taxes, in the aggregate (an "</w:t>
      </w:r>
      <w:r>
        <w:rPr>
          <w:rFonts w:ascii="Arial" w:cs="Arial" w:eastAsia="Arial" w:hAnsi="Arial"/>
          <w:sz w:val="20"/>
          <w:szCs w:val="20"/>
          <w:b w:val="1"/>
          <w:bCs w:val="1"/>
          <w:color w:val="auto"/>
        </w:rPr>
        <w:t>Overpayment</w:t>
      </w:r>
      <w:r>
        <w:rPr>
          <w:rFonts w:ascii="Arial" w:cs="Arial" w:eastAsia="Arial" w:hAnsi="Arial"/>
          <w:sz w:val="20"/>
          <w:szCs w:val="20"/>
          <w:color w:val="auto"/>
        </w:rPr>
        <w:t>"), by more than five percent (5%), then Landlord shall pay the reasonable, actual out of pocket costs incurred by Tenant in connection with such audit not to exceed the lesser of (a) $3,000.00, and (b) the amount of the Overpayment. The records and related information obtained by Tenant shall be treated as confidential, and applicable only to the Building, by Tenant and its auditors, consultants and other parties reviewing such records on behalf of Tenant (collectively, “</w:t>
      </w:r>
      <w:r>
        <w:rPr>
          <w:rFonts w:ascii="Arial" w:cs="Arial" w:eastAsia="Arial" w:hAnsi="Arial"/>
          <w:sz w:val="20"/>
          <w:szCs w:val="20"/>
          <w:b w:val="1"/>
          <w:bCs w:val="1"/>
          <w:color w:val="auto"/>
        </w:rPr>
        <w:t>Tenant’s Auditors</w:t>
      </w:r>
      <w:r>
        <w:rPr>
          <w:rFonts w:ascii="Arial" w:cs="Arial" w:eastAsia="Arial" w:hAnsi="Arial"/>
          <w:sz w:val="20"/>
          <w:szCs w:val="20"/>
          <w:color w:val="auto"/>
        </w:rPr>
        <w:t>”), and, prior to making any records available to Tenant or Tenant’s Auditors, Landlord may require Tenant and Tenant’s Auditors to each execute a reasonable confidentiality agreement (“</w:t>
      </w:r>
      <w:r>
        <w:rPr>
          <w:rFonts w:ascii="Arial" w:cs="Arial" w:eastAsia="Arial" w:hAnsi="Arial"/>
          <w:sz w:val="20"/>
          <w:szCs w:val="20"/>
          <w:b w:val="1"/>
          <w:bCs w:val="1"/>
          <w:color w:val="auto"/>
        </w:rPr>
        <w:t>Audit Confidentiality Agreement</w:t>
      </w:r>
      <w:r>
        <w:rPr>
          <w:rFonts w:ascii="Arial" w:cs="Arial" w:eastAsia="Arial" w:hAnsi="Arial"/>
          <w:sz w:val="20"/>
          <w:szCs w:val="20"/>
          <w:color w:val="auto"/>
        </w:rPr>
        <w:t>”) in accordance with the foregoing. In no event shall Tenant be permitted to examine Landlord’s records or to dispute any statement of Expenses unless Tenant has paid and continues to pay all Rent when due (including any disputed amounts). In no event will Tenant be permitted to conduct an audit during any period when Tenant is in Monetary Default.</w:t>
      </w:r>
    </w:p>
    <w:p>
      <w:pPr>
        <w:spacing w:after="0" w:line="206" w:lineRule="exact"/>
        <w:rPr>
          <w:sz w:val="20"/>
          <w:szCs w:val="20"/>
          <w:color w:val="auto"/>
        </w:rPr>
      </w:pPr>
    </w:p>
    <w:p>
      <w:pPr>
        <w:jc w:val="both"/>
        <w:ind w:firstLine="324"/>
        <w:spacing w:after="0" w:line="202" w:lineRule="auto"/>
        <w:rPr>
          <w:sz w:val="20"/>
          <w:szCs w:val="20"/>
          <w:color w:val="auto"/>
        </w:rPr>
      </w:pPr>
      <w:r>
        <w:rPr>
          <w:rFonts w:ascii="Arial" w:cs="Arial" w:eastAsia="Arial" w:hAnsi="Arial"/>
          <w:sz w:val="20"/>
          <w:szCs w:val="20"/>
          <w:color w:val="auto"/>
        </w:rPr>
        <w:t>3.02. Notwithstanding anything to the contrary contained in this Lease, Tenant’s failure to object to any statement, invoice or billing rendered by Landlord (other than Landlord’s Statement of Expenses, which shall be governed by the provisions of Section 3.01 above) within a period of 120 days after receipt of the same shall constitute Tenant’s unconditional acquiescence with respect thereto and Tenant shall be deemed to have waived its right, if any, to challenge or object to such statement. Any objection by Tenant must (a) be in writing (the “</w:t>
      </w:r>
      <w:r>
        <w:rPr>
          <w:rFonts w:ascii="Arial" w:cs="Arial" w:eastAsia="Arial" w:hAnsi="Arial"/>
          <w:sz w:val="20"/>
          <w:szCs w:val="20"/>
          <w:b w:val="1"/>
          <w:bCs w:val="1"/>
          <w:color w:val="auto"/>
        </w:rPr>
        <w:t>Billing Objection Notice</w:t>
      </w:r>
      <w:r>
        <w:rPr>
          <w:rFonts w:ascii="Arial" w:cs="Arial" w:eastAsia="Arial" w:hAnsi="Arial"/>
          <w:sz w:val="20"/>
          <w:szCs w:val="20"/>
          <w:color w:val="auto"/>
        </w:rPr>
        <w:t>”), (b) be delivered to Landlord within the aforementioned 120 day period and (c) reference the statement, invoice or billing in dispute, include the amount that is in dispute and the specific reason for such objection. If Tenant’s Billing Objection Notice fails to meet the aforementioned requirements, such failure will render Tenant’s objection null and void. Landlord and Tenant intend that the foregoing provision sets forth Tenant’s sole right to object to any statement, invoice or billing rendered by Landlord and shall supersede any right of Tenant to audit or request back up documentation from Landlord which may otherwise be provided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w:t>
      </w: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19" w:right="339" w:bottom="1440" w:gutter="0" w:footer="0" w:header="0"/>
        </w:sectPr>
      </w:pPr>
    </w:p>
    <w:bookmarkStart w:id="160" w:name="page161"/>
    <w:bookmarkEnd w:id="160"/>
    <w:p>
      <w:pPr>
        <w:jc w:val="both"/>
        <w:spacing w:after="0" w:line="197" w:lineRule="auto"/>
        <w:rPr>
          <w:sz w:val="20"/>
          <w:szCs w:val="20"/>
          <w:color w:val="auto"/>
        </w:rPr>
      </w:pPr>
      <w:r>
        <w:rPr>
          <w:rFonts w:ascii="Arial" w:cs="Arial" w:eastAsia="Arial" w:hAnsi="Arial"/>
          <w:sz w:val="20"/>
          <w:szCs w:val="20"/>
          <w:color w:val="auto"/>
        </w:rPr>
        <w:t>in equity or by this Lease (other than Landlord’s Statement of Expenses, which shall be governed by the provisions of Section 3.01 above). If Tenant provides Landlord with a Billing Objection Notice that meets the requirements set forth in this Section</w:t>
      </w:r>
    </w:p>
    <w:p>
      <w:pPr>
        <w:jc w:val="both"/>
        <w:spacing w:after="0" w:line="205" w:lineRule="auto"/>
        <w:rPr>
          <w:sz w:val="20"/>
          <w:szCs w:val="20"/>
          <w:color w:val="auto"/>
        </w:rPr>
      </w:pPr>
      <w:r>
        <w:rPr>
          <w:rFonts w:ascii="Arial" w:cs="Arial" w:eastAsia="Arial" w:hAnsi="Arial"/>
          <w:sz w:val="20"/>
          <w:szCs w:val="20"/>
          <w:color w:val="auto"/>
        </w:rPr>
        <w:t xml:space="preserve">3.02, Tenant shall be barred from raising any issues with respect to the applicable statement, invoice or billing referenced in Tenant’s Billing Objection Notice that are not raised by Tenant in such Billing Objection Notice. Landlord and Tenant shall work together in good faith to resolve any issues raised in Tenant’s Billing Objection Notice. If upon resolution of the issues raised by Tenant’s Billing Objection Notice it is determined that there have been any overpayments or underpayments by Tenant, such overpayments and underpayments shall be handled in the same manner as overpayments or underpayments of Expenses are handled under Section 3.01 of this </w:t>
      </w:r>
      <w:r>
        <w:rPr>
          <w:rFonts w:ascii="Arial" w:cs="Arial" w:eastAsia="Arial" w:hAnsi="Arial"/>
          <w:sz w:val="20"/>
          <w:szCs w:val="20"/>
          <w:b w:val="1"/>
          <w:bCs w:val="1"/>
          <w:color w:val="auto"/>
        </w:rPr>
        <w:t>Exhibit B</w:t>
      </w:r>
      <w:r>
        <w:rPr>
          <w:rFonts w:ascii="Arial" w:cs="Arial" w:eastAsia="Arial" w:hAnsi="Arial"/>
          <w:sz w:val="20"/>
          <w:szCs w:val="20"/>
          <w:color w:val="auto"/>
        </w:rPr>
        <w:t>.</w:t>
      </w:r>
    </w:p>
    <w:p>
      <w:pPr>
        <w:spacing w:after="0" w:line="174" w:lineRule="exact"/>
        <w:rPr>
          <w:sz w:val="20"/>
          <w:szCs w:val="20"/>
          <w:color w:val="auto"/>
        </w:rPr>
      </w:pPr>
    </w:p>
    <w:p>
      <w:pPr>
        <w:ind w:left="400" w:hanging="392"/>
        <w:spacing w:after="0"/>
        <w:tabs>
          <w:tab w:leader="none" w:pos="400" w:val="left"/>
        </w:tabs>
        <w:numPr>
          <w:ilvl w:val="0"/>
          <w:numId w:val="117"/>
        </w:numPr>
        <w:rPr>
          <w:rFonts w:ascii="Arial" w:cs="Arial" w:eastAsia="Arial" w:hAnsi="Arial"/>
          <w:sz w:val="20"/>
          <w:szCs w:val="20"/>
          <w:color w:val="auto"/>
        </w:rPr>
      </w:pPr>
      <w:r>
        <w:rPr>
          <w:rFonts w:ascii="Arial" w:cs="Arial" w:eastAsia="Arial" w:hAnsi="Arial"/>
          <w:sz w:val="20"/>
          <w:szCs w:val="20"/>
          <w:b w:val="1"/>
          <w:bCs w:val="1"/>
          <w:color w:val="auto"/>
        </w:rPr>
        <w:t>Personal Property Taxes</w:t>
      </w:r>
      <w:r>
        <w:rPr>
          <w:rFonts w:ascii="Arial" w:cs="Arial" w:eastAsia="Arial" w:hAnsi="Arial"/>
          <w:sz w:val="20"/>
          <w:szCs w:val="20"/>
          <w:color w:val="auto"/>
        </w:rPr>
        <w:t>.</w:t>
      </w:r>
    </w:p>
    <w:p>
      <w:pPr>
        <w:spacing w:after="0" w:line="226" w:lineRule="exact"/>
        <w:rPr>
          <w:sz w:val="20"/>
          <w:szCs w:val="20"/>
          <w:color w:val="auto"/>
        </w:rPr>
      </w:pPr>
    </w:p>
    <w:p>
      <w:pPr>
        <w:jc w:val="both"/>
        <w:ind w:firstLine="324"/>
        <w:spacing w:after="0" w:line="204" w:lineRule="auto"/>
        <w:rPr>
          <w:sz w:val="20"/>
          <w:szCs w:val="20"/>
          <w:color w:val="auto"/>
        </w:rPr>
      </w:pPr>
      <w:r>
        <w:rPr>
          <w:rFonts w:ascii="Arial" w:cs="Arial" w:eastAsia="Arial" w:hAnsi="Arial"/>
          <w:sz w:val="20"/>
          <w:szCs w:val="20"/>
          <w:color w:val="auto"/>
        </w:rPr>
        <w:t>Tenant shall pay prior to delinquency all taxes, if any, assessed against or levied upon its occupancy of the Premises or upon the fixtures, furnishings, equipment and all other personal property of Tenant located in the Premises and when possible Tenant shall cause said fixtures, furnishings, equipment and other personal property to be assessed and billed separately from the property of Landlord. In the event any or all of Tenant's fixtures, furnishings, equipment or other personal property or its occupancy of the Premises shall be assessed and taxed with the property of Landlord, Tenant shall pay to Landlord its share of such taxes within 20 days after delivery to Tenant by Landlord of a statement in writing setting forth the amount of such taxes applicable to Tenant's fixtures, furnishings, equipment, personal property or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B</w:t>
      </w: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19" w:right="339" w:bottom="1440" w:gutter="0" w:footer="0" w:header="0"/>
        </w:sectPr>
      </w:pPr>
    </w:p>
    <w:bookmarkStart w:id="161" w:name="page162"/>
    <w:bookmarkEnd w:id="161"/>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WORK LETTER</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EQC CAPITOL</w:t>
      </w:r>
      <w:r>
        <w:rPr>
          <w:rFonts w:ascii="Arial" w:cs="Arial" w:eastAsia="Arial" w:hAnsi="Arial"/>
          <w:sz w:val="20"/>
          <w:szCs w:val="20"/>
          <w:color w:val="auto"/>
        </w:rPr>
        <w:t xml:space="preserve"> </w:t>
      </w:r>
      <w:r>
        <w:rPr>
          <w:rFonts w:ascii="Arial" w:cs="Arial" w:eastAsia="Arial" w:hAnsi="Arial"/>
          <w:sz w:val="20"/>
          <w:szCs w:val="20"/>
          <w:b w:val="1"/>
          <w:bCs w:val="1"/>
          <w:color w:val="auto"/>
        </w:rPr>
        <w:t>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CROWDSTRIKE,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for space in the Building (as defined in the Lease) located at 206 East 9th Street, Austin, Texas. Capitalized terms used but not defined herein shall have the meanings given in the Lease.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Work Letter, the "</w:t>
      </w:r>
      <w:r>
        <w:rPr>
          <w:rFonts w:ascii="Arial" w:cs="Arial" w:eastAsia="Arial" w:hAnsi="Arial"/>
          <w:sz w:val="20"/>
          <w:szCs w:val="20"/>
          <w:b w:val="1"/>
          <w:bCs w:val="1"/>
          <w:color w:val="auto"/>
        </w:rPr>
        <w:t>Premises</w:t>
      </w:r>
      <w:r>
        <w:rPr>
          <w:rFonts w:ascii="Arial" w:cs="Arial" w:eastAsia="Arial" w:hAnsi="Arial"/>
          <w:sz w:val="20"/>
          <w:szCs w:val="20"/>
          <w:color w:val="auto"/>
        </w:rPr>
        <w:t>" shall be deemed to mean the Premises, as initially defined in the Lease.</w:t>
      </w:r>
    </w:p>
    <w:p>
      <w:pPr>
        <w:spacing w:after="0" w:line="226" w:lineRule="exact"/>
        <w:rPr>
          <w:sz w:val="20"/>
          <w:szCs w:val="20"/>
          <w:color w:val="auto"/>
        </w:rPr>
      </w:pPr>
    </w:p>
    <w:p>
      <w:pPr>
        <w:jc w:val="both"/>
        <w:ind w:firstLine="8"/>
        <w:spacing w:after="0" w:line="199" w:lineRule="auto"/>
        <w:tabs>
          <w:tab w:leader="none" w:pos="63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Tenant, following the delivery of the Premises by Landlord and the full and final execution and delivery of the Lease to which this Exhibit is attached and all prepaid rental and security deposits required under such agreement, shall have the right to perform alterations and improvements in the Premises (the "</w:t>
      </w:r>
      <w:r>
        <w:rPr>
          <w:rFonts w:ascii="Arial" w:cs="Arial" w:eastAsia="Arial" w:hAnsi="Arial"/>
          <w:sz w:val="20"/>
          <w:szCs w:val="20"/>
          <w:b w:val="1"/>
          <w:bCs w:val="1"/>
          <w:color w:val="auto"/>
        </w:rPr>
        <w:t>Initial Alterations</w:t>
      </w:r>
      <w:r>
        <w:rPr>
          <w:rFonts w:ascii="Arial" w:cs="Arial" w:eastAsia="Arial" w:hAnsi="Arial"/>
          <w:sz w:val="20"/>
          <w:szCs w:val="20"/>
          <w:color w:val="auto"/>
        </w:rPr>
        <w:t>"). Notwithstanding the foregoing, Tenant and its contractors shall not have the right to perform Initial Alterations in the Premises unless and until Tenant has complied with all of the terms and conditions of Section 9 of the Lease, including, without limitation, approval by Landlord of the final plans for the Initial Alterations and the contractors (both general contractors and subcontractors) to be retained by Tenant to perform such Initial Alterations.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Landlord’s approval of Tenant’s plans for the Initial Alterations shall not be unreasonably withheld. Landlord shall review Tenant’s plans within 15 Business Days after Tenant’s delivery of such plans (in PDF, CAD and hard copy formats) to Landlord’s Building manager. Unless otherwise expressly agreed to by Landlord in writing, Tenant’s plans shall be consistent with the Building’s standards for leasehold improvements. Landlord's approval of the contractors to perform the Initial Alterations shall not be unreasonably withheld, conditioned or delayed. The parties agree that Landlord's approval of the general contractor to perform the Initial Alterations shall not be considered to be unreasonably withheld if any such general contractor (i) does not have trade references reasonably acceptable to Landlord, (ii) does not maintain insurance as required pursuant to the terms of this Lease, or (iii) is not licensed as a contractor in the state/municipality in which the Premises is located. Tenant acknowledges the foregoing is not intended to be an exclusive list of the reasons why Landlord may reasonably withhold its consent to a general contractor. Prior to commencing to perform any of the Initial Alterations in the Premises, Tenant shall deliver to Landlord a copy of Tenant’s contract with Tenant’s general contractor. Tenant shall ensure that all contractors performing the Initial Alterations include Landlord and such other parties as Landlord shall require as additional insureds on the insurance policies maintained by such contractors. Promptly after Landlord approves Tenant’s plans for the Initial Alterations, Tenant shall deliver to Landlord an itemized statement of the estimated hard and soft costs of the Initial Alterations.</w:t>
      </w:r>
    </w:p>
    <w:p>
      <w:pPr>
        <w:spacing w:after="0" w:line="175" w:lineRule="exact"/>
        <w:rPr>
          <w:rFonts w:ascii="Arial" w:cs="Arial" w:eastAsia="Arial" w:hAnsi="Arial"/>
          <w:sz w:val="20"/>
          <w:szCs w:val="20"/>
          <w:color w:val="auto"/>
        </w:rPr>
      </w:pPr>
    </w:p>
    <w:p>
      <w:pPr>
        <w:ind w:firstLine="8"/>
        <w:spacing w:after="0" w:line="222" w:lineRule="auto"/>
        <w:tabs>
          <w:tab w:leader="none" w:pos="63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Subject to the terms and conditions of this Exhibit, Landlord agrees to contribute the sum of $ 1,032,200.00 (the "</w:t>
      </w:r>
      <w:r>
        <w:rPr>
          <w:rFonts w:ascii="Arial" w:cs="Arial" w:eastAsia="Arial" w:hAnsi="Arial"/>
          <w:sz w:val="20"/>
          <w:szCs w:val="20"/>
          <w:b w:val="1"/>
          <w:bCs w:val="1"/>
          <w:color w:val="auto"/>
        </w:rPr>
        <w:t>Allowance</w:t>
      </w:r>
      <w:r>
        <w:rPr>
          <w:rFonts w:ascii="Arial" w:cs="Arial" w:eastAsia="Arial" w:hAnsi="Arial"/>
          <w:sz w:val="20"/>
          <w:szCs w:val="20"/>
          <w:color w:val="auto"/>
        </w:rPr>
        <w:t>") toward the cost of performing the Initial Alterations in preparation of Tenant's occupancy of the Premises.</w:t>
      </w:r>
    </w:p>
    <w:p>
      <w:pPr>
        <w:spacing w:after="0" w:line="169"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2.01. The Allowance may only be used for the cost of construction management (including the Landlord Fee), permitting, preparing design and construction documents and mechanical and electrical plans for the Initial Alterations and for hard costs in connection with the Initial Alterations. The Allowance, less a 10% retainage (which retainage shall be payable as part of the final draw), shall be paid to Tenant or, at Landlord's option, to the order of the general contractor that performs the Initial Alterations, in periodic disbursements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C</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sectPr>
      </w:pPr>
    </w:p>
    <w:bookmarkStart w:id="162" w:name="page163"/>
    <w:bookmarkEnd w:id="162"/>
    <w:p>
      <w:pPr>
        <w:jc w:val="both"/>
        <w:spacing w:after="0" w:line="200" w:lineRule="auto"/>
        <w:rPr>
          <w:sz w:val="20"/>
          <w:szCs w:val="20"/>
          <w:color w:val="auto"/>
        </w:rPr>
      </w:pPr>
      <w:r>
        <w:rPr>
          <w:rFonts w:ascii="Arial" w:cs="Arial" w:eastAsia="Arial" w:hAnsi="Arial"/>
          <w:sz w:val="20"/>
          <w:szCs w:val="20"/>
          <w:color w:val="auto"/>
        </w:rPr>
        <w:t>after receipt of the following documentation: (i) an application for payment and sworn statement of contractor substantially in the form of AIA Document G-702 covering all work for which disbursement is to be made to a date specified therein; (ii) Contractor's, subcontractor's and material supplier's waivers of liens which shall cover all Initial Alterations for which disbursement is being requested and all other statements and forms required for compliance with the mechanics' lien laws of the state in which the Premises is located, together with all such invoices, contracts, or other supporting data as Landlord or Landlord's Mortgagee may reasonably require; (iii) copies of all construction contracts for the Initial Alterations, together with copies of all change orders, if any; and (iv) a request to disburse from Tenant containing an approval by Tenant of the work done and a good faith estimate of the cost to complete the Initial Alterations. Upon completion of the Initial Alterations, and prior to final disbursement of the Allowance, Tenant shall furnish Landlord with: (1) general contractor and architect's completion affidavits, (2) full and final waivers of lien, (3) receipted bills covering all labor and materials expended and used, (4) as-built plans of the Initial Alterations, and (5) the certification of Tenant and its architect that the Initial Alterations have been installed in a good and workmanlike manner in accordance with the approved plans, and in accordance with applicable laws, codes and ordinances. In no event shall Landlord be required to disburse the Allowance more than one time per month. Notwithstanding anything herein to the contrary, Landlord shall not be obligated to disburse any portion of the Allowance during the continuance of an uncured Material Default under the Lease, and Landlord's obligation to disburse shall only resume when and if such Material Default is cured.</w:t>
      </w:r>
    </w:p>
    <w:p>
      <w:pPr>
        <w:spacing w:after="0" w:line="174"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0"/>
          <w:szCs w:val="20"/>
          <w:color w:val="auto"/>
        </w:rPr>
        <w:t>2.02. Notwithstanding anything to the contrary contained herein, so long as there is no Material Default under the Lease and the Initial Alterations are complete and have been paid for, no more than $129,025.00, being $5.00 per rentable square foot of the Premises, of the Allowance may be applied toward Moving Costs and installing Cable. As used herein, "</w:t>
      </w:r>
      <w:r>
        <w:rPr>
          <w:rFonts w:ascii="Arial" w:cs="Arial" w:eastAsia="Arial" w:hAnsi="Arial"/>
          <w:sz w:val="20"/>
          <w:szCs w:val="20"/>
          <w:b w:val="1"/>
          <w:bCs w:val="1"/>
          <w:color w:val="auto"/>
        </w:rPr>
        <w:t>Moving Costs</w:t>
      </w:r>
      <w:r>
        <w:rPr>
          <w:rFonts w:ascii="Arial" w:cs="Arial" w:eastAsia="Arial" w:hAnsi="Arial"/>
          <w:sz w:val="20"/>
          <w:szCs w:val="20"/>
          <w:color w:val="auto"/>
        </w:rPr>
        <w:t>" means Tenant's actual, reasonable costs in physically moving to the Premises.</w:t>
      </w:r>
    </w:p>
    <w:p>
      <w:pPr>
        <w:spacing w:after="0" w:line="171" w:lineRule="exact"/>
        <w:rPr>
          <w:sz w:val="20"/>
          <w:szCs w:val="20"/>
          <w:color w:val="auto"/>
        </w:rPr>
      </w:pPr>
    </w:p>
    <w:p>
      <w:pPr>
        <w:jc w:val="both"/>
        <w:ind w:firstLine="8"/>
        <w:spacing w:after="0" w:line="205" w:lineRule="auto"/>
        <w:tabs>
          <w:tab w:leader="none" w:pos="63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In no event shall the Allowance be used for the purchase of equipment, furniture or other items of personal property of Tenant. If Tenant does not submit a request for payment of the entire Allowance to Landlord in accordance with the provisions contained in this Exhibit by September 1, 2019, any unused amount shall accrue to the sole benefit of Landlord, it being understood that Tenant shall not be entitled to any credit, abatement or other concession in connection therewith. Tenant shall be responsible for all applicable state sales or use taxes, if any, payable in connection with the Initial Alterations and/or Allowance.</w:t>
      </w:r>
    </w:p>
    <w:p>
      <w:pPr>
        <w:spacing w:after="0" w:line="171" w:lineRule="exact"/>
        <w:rPr>
          <w:rFonts w:ascii="Arial" w:cs="Arial" w:eastAsia="Arial" w:hAnsi="Arial"/>
          <w:sz w:val="20"/>
          <w:szCs w:val="20"/>
          <w:color w:val="auto"/>
        </w:rPr>
      </w:pPr>
    </w:p>
    <w:p>
      <w:pPr>
        <w:jc w:val="both"/>
        <w:ind w:firstLine="8"/>
        <w:spacing w:after="0" w:line="207" w:lineRule="auto"/>
        <w:tabs>
          <w:tab w:leader="none" w:pos="63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Tenant shall pay a fee to Landlord or, at Landlord’s direction, to Landlord’s Building manager, equal to one percent (1%) of the hard costs of the Initial Alterations as compensation for Landlord’s project administration of the Initial Alterations, including, without limitation, review of Tenant’s plans, processing payment of the Allowance and other payment requests, coordination of the performance of the Initial Alterations and other work in the Building, monitoring of the Initial Alterations, and project close-out. Landlord shall be entitled to deduct such fee from the Allowance.</w:t>
      </w:r>
    </w:p>
    <w:p>
      <w:pPr>
        <w:spacing w:after="0" w:line="169" w:lineRule="exact"/>
        <w:rPr>
          <w:rFonts w:ascii="Arial" w:cs="Arial" w:eastAsia="Arial" w:hAnsi="Arial"/>
          <w:sz w:val="20"/>
          <w:szCs w:val="20"/>
          <w:color w:val="auto"/>
        </w:rPr>
      </w:pPr>
    </w:p>
    <w:p>
      <w:pPr>
        <w:jc w:val="both"/>
        <w:ind w:firstLine="8"/>
        <w:spacing w:after="0" w:line="207" w:lineRule="auto"/>
        <w:tabs>
          <w:tab w:leader="none" w:pos="63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Tenant agrees to accept the Premises in the condition required pursuant to Section 3.02 of the Lease but otherwise in its "as-is" condition and configuration, it being agreed that, Landlord shall not be required to (a) perform any work, except as provided in Section 9 of this </w:t>
      </w:r>
      <w:r>
        <w:rPr>
          <w:rFonts w:ascii="Arial" w:cs="Arial" w:eastAsia="Arial" w:hAnsi="Arial"/>
          <w:sz w:val="20"/>
          <w:szCs w:val="20"/>
          <w:b w:val="1"/>
          <w:bCs w:val="1"/>
          <w:color w:val="auto"/>
        </w:rPr>
        <w:t>Exhibit C (</w:t>
      </w:r>
      <w:r>
        <w:rPr>
          <w:rFonts w:ascii="Arial" w:cs="Arial" w:eastAsia="Arial" w:hAnsi="Arial"/>
          <w:sz w:val="20"/>
          <w:szCs w:val="20"/>
          <w:color w:val="auto"/>
        </w:rPr>
        <w:t>subject to Landlord's obligation to deliver possession of the Premises in accordance with the second sentence of Section 3.02 of the Lease), or (b) except as provided above with respect to the Allowance, incur any costs in connection with the construction or demolition of any improvements in the Premises.</w:t>
      </w:r>
    </w:p>
    <w:p>
      <w:pPr>
        <w:spacing w:after="0" w:line="169" w:lineRule="exact"/>
        <w:rPr>
          <w:rFonts w:ascii="Arial" w:cs="Arial" w:eastAsia="Arial" w:hAnsi="Arial"/>
          <w:sz w:val="20"/>
          <w:szCs w:val="20"/>
          <w:color w:val="auto"/>
        </w:rPr>
      </w:pPr>
    </w:p>
    <w:p>
      <w:pPr>
        <w:jc w:val="both"/>
        <w:ind w:right="20" w:firstLine="8"/>
        <w:spacing w:after="0" w:line="209" w:lineRule="auto"/>
        <w:tabs>
          <w:tab w:leader="none" w:pos="63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C</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19" w:right="339" w:bottom="1440" w:gutter="0" w:footer="0" w:header="0"/>
        </w:sectPr>
      </w:pPr>
    </w:p>
    <w:bookmarkStart w:id="163" w:name="page164"/>
    <w:bookmarkEnd w:id="163"/>
    <w:p>
      <w:pPr>
        <w:jc w:val="both"/>
        <w:ind w:firstLine="8"/>
        <w:spacing w:after="0" w:line="213" w:lineRule="auto"/>
        <w:tabs>
          <w:tab w:leader="none" w:pos="63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the Lease, neither Tenant, nor its general contractors, subcontractors or consultants shall be charged by Landlord for their use of parking, hoists, freight elevators or access to loading docks in connection with performance of the Initial Alterations.</w:t>
      </w:r>
    </w:p>
    <w:p>
      <w:pPr>
        <w:spacing w:after="0" w:line="170" w:lineRule="exact"/>
        <w:rPr>
          <w:rFonts w:ascii="Arial" w:cs="Arial" w:eastAsia="Arial" w:hAnsi="Arial"/>
          <w:sz w:val="20"/>
          <w:szCs w:val="20"/>
          <w:color w:val="auto"/>
        </w:rPr>
      </w:pPr>
    </w:p>
    <w:p>
      <w:pPr>
        <w:jc w:val="both"/>
        <w:ind w:firstLine="8"/>
        <w:spacing w:after="0" w:line="205" w:lineRule="auto"/>
        <w:tabs>
          <w:tab w:leader="none" w:pos="63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Landlord shall pay cost of the test fit drawings for the Premises performed with respect to the 14th floor and the 18th floor of the Building, as well as one revision to such test fit drawings prepared for the 14th floor of the Building (collectively, the "</w:t>
      </w:r>
      <w:r>
        <w:rPr>
          <w:rFonts w:ascii="Arial" w:cs="Arial" w:eastAsia="Arial" w:hAnsi="Arial"/>
          <w:sz w:val="20"/>
          <w:szCs w:val="20"/>
          <w:b w:val="1"/>
          <w:bCs w:val="1"/>
          <w:color w:val="auto"/>
        </w:rPr>
        <w:t>Test Fit")</w:t>
      </w:r>
      <w:r>
        <w:rPr>
          <w:rFonts w:ascii="Arial" w:cs="Arial" w:eastAsia="Arial" w:hAnsi="Arial"/>
          <w:sz w:val="20"/>
          <w:szCs w:val="20"/>
          <w:color w:val="auto"/>
        </w:rPr>
        <w:t>, up to a maximum amount of $4,988.30. Landlord shall pay such costs directly to the architect who prepared the Test Fit. The Allowance shall not be used to pay for the Test Fit for the Premises that was performed prior to the Effective Date. To the extent the cost of the Test Fit exceeds $4,988.30, Tenant shall reimburse Landlord for such excess or, at Tenant's direction, such amount may be paid to Landlord from the Allowance.</w:t>
      </w:r>
    </w:p>
    <w:p>
      <w:pPr>
        <w:spacing w:after="0" w:line="171" w:lineRule="exact"/>
        <w:rPr>
          <w:rFonts w:ascii="Arial" w:cs="Arial" w:eastAsia="Arial" w:hAnsi="Arial"/>
          <w:sz w:val="20"/>
          <w:szCs w:val="20"/>
          <w:color w:val="auto"/>
        </w:rPr>
      </w:pPr>
    </w:p>
    <w:p>
      <w:pPr>
        <w:jc w:val="both"/>
        <w:ind w:firstLine="8"/>
        <w:spacing w:after="0" w:line="207" w:lineRule="auto"/>
        <w:tabs>
          <w:tab w:leader="none" w:pos="63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Landlord shall perform improvements to the Premises to expand the women’s restroom within the Premises by (a) installing one additional stall and constructing a new wall that separates the women’s restroom from the break room, all as shown on the Floor Plan dated February 8, 2018, prepared by Carson Design Associates as Job No. A1725404, attached hereto as Schedule C-1 (the "</w:t>
      </w:r>
      <w:r>
        <w:rPr>
          <w:rFonts w:ascii="Arial" w:cs="Arial" w:eastAsia="Arial" w:hAnsi="Arial"/>
          <w:sz w:val="19"/>
          <w:szCs w:val="19"/>
          <w:b w:val="1"/>
          <w:bCs w:val="1"/>
          <w:color w:val="auto"/>
        </w:rPr>
        <w:t>Space Plan</w:t>
      </w:r>
      <w:r>
        <w:rPr>
          <w:rFonts w:ascii="Arial" w:cs="Arial" w:eastAsia="Arial" w:hAnsi="Arial"/>
          <w:sz w:val="19"/>
          <w:szCs w:val="19"/>
          <w:color w:val="auto"/>
        </w:rPr>
        <w:t>"), and (b) installing fixtures and finishes in such expanded portion of the women’s restroom</w:t>
      </w:r>
    </w:p>
    <w:p>
      <w:pPr>
        <w:spacing w:after="0" w:line="2" w:lineRule="exact"/>
        <w:rPr>
          <w:rFonts w:ascii="Arial" w:cs="Arial" w:eastAsia="Arial" w:hAnsi="Arial"/>
          <w:sz w:val="19"/>
          <w:szCs w:val="19"/>
          <w:color w:val="auto"/>
        </w:rPr>
      </w:pPr>
    </w:p>
    <w:p>
      <w:pPr>
        <w:jc w:val="both"/>
        <w:spacing w:after="0" w:line="213" w:lineRule="auto"/>
        <w:rPr>
          <w:rFonts w:ascii="Arial" w:cs="Arial" w:eastAsia="Arial" w:hAnsi="Arial"/>
          <w:sz w:val="19"/>
          <w:szCs w:val="19"/>
          <w:color w:val="auto"/>
        </w:rPr>
      </w:pPr>
      <w:r>
        <w:rPr>
          <w:rFonts w:ascii="Arial" w:cs="Arial" w:eastAsia="Arial" w:hAnsi="Arial"/>
          <w:sz w:val="20"/>
          <w:szCs w:val="20"/>
          <w:color w:val="auto"/>
        </w:rPr>
        <w:t>(i) using Building Standard methods, materials, and finishes consistent with those currently existing within the balance of the women’s restroom, to the extent commercially reasonably available, and (ii) up to the new interior wall of the women’s restroom. Such improvements described in the foregoing sentence are hereinafter referred to as the "</w:t>
      </w:r>
      <w:r>
        <w:rPr>
          <w:rFonts w:ascii="Arial" w:cs="Arial" w:eastAsia="Arial" w:hAnsi="Arial"/>
          <w:sz w:val="20"/>
          <w:szCs w:val="20"/>
          <w:b w:val="1"/>
          <w:bCs w:val="1"/>
          <w:color w:val="auto"/>
        </w:rPr>
        <w:t>Landlord Work</w:t>
      </w:r>
      <w:r>
        <w:rPr>
          <w:rFonts w:ascii="Arial" w:cs="Arial" w:eastAsia="Arial" w:hAnsi="Arial"/>
          <w:sz w:val="20"/>
          <w:szCs w:val="20"/>
          <w:color w:val="auto"/>
        </w:rPr>
        <w:t>."</w:t>
      </w:r>
    </w:p>
    <w:p>
      <w:pPr>
        <w:spacing w:after="0" w:line="171"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9.01. It is agreed that construction of the Landlord Work will be completed at Landlord's sole cost and expense (subject to the terms of Section 9.03 below). Landlord shall enter into a direct contract for the Landlord Work with a general contractor selected by Landlord. In addition, Landlord shall have the right to select and/or approve of any subcontractors used in connection with the Landlord Work. Promptly after the Lease has been fully executed and delivered, Landlord shall cause architectural plans for the Landlord Work to be prepared by an architect selected by Landlord, which architectural plans shall be based on and consistent with the portion of the Space Plans related to the Landlord Work (the “</w:t>
      </w:r>
      <w:r>
        <w:rPr>
          <w:rFonts w:ascii="Arial" w:cs="Arial" w:eastAsia="Arial" w:hAnsi="Arial"/>
          <w:sz w:val="20"/>
          <w:szCs w:val="20"/>
          <w:b w:val="1"/>
          <w:bCs w:val="1"/>
          <w:color w:val="auto"/>
        </w:rPr>
        <w:t>Landlord Work Plans</w:t>
      </w:r>
      <w:r>
        <w:rPr>
          <w:rFonts w:ascii="Arial" w:cs="Arial" w:eastAsia="Arial" w:hAnsi="Arial"/>
          <w:sz w:val="20"/>
          <w:szCs w:val="20"/>
          <w:color w:val="auto"/>
        </w:rPr>
        <w:t>”).</w:t>
      </w:r>
    </w:p>
    <w:p>
      <w:pPr>
        <w:spacing w:after="0" w:line="171"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9.02. Landlord's supervision or performance of the Landlord Work for or on behalf of Tenant shall not be deemed a representation by Landlord that the Space Plans, the Landlord Work Plans or any revisions thereto comply with applicable insurance requirements, building codes, ordinances, laws or regulations, or that the improvements constructed in accordance with the Landlord Work Plans and any revisions thereto will be adequate for Tenant's use, it being agreed that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w:t>
      </w:r>
    </w:p>
    <w:p>
      <w:pPr>
        <w:spacing w:after="0" w:line="171"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20"/>
          <w:szCs w:val="20"/>
          <w:color w:val="auto"/>
        </w:rPr>
        <w:t>9.03. If Tenant shall request any revisions to the Space Plans or Landlord Work Plans which were previously approved by Tenant, Landlord shall have such revisions prepared at Tenant's sole cost and expense and Tenant shall reimburse Landlord for the cost of preparing any such revisions to the Space Plans and/or Landlord Work Plans, plus any applicable state sales or use tax thereon, within three (3) Business Days after Landlord’s written demand. Promptly upon completion of the revisions, Landlord shall notify Tenant in writing as to whether such revisions to the Space Plans and/or Landlord Work Plans will cause a delay in the completion of Landlord’s Work and/or an increase in the cost of Landlord’s Work. Tenant, within one (1) Business Day, shall notify Landlord in writing whether it desires to proceed with such revisions. In the absence of such written authorization, Landlord shall have the option to continue the Landlord Work disregarding the requested revision. Tenant shall be responsible for any delay in completion of the Landlord Work resulting from any revision to the Space Plans and/or Landlord Work Plans. If such revisions result in an increase in the cost of the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C</w:t>
      </w: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9" w:right="339" w:bottom="1440" w:gutter="0" w:footer="0" w:header="0"/>
        </w:sectPr>
      </w:pPr>
    </w:p>
    <w:bookmarkStart w:id="164" w:name="page165"/>
    <w:bookmarkEnd w:id="164"/>
    <w:p>
      <w:pPr>
        <w:jc w:val="both"/>
        <w:spacing w:after="0" w:line="222" w:lineRule="auto"/>
        <w:rPr>
          <w:sz w:val="20"/>
          <w:szCs w:val="20"/>
          <w:color w:val="auto"/>
        </w:rPr>
      </w:pPr>
      <w:r>
        <w:rPr>
          <w:rFonts w:ascii="Arial" w:cs="Arial" w:eastAsia="Arial" w:hAnsi="Arial"/>
          <w:sz w:val="20"/>
          <w:szCs w:val="20"/>
          <w:color w:val="auto"/>
        </w:rPr>
        <w:t>Work, such increased costs, plus any applicable state sales or use tax thereon, shall be payable by Tenant to Landlord within three (3) Business Days after Landlord’s written demand.</w:t>
      </w:r>
    </w:p>
    <w:p>
      <w:pPr>
        <w:spacing w:after="0" w:line="169"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20"/>
          <w:szCs w:val="20"/>
          <w:color w:val="auto"/>
        </w:rPr>
        <w:t>9.04. Tenant acknowledges that the Landlord Work may be performed by Landlord in the Premises during Normal Business Hours subsequent to delivery of possession of the Premises to Tenant and simultaneously with Tenant’s performance of the Initial Alterations. Landlord and Tenant agree to cooperate with each other in order to enable the Landlord Work and the Initial Alterations to be performed in a timely manner and with as little inconvenience to the other party's work as is reasonably possible. Landlord shall use commercially reasonable efforts to substantially complete the Landlord Work on or before the Commencement Date. Notwithstanding anything herein to the contrary, any delay in the completion of the Landlord Work or inconvenience suffered by Tenant during the performance of the Landlord Work shall not delay the Commencement Date, nor shall it subject Landlord to any liability for any loss or damage resulting therefrom or entitle Tenant to any credit, abatement or adjustment of Rent or other sums payable under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C</w:t>
      </w: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19"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9"/>
          <w:szCs w:val="19"/>
          <w:b w:val="1"/>
          <w:bCs w:val="1"/>
          <w:color w:val="auto"/>
        </w:rPr>
        <w:t>SCHEDULE C-1</w:t>
      </w:r>
    </w:p>
    <w:p>
      <w:pPr>
        <w:sectPr>
          <w:pgSz w:w="11900" w:h="16838" w:orient="portrait"/>
          <w:cols w:equalWidth="0" w:num="1">
            <w:col w:w="9019"/>
          </w:cols>
          <w:pgMar w:left="1440" w:top="139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SPACE PLANS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C-1</w:t>
      </w: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395" w:right="1440" w:bottom="1440" w:gutter="0" w:footer="0" w:header="0"/>
          <w:type w:val="continuous"/>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911860</wp:posOffset>
            </wp:positionV>
            <wp:extent cx="4817745" cy="7406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481774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SCHEDULE C-1</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1440"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EXHIBIT D</w:t>
      </w:r>
    </w:p>
    <w:p>
      <w:pPr>
        <w:jc w:val="center"/>
        <w:spacing w:after="0"/>
        <w:rPr>
          <w:sz w:val="20"/>
          <w:szCs w:val="20"/>
          <w:color w:val="auto"/>
        </w:rPr>
      </w:pPr>
      <w:r>
        <w:rPr>
          <w:rFonts w:ascii="Arial" w:cs="Arial" w:eastAsia="Arial" w:hAnsi="Arial"/>
          <w:sz w:val="20"/>
          <w:szCs w:val="20"/>
          <w:b w:val="1"/>
          <w:bCs w:val="1"/>
          <w:u w:val="single" w:color="auto"/>
          <w:color w:val="auto"/>
        </w:rPr>
        <w:t>PREMISES ACCEPTANCE LETTER</w:t>
      </w:r>
    </w:p>
    <w:p>
      <w:pPr>
        <w:spacing w:after="0" w:line="17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______________________</w:t>
      </w:r>
    </w:p>
    <w:p>
      <w:pPr>
        <w:spacing w:after="0" w:line="203" w:lineRule="auto"/>
        <w:tabs>
          <w:tab w:leader="none" w:pos="98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8"/>
          <w:szCs w:val="18"/>
          <w:color w:val="auto"/>
        </w:rPr>
        <w:t>______________________</w:t>
      </w:r>
    </w:p>
    <w:p>
      <w:pPr>
        <w:spacing w:after="0" w:line="203" w:lineRule="auto"/>
        <w:tabs>
          <w:tab w:leader="none" w:pos="900" w:val="left"/>
        </w:tabs>
        <w:rPr>
          <w:sz w:val="20"/>
          <w:szCs w:val="20"/>
          <w:color w:val="auto"/>
        </w:rPr>
      </w:pPr>
      <w:r>
        <w:rPr>
          <w:rFonts w:ascii="Arial" w:cs="Arial" w:eastAsia="Arial" w:hAnsi="Arial"/>
          <w:sz w:val="18"/>
          <w:szCs w:val="18"/>
          <w:color w:val="auto"/>
        </w:rPr>
        <w:t>Address</w:t>
        <w:tab/>
        <w:t>______________________</w:t>
      </w:r>
    </w:p>
    <w:p>
      <w:pPr>
        <w:ind w:left="460"/>
        <w:spacing w:after="0" w:line="204" w:lineRule="auto"/>
        <w:rPr>
          <w:sz w:val="20"/>
          <w:szCs w:val="20"/>
          <w:color w:val="auto"/>
        </w:rPr>
      </w:pPr>
      <w:r>
        <w:rPr>
          <w:rFonts w:ascii="Arial" w:cs="Arial" w:eastAsia="Arial" w:hAnsi="Arial"/>
          <w:sz w:val="18"/>
          <w:szCs w:val="18"/>
          <w:color w:val="auto"/>
        </w:rPr>
        <w:t>______________________</w:t>
      </w:r>
    </w:p>
    <w:p>
      <w:pPr>
        <w:ind w:left="460"/>
        <w:spacing w:after="0"/>
        <w:rPr>
          <w:sz w:val="20"/>
          <w:szCs w:val="20"/>
          <w:color w:val="auto"/>
        </w:rPr>
      </w:pPr>
      <w:r>
        <w:rPr>
          <w:rFonts w:ascii="Arial" w:cs="Arial" w:eastAsia="Arial" w:hAnsi="Arial"/>
          <w:sz w:val="18"/>
          <w:szCs w:val="18"/>
          <w:color w:val="auto"/>
        </w:rPr>
        <w:t>______________________</w:t>
      </w:r>
    </w:p>
    <w:p>
      <w:pPr>
        <w:spacing w:after="0" w:line="15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Premises Acceptance Letter with respect to that certain Office Lease Agreement dated as of ________, 2018, by and</w:t>
      </w:r>
    </w:p>
    <w:p>
      <w:pPr>
        <w:ind w:left="660" w:right="660"/>
        <w:spacing w:after="0" w:line="227" w:lineRule="auto"/>
        <w:rPr>
          <w:sz w:val="20"/>
          <w:szCs w:val="20"/>
          <w:color w:val="auto"/>
        </w:rPr>
      </w:pPr>
      <w:r>
        <w:rPr>
          <w:rFonts w:ascii="Arial" w:cs="Arial" w:eastAsia="Arial" w:hAnsi="Arial"/>
          <w:sz w:val="18"/>
          <w:szCs w:val="18"/>
          <w:b w:val="1"/>
          <w:bCs w:val="1"/>
          <w:color w:val="auto"/>
        </w:rPr>
        <w:t>between EQC Capitol Tower Property LLC, as Landlord, and CrowdStrike, Inc., as Tenant, for 25,805 rentable square feet on the 14th floor of the Building located at 206 East 9th Street, Austin, Texas.</w:t>
      </w: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Dear</w:t>
        <w:tab/>
        <w:t>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and conditions of the above referenced Lease, Tenant acknowledges and agrees:</w:t>
      </w:r>
    </w:p>
    <w:p>
      <w:pPr>
        <w:spacing w:after="0" w:line="212"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Tenant accepted possession of the Premises on __________, 20__.</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Premises were delivered to Tenant in the condition required under the terms of the Lease.</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Commencement Date of the Lease is ____________________.</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Termination Date of the Lease is _________________________.</w:t>
      </w:r>
    </w:p>
    <w:p>
      <w:pPr>
        <w:spacing w:after="0" w:line="211" w:lineRule="exact"/>
        <w:rPr>
          <w:rFonts w:ascii="Arial" w:cs="Arial" w:eastAsia="Arial" w:hAnsi="Arial"/>
          <w:sz w:val="18"/>
          <w:szCs w:val="18"/>
          <w:color w:val="auto"/>
        </w:rPr>
      </w:pPr>
    </w:p>
    <w:p>
      <w:pPr>
        <w:jc w:val="both"/>
        <w:ind w:left="660" w:hanging="328"/>
        <w:spacing w:after="0" w:line="215" w:lineRule="auto"/>
        <w:tabs>
          <w:tab w:leader="none" w:pos="648" w:val="left"/>
        </w:tabs>
        <w:numPr>
          <w:ilvl w:val="0"/>
          <w:numId w:val="121"/>
        </w:numPr>
        <w:rPr>
          <w:rFonts w:ascii="Arial" w:cs="Arial" w:eastAsia="Arial" w:hAnsi="Arial"/>
          <w:sz w:val="17"/>
          <w:szCs w:val="17"/>
          <w:color w:val="auto"/>
        </w:rPr>
      </w:pPr>
      <w:r>
        <w:rPr>
          <w:rFonts w:ascii="Arial" w:cs="Arial" w:eastAsia="Arial" w:hAnsi="Arial"/>
          <w:sz w:val="17"/>
          <w:szCs w:val="17"/>
          <w:color w:val="auto"/>
        </w:rPr>
        <w:t>If Tenant desires to exercise the Renewal Option, Tenant shall deliver the Renewal Notice to Landlord no earlier than _________ and no later than ____________, and, if the Renewal Option is properly exercised, the Renewal Term shall commence on _________</w:t>
      </w:r>
    </w:p>
    <w:p>
      <w:pPr>
        <w:ind w:left="660"/>
        <w:spacing w:after="0"/>
        <w:rPr>
          <w:rFonts w:ascii="Arial" w:cs="Arial" w:eastAsia="Arial" w:hAnsi="Arial"/>
          <w:sz w:val="17"/>
          <w:szCs w:val="17"/>
          <w:color w:val="auto"/>
        </w:rPr>
      </w:pPr>
      <w:r>
        <w:rPr>
          <w:rFonts w:ascii="Arial" w:cs="Arial" w:eastAsia="Arial" w:hAnsi="Arial"/>
          <w:sz w:val="18"/>
          <w:szCs w:val="18"/>
          <w:color w:val="auto"/>
        </w:rPr>
        <w:t>and expire on _______________.</w:t>
      </w:r>
    </w:p>
    <w:p>
      <w:pPr>
        <w:spacing w:after="0" w:line="212"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The parties intend to indicate their agreement to the matters in this Premises Acceptance Letter by electronic means and agree that this letter agreement may be executed by electronic signature (including, without limitation, faxed versions of an original signature or electronically scanned and transmitted versions [e.g., via pdf] of an original signature), which shall be considered as an original signature for all purposes and shall have the same force and effect as an original signature.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D</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54" w:right="339" w:bottom="1440" w:gutter="0" w:footer="0" w:header="0"/>
        </w:sectPr>
      </w:pPr>
    </w:p>
    <w:bookmarkStart w:id="168" w:name="page169"/>
    <w:bookmarkEnd w:id="168"/>
    <w:p>
      <w:pPr>
        <w:spacing w:after="0" w:line="203" w:lineRule="auto"/>
        <w:rPr>
          <w:sz w:val="20"/>
          <w:szCs w:val="20"/>
          <w:color w:val="auto"/>
        </w:rPr>
      </w:pPr>
      <w:r>
        <w:rPr>
          <w:rFonts w:ascii="Arial" w:cs="Arial" w:eastAsia="Arial" w:hAnsi="Arial"/>
          <w:sz w:val="18"/>
          <w:szCs w:val="18"/>
          <w:color w:val="auto"/>
        </w:rPr>
        <w:t xml:space="preserve">Please acknowledge the foregoing matters by signing this Premises Acceptance Letter in the space provided and then return the executed agreement to me via email by scanning it and sending it to me at </w:t>
      </w:r>
      <w:r>
        <w:rPr>
          <w:rFonts w:ascii="Arial" w:cs="Arial" w:eastAsia="Arial" w:hAnsi="Arial"/>
          <w:sz w:val="18"/>
          <w:szCs w:val="18"/>
          <w:b w:val="1"/>
          <w:bCs w:val="1"/>
          <w:color w:val="262626"/>
          <w:highlight w:val="yellow"/>
        </w:rPr>
        <w:t>[REM – insert your e- mail address]</w:t>
      </w:r>
      <w:r>
        <w:rPr>
          <w:rFonts w:ascii="Arial" w:cs="Arial" w:eastAsia="Arial" w:hAnsi="Arial"/>
          <w:sz w:val="18"/>
          <w:szCs w:val="18"/>
          <w:color w:val="auto"/>
        </w:rPr>
        <w:t xml:space="preserve"> _____________ or you may fax the</w:t>
      </w:r>
    </w:p>
    <w:p>
      <w:pPr>
        <w:spacing w:after="0" w:line="204" w:lineRule="auto"/>
        <w:rPr>
          <w:sz w:val="20"/>
          <w:szCs w:val="20"/>
          <w:color w:val="auto"/>
        </w:rPr>
      </w:pPr>
      <w:r>
        <w:rPr>
          <w:rFonts w:ascii="Arial" w:cs="Arial" w:eastAsia="Arial" w:hAnsi="Arial"/>
          <w:sz w:val="18"/>
          <w:szCs w:val="18"/>
          <w:color w:val="auto"/>
        </w:rPr>
        <w:t xml:space="preserve">executed agreement to me at </w:t>
      </w:r>
      <w:r>
        <w:rPr>
          <w:rFonts w:ascii="Arial" w:cs="Arial" w:eastAsia="Arial" w:hAnsi="Arial"/>
          <w:sz w:val="18"/>
          <w:szCs w:val="18"/>
          <w:b w:val="1"/>
          <w:bCs w:val="1"/>
          <w:color w:val="262626"/>
          <w:highlight w:val="yellow"/>
        </w:rPr>
        <w:t>[REM – insert your fax number]</w:t>
      </w:r>
      <w:r>
        <w:rPr>
          <w:rFonts w:ascii="Arial" w:cs="Arial" w:eastAsia="Arial" w:hAnsi="Arial"/>
          <w:sz w:val="18"/>
          <w:szCs w:val="18"/>
          <w:color w:val="auto"/>
        </w:rPr>
        <w:t xml:space="preserve"> ___________________. Tenant’s failure to execute and return this letter, or</w:t>
      </w:r>
    </w:p>
    <w:p>
      <w:pPr>
        <w:spacing w:after="0" w:line="227" w:lineRule="auto"/>
        <w:rPr>
          <w:sz w:val="20"/>
          <w:szCs w:val="20"/>
          <w:color w:val="auto"/>
        </w:rPr>
      </w:pPr>
      <w:r>
        <w:rPr>
          <w:rFonts w:ascii="Arial" w:cs="Arial" w:eastAsia="Arial" w:hAnsi="Arial"/>
          <w:sz w:val="18"/>
          <w:szCs w:val="18"/>
          <w:color w:val="auto"/>
        </w:rPr>
        <w:t>to provide written objection to the statements contained in this letter, within 30 days after the date of this letter shall be deemed an approval by Tenant of the statements contained herein.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Tenant: ______________________</w:t>
      </w:r>
    </w:p>
    <w:p>
      <w:pPr>
        <w:spacing w:after="0" w:line="203" w:lineRule="auto"/>
        <w:tabs>
          <w:tab w:leader="none" w:pos="440" w:val="left"/>
        </w:tabs>
        <w:rPr>
          <w:sz w:val="20"/>
          <w:szCs w:val="20"/>
          <w:color w:val="auto"/>
        </w:rPr>
      </w:pPr>
      <w:r>
        <w:rPr>
          <w:rFonts w:ascii="Arial" w:cs="Arial" w:eastAsia="Arial" w:hAnsi="Arial"/>
          <w:sz w:val="18"/>
          <w:szCs w:val="18"/>
          <w:color w:val="auto"/>
        </w:rPr>
        <w:t>By:</w:t>
        <w:tab/>
        <w:t>______________________</w:t>
      </w:r>
    </w:p>
    <w:p>
      <w:pPr>
        <w:spacing w:after="0" w:line="203" w:lineRule="auto"/>
        <w:tabs>
          <w:tab w:leader="none" w:pos="720" w:val="left"/>
        </w:tabs>
        <w:rPr>
          <w:sz w:val="20"/>
          <w:szCs w:val="20"/>
          <w:color w:val="auto"/>
        </w:rPr>
      </w:pPr>
      <w:r>
        <w:rPr>
          <w:rFonts w:ascii="Arial" w:cs="Arial" w:eastAsia="Arial" w:hAnsi="Arial"/>
          <w:sz w:val="18"/>
          <w:szCs w:val="18"/>
          <w:color w:val="auto"/>
        </w:rPr>
        <w:t>Name:</w:t>
        <w:tab/>
        <w:t>______________________</w:t>
      </w:r>
    </w:p>
    <w:p>
      <w:pPr>
        <w:spacing w:after="0" w:line="204" w:lineRule="auto"/>
        <w:tabs>
          <w:tab w:leader="none" w:pos="580" w:val="left"/>
        </w:tabs>
        <w:rPr>
          <w:sz w:val="20"/>
          <w:szCs w:val="20"/>
          <w:color w:val="auto"/>
        </w:rPr>
      </w:pPr>
      <w:r>
        <w:rPr>
          <w:rFonts w:ascii="Arial" w:cs="Arial" w:eastAsia="Arial" w:hAnsi="Arial"/>
          <w:sz w:val="18"/>
          <w:szCs w:val="18"/>
          <w:color w:val="auto"/>
        </w:rPr>
        <w:t>Title:</w:t>
        <w:tab/>
        <w:t>______________________</w:t>
      </w:r>
    </w:p>
    <w:p>
      <w:pPr>
        <w:spacing w:after="0"/>
        <w:tabs>
          <w:tab w:leader="none" w:pos="620" w:val="left"/>
        </w:tabs>
        <w:rPr>
          <w:sz w:val="20"/>
          <w:szCs w:val="20"/>
          <w:color w:val="auto"/>
        </w:rPr>
      </w:pPr>
      <w:r>
        <w:rPr>
          <w:rFonts w:ascii="Arial" w:cs="Arial" w:eastAsia="Arial" w:hAnsi="Arial"/>
          <w:sz w:val="18"/>
          <w:szCs w:val="18"/>
          <w:color w:val="auto"/>
        </w:rPr>
        <w:t>Date:</w:t>
        <w:tab/>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D</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097"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b w:val="1"/>
          <w:bCs w:val="1"/>
          <w:color w:val="auto"/>
        </w:rPr>
        <w:t>EXHIBIT 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BUILDING RULES AND REGULATIONS</w:t>
      </w:r>
    </w:p>
    <w:p>
      <w:pPr>
        <w:spacing w:after="0" w:line="20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EQC CAPITOL</w:t>
      </w:r>
      <w:r>
        <w:rPr>
          <w:rFonts w:ascii="Arial" w:cs="Arial" w:eastAsia="Arial" w:hAnsi="Arial"/>
          <w:sz w:val="20"/>
          <w:szCs w:val="20"/>
          <w:color w:val="auto"/>
        </w:rPr>
        <w:t xml:space="preserve"> </w:t>
      </w:r>
      <w:r>
        <w:rPr>
          <w:rFonts w:ascii="Arial" w:cs="Arial" w:eastAsia="Arial" w:hAnsi="Arial"/>
          <w:sz w:val="20"/>
          <w:szCs w:val="20"/>
          <w:b w:val="1"/>
          <w:bCs w:val="1"/>
          <w:color w:val="auto"/>
        </w:rPr>
        <w:t>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CROWDSTRIKE,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for space in the Building (as defined in the Lease) located at 206 East 9th Street, Austin, Texas. Capitalized terms used but not defined herein shall have the meanings given in the Lease.</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The following rules and regulations shall apply, where applicable, to the Premises, the Building, the parking facilities (if any), the Property and the appurtenances. In the event of a conflict between the following rules and regulations and the remainder of the terms of the Lease, the remainder of the terms of the Lease shall control.</w:t>
      </w:r>
    </w:p>
    <w:p>
      <w:pPr>
        <w:spacing w:after="0" w:line="198" w:lineRule="exact"/>
        <w:rPr>
          <w:sz w:val="20"/>
          <w:szCs w:val="20"/>
          <w:color w:val="auto"/>
        </w:rPr>
      </w:pPr>
    </w:p>
    <w:p>
      <w:pPr>
        <w:ind w:left="660" w:hanging="652"/>
        <w:spacing w:after="0" w:line="209" w:lineRule="auto"/>
        <w:tabs>
          <w:tab w:leader="none" w:pos="502" w:val="left"/>
        </w:tabs>
        <w:numPr>
          <w:ilvl w:val="0"/>
          <w:numId w:val="122"/>
        </w:numPr>
        <w:rPr>
          <w:rFonts w:ascii="Arial" w:cs="Arial" w:eastAsia="Arial" w:hAnsi="Arial"/>
          <w:sz w:val="20"/>
          <w:szCs w:val="20"/>
          <w:color w:val="auto"/>
        </w:rPr>
      </w:pPr>
      <w:r>
        <w:rPr>
          <w:rFonts w:ascii="Arial" w:cs="Arial" w:eastAsia="Arial" w:hAnsi="Arial"/>
          <w:sz w:val="20"/>
          <w:szCs w:val="20"/>
          <w:color w:val="auto"/>
        </w:rPr>
        <w:t>Sidewalks, doorways, vestibules, halls, stairways and other similar areas shall not be obstructed by Tenant or used by Tenant for any purpose other than ingress and egress to and from the Premises. No rubbish, litter, trash, or material shall be placed, emptied, or thrown in those areas. At no time shall Tenant permit Tenant’s employees to loiter in Common Areas or elsewhere about the Building or Property.</w:t>
      </w:r>
    </w:p>
    <w:p>
      <w:pPr>
        <w:spacing w:after="0" w:line="197" w:lineRule="exact"/>
        <w:rPr>
          <w:rFonts w:ascii="Arial" w:cs="Arial" w:eastAsia="Arial" w:hAnsi="Arial"/>
          <w:sz w:val="20"/>
          <w:szCs w:val="20"/>
          <w:color w:val="auto"/>
        </w:rPr>
      </w:pPr>
    </w:p>
    <w:p>
      <w:pPr>
        <w:ind w:left="660" w:hanging="652"/>
        <w:spacing w:after="0" w:line="222" w:lineRule="auto"/>
        <w:tabs>
          <w:tab w:leader="none" w:pos="43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Plumbing fixtures and appliances shall be used only for the purposes for which designed and no sweepings, rubbish, rags or other unsuitable material shall be thrown or placed in the fixtures or appliances.</w:t>
      </w:r>
    </w:p>
    <w:p>
      <w:pPr>
        <w:spacing w:after="0" w:line="195" w:lineRule="exact"/>
        <w:rPr>
          <w:rFonts w:ascii="Arial" w:cs="Arial" w:eastAsia="Arial" w:hAnsi="Arial"/>
          <w:sz w:val="20"/>
          <w:szCs w:val="20"/>
          <w:color w:val="auto"/>
        </w:rPr>
      </w:pPr>
    </w:p>
    <w:p>
      <w:pPr>
        <w:ind w:left="660" w:hanging="652"/>
        <w:spacing w:after="0" w:line="204" w:lineRule="auto"/>
        <w:tabs>
          <w:tab w:leader="none" w:pos="54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 signs, advertisements or notices shall be painted or affixed to windows, doors or other parts of the Building. No decorations, posters, banners, decorative lights or other items shall be placed in or affixed to or painted on the windows or adjacent to the windows in a location visible from the exterior of the Premises. All tenant identification and suite numbers at the entrance to the Premises shall be installed by Landlord, at Tenant’s cost, using the standard graphics for the Building. Except in connection with the hanging of lightweight pictures and wall decorations, no nails, hooks or screws shall be inserted into any part of the Premises or Building except by the Building maintenance personnel without Landlord’s prior approval, which approval shall not be unreasonably withheld.</w:t>
      </w:r>
    </w:p>
    <w:p>
      <w:pPr>
        <w:spacing w:after="0" w:line="197" w:lineRule="exact"/>
        <w:rPr>
          <w:rFonts w:ascii="Arial" w:cs="Arial" w:eastAsia="Arial" w:hAnsi="Arial"/>
          <w:sz w:val="20"/>
          <w:szCs w:val="20"/>
          <w:color w:val="auto"/>
        </w:rPr>
      </w:pPr>
    </w:p>
    <w:p>
      <w:pPr>
        <w:ind w:left="660" w:hanging="652"/>
        <w:spacing w:after="0" w:line="222" w:lineRule="auto"/>
        <w:tabs>
          <w:tab w:leader="none" w:pos="40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Landlord may, at its option, provide and maintain in the first floor (main lobby) of the Building an alphabetical directory board or other directory device listing tenants and no other directory shall be permitted to be installed.</w:t>
      </w:r>
    </w:p>
    <w:p>
      <w:pPr>
        <w:spacing w:after="0" w:line="195" w:lineRule="exact"/>
        <w:rPr>
          <w:rFonts w:ascii="Arial" w:cs="Arial" w:eastAsia="Arial" w:hAnsi="Arial"/>
          <w:sz w:val="20"/>
          <w:szCs w:val="20"/>
          <w:color w:val="auto"/>
        </w:rPr>
      </w:pPr>
    </w:p>
    <w:p>
      <w:pPr>
        <w:ind w:left="660" w:hanging="652"/>
        <w:spacing w:after="0" w:line="205" w:lineRule="auto"/>
        <w:tabs>
          <w:tab w:leader="none" w:pos="44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Tenant shall not place any lock(s) on any door in the Premises or Building without Landlord’s prior written consent, which consent shall not be unreasonably withheld, and Landlord shall have the right at all times to retain and use keys, key cards or other access codes or devices (as applicable, “</w:t>
      </w:r>
      <w:r>
        <w:rPr>
          <w:rFonts w:ascii="Arial" w:cs="Arial" w:eastAsia="Arial" w:hAnsi="Arial"/>
          <w:sz w:val="20"/>
          <w:szCs w:val="20"/>
          <w:b w:val="1"/>
          <w:bCs w:val="1"/>
          <w:color w:val="auto"/>
        </w:rPr>
        <w:t>Keys</w:t>
      </w:r>
      <w:r>
        <w:rPr>
          <w:rFonts w:ascii="Arial" w:cs="Arial" w:eastAsia="Arial" w:hAnsi="Arial"/>
          <w:sz w:val="20"/>
          <w:szCs w:val="20"/>
          <w:color w:val="auto"/>
        </w:rPr>
        <w:t>”) to all locks within and into the Premises. A reasonable number of Keys to the locks on the entry doors in the Premises shall be furnished by Landlord to Tenant at Tenant’s cost and Tenant shall not make any duplicate Keys. All Keys shall be returned to Landlord at the expiration or early termination of the Lease.</w:t>
      </w:r>
    </w:p>
    <w:p>
      <w:pPr>
        <w:spacing w:after="0" w:line="198" w:lineRule="exact"/>
        <w:rPr>
          <w:rFonts w:ascii="Arial" w:cs="Arial" w:eastAsia="Arial" w:hAnsi="Arial"/>
          <w:sz w:val="20"/>
          <w:szCs w:val="20"/>
          <w:color w:val="auto"/>
        </w:rPr>
      </w:pPr>
    </w:p>
    <w:p>
      <w:pPr>
        <w:ind w:left="660" w:hanging="652"/>
        <w:spacing w:after="0" w:line="207" w:lineRule="auto"/>
        <w:tabs>
          <w:tab w:leader="none" w:pos="45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All contractors, contractor’s representatives, vendors and installation technicians performing work in the Building shall be subject to Landlord’s prior approval, which approval shall not be unreasonably withheld, and shall be required to comply with Landlord’s standard rules, regulations, policies and procedures, which may be revised from time to time (including, without limitation, Landlord’s rules regarding the days and times when such parties may enter the Building and perform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5" w:right="339" w:bottom="1440" w:gutter="0" w:footer="0" w:header="0"/>
        </w:sectPr>
      </w:pPr>
    </w:p>
    <w:bookmarkStart w:id="170" w:name="page171"/>
    <w:bookmarkEnd w:id="170"/>
    <w:p>
      <w:pPr>
        <w:ind w:left="660" w:hanging="652"/>
        <w:spacing w:after="0" w:line="204" w:lineRule="auto"/>
        <w:tabs>
          <w:tab w:leader="none" w:pos="496"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Movement in or out of the Building of furniture or office equipment, or dispatch or receipt by Tenant of merchandise or materials requiring the use of elevators, stairways, lobby areas or loading dock areas, shall be performed in compliance with applicable Laws (including by persons holding all necessary licenses) and in a manner and restricted to hours reasonably designated by Landlord. Tenant shall obtain Landlord’s prior approval, a reasonable number of days in advance, by providing a detailed listing of the activity, including the names of any contractors, vendors or delivery companies, which approval shall not be unreasonably withheld. Tenant shall assume all risk for damage, injury or loss in connection with the activity.</w:t>
      </w:r>
    </w:p>
    <w:p>
      <w:pPr>
        <w:spacing w:after="0" w:line="197" w:lineRule="exact"/>
        <w:rPr>
          <w:rFonts w:ascii="Arial" w:cs="Arial" w:eastAsia="Arial" w:hAnsi="Arial"/>
          <w:sz w:val="20"/>
          <w:szCs w:val="20"/>
          <w:color w:val="auto"/>
        </w:rPr>
      </w:pPr>
    </w:p>
    <w:p>
      <w:pPr>
        <w:ind w:left="660" w:hanging="652"/>
        <w:spacing w:after="0" w:line="209" w:lineRule="auto"/>
        <w:tabs>
          <w:tab w:leader="none" w:pos="40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shall not overload the floors of the Premises beyond their designed weight bearing capacity. Landlord shall have the right to approve the weight, size, or location of heavy equipment or articles in and about the Premises, which approval shall not be unreasonably withheld; provided that approval by Landlord shall not relieve Tenant from liability for any damage in connection with such heavy equipment or articles.</w:t>
      </w:r>
    </w:p>
    <w:p>
      <w:pPr>
        <w:spacing w:after="0" w:line="197" w:lineRule="exact"/>
        <w:rPr>
          <w:rFonts w:ascii="Arial" w:cs="Arial" w:eastAsia="Arial" w:hAnsi="Arial"/>
          <w:sz w:val="20"/>
          <w:szCs w:val="20"/>
          <w:color w:val="auto"/>
        </w:rPr>
      </w:pPr>
    </w:p>
    <w:p>
      <w:pPr>
        <w:ind w:left="400" w:hanging="392"/>
        <w:spacing w:after="0"/>
        <w:tabs>
          <w:tab w:leader="none" w:pos="4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Doors from the Premises into corridors, when not in use, shall be kept closed.</w:t>
      </w:r>
    </w:p>
    <w:p>
      <w:pPr>
        <w:spacing w:after="0" w:line="202" w:lineRule="exact"/>
        <w:rPr>
          <w:rFonts w:ascii="Arial" w:cs="Arial" w:eastAsia="Arial" w:hAnsi="Arial"/>
          <w:sz w:val="20"/>
          <w:szCs w:val="20"/>
          <w:color w:val="auto"/>
        </w:rPr>
      </w:pPr>
    </w:p>
    <w:p>
      <w:pPr>
        <w:ind w:left="660" w:hanging="652"/>
        <w:spacing w:after="0" w:line="209" w:lineRule="auto"/>
        <w:tabs>
          <w:tab w:leader="none" w:pos="53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shall not: (a) make or permit any improper, objectionable or unpleasant noises, vibrations or odors in the Building, or otherwise interfere in any way with other tenants or persons having business with them; (b) solicit business or distribute or cause to be distributed, in any portion of the Building, handbills, promotional materials or other advertising; or (c) conduct or permit other activities in the Building that might, in Landlord’s sole opinion, constitute a nuisance.</w:t>
      </w:r>
    </w:p>
    <w:p>
      <w:pPr>
        <w:spacing w:after="0" w:line="197" w:lineRule="exact"/>
        <w:rPr>
          <w:rFonts w:ascii="Arial" w:cs="Arial" w:eastAsia="Arial" w:hAnsi="Arial"/>
          <w:sz w:val="20"/>
          <w:szCs w:val="20"/>
          <w:color w:val="auto"/>
        </w:rPr>
      </w:pPr>
    </w:p>
    <w:p>
      <w:pPr>
        <w:ind w:left="660" w:hanging="652"/>
        <w:spacing w:after="0" w:line="222" w:lineRule="auto"/>
        <w:tabs>
          <w:tab w:leader="none" w:pos="64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No animals, except those assisting handicapped persons, shall be brought into the Building or kept in or about the Premises.</w:t>
      </w:r>
    </w:p>
    <w:p>
      <w:pPr>
        <w:spacing w:after="0" w:line="195" w:lineRule="exact"/>
        <w:rPr>
          <w:rFonts w:ascii="Arial" w:cs="Arial" w:eastAsia="Arial" w:hAnsi="Arial"/>
          <w:sz w:val="20"/>
          <w:szCs w:val="20"/>
          <w:color w:val="auto"/>
        </w:rPr>
      </w:pPr>
    </w:p>
    <w:p>
      <w:pPr>
        <w:ind w:left="660" w:hanging="652"/>
        <w:spacing w:after="0" w:line="214" w:lineRule="auto"/>
        <w:tabs>
          <w:tab w:leader="none" w:pos="53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No inflammable, explosive or dangerous fluids or substances shall be used or kept by Tenant in the Premises, Building or about the Property, except for those substances as are typically found in similar premises used for general office purposes and are being used by Tenant in a safe manner and in accordance with all applicable Laws. Tenant shall not, without Landlord’s prior written consent, use, store, install, spill, remove, release or dispose of, within or about the Premises or any other portion of the Property, any asbestos-containing materials or any solid, liquid or gaseous material now or subsequently considered toxic or hazardous under the provisions of 42 U.S.C. Section 9601 et seq. or any other applicable environmental Law which may now or later be in effect. Tenant shall comply with all Laws pertaining to and governing the use of these materials by Tenant and shall remain solely liable for the costs of abatement and removal.</w:t>
      </w:r>
    </w:p>
    <w:p>
      <w:pPr>
        <w:spacing w:after="0" w:line="196" w:lineRule="exact"/>
        <w:rPr>
          <w:rFonts w:ascii="Arial" w:cs="Arial" w:eastAsia="Arial" w:hAnsi="Arial"/>
          <w:sz w:val="19"/>
          <w:szCs w:val="19"/>
          <w:color w:val="auto"/>
        </w:rPr>
      </w:pPr>
    </w:p>
    <w:p>
      <w:pPr>
        <w:ind w:left="660" w:hanging="652"/>
        <w:spacing w:after="0" w:line="202" w:lineRule="auto"/>
        <w:tabs>
          <w:tab w:leader="none" w:pos="52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shall not use or occupy the Premises in any manner or for any purpose which might injure the reputation or impair the present or future value of the Premises or the Building. Tenant shall not use, or permit any part of the Premises to be used for lodging, sleeping or for any illegal purpose. Tenant shall not permit any alcohol to be stored, served or consumed at the Premises, other than on an incidental basis for the occasional use of its employees and guests and then only if Tenant obtains the host liquor liability endorsement specified in Section 14 of the Lease. Tenant shall not allow any cooking at the Premises without Landlord’s prior written consent, except heating up food in a microwave. Tenant shall not use the Premises for photographic, multilith or multigraph reproductions, an employment bureau, a labor union office, a medical or dental office or other service oriented office use or an educational facility, except to the extent expressly permitted in the Permitted Use set forth in Section 1.11 of the Lease.</w:t>
      </w:r>
    </w:p>
    <w:p>
      <w:pPr>
        <w:spacing w:after="0" w:line="201" w:lineRule="exact"/>
        <w:rPr>
          <w:rFonts w:ascii="Arial" w:cs="Arial" w:eastAsia="Arial" w:hAnsi="Arial"/>
          <w:sz w:val="20"/>
          <w:szCs w:val="20"/>
          <w:color w:val="auto"/>
        </w:rPr>
      </w:pPr>
    </w:p>
    <w:p>
      <w:pPr>
        <w:ind w:left="660" w:hanging="652"/>
        <w:spacing w:after="0" w:line="213" w:lineRule="auto"/>
        <w:tabs>
          <w:tab w:leader="none" w:pos="57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Tenant shall not take any action which would cause a work stoppage, picketing, labor disruption or dispute, or interfere with Landlord’s or any other tenant’s or occupant’s business or with the rights and privileges of any person lawfully in the Building (“</w:t>
      </w:r>
      <w:r>
        <w:rPr>
          <w:rFonts w:ascii="Arial" w:cs="Arial" w:eastAsia="Arial" w:hAnsi="Arial"/>
          <w:sz w:val="20"/>
          <w:szCs w:val="20"/>
          <w:b w:val="1"/>
          <w:bCs w:val="1"/>
          <w:color w:val="auto"/>
        </w:rPr>
        <w:t>Labor Disruption</w:t>
      </w:r>
      <w:r>
        <w:rPr>
          <w:rFonts w:ascii="Arial" w:cs="Arial" w:eastAsia="Arial" w:hAnsi="Arial"/>
          <w:sz w:val="20"/>
          <w:szCs w:val="20"/>
          <w:color w:val="auto"/>
        </w:rPr>
        <w:t>”). Tenant shall promptly, and in all events within 24 hours after the start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19" w:right="339" w:bottom="1440" w:gutter="0" w:footer="0" w:header="0"/>
        </w:sectPr>
      </w:pPr>
    </w:p>
    <w:bookmarkStart w:id="171" w:name="page172"/>
    <w:bookmarkEnd w:id="171"/>
    <w:p>
      <w:pPr>
        <w:jc w:val="both"/>
        <w:ind w:left="660"/>
        <w:spacing w:after="0" w:line="203" w:lineRule="auto"/>
        <w:rPr>
          <w:sz w:val="20"/>
          <w:szCs w:val="20"/>
          <w:color w:val="auto"/>
        </w:rPr>
      </w:pPr>
      <w:r>
        <w:rPr>
          <w:rFonts w:ascii="Arial" w:cs="Arial" w:eastAsia="Arial" w:hAnsi="Arial"/>
          <w:sz w:val="20"/>
          <w:szCs w:val="20"/>
          <w:color w:val="auto"/>
        </w:rPr>
        <w:t>the Labor Disruption, take the actions necessary to resolve the Labor Disruption, and shall have pickets removed and, at the request of Landlord, immediately terminate any work, or the provision of any service, in the Premises that gave rise to the Labor Disruption, until Landlord gives its written consent for the work or service to resume. If Tenant fails to resolve the Labor Disruption within 24 hours after the start of such Labor Disruption, such failure shall be deemed a Default without any further notice required from Landlord and Landlord may, in addition to all other rights and remedies arising from the Default, refuse entry to the Building, including the Premises, by any contractors or others working at the Premises on behalf of Tenant. Tenant shall have no claim for damages against Landlord, any of the Landlord Related Parties or any Mortgagee, nor shall the Commencement Date be extended as a result of the above actions.</w:t>
      </w:r>
    </w:p>
    <w:p>
      <w:pPr>
        <w:spacing w:after="0" w:line="199" w:lineRule="exact"/>
        <w:rPr>
          <w:sz w:val="20"/>
          <w:szCs w:val="20"/>
          <w:color w:val="auto"/>
        </w:rPr>
      </w:pPr>
    </w:p>
    <w:p>
      <w:pPr>
        <w:ind w:left="660" w:hanging="652"/>
        <w:spacing w:after="0" w:line="207" w:lineRule="auto"/>
        <w:tabs>
          <w:tab w:leader="none" w:pos="53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Tenant shall not install, operate or maintain in the Premises or in any other area of the Building, electrical equipment that would overload the electrical system beyond its capacity for proper, efficient and safe operation as determined solely by Landlord. Tenant shall not furnish cooling or heating to the Premises, including, without limitation, the use of electric or gas heating devices, without Landlord’s prior written consent. Tenant shall not use more than its proportionate share of any telecommunication facilities available to service the Building.</w:t>
      </w:r>
    </w:p>
    <w:p>
      <w:pPr>
        <w:spacing w:after="0" w:line="196" w:lineRule="exact"/>
        <w:rPr>
          <w:rFonts w:ascii="Arial" w:cs="Arial" w:eastAsia="Arial" w:hAnsi="Arial"/>
          <w:sz w:val="20"/>
          <w:szCs w:val="20"/>
          <w:color w:val="auto"/>
        </w:rPr>
      </w:pPr>
    </w:p>
    <w:p>
      <w:pPr>
        <w:ind w:left="660" w:hanging="652"/>
        <w:spacing w:after="0" w:line="209" w:lineRule="auto"/>
        <w:tabs>
          <w:tab w:leader="none" w:pos="55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Tenant shall not operate or permit to be operated a coin or token operated vending machine or similar device (including, without limitation, telephones, lockers, toilets, scales, amusement devices and machines for sale of beverages, foods, candy, cigarettes and other goods), except for food and beverage machines for the exclusive use of Tenant’s employees and invitees.</w:t>
      </w:r>
    </w:p>
    <w:p>
      <w:pPr>
        <w:spacing w:after="0" w:line="197" w:lineRule="exact"/>
        <w:rPr>
          <w:rFonts w:ascii="Arial" w:cs="Arial" w:eastAsia="Arial" w:hAnsi="Arial"/>
          <w:sz w:val="20"/>
          <w:szCs w:val="20"/>
          <w:color w:val="auto"/>
        </w:rPr>
      </w:pPr>
    </w:p>
    <w:p>
      <w:pPr>
        <w:ind w:left="660" w:hanging="652"/>
        <w:spacing w:after="0" w:line="222" w:lineRule="auto"/>
        <w:tabs>
          <w:tab w:leader="none" w:pos="52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Bicycles and other vehicles are not permitted inside the Building or on the walkways outside the Building, except in areas, if any, designated by Landlord.</w:t>
      </w:r>
    </w:p>
    <w:p>
      <w:pPr>
        <w:spacing w:after="0" w:line="195" w:lineRule="exact"/>
        <w:rPr>
          <w:rFonts w:ascii="Arial" w:cs="Arial" w:eastAsia="Arial" w:hAnsi="Arial"/>
          <w:sz w:val="20"/>
          <w:szCs w:val="20"/>
          <w:color w:val="auto"/>
        </w:rPr>
      </w:pPr>
    </w:p>
    <w:p>
      <w:pPr>
        <w:ind w:left="660" w:hanging="652"/>
        <w:spacing w:after="0" w:line="213" w:lineRule="auto"/>
        <w:tabs>
          <w:tab w:leader="none" w:pos="529"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Landlord may from time to time adopt systems and procedures for the security and safety of the Building and Property, its occupants, entry, use and contents. Tenant, its agents, employees, contractors, guests and invitees shall comply with Landlord’s systems and procedures.</w:t>
      </w:r>
    </w:p>
    <w:p>
      <w:pPr>
        <w:spacing w:after="0" w:line="197" w:lineRule="exact"/>
        <w:rPr>
          <w:rFonts w:ascii="Arial" w:cs="Arial" w:eastAsia="Arial" w:hAnsi="Arial"/>
          <w:sz w:val="20"/>
          <w:szCs w:val="20"/>
          <w:color w:val="auto"/>
        </w:rPr>
      </w:pPr>
    </w:p>
    <w:p>
      <w:pPr>
        <w:ind w:left="660" w:hanging="652"/>
        <w:spacing w:after="0" w:line="220" w:lineRule="auto"/>
        <w:tabs>
          <w:tab w:leader="none" w:pos="53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Neither Tenant nor its agents, employees, contractors, guests or invitees shall smoke or permit smoking in the Building or the Common Areas, unless a portion of the Common Areas have been declared a designated smoking area by Landlord, nor shall the above parties allow smoke from the Premises to emanate into the Common Areas or any other part of the Building. Landlord shall have the right to designate the Building (including the Premises) as a non-smoking building.</w:t>
      </w:r>
    </w:p>
    <w:p>
      <w:pPr>
        <w:spacing w:after="0" w:line="197" w:lineRule="exact"/>
        <w:rPr>
          <w:rFonts w:ascii="Arial" w:cs="Arial" w:eastAsia="Arial" w:hAnsi="Arial"/>
          <w:sz w:val="19"/>
          <w:szCs w:val="19"/>
          <w:color w:val="auto"/>
        </w:rPr>
      </w:pPr>
    </w:p>
    <w:p>
      <w:pPr>
        <w:ind w:left="660" w:hanging="652"/>
        <w:spacing w:after="0" w:line="209" w:lineRule="auto"/>
        <w:tabs>
          <w:tab w:leader="none" w:pos="52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Landlord shall have the right to designate and approve standard window coverings for the Premises and to establish rules to assure that the Building presents a uniform exterior appearance. Tenant shall ensure, to the extent reasonably practicable, that window coverings are closed on windows in the Premises while they are exposed to the direct rays of the sun.</w:t>
      </w:r>
    </w:p>
    <w:p>
      <w:pPr>
        <w:spacing w:after="0" w:line="197" w:lineRule="exact"/>
        <w:rPr>
          <w:rFonts w:ascii="Arial" w:cs="Arial" w:eastAsia="Arial" w:hAnsi="Arial"/>
          <w:sz w:val="20"/>
          <w:szCs w:val="20"/>
          <w:color w:val="auto"/>
        </w:rPr>
      </w:pPr>
    </w:p>
    <w:p>
      <w:pPr>
        <w:ind w:left="660" w:hanging="652"/>
        <w:spacing w:after="0" w:line="209" w:lineRule="auto"/>
        <w:tabs>
          <w:tab w:leader="none" w:pos="58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Deliveries to and from the Premises shall be made only at the times, in the areas and through the entrances and exits reasonably designated by Landlord. Tenant shall not make deliveries to or from the Premises in a manner that might interfere with the use by any other tenant of its premises or of the Common Areas, any pedestrian use, or any use which is inconsistent with good business practice.</w:t>
      </w:r>
    </w:p>
    <w:p>
      <w:pPr>
        <w:spacing w:after="0" w:line="197" w:lineRule="exact"/>
        <w:rPr>
          <w:rFonts w:ascii="Arial" w:cs="Arial" w:eastAsia="Arial" w:hAnsi="Arial"/>
          <w:sz w:val="20"/>
          <w:szCs w:val="20"/>
          <w:color w:val="auto"/>
        </w:rPr>
      </w:pPr>
    </w:p>
    <w:p>
      <w:pPr>
        <w:ind w:left="660" w:hanging="652"/>
        <w:spacing w:after="0" w:line="213" w:lineRule="auto"/>
        <w:tabs>
          <w:tab w:leader="none" w:pos="5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work of cleaning personnel shall not be hindered by Tenant after 5:30 p.m., and cleaning work may be done at any time when the offices are vacant. Windows, doors and fixtures may be cleaned at any time. Tenant shall provide adequate waste and rubbish receptacles to prevent unreasonable hardship to the cleaning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E</w:t>
      </w: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9"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0"/>
          <w:szCs w:val="20"/>
          <w:b w:val="1"/>
          <w:bCs w:val="1"/>
          <w:color w:val="auto"/>
        </w:rPr>
        <w:t>EXHIBIT 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ADDITIONAL PROVISIONS</w:t>
      </w:r>
    </w:p>
    <w:p>
      <w:pPr>
        <w:spacing w:after="0" w:line="20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EQC CAPITOL</w:t>
      </w:r>
      <w:r>
        <w:rPr>
          <w:rFonts w:ascii="Arial" w:cs="Arial" w:eastAsia="Arial" w:hAnsi="Arial"/>
          <w:sz w:val="20"/>
          <w:szCs w:val="20"/>
          <w:color w:val="auto"/>
        </w:rPr>
        <w:t xml:space="preserve"> </w:t>
      </w:r>
      <w:r>
        <w:rPr>
          <w:rFonts w:ascii="Arial" w:cs="Arial" w:eastAsia="Arial" w:hAnsi="Arial"/>
          <w:sz w:val="20"/>
          <w:szCs w:val="20"/>
          <w:b w:val="1"/>
          <w:bCs w:val="1"/>
          <w:color w:val="auto"/>
        </w:rPr>
        <w:t>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CROWDSTRIKE,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for space in the Building (as defined in the Lease) located at 206 East 9th Street, Austin, Texas. Capitalized terms used but not defined herein shall have the meanings given in the Lease.</w:t>
      </w:r>
    </w:p>
    <w:p>
      <w:pPr>
        <w:spacing w:after="0" w:line="171"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RENEWAL OPTION</w:t>
      </w:r>
      <w:r>
        <w:rPr>
          <w:rFonts w:ascii="Arial" w:cs="Arial" w:eastAsia="Arial" w:hAnsi="Arial"/>
          <w:sz w:val="20"/>
          <w:szCs w:val="20"/>
          <w:color w:val="auto"/>
        </w:rPr>
        <w:t>.</w:t>
      </w:r>
    </w:p>
    <w:p>
      <w:pPr>
        <w:spacing w:after="0" w:line="175" w:lineRule="exact"/>
        <w:rPr>
          <w:rFonts w:ascii="Arial" w:cs="Arial" w:eastAsia="Arial" w:hAnsi="Arial"/>
          <w:sz w:val="20"/>
          <w:szCs w:val="20"/>
          <w:b w:val="1"/>
          <w:bCs w:val="1"/>
          <w:color w:val="auto"/>
        </w:rPr>
      </w:pPr>
    </w:p>
    <w:p>
      <w:pPr>
        <w:jc w:val="both"/>
        <w:ind w:firstLine="656"/>
        <w:spacing w:after="0" w:line="222" w:lineRule="auto"/>
        <w:tabs>
          <w:tab w:leader="none" w:pos="1294" w:val="left"/>
        </w:tabs>
        <w:numPr>
          <w:ilvl w:val="1"/>
          <w:numId w:val="125"/>
        </w:numPr>
        <w:rPr>
          <w:rFonts w:ascii="Arial" w:cs="Arial" w:eastAsia="Arial" w:hAnsi="Arial"/>
          <w:sz w:val="20"/>
          <w:szCs w:val="20"/>
          <w:color w:val="auto"/>
        </w:rPr>
      </w:pPr>
      <w:r>
        <w:rPr>
          <w:rFonts w:ascii="Arial" w:cs="Arial" w:eastAsia="Arial" w:hAnsi="Arial"/>
          <w:sz w:val="20"/>
          <w:szCs w:val="20"/>
          <w:b w:val="1"/>
          <w:bCs w:val="1"/>
          <w:color w:val="auto"/>
        </w:rPr>
        <w:t>Grant of Option; Conditions</w:t>
      </w:r>
      <w:r>
        <w:rPr>
          <w:rFonts w:ascii="Arial" w:cs="Arial" w:eastAsia="Arial" w:hAnsi="Arial"/>
          <w:sz w:val="20"/>
          <w:szCs w:val="20"/>
          <w:color w:val="auto"/>
        </w:rPr>
        <w:t>. Tenant shall have the right to extend the Term (the "</w:t>
      </w:r>
      <w:r>
        <w:rPr>
          <w:rFonts w:ascii="Arial" w:cs="Arial" w:eastAsia="Arial" w:hAnsi="Arial"/>
          <w:sz w:val="20"/>
          <w:szCs w:val="20"/>
          <w:b w:val="1"/>
          <w:bCs w:val="1"/>
          <w:color w:val="auto"/>
        </w:rPr>
        <w:t>Renewal Option</w:t>
      </w:r>
      <w:r>
        <w:rPr>
          <w:rFonts w:ascii="Arial" w:cs="Arial" w:eastAsia="Arial" w:hAnsi="Arial"/>
          <w:sz w:val="20"/>
          <w:szCs w:val="20"/>
          <w:color w:val="auto"/>
        </w:rPr>
        <w:t>") for one</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period of five (5) years commencing on the day following the Termination Date of the initial Term and ending on the fifth (5th) anniversary of the Termination Date (the "</w:t>
      </w:r>
      <w:r>
        <w:rPr>
          <w:rFonts w:ascii="Arial" w:cs="Arial" w:eastAsia="Arial" w:hAnsi="Arial"/>
          <w:sz w:val="20"/>
          <w:szCs w:val="20"/>
          <w:b w:val="1"/>
          <w:bCs w:val="1"/>
          <w:color w:val="auto"/>
        </w:rPr>
        <w:t>Renewal Term</w:t>
      </w:r>
      <w:r>
        <w:rPr>
          <w:rFonts w:ascii="Arial" w:cs="Arial" w:eastAsia="Arial" w:hAnsi="Arial"/>
          <w:sz w:val="20"/>
          <w:szCs w:val="20"/>
          <w:color w:val="auto"/>
        </w:rPr>
        <w:t>"), if:</w:t>
      </w:r>
    </w:p>
    <w:p>
      <w:pPr>
        <w:spacing w:after="0" w:line="144" w:lineRule="exact"/>
        <w:rPr>
          <w:rFonts w:ascii="Arial" w:cs="Arial" w:eastAsia="Arial" w:hAnsi="Arial"/>
          <w:sz w:val="20"/>
          <w:szCs w:val="20"/>
          <w:color w:val="auto"/>
        </w:rPr>
      </w:pPr>
    </w:p>
    <w:p>
      <w:pPr>
        <w:jc w:val="both"/>
        <w:ind w:left="660" w:firstLine="644"/>
        <w:spacing w:after="0" w:line="222"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Landlord receives notice of exercise ("</w:t>
      </w:r>
      <w:r>
        <w:rPr>
          <w:rFonts w:ascii="Arial" w:cs="Arial" w:eastAsia="Arial" w:hAnsi="Arial"/>
          <w:sz w:val="20"/>
          <w:szCs w:val="20"/>
          <w:b w:val="1"/>
          <w:bCs w:val="1"/>
          <w:color w:val="auto"/>
        </w:rPr>
        <w:t>Initial Renewal Notice</w:t>
      </w:r>
      <w:r>
        <w:rPr>
          <w:rFonts w:ascii="Arial" w:cs="Arial" w:eastAsia="Arial" w:hAnsi="Arial"/>
          <w:sz w:val="20"/>
          <w:szCs w:val="20"/>
          <w:color w:val="auto"/>
        </w:rPr>
        <w:t>") not less than 12 full calendar months prior to the expiration of the initial Term and not more than 15 full calendar months prior to the expiration of the initial Term; and</w:t>
      </w:r>
    </w:p>
    <w:p>
      <w:pPr>
        <w:spacing w:after="0" w:line="168" w:lineRule="exact"/>
        <w:rPr>
          <w:rFonts w:ascii="Arial" w:cs="Arial" w:eastAsia="Arial" w:hAnsi="Arial"/>
          <w:sz w:val="20"/>
          <w:szCs w:val="20"/>
          <w:color w:val="auto"/>
        </w:rPr>
      </w:pPr>
    </w:p>
    <w:p>
      <w:pPr>
        <w:jc w:val="both"/>
        <w:ind w:left="660" w:firstLine="644"/>
        <w:spacing w:after="0" w:line="213"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No Material Default exists at the time that Tenant delivers its Initial Renewal Notice or at the time Tenant delivers its Binding Notice (as defined below). unless Landlord, in its sole and absolute discretion, otherwise agrees in writing; and</w:t>
      </w:r>
    </w:p>
    <w:p>
      <w:pPr>
        <w:spacing w:after="0" w:line="170" w:lineRule="exact"/>
        <w:rPr>
          <w:rFonts w:ascii="Arial" w:cs="Arial" w:eastAsia="Arial" w:hAnsi="Arial"/>
          <w:sz w:val="20"/>
          <w:szCs w:val="20"/>
          <w:color w:val="auto"/>
        </w:rPr>
      </w:pPr>
    </w:p>
    <w:p>
      <w:pPr>
        <w:jc w:val="both"/>
        <w:ind w:left="660" w:firstLine="644"/>
        <w:spacing w:after="0" w:line="234" w:lineRule="auto"/>
        <w:tabs>
          <w:tab w:leader="none" w:pos="1945" w:val="left"/>
        </w:tabs>
        <w:numPr>
          <w:ilvl w:val="2"/>
          <w:numId w:val="125"/>
        </w:numPr>
        <w:rPr>
          <w:rFonts w:ascii="Arial" w:cs="Arial" w:eastAsia="Arial" w:hAnsi="Arial"/>
          <w:sz w:val="19"/>
          <w:szCs w:val="19"/>
          <w:color w:val="auto"/>
        </w:rPr>
      </w:pPr>
      <w:r>
        <w:rPr>
          <w:rFonts w:ascii="Arial" w:cs="Arial" w:eastAsia="Arial" w:hAnsi="Arial"/>
          <w:sz w:val="19"/>
          <w:szCs w:val="19"/>
          <w:color w:val="auto"/>
        </w:rPr>
        <w:t>No part of the Premises is sublet (other than pursuant to a Permitted Transfer, as defined in Article 11 of the Lease) at the time that Tenant delivers its Initial Renewal Notice or at the time Tenant delivers its Binding Notice; and</w:t>
      </w:r>
    </w:p>
    <w:p>
      <w:pPr>
        <w:spacing w:after="0" w:line="167" w:lineRule="exact"/>
        <w:rPr>
          <w:rFonts w:ascii="Arial" w:cs="Arial" w:eastAsia="Arial" w:hAnsi="Arial"/>
          <w:sz w:val="19"/>
          <w:szCs w:val="19"/>
          <w:color w:val="auto"/>
        </w:rPr>
      </w:pPr>
    </w:p>
    <w:p>
      <w:pPr>
        <w:jc w:val="both"/>
        <w:ind w:left="660" w:firstLine="644"/>
        <w:spacing w:after="0" w:line="213"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The Lease has not been assigned (other than pursuant to a Permitted Transfer, as defined in Article 11 of the Lease) prior to the date that Tenant delivers its Initial Renewal Notice or prior to the date Tenant delivers its Binding Notice; and</w:t>
      </w:r>
    </w:p>
    <w:p>
      <w:pPr>
        <w:spacing w:after="0" w:line="170" w:lineRule="exact"/>
        <w:rPr>
          <w:rFonts w:ascii="Arial" w:cs="Arial" w:eastAsia="Arial" w:hAnsi="Arial"/>
          <w:sz w:val="20"/>
          <w:szCs w:val="20"/>
          <w:color w:val="auto"/>
        </w:rPr>
      </w:pPr>
    </w:p>
    <w:p>
      <w:pPr>
        <w:ind w:left="660" w:firstLine="644"/>
        <w:spacing w:after="0" w:line="222"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The Lease is in full force and effect at the time that Tenant delivers its Initial Renewal Notice and at the time Tenant delivers its Binding Notice.</w:t>
      </w:r>
    </w:p>
    <w:p>
      <w:pPr>
        <w:spacing w:after="0" w:line="144" w:lineRule="exact"/>
        <w:rPr>
          <w:rFonts w:ascii="Arial" w:cs="Arial" w:eastAsia="Arial" w:hAnsi="Arial"/>
          <w:sz w:val="20"/>
          <w:szCs w:val="20"/>
          <w:color w:val="auto"/>
        </w:rPr>
      </w:pPr>
    </w:p>
    <w:p>
      <w:pPr>
        <w:ind w:left="1300" w:hanging="644"/>
        <w:spacing w:after="0"/>
        <w:tabs>
          <w:tab w:leader="none" w:pos="1300" w:val="left"/>
        </w:tabs>
        <w:numPr>
          <w:ilvl w:val="1"/>
          <w:numId w:val="125"/>
        </w:numPr>
        <w:rPr>
          <w:rFonts w:ascii="Arial" w:cs="Arial" w:eastAsia="Arial" w:hAnsi="Arial"/>
          <w:sz w:val="20"/>
          <w:szCs w:val="20"/>
          <w:color w:val="auto"/>
        </w:rPr>
      </w:pPr>
      <w:r>
        <w:rPr>
          <w:rFonts w:ascii="Arial" w:cs="Arial" w:eastAsia="Arial" w:hAnsi="Arial"/>
          <w:sz w:val="20"/>
          <w:szCs w:val="20"/>
          <w:b w:val="1"/>
          <w:bCs w:val="1"/>
          <w:color w:val="auto"/>
        </w:rPr>
        <w:t>Terms Applicable to Premises During Renewal Term</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660" w:firstLine="644"/>
        <w:spacing w:after="0" w:line="207"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The initial Base Rent rate per rentable square foot for the Premises during the Renewal Term shall equal the Prevailing Market (hereinafter defined) rate per rentable square foot for the Premises. Base Rent during the Renewal Term shall increase, if at all, in accordance with the increases assumed in the determination of Prevailing Market rate. Base Rent attributable to the Premises shall be payable in monthly installments in accordance with the terms and conditions of Article 4 of the Lease.</w:t>
      </w:r>
    </w:p>
    <w:p>
      <w:pPr>
        <w:spacing w:after="0" w:line="169" w:lineRule="exact"/>
        <w:rPr>
          <w:rFonts w:ascii="Arial" w:cs="Arial" w:eastAsia="Arial" w:hAnsi="Arial"/>
          <w:sz w:val="20"/>
          <w:szCs w:val="20"/>
          <w:color w:val="auto"/>
        </w:rPr>
      </w:pPr>
    </w:p>
    <w:p>
      <w:pPr>
        <w:jc w:val="both"/>
        <w:ind w:left="660" w:firstLine="644"/>
        <w:spacing w:after="0" w:line="209"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Tenant shall pay Additional Rent (i.e., Expense Rent and Tax Rent) for the Premises during the Renewal Term in accordance with Article 4 and Exhibit B of the Lease, and the manner and method in which Tenant reimburses Landlord for Tenant's share of Taxes and Expenses and the base year, if any, applicable to such matter, shall be some of the factors considered in determining the Prevailing Market rate for the Renewal Term.</w:t>
      </w:r>
    </w:p>
    <w:p>
      <w:pPr>
        <w:spacing w:after="0" w:line="170" w:lineRule="exact"/>
        <w:rPr>
          <w:rFonts w:ascii="Arial" w:cs="Arial" w:eastAsia="Arial" w:hAnsi="Arial"/>
          <w:sz w:val="20"/>
          <w:szCs w:val="20"/>
          <w:color w:val="auto"/>
        </w:rPr>
      </w:pPr>
    </w:p>
    <w:p>
      <w:pPr>
        <w:ind w:left="660" w:right="20" w:firstLine="644"/>
        <w:spacing w:after="0" w:line="222" w:lineRule="auto"/>
        <w:tabs>
          <w:tab w:leader="none" w:pos="1945" w:val="left"/>
        </w:tabs>
        <w:numPr>
          <w:ilvl w:val="2"/>
          <w:numId w:val="125"/>
        </w:numPr>
        <w:rPr>
          <w:rFonts w:ascii="Arial" w:cs="Arial" w:eastAsia="Arial" w:hAnsi="Arial"/>
          <w:sz w:val="20"/>
          <w:szCs w:val="20"/>
          <w:color w:val="auto"/>
        </w:rPr>
      </w:pPr>
      <w:r>
        <w:rPr>
          <w:rFonts w:ascii="Arial" w:cs="Arial" w:eastAsia="Arial" w:hAnsi="Arial"/>
          <w:sz w:val="20"/>
          <w:szCs w:val="20"/>
          <w:color w:val="auto"/>
        </w:rPr>
        <w:t>The Renewal Term shall otherwise be upon the same terms, covenants, conditions, provisions and agreements contained in the Lease, except as expressly set forth in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5" w:right="339" w:bottom="1440" w:gutter="0" w:footer="0" w:header="0"/>
        </w:sectPr>
      </w:pPr>
    </w:p>
    <w:bookmarkStart w:id="173" w:name="page174"/>
    <w:bookmarkEnd w:id="173"/>
    <w:p>
      <w:pPr>
        <w:jc w:val="both"/>
        <w:ind w:firstLine="656"/>
        <w:spacing w:after="0" w:line="203" w:lineRule="auto"/>
        <w:tabs>
          <w:tab w:leader="none" w:pos="1291" w:val="left"/>
        </w:tabs>
        <w:numPr>
          <w:ilvl w:val="0"/>
          <w:numId w:val="126"/>
        </w:numPr>
        <w:rPr>
          <w:rFonts w:ascii="Arial" w:cs="Arial" w:eastAsia="Arial" w:hAnsi="Arial"/>
          <w:sz w:val="20"/>
          <w:szCs w:val="20"/>
          <w:color w:val="auto"/>
        </w:rPr>
      </w:pPr>
      <w:r>
        <w:rPr>
          <w:rFonts w:ascii="Arial" w:cs="Arial" w:eastAsia="Arial" w:hAnsi="Arial"/>
          <w:sz w:val="20"/>
          <w:szCs w:val="20"/>
          <w:b w:val="1"/>
          <w:bCs w:val="1"/>
          <w:color w:val="auto"/>
        </w:rPr>
        <w:t>Procedure for Determining Prevailing Market</w:t>
      </w:r>
      <w:r>
        <w:rPr>
          <w:rFonts w:ascii="Arial" w:cs="Arial" w:eastAsia="Arial" w:hAnsi="Arial"/>
          <w:sz w:val="20"/>
          <w:szCs w:val="20"/>
          <w:color w:val="auto"/>
        </w:rPr>
        <w:t>. Within 30 days after receipt of Tenant's Initial Renewal Notice,</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shall advise Tenant in writing of the applicable Base Rent rate for the Premises for the Renewal Term. Tenant, within 30 days after the date on which Landlord advises Tenant of the Base Rent rate for the Renewal Term, shall either (i) give Landlord final binding written notice ("</w:t>
      </w:r>
      <w:r>
        <w:rPr>
          <w:rFonts w:ascii="Arial" w:cs="Arial" w:eastAsia="Arial" w:hAnsi="Arial"/>
          <w:sz w:val="20"/>
          <w:szCs w:val="20"/>
          <w:b w:val="1"/>
          <w:bCs w:val="1"/>
          <w:color w:val="auto"/>
        </w:rPr>
        <w:t>Binding Notice</w:t>
      </w:r>
      <w:r>
        <w:rPr>
          <w:rFonts w:ascii="Arial" w:cs="Arial" w:eastAsia="Arial" w:hAnsi="Arial"/>
          <w:sz w:val="20"/>
          <w:szCs w:val="20"/>
          <w:color w:val="auto"/>
        </w:rPr>
        <w:t>") of Tenant's exercise of its Renewal Option, or (ii) if Tenant disagrees with Landlord's determination, provide Landlord with written notice of rejection (the "</w:t>
      </w:r>
      <w:r>
        <w:rPr>
          <w:rFonts w:ascii="Arial" w:cs="Arial" w:eastAsia="Arial" w:hAnsi="Arial"/>
          <w:sz w:val="20"/>
          <w:szCs w:val="20"/>
          <w:b w:val="1"/>
          <w:bCs w:val="1"/>
          <w:color w:val="auto"/>
        </w:rPr>
        <w:t>Rejection Notice</w:t>
      </w:r>
      <w:r>
        <w:rPr>
          <w:rFonts w:ascii="Arial" w:cs="Arial" w:eastAsia="Arial" w:hAnsi="Arial"/>
          <w:sz w:val="20"/>
          <w:szCs w:val="20"/>
          <w:color w:val="auto"/>
        </w:rPr>
        <w:t>"). If Tenant fails to provide Landlord with either a Binding Notice or Rejection Notice within such 30-day period, Tenant's Renewal Option shall be null and void and of no further force and effect. If Tenant provides Landlord with a Binding Notice within such 30-day period, Landlord and Tenant shall enter into the Renewal Amendment (as defined below) upon the terms and conditions set forth herein. If Tenant provides Landlord with a Rejection Notice, Landlord and Tenant shall work together in good faith for a period of 15 days to agree upon the Prevailing Market rate for the Premises for the Renewal Term. Upon agreement Tenant shall provide Landlord with Binding Notice and Landlord and Tenant shall enter into the Renewal Amendment in accordance with the terms and conditions hereof.</w:t>
      </w:r>
    </w:p>
    <w:p>
      <w:pPr>
        <w:spacing w:after="0" w:line="174"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If Landlord and Tenant fail to agree upon the Prevailing Market rate within such 15-day period, Tenant, by written notice to Landlord in writing (the "</w:t>
      </w:r>
      <w:r>
        <w:rPr>
          <w:rFonts w:ascii="Arial" w:cs="Arial" w:eastAsia="Arial" w:hAnsi="Arial"/>
          <w:sz w:val="20"/>
          <w:szCs w:val="20"/>
          <w:b w:val="1"/>
          <w:bCs w:val="1"/>
          <w:color w:val="auto"/>
        </w:rPr>
        <w:t>Broker Notice</w:t>
      </w:r>
      <w:r>
        <w:rPr>
          <w:rFonts w:ascii="Arial" w:cs="Arial" w:eastAsia="Arial" w:hAnsi="Arial"/>
          <w:sz w:val="20"/>
          <w:szCs w:val="20"/>
          <w:color w:val="auto"/>
        </w:rPr>
        <w:t>") within 5 days after the expiration of such 15-day period, shall have the right to have the Prevailing Market rate determined in accordance with the following procedures. Upon Tenant’s delivering the Broker Notice to Landlord, Tenant shall be deemed to have irrevocably exercised the Renewal Option. If Tenant fails to timely deliver the notice to Landlord, Tenant's Renewal Option shall be deemed to be null and void and of no further force and effect. If Tenant provides Landlord with a Broker Notice, Landlord and Tenant, within 10 days after the date of the Broker Notice, shall each simultaneously submit to the other, in a sealed envelope, its good faith estimate of the Prevailing Market rate (collectively referred to as the "</w:t>
      </w:r>
      <w:r>
        <w:rPr>
          <w:rFonts w:ascii="Arial" w:cs="Arial" w:eastAsia="Arial" w:hAnsi="Arial"/>
          <w:sz w:val="20"/>
          <w:szCs w:val="20"/>
          <w:b w:val="1"/>
          <w:bCs w:val="1"/>
          <w:color w:val="auto"/>
        </w:rPr>
        <w:t>Estimates</w:t>
      </w:r>
      <w:r>
        <w:rPr>
          <w:rFonts w:ascii="Arial" w:cs="Arial" w:eastAsia="Arial" w:hAnsi="Arial"/>
          <w:sz w:val="20"/>
          <w:szCs w:val="20"/>
          <w:color w:val="auto"/>
        </w:rPr>
        <w:t>"). If the higher Estimate is less than or equal to 103% of the lower Estimate, the Prevailing Market rate shall be the average of the Estimates.</w:t>
      </w:r>
    </w:p>
    <w:p>
      <w:pPr>
        <w:spacing w:after="0" w:line="175" w:lineRule="exact"/>
        <w:rPr>
          <w:sz w:val="20"/>
          <w:szCs w:val="20"/>
          <w:color w:val="auto"/>
        </w:rPr>
      </w:pPr>
    </w:p>
    <w:p>
      <w:pPr>
        <w:jc w:val="both"/>
        <w:spacing w:after="0" w:line="222" w:lineRule="auto"/>
        <w:rPr>
          <w:sz w:val="20"/>
          <w:szCs w:val="20"/>
          <w:color w:val="auto"/>
        </w:rPr>
      </w:pPr>
      <w:r>
        <w:rPr>
          <w:rFonts w:ascii="Arial" w:cs="Arial" w:eastAsia="Arial" w:hAnsi="Arial"/>
          <w:sz w:val="19"/>
          <w:szCs w:val="19"/>
          <w:color w:val="auto"/>
        </w:rPr>
        <w:t>If the Prevailing Market rate is not resolved by the exchange of Estimates, Landlord and Tenant, within 7 days after the exchange of Estimates, shall each select a real estate broker to determine which of the two Estimates more closely reflects the Prevailing Market rate. Each real estate broker selected by either Landlord or Tenant shall be a broker licensed in Austin, Texas, with at least 10 years continuous experience in the commercial leasing market in Austin, Texas, and shall have a working knowledge of current rental rates and practices for commercial office properties in the Austin, Texas Central Business District. Upon selection, Landlord's and Tenant's real estate brokers shall work together in good faith to agree upon which of the two Estimates more closely reflects the Prevailing Market rate for the Premises for the Renewal Term. The Estimate chosen by such real estate brokers shall be binding on both Landlord and Tenant as the Prevailing Market rate for the Premises during the Renewal Term. If either Landlord or Tenant fails to appoint a real estate broker within the 7-day period referred to above, the real estate broker appointed by the other party shall be the sole real estate broker for the purposes hereof and shall determine which Estimate more closely reflects the Prevailing Market rate for the Premises. If the two real estate brokers cannot agree upon which of the two Estimates more closely reflects the Prevailing Market rate within the 15 days after their appointment, then, within 10 days after the expiration of such 15-day period, the two real estate brokers shall select a third real estate broker meeting the aforementioned criteria. Once the third real estate broker has been selected as provided for above, then, as soon thereafter as practicable, but in any case within 14 days, the third real estate broker shall make his or her determination of which of the two Estimates more closely reflects the Prevailing Market rate and such Estimate shall be binding on both Landlord and Tenant as the Prevailing Market rate for the Premises during the Renewal Term. The parties shall share equally in the costs of the third real estate broker. Any fees of any real estate broker, counsel or experts engaged directly by Landlord or Tenant, however, shall be borne by the party retaining such real estate broker, counsel or expert.</w:t>
      </w:r>
    </w:p>
    <w:p>
      <w:pPr>
        <w:spacing w:after="0" w:line="169"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In the event that the Prevailing Market rate has not been determined by the commencement date of the Renewal Term, Tenant shall pay Base Rent upon the terms and conditions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95" w:right="339" w:bottom="1440" w:gutter="0" w:footer="0" w:header="0"/>
        </w:sectPr>
      </w:pPr>
    </w:p>
    <w:bookmarkStart w:id="174" w:name="page175"/>
    <w:bookmarkEnd w:id="174"/>
    <w:p>
      <w:pPr>
        <w:jc w:val="both"/>
        <w:spacing w:after="0" w:line="204" w:lineRule="auto"/>
        <w:rPr>
          <w:sz w:val="20"/>
          <w:szCs w:val="20"/>
          <w:color w:val="auto"/>
        </w:rPr>
      </w:pPr>
      <w:r>
        <w:rPr>
          <w:rFonts w:ascii="Arial" w:cs="Arial" w:eastAsia="Arial" w:hAnsi="Arial"/>
          <w:sz w:val="20"/>
          <w:szCs w:val="20"/>
          <w:color w:val="auto"/>
        </w:rPr>
        <w:t>for the Premises during the final month of the initial Term until such time as the Prevailing Market rate has been determined. Upon such determination, the Base Rent for the Premises shall be retroactively adjusted to the commencement of the Renewal Term for the Premises. If such adjustment results in an underpayment of Base Rent by Tenant, Tenant shall pay Landlord the amount of such underpayment within 30 days after the determination thereof. If such adjustment results in an overpayment of Base Rent by Tenant, Landlord shall credit such overpayment against the next installment of Base Rent due under the Lease and, to the extent necessary, any subsequent installments until the entire amount of such overpayment has been credited against Base Rent.</w:t>
      </w:r>
    </w:p>
    <w:p>
      <w:pPr>
        <w:spacing w:after="0" w:line="147" w:lineRule="exact"/>
        <w:rPr>
          <w:sz w:val="20"/>
          <w:szCs w:val="20"/>
          <w:color w:val="auto"/>
        </w:rPr>
      </w:pPr>
    </w:p>
    <w:p>
      <w:pPr>
        <w:jc w:val="both"/>
        <w:ind w:firstLine="656"/>
        <w:spacing w:after="0" w:line="209" w:lineRule="auto"/>
        <w:tabs>
          <w:tab w:leader="none" w:pos="1291" w:val="left"/>
        </w:tabs>
        <w:numPr>
          <w:ilvl w:val="1"/>
          <w:numId w:val="127"/>
        </w:numPr>
        <w:rPr>
          <w:rFonts w:ascii="Arial" w:cs="Arial" w:eastAsia="Arial" w:hAnsi="Arial"/>
          <w:sz w:val="20"/>
          <w:szCs w:val="20"/>
          <w:color w:val="auto"/>
        </w:rPr>
      </w:pPr>
      <w:r>
        <w:rPr>
          <w:rFonts w:ascii="Arial" w:cs="Arial" w:eastAsia="Arial" w:hAnsi="Arial"/>
          <w:sz w:val="20"/>
          <w:szCs w:val="20"/>
          <w:b w:val="1"/>
          <w:bCs w:val="1"/>
          <w:color w:val="auto"/>
        </w:rPr>
        <w:t>Renewal Amendment</w:t>
      </w:r>
      <w:r>
        <w:rPr>
          <w:rFonts w:ascii="Arial" w:cs="Arial" w:eastAsia="Arial" w:hAnsi="Arial"/>
          <w:sz w:val="20"/>
          <w:szCs w:val="20"/>
          <w:color w:val="auto"/>
        </w:rPr>
        <w:t>. If Tenant is entitled to and properly exercises its Renewal Option, Landlord shall prepare</w:t>
      </w:r>
      <w:r>
        <w:rPr>
          <w:rFonts w:ascii="Arial" w:cs="Arial" w:eastAsia="Arial" w:hAnsi="Arial"/>
          <w:sz w:val="20"/>
          <w:szCs w:val="20"/>
          <w:b w:val="1"/>
          <w:bCs w:val="1"/>
          <w:color w:val="auto"/>
        </w:rPr>
        <w:t xml:space="preserve"> </w:t>
      </w:r>
      <w:r>
        <w:rPr>
          <w:rFonts w:ascii="Arial" w:cs="Arial" w:eastAsia="Arial" w:hAnsi="Arial"/>
          <w:sz w:val="20"/>
          <w:szCs w:val="20"/>
          <w:color w:val="auto"/>
        </w:rPr>
        <w:t>an amendment (the "</w:t>
      </w:r>
      <w:r>
        <w:rPr>
          <w:rFonts w:ascii="Arial" w:cs="Arial" w:eastAsia="Arial" w:hAnsi="Arial"/>
          <w:sz w:val="20"/>
          <w:szCs w:val="20"/>
          <w:b w:val="1"/>
          <w:bCs w:val="1"/>
          <w:color w:val="auto"/>
        </w:rPr>
        <w:t>Renewal Amendment</w:t>
      </w:r>
      <w:r>
        <w:rPr>
          <w:rFonts w:ascii="Arial" w:cs="Arial" w:eastAsia="Arial" w:hAnsi="Arial"/>
          <w:sz w:val="20"/>
          <w:szCs w:val="20"/>
          <w:color w:val="auto"/>
        </w:rPr>
        <w:t>") to reflect changes in the Base Rent, Term, Termination Date and other appropriate terms. The Renewal Amendment shall be sent to Tenant within a reasonable time after receipt of the Binding Notice and Tenant shall execute and return the Renewal Amendment to Landlord within 15 days after Tenant's receipt of same, but, upon final determination of the Prevailing Market rate applicable during the Renewal Term as described herein, an otherwise valid exercise of the Renewal Option shall be fully effective whether or not the Renewal Amendment is executed.</w:t>
      </w:r>
    </w:p>
    <w:p>
      <w:pPr>
        <w:spacing w:after="0" w:line="148" w:lineRule="exact"/>
        <w:rPr>
          <w:rFonts w:ascii="Arial" w:cs="Arial" w:eastAsia="Arial" w:hAnsi="Arial"/>
          <w:sz w:val="20"/>
          <w:szCs w:val="20"/>
          <w:color w:val="auto"/>
        </w:rPr>
      </w:pPr>
    </w:p>
    <w:p>
      <w:pPr>
        <w:jc w:val="both"/>
        <w:ind w:firstLine="656"/>
        <w:spacing w:after="0" w:line="203" w:lineRule="auto"/>
        <w:tabs>
          <w:tab w:leader="none" w:pos="1294" w:val="left"/>
        </w:tabs>
        <w:numPr>
          <w:ilvl w:val="1"/>
          <w:numId w:val="127"/>
        </w:numPr>
        <w:rPr>
          <w:rFonts w:ascii="Arial" w:cs="Arial" w:eastAsia="Arial" w:hAnsi="Arial"/>
          <w:sz w:val="20"/>
          <w:szCs w:val="20"/>
          <w:color w:val="auto"/>
        </w:rPr>
      </w:pPr>
      <w:r>
        <w:rPr>
          <w:rFonts w:ascii="Arial" w:cs="Arial" w:eastAsia="Arial" w:hAnsi="Arial"/>
          <w:sz w:val="20"/>
          <w:szCs w:val="20"/>
          <w:b w:val="1"/>
          <w:bCs w:val="1"/>
          <w:color w:val="auto"/>
        </w:rPr>
        <w:t>Definition of Prevailing Market</w:t>
      </w:r>
      <w:r>
        <w:rPr>
          <w:rFonts w:ascii="Arial" w:cs="Arial" w:eastAsia="Arial" w:hAnsi="Arial"/>
          <w:sz w:val="20"/>
          <w:szCs w:val="20"/>
          <w:color w:val="auto"/>
        </w:rPr>
        <w:t>. For purposes of this Renewal Option, "</w:t>
      </w:r>
      <w:r>
        <w:rPr>
          <w:rFonts w:ascii="Arial" w:cs="Arial" w:eastAsia="Arial" w:hAnsi="Arial"/>
          <w:sz w:val="20"/>
          <w:szCs w:val="20"/>
          <w:b w:val="1"/>
          <w:bCs w:val="1"/>
          <w:color w:val="auto"/>
        </w:rPr>
        <w:t>Prevailing Market</w:t>
      </w:r>
      <w:r>
        <w:rPr>
          <w:rFonts w:ascii="Arial" w:cs="Arial" w:eastAsia="Arial" w:hAnsi="Arial"/>
          <w:sz w:val="20"/>
          <w:szCs w:val="20"/>
          <w:color w:val="auto"/>
        </w:rPr>
        <w:t>" shall mean the arms</w:t>
      </w:r>
      <w:r>
        <w:rPr>
          <w:rFonts w:ascii="Arial" w:cs="Arial" w:eastAsia="Arial" w:hAnsi="Arial"/>
          <w:sz w:val="20"/>
          <w:szCs w:val="20"/>
          <w:b w:val="1"/>
          <w:bCs w:val="1"/>
          <w:color w:val="auto"/>
        </w:rPr>
        <w:t xml:space="preserve"> </w:t>
      </w:r>
      <w:r>
        <w:rPr>
          <w:rFonts w:ascii="Arial" w:cs="Arial" w:eastAsia="Arial" w:hAnsi="Arial"/>
          <w:sz w:val="20"/>
          <w:szCs w:val="20"/>
          <w:color w:val="auto"/>
        </w:rPr>
        <w:t>length fair market annual rental rate per rentable square foot under renewal leases and amendments entered into on or about the date on which the Prevailing Market is being determined hereunder for space comparable to the Premises in the Building and in office buildings comparable to the Building in the Central Business District of Austin, Texas. The determination of Prevailing Market shall take into account any material economic differences between the terms of the Lease and any comparison lease or amendment, such as rent abatements, construction costs and other concessions and the manner, if any, in which the landlord under any such lease is reimbursed for operating expenses and taxes (including, without limitation, the base year, if any). The determination of Prevailing Market shall also take into consideration any reasonably anticipated changes in the Prevailing Market rate from the time such Prevailing Market rate is being determined and the time such Prevailing Market rate will become effective under the Lease. Tenant acknowledges and agrees that Landlord shall have no obligation to provide Tenant with a construction allowance, rent abatement or any other concessions for the Renewal Term, provided that the Prevailing Market rate shall take into account the concessions (if any) that Landlord elects (in its sole discretion) to grant to Tenant.</w:t>
      </w:r>
    </w:p>
    <w:p>
      <w:pPr>
        <w:spacing w:after="0" w:line="144" w:lineRule="exact"/>
        <w:rPr>
          <w:rFonts w:ascii="Arial" w:cs="Arial" w:eastAsia="Arial" w:hAnsi="Arial"/>
          <w:sz w:val="20"/>
          <w:szCs w:val="20"/>
          <w:color w:val="auto"/>
        </w:rPr>
      </w:pPr>
    </w:p>
    <w:p>
      <w:pPr>
        <w:jc w:val="both"/>
        <w:ind w:firstLine="656"/>
        <w:spacing w:after="0" w:line="216" w:lineRule="auto"/>
        <w:tabs>
          <w:tab w:leader="none" w:pos="1261" w:val="left"/>
        </w:tabs>
        <w:numPr>
          <w:ilvl w:val="1"/>
          <w:numId w:val="127"/>
        </w:numPr>
        <w:rPr>
          <w:rFonts w:ascii="Arial" w:cs="Arial" w:eastAsia="Arial" w:hAnsi="Arial"/>
          <w:sz w:val="20"/>
          <w:szCs w:val="20"/>
          <w:color w:val="auto"/>
        </w:rPr>
      </w:pPr>
      <w:r>
        <w:rPr>
          <w:rFonts w:ascii="Arial" w:cs="Arial" w:eastAsia="Arial" w:hAnsi="Arial"/>
          <w:sz w:val="20"/>
          <w:szCs w:val="20"/>
          <w:b w:val="1"/>
          <w:bCs w:val="1"/>
          <w:color w:val="auto"/>
        </w:rPr>
        <w:t>Subordination</w:t>
      </w:r>
      <w:r>
        <w:rPr>
          <w:rFonts w:ascii="Arial" w:cs="Arial" w:eastAsia="Arial" w:hAnsi="Arial"/>
          <w:sz w:val="20"/>
          <w:szCs w:val="20"/>
          <w:color w:val="auto"/>
        </w:rPr>
        <w:t>. Notwithstanding anything herein to the contrary, Tenant's Renewal Option is subject and</w:t>
      </w:r>
      <w:r>
        <w:rPr>
          <w:rFonts w:ascii="Arial" w:cs="Arial" w:eastAsia="Arial" w:hAnsi="Arial"/>
          <w:sz w:val="20"/>
          <w:szCs w:val="20"/>
          <w:b w:val="1"/>
          <w:bCs w:val="1"/>
          <w:color w:val="auto"/>
        </w:rPr>
        <w:t xml:space="preserve"> </w:t>
      </w:r>
      <w:r>
        <w:rPr>
          <w:rFonts w:ascii="Arial" w:cs="Arial" w:eastAsia="Arial" w:hAnsi="Arial"/>
          <w:sz w:val="20"/>
          <w:szCs w:val="20"/>
          <w:color w:val="auto"/>
        </w:rPr>
        <w:t>subordinate to the expansion rights (whether such rights are designated as a right of first offer, right of first refusal, expansion option or otherwise) of any tenant of the Building that is existing on the date hereof and has been disclosed to Tenant prior to Lease execution.</w:t>
      </w:r>
    </w:p>
    <w:p>
      <w:pPr>
        <w:spacing w:after="0" w:line="387" w:lineRule="exact"/>
        <w:rPr>
          <w:rFonts w:ascii="Arial" w:cs="Arial" w:eastAsia="Arial" w:hAnsi="Arial"/>
          <w:sz w:val="20"/>
          <w:szCs w:val="20"/>
          <w:color w:val="auto"/>
        </w:rPr>
      </w:pPr>
    </w:p>
    <w:p>
      <w:pPr>
        <w:jc w:val="both"/>
        <w:ind w:firstLine="8"/>
        <w:spacing w:after="0" w:line="206" w:lineRule="auto"/>
        <w:tabs>
          <w:tab w:leader="none" w:pos="637" w:val="left"/>
        </w:tabs>
        <w:numPr>
          <w:ilvl w:val="0"/>
          <w:numId w:val="128"/>
        </w:numPr>
        <w:rPr>
          <w:rFonts w:ascii="Arial" w:cs="Arial" w:eastAsia="Arial" w:hAnsi="Arial"/>
          <w:sz w:val="20"/>
          <w:szCs w:val="20"/>
          <w:b w:val="1"/>
          <w:bCs w:val="1"/>
          <w:color w:val="auto"/>
        </w:rPr>
      </w:pPr>
      <w:r>
        <w:rPr>
          <w:rFonts w:ascii="Arial" w:cs="Arial" w:eastAsia="Arial" w:hAnsi="Arial"/>
          <w:sz w:val="20"/>
          <w:szCs w:val="20"/>
          <w:b w:val="1"/>
          <w:bCs w:val="1"/>
          <w:color w:val="auto"/>
        </w:rPr>
        <w:t>RIGHT OF FIRST OFFER</w:t>
      </w:r>
      <w:r>
        <w:rPr>
          <w:rFonts w:ascii="Arial" w:cs="Arial" w:eastAsia="Arial" w:hAnsi="Arial"/>
          <w:sz w:val="20"/>
          <w:szCs w:val="20"/>
          <w:color w:val="auto"/>
        </w:rPr>
        <w:t>. Landlord hereby grants to Tenant the one time right to lease (the “</w:t>
      </w:r>
      <w:r>
        <w:rPr>
          <w:rFonts w:ascii="Arial" w:cs="Arial" w:eastAsia="Arial" w:hAnsi="Arial"/>
          <w:sz w:val="20"/>
          <w:szCs w:val="20"/>
          <w:b w:val="1"/>
          <w:bCs w:val="1"/>
          <w:color w:val="auto"/>
        </w:rPr>
        <w:t>Right of First Offer</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upon the terms and conditions hereinafter set forth, but subject to the existing rights of any current tenants of the Building and subject to Landlord’s right to renew or extend the term of the lease of the then-current tenant or occupant of the Offer Space (hereinafter defined), such portion of the 15th floor of the Building containing approximately 25,804 square feet of rentable area and such portion of the 17th floor of the Building containing approximately 13,165 square feet of rentable area, both as depicted on </w:t>
      </w:r>
      <w:r>
        <w:rPr>
          <w:rFonts w:ascii="Arial" w:cs="Arial" w:eastAsia="Arial" w:hAnsi="Arial"/>
          <w:sz w:val="20"/>
          <w:szCs w:val="20"/>
          <w:b w:val="1"/>
          <w:bCs w:val="1"/>
          <w:color w:val="auto"/>
        </w:rPr>
        <w:t>Exhibit A-1</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Offer Space</w:t>
      </w:r>
      <w:r>
        <w:rPr>
          <w:rFonts w:ascii="Arial" w:cs="Arial" w:eastAsia="Arial" w:hAnsi="Arial"/>
          <w:sz w:val="20"/>
          <w:szCs w:val="20"/>
          <w:color w:val="auto"/>
        </w:rPr>
        <w:t>”) which become available for leasing (as determined in accordance with paragraph (a) below) during the Offer Period (hereinafter defined), prior to entering into a lease for such space with another party.</w:t>
      </w:r>
    </w:p>
    <w:p>
      <w:pPr>
        <w:spacing w:after="0" w:line="148" w:lineRule="exact"/>
        <w:rPr>
          <w:rFonts w:ascii="Arial" w:cs="Arial" w:eastAsia="Arial" w:hAnsi="Arial"/>
          <w:sz w:val="20"/>
          <w:szCs w:val="20"/>
          <w:b w:val="1"/>
          <w:bCs w:val="1"/>
          <w:color w:val="auto"/>
        </w:rPr>
      </w:pPr>
    </w:p>
    <w:p>
      <w:pPr>
        <w:ind w:firstLine="656"/>
        <w:spacing w:after="0" w:line="234" w:lineRule="auto"/>
        <w:tabs>
          <w:tab w:leader="none" w:pos="1294" w:val="left"/>
        </w:tabs>
        <w:numPr>
          <w:ilvl w:val="1"/>
          <w:numId w:val="128"/>
        </w:numPr>
        <w:rPr>
          <w:rFonts w:ascii="Arial" w:cs="Arial" w:eastAsia="Arial" w:hAnsi="Arial"/>
          <w:sz w:val="20"/>
          <w:szCs w:val="20"/>
          <w:color w:val="auto"/>
        </w:rPr>
      </w:pPr>
      <w:r>
        <w:rPr>
          <w:rFonts w:ascii="Arial" w:cs="Arial" w:eastAsia="Arial" w:hAnsi="Arial"/>
          <w:sz w:val="20"/>
          <w:szCs w:val="20"/>
          <w:color w:val="auto"/>
        </w:rPr>
        <w:t>A portion of the Offer Space shall be deemed to be “</w:t>
      </w:r>
      <w:r>
        <w:rPr>
          <w:rFonts w:ascii="Arial" w:cs="Arial" w:eastAsia="Arial" w:hAnsi="Arial"/>
          <w:sz w:val="20"/>
          <w:szCs w:val="20"/>
          <w:b w:val="1"/>
          <w:bCs w:val="1"/>
          <w:color w:val="auto"/>
        </w:rPr>
        <w:t>available for leasing</w:t>
      </w:r>
      <w:r>
        <w:rPr>
          <w:rFonts w:ascii="Arial" w:cs="Arial" w:eastAsia="Arial" w:hAnsi="Arial"/>
          <w:sz w:val="20"/>
          <w:szCs w:val="20"/>
          <w:color w:val="auto"/>
        </w:rPr>
        <w:t>” when Landlord is prepared to offer to lease such space to parties other than to the then-current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9" w:right="339" w:bottom="1440" w:gutter="0" w:footer="0" w:header="0"/>
        </w:sectPr>
      </w:pPr>
    </w:p>
    <w:bookmarkStart w:id="175" w:name="page176"/>
    <w:bookmarkEnd w:id="175"/>
    <w:p>
      <w:pPr>
        <w:spacing w:after="0" w:line="222" w:lineRule="auto"/>
        <w:rPr>
          <w:sz w:val="20"/>
          <w:szCs w:val="20"/>
          <w:color w:val="auto"/>
        </w:rPr>
      </w:pPr>
      <w:r>
        <w:rPr>
          <w:rFonts w:ascii="Arial" w:cs="Arial" w:eastAsia="Arial" w:hAnsi="Arial"/>
          <w:sz w:val="20"/>
          <w:szCs w:val="20"/>
          <w:color w:val="auto"/>
        </w:rPr>
        <w:t>or occupant of such Offer Space and other than to current tenants of the Building with existing rights to lease such space that have been disclosed to Tenant prior to Lease execution.</w:t>
      </w:r>
    </w:p>
    <w:p>
      <w:pPr>
        <w:spacing w:after="0" w:line="169" w:lineRule="exact"/>
        <w:rPr>
          <w:sz w:val="20"/>
          <w:szCs w:val="20"/>
          <w:color w:val="auto"/>
        </w:rPr>
      </w:pPr>
    </w:p>
    <w:p>
      <w:pPr>
        <w:jc w:val="both"/>
        <w:ind w:firstLine="656"/>
        <w:spacing w:after="0" w:line="207" w:lineRule="auto"/>
        <w:tabs>
          <w:tab w:leader="none" w:pos="129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Prior to Landlord’s entering into a lease for any portion of the Offer Space which is available for leasing during the Offer Period, Landlord shall give Tenant a written notice (the “</w:t>
      </w:r>
      <w:r>
        <w:rPr>
          <w:rFonts w:ascii="Arial" w:cs="Arial" w:eastAsia="Arial" w:hAnsi="Arial"/>
          <w:sz w:val="19"/>
          <w:szCs w:val="19"/>
          <w:b w:val="1"/>
          <w:bCs w:val="1"/>
          <w:color w:val="auto"/>
        </w:rPr>
        <w:t>Offer Notice</w:t>
      </w:r>
      <w:r>
        <w:rPr>
          <w:rFonts w:ascii="Arial" w:cs="Arial" w:eastAsia="Arial" w:hAnsi="Arial"/>
          <w:sz w:val="19"/>
          <w:szCs w:val="19"/>
          <w:color w:val="auto"/>
        </w:rPr>
        <w:t>”) setting forth (i) the location, (ii) the rentable area,</w:t>
      </w:r>
    </w:p>
    <w:p>
      <w:pPr>
        <w:spacing w:after="0" w:line="1" w:lineRule="exact"/>
        <w:rPr>
          <w:rFonts w:ascii="Arial" w:cs="Arial" w:eastAsia="Arial" w:hAnsi="Arial"/>
          <w:sz w:val="19"/>
          <w:szCs w:val="19"/>
          <w:color w:val="auto"/>
        </w:rPr>
      </w:pPr>
    </w:p>
    <w:p>
      <w:pPr>
        <w:jc w:val="both"/>
        <w:ind w:firstLine="8"/>
        <w:spacing w:after="0" w:line="209" w:lineRule="auto"/>
        <w:tabs>
          <w:tab w:leader="none" w:pos="319"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rental rate, which shall be the fair market rental rate, as reasonably determined by Landlord, under similar new leases for similar space in like office buildings in the Austin, Texas Central Business District, in then "as-is" condition (iv) all other material economic terms; (v) the target delivery date (the “</w:t>
      </w:r>
      <w:r>
        <w:rPr>
          <w:rFonts w:ascii="Arial" w:cs="Arial" w:eastAsia="Arial" w:hAnsi="Arial"/>
          <w:sz w:val="20"/>
          <w:szCs w:val="20"/>
          <w:b w:val="1"/>
          <w:bCs w:val="1"/>
          <w:color w:val="auto"/>
        </w:rPr>
        <w:t>Offer Space Target Delivery Date</w:t>
      </w:r>
      <w:r>
        <w:rPr>
          <w:rFonts w:ascii="Arial" w:cs="Arial" w:eastAsia="Arial" w:hAnsi="Arial"/>
          <w:sz w:val="20"/>
          <w:szCs w:val="20"/>
          <w:color w:val="auto"/>
        </w:rPr>
        <w:t>”) and (vi) the commencement date (the “</w:t>
      </w:r>
      <w:r>
        <w:rPr>
          <w:rFonts w:ascii="Arial" w:cs="Arial" w:eastAsia="Arial" w:hAnsi="Arial"/>
          <w:sz w:val="20"/>
          <w:szCs w:val="20"/>
          <w:b w:val="1"/>
          <w:bCs w:val="1"/>
          <w:color w:val="auto"/>
        </w:rPr>
        <w:t>Offer Space Commencement Date</w:t>
      </w:r>
      <w:r>
        <w:rPr>
          <w:rFonts w:ascii="Arial" w:cs="Arial" w:eastAsia="Arial" w:hAnsi="Arial"/>
          <w:sz w:val="20"/>
          <w:szCs w:val="20"/>
          <w:color w:val="auto"/>
        </w:rPr>
        <w:t>”)</w:t>
      </w:r>
    </w:p>
    <w:p>
      <w:pPr>
        <w:spacing w:after="0" w:line="146" w:lineRule="exact"/>
        <w:rPr>
          <w:rFonts w:ascii="Arial" w:cs="Arial" w:eastAsia="Arial" w:hAnsi="Arial"/>
          <w:sz w:val="20"/>
          <w:szCs w:val="20"/>
          <w:color w:val="auto"/>
        </w:rPr>
      </w:pPr>
    </w:p>
    <w:p>
      <w:pPr>
        <w:jc w:val="both"/>
        <w:ind w:firstLine="656"/>
        <w:spacing w:after="0" w:line="207" w:lineRule="auto"/>
        <w:tabs>
          <w:tab w:leader="none" w:pos="1291"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Tenant’s right to lease a portion of the Offer Space shall be exercisable by written notice (the “</w:t>
      </w:r>
      <w:r>
        <w:rPr>
          <w:rFonts w:ascii="Arial" w:cs="Arial" w:eastAsia="Arial" w:hAnsi="Arial"/>
          <w:sz w:val="20"/>
          <w:szCs w:val="20"/>
          <w:b w:val="1"/>
          <w:bCs w:val="1"/>
          <w:color w:val="auto"/>
        </w:rPr>
        <w:t>ROFO Exercise</w:t>
      </w:r>
      <w:r>
        <w:rPr>
          <w:rFonts w:ascii="Arial" w:cs="Arial" w:eastAsia="Arial" w:hAnsi="Arial"/>
          <w:sz w:val="20"/>
          <w:szCs w:val="20"/>
          <w:color w:val="auto"/>
        </w:rPr>
        <w:t xml:space="preserve"> </w:t>
      </w:r>
      <w:r>
        <w:rPr>
          <w:rFonts w:ascii="Arial" w:cs="Arial" w:eastAsia="Arial" w:hAnsi="Arial"/>
          <w:sz w:val="20"/>
          <w:szCs w:val="20"/>
          <w:b w:val="1"/>
          <w:bCs w:val="1"/>
          <w:color w:val="auto"/>
        </w:rPr>
        <w:t>Notice</w:t>
      </w:r>
      <w:r>
        <w:rPr>
          <w:rFonts w:ascii="Arial" w:cs="Arial" w:eastAsia="Arial" w:hAnsi="Arial"/>
          <w:sz w:val="20"/>
          <w:szCs w:val="20"/>
          <w:color w:val="auto"/>
        </w:rPr>
        <w:t>”) from Tenant to Landlord delivered not later than ten (10) days after the Offer Notice is delivered to Tenant, time being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essence. Tenant may not elect to lease less than the entire portion of the Offer Space described in an Offer Notice. If Tenant does not exercise such right to lease such portion of the Offer Space, then Landlord shall have the right thereafter to lease such space to another prospective tenant without offering such space to Tenant. If Tenant has validly exercised the Right of First Offer to lease such Offer Space, then such Offer Space shall be included in the Premises, subject to all the agreements, terms and conditions of this Lease, as modified by the terms set forth in the applicable Offer Notice.</w:t>
      </w:r>
    </w:p>
    <w:p>
      <w:pPr>
        <w:spacing w:after="0" w:line="174" w:lineRule="exact"/>
        <w:rPr>
          <w:rFonts w:ascii="Arial" w:cs="Arial" w:eastAsia="Arial" w:hAnsi="Arial"/>
          <w:sz w:val="20"/>
          <w:szCs w:val="20"/>
          <w:color w:val="auto"/>
        </w:rPr>
      </w:pPr>
    </w:p>
    <w:p>
      <w:pPr>
        <w:ind w:left="1300" w:hanging="644"/>
        <w:spacing w:after="0"/>
        <w:tabs>
          <w:tab w:leader="none" w:pos="13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Tenant’s right to lease Offer Space is subject to the following additional terms and conditions:</w:t>
      </w:r>
    </w:p>
    <w:p>
      <w:pPr>
        <w:spacing w:after="0" w:line="175" w:lineRule="exact"/>
        <w:rPr>
          <w:rFonts w:ascii="Arial" w:cs="Arial" w:eastAsia="Arial" w:hAnsi="Arial"/>
          <w:sz w:val="20"/>
          <w:szCs w:val="20"/>
          <w:color w:val="auto"/>
        </w:rPr>
      </w:pPr>
    </w:p>
    <w:p>
      <w:pPr>
        <w:ind w:left="660" w:firstLine="644"/>
        <w:spacing w:after="0" w:line="222" w:lineRule="auto"/>
        <w:tabs>
          <w:tab w:leader="none" w:pos="1945" w:val="left"/>
        </w:tabs>
        <w:numPr>
          <w:ilvl w:val="2"/>
          <w:numId w:val="130"/>
        </w:numPr>
        <w:rPr>
          <w:rFonts w:ascii="Arial" w:cs="Arial" w:eastAsia="Arial" w:hAnsi="Arial"/>
          <w:sz w:val="20"/>
          <w:szCs w:val="20"/>
          <w:color w:val="auto"/>
        </w:rPr>
      </w:pPr>
      <w:r>
        <w:rPr>
          <w:rFonts w:ascii="Arial" w:cs="Arial" w:eastAsia="Arial" w:hAnsi="Arial"/>
          <w:sz w:val="20"/>
          <w:szCs w:val="20"/>
          <w:color w:val="auto"/>
        </w:rPr>
        <w:t>This Lease must be in full force and effect on the date on which Tenant delivers the ROFO Exercise Notice to Landlord and on the applicable Offer Space Commencement Date;</w:t>
      </w:r>
    </w:p>
    <w:p>
      <w:pPr>
        <w:spacing w:after="0" w:line="168" w:lineRule="exact"/>
        <w:rPr>
          <w:rFonts w:ascii="Arial" w:cs="Arial" w:eastAsia="Arial" w:hAnsi="Arial"/>
          <w:sz w:val="20"/>
          <w:szCs w:val="20"/>
          <w:color w:val="auto"/>
        </w:rPr>
      </w:pPr>
    </w:p>
    <w:p>
      <w:pPr>
        <w:jc w:val="both"/>
        <w:ind w:left="660" w:right="20" w:firstLine="644"/>
        <w:spacing w:after="0" w:line="213" w:lineRule="auto"/>
        <w:tabs>
          <w:tab w:leader="none" w:pos="1945" w:val="left"/>
        </w:tabs>
        <w:numPr>
          <w:ilvl w:val="2"/>
          <w:numId w:val="130"/>
        </w:numPr>
        <w:rPr>
          <w:rFonts w:ascii="Arial" w:cs="Arial" w:eastAsia="Arial" w:hAnsi="Arial"/>
          <w:sz w:val="20"/>
          <w:szCs w:val="20"/>
          <w:color w:val="auto"/>
        </w:rPr>
      </w:pPr>
      <w:r>
        <w:rPr>
          <w:rFonts w:ascii="Arial" w:cs="Arial" w:eastAsia="Arial" w:hAnsi="Arial"/>
          <w:sz w:val="20"/>
          <w:szCs w:val="20"/>
          <w:color w:val="auto"/>
        </w:rPr>
        <w:t>Tenant must not be in Material Default under this Lease either on the date Tenant delivers the ROFO Exercise Notice to Landlord or on the applicable Offer Space Commencement Date, unless Landlord, in its sole and absolute discretion, agrees in writing to permit Tenant to lease such Offer Space notwithstanding such Default; and</w:t>
      </w:r>
    </w:p>
    <w:p>
      <w:pPr>
        <w:spacing w:after="0" w:line="170" w:lineRule="exact"/>
        <w:rPr>
          <w:rFonts w:ascii="Arial" w:cs="Arial" w:eastAsia="Arial" w:hAnsi="Arial"/>
          <w:sz w:val="20"/>
          <w:szCs w:val="20"/>
          <w:color w:val="auto"/>
        </w:rPr>
      </w:pPr>
    </w:p>
    <w:p>
      <w:pPr>
        <w:jc w:val="both"/>
        <w:ind w:left="660" w:firstLine="644"/>
        <w:spacing w:after="0" w:line="234" w:lineRule="auto"/>
        <w:tabs>
          <w:tab w:leader="none" w:pos="1945" w:val="left"/>
        </w:tabs>
        <w:numPr>
          <w:ilvl w:val="2"/>
          <w:numId w:val="130"/>
        </w:numPr>
        <w:rPr>
          <w:rFonts w:ascii="Arial" w:cs="Arial" w:eastAsia="Arial" w:hAnsi="Arial"/>
          <w:sz w:val="19"/>
          <w:szCs w:val="19"/>
          <w:color w:val="auto"/>
        </w:rPr>
      </w:pPr>
      <w:r>
        <w:rPr>
          <w:rFonts w:ascii="Arial" w:cs="Arial" w:eastAsia="Arial" w:hAnsi="Arial"/>
          <w:sz w:val="19"/>
          <w:szCs w:val="19"/>
          <w:color w:val="auto"/>
        </w:rPr>
        <w:t>Tenant shall not have assigned this Lease and shall not have sublet any portion of the Premises, except to a Permitted Transferee, and CrowdStrike, Inc. or its Permitted Transferee shall then be occupying the entire Premises</w:t>
      </w:r>
      <w:r>
        <w:rPr>
          <w:rFonts w:ascii="Arial" w:cs="Arial" w:eastAsia="Arial" w:hAnsi="Arial"/>
          <w:sz w:val="19"/>
          <w:szCs w:val="19"/>
          <w:i w:val="1"/>
          <w:iCs w:val="1"/>
          <w:color w:val="auto"/>
        </w:rPr>
        <w:t>.</w:t>
      </w:r>
    </w:p>
    <w:p>
      <w:pPr>
        <w:spacing w:after="0" w:line="167" w:lineRule="exact"/>
        <w:rPr>
          <w:rFonts w:ascii="Arial" w:cs="Arial" w:eastAsia="Arial" w:hAnsi="Arial"/>
          <w:sz w:val="19"/>
          <w:szCs w:val="19"/>
          <w:color w:val="auto"/>
        </w:rPr>
      </w:pPr>
    </w:p>
    <w:p>
      <w:pPr>
        <w:jc w:val="both"/>
        <w:ind w:firstLine="656"/>
        <w:spacing w:after="0" w:line="213" w:lineRule="auto"/>
        <w:tabs>
          <w:tab w:leader="none" w:pos="1294" w:val="left"/>
        </w:tabs>
        <w:numPr>
          <w:ilvl w:val="1"/>
          <w:numId w:val="130"/>
        </w:numPr>
        <w:rPr>
          <w:rFonts w:ascii="Arial" w:cs="Arial" w:eastAsia="Arial" w:hAnsi="Arial"/>
          <w:sz w:val="20"/>
          <w:szCs w:val="20"/>
          <w:color w:val="auto"/>
        </w:rPr>
      </w:pPr>
      <w:r>
        <w:rPr>
          <w:rFonts w:ascii="Arial" w:cs="Arial" w:eastAsia="Arial" w:hAnsi="Arial"/>
          <w:sz w:val="20"/>
          <w:szCs w:val="20"/>
          <w:color w:val="auto"/>
        </w:rPr>
        <w:t>If Tenant has validly exercised the Right of First Offer, then effective as of the applicable Offer Space Commencement Date, such portion of the Offer Space shall be included in the Premises, subject to all of the terms, conditions and provisions of this Lease except that:</w:t>
      </w:r>
    </w:p>
    <w:p>
      <w:pPr>
        <w:spacing w:after="0" w:line="170" w:lineRule="exact"/>
        <w:rPr>
          <w:rFonts w:ascii="Arial" w:cs="Arial" w:eastAsia="Arial" w:hAnsi="Arial"/>
          <w:sz w:val="20"/>
          <w:szCs w:val="20"/>
          <w:color w:val="auto"/>
        </w:rPr>
      </w:pPr>
    </w:p>
    <w:p>
      <w:pPr>
        <w:ind w:left="660" w:right="20" w:firstLine="644"/>
        <w:spacing w:after="0" w:line="222" w:lineRule="auto"/>
        <w:tabs>
          <w:tab w:leader="none" w:pos="1945" w:val="left"/>
        </w:tabs>
        <w:numPr>
          <w:ilvl w:val="2"/>
          <w:numId w:val="130"/>
        </w:numPr>
        <w:rPr>
          <w:rFonts w:ascii="Arial" w:cs="Arial" w:eastAsia="Arial" w:hAnsi="Arial"/>
          <w:sz w:val="20"/>
          <w:szCs w:val="20"/>
          <w:color w:val="auto"/>
        </w:rPr>
      </w:pPr>
      <w:r>
        <w:rPr>
          <w:rFonts w:ascii="Arial" w:cs="Arial" w:eastAsia="Arial" w:hAnsi="Arial"/>
          <w:sz w:val="20"/>
          <w:szCs w:val="20"/>
          <w:color w:val="auto"/>
        </w:rPr>
        <w:t>Base Rent per square foot of rentable area for such portion of the Offer Space shall be the rate (including escalations) specified in the applicable Offer Notice;</w:t>
      </w:r>
    </w:p>
    <w:p>
      <w:pPr>
        <w:spacing w:after="0" w:line="168" w:lineRule="exact"/>
        <w:rPr>
          <w:rFonts w:ascii="Arial" w:cs="Arial" w:eastAsia="Arial" w:hAnsi="Arial"/>
          <w:sz w:val="20"/>
          <w:szCs w:val="20"/>
          <w:color w:val="auto"/>
        </w:rPr>
      </w:pPr>
    </w:p>
    <w:p>
      <w:pPr>
        <w:jc w:val="both"/>
        <w:ind w:left="660" w:firstLine="644"/>
        <w:spacing w:after="0" w:line="213" w:lineRule="auto"/>
        <w:tabs>
          <w:tab w:leader="none" w:pos="1945" w:val="left"/>
        </w:tabs>
        <w:numPr>
          <w:ilvl w:val="2"/>
          <w:numId w:val="130"/>
        </w:numPr>
        <w:rPr>
          <w:rFonts w:ascii="Arial" w:cs="Arial" w:eastAsia="Arial" w:hAnsi="Arial"/>
          <w:sz w:val="20"/>
          <w:szCs w:val="20"/>
          <w:color w:val="auto"/>
        </w:rPr>
      </w:pPr>
      <w:r>
        <w:rPr>
          <w:rFonts w:ascii="Arial" w:cs="Arial" w:eastAsia="Arial" w:hAnsi="Arial"/>
          <w:sz w:val="20"/>
          <w:szCs w:val="20"/>
          <w:color w:val="auto"/>
        </w:rPr>
        <w:t>The rentable area in the Premises shall be increased by the number of square feet of rentable area in such portion of the Offer Space and such rentable area in the Premises, as so increased, shall be used in calculating the increases in Tenant’s Pro Rata Share;</w:t>
      </w:r>
    </w:p>
    <w:p>
      <w:pPr>
        <w:spacing w:after="0" w:line="170" w:lineRule="exact"/>
        <w:rPr>
          <w:rFonts w:ascii="Arial" w:cs="Arial" w:eastAsia="Arial" w:hAnsi="Arial"/>
          <w:sz w:val="20"/>
          <w:szCs w:val="20"/>
          <w:color w:val="auto"/>
        </w:rPr>
      </w:pPr>
    </w:p>
    <w:p>
      <w:pPr>
        <w:jc w:val="both"/>
        <w:ind w:left="660" w:firstLine="644"/>
        <w:spacing w:after="0" w:line="218" w:lineRule="auto"/>
        <w:tabs>
          <w:tab w:leader="none" w:pos="1945" w:val="left"/>
        </w:tabs>
        <w:numPr>
          <w:ilvl w:val="2"/>
          <w:numId w:val="130"/>
        </w:numPr>
        <w:rPr>
          <w:rFonts w:ascii="Arial" w:cs="Arial" w:eastAsia="Arial" w:hAnsi="Arial"/>
          <w:sz w:val="19"/>
          <w:szCs w:val="19"/>
          <w:color w:val="auto"/>
        </w:rPr>
      </w:pPr>
      <w:r>
        <w:rPr>
          <w:rFonts w:ascii="Arial" w:cs="Arial" w:eastAsia="Arial" w:hAnsi="Arial"/>
          <w:sz w:val="19"/>
          <w:szCs w:val="19"/>
          <w:color w:val="auto"/>
        </w:rPr>
        <w:t>The Term with respect to the Offer Space shall commence on the applicable Offer Space Commencement Date and shall expire simultaneously with the expiration or earlier termination of the Term, including any extension or renewal thereof; provided, however, if the Offer Space Commencement Date with respect to any applicable Offer Space is less than sixty (60) months prior to the last day of the Term, then (a) the Term with respect to such Offer Space shall be sixty (60) full calendar months or such longer period as to which Landlord and Tenant agree in writing,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19" w:right="339" w:bottom="1440" w:gutter="0" w:footer="0" w:header="0"/>
        </w:sectPr>
      </w:pPr>
    </w:p>
    <w:bookmarkStart w:id="176" w:name="page177"/>
    <w:bookmarkEnd w:id="176"/>
    <w:p>
      <w:pPr>
        <w:ind w:left="660"/>
        <w:spacing w:after="0" w:line="222" w:lineRule="auto"/>
        <w:rPr>
          <w:sz w:val="20"/>
          <w:szCs w:val="20"/>
          <w:color w:val="auto"/>
        </w:rPr>
      </w:pPr>
      <w:r>
        <w:rPr>
          <w:rFonts w:ascii="Arial" w:cs="Arial" w:eastAsia="Arial" w:hAnsi="Arial"/>
          <w:sz w:val="20"/>
          <w:szCs w:val="20"/>
          <w:color w:val="auto"/>
        </w:rPr>
        <w:t>the Term with respect to the remainder of the then-current Premises shall be extended to be coterminous with the Term with respect to such Offer Space; and</w:t>
      </w:r>
    </w:p>
    <w:p>
      <w:pPr>
        <w:spacing w:after="0" w:line="169" w:lineRule="exact"/>
        <w:rPr>
          <w:sz w:val="20"/>
          <w:szCs w:val="20"/>
          <w:color w:val="auto"/>
        </w:rPr>
      </w:pPr>
    </w:p>
    <w:p>
      <w:pPr>
        <w:jc w:val="both"/>
        <w:ind w:left="660" w:firstLine="644"/>
        <w:spacing w:after="0" w:line="213" w:lineRule="auto"/>
        <w:tabs>
          <w:tab w:leader="none" w:pos="1945" w:val="left"/>
        </w:tabs>
        <w:numPr>
          <w:ilvl w:val="2"/>
          <w:numId w:val="131"/>
        </w:numPr>
        <w:rPr>
          <w:rFonts w:ascii="Arial" w:cs="Arial" w:eastAsia="Arial" w:hAnsi="Arial"/>
          <w:sz w:val="20"/>
          <w:szCs w:val="20"/>
          <w:color w:val="auto"/>
        </w:rPr>
      </w:pPr>
      <w:r>
        <w:rPr>
          <w:rFonts w:ascii="Arial" w:cs="Arial" w:eastAsia="Arial" w:hAnsi="Arial"/>
          <w:sz w:val="20"/>
          <w:szCs w:val="20"/>
          <w:color w:val="auto"/>
        </w:rPr>
        <w:t>The Offer Space shall be rented in its “as is” condition as of the Offer Space Commencement Date, without representation or warranty by Landlord or any other party acting on behalf of Landlord, except as may be expressly set forth in the applicable Offer Notice.</w:t>
      </w:r>
    </w:p>
    <w:p>
      <w:pPr>
        <w:spacing w:after="0" w:line="170" w:lineRule="exact"/>
        <w:rPr>
          <w:rFonts w:ascii="Arial" w:cs="Arial" w:eastAsia="Arial" w:hAnsi="Arial"/>
          <w:sz w:val="20"/>
          <w:szCs w:val="20"/>
          <w:color w:val="auto"/>
        </w:rPr>
      </w:pPr>
    </w:p>
    <w:p>
      <w:pPr>
        <w:jc w:val="both"/>
        <w:ind w:firstLine="656"/>
        <w:spacing w:after="0" w:line="201" w:lineRule="auto"/>
        <w:tabs>
          <w:tab w:leader="none" w:pos="1261" w:val="left"/>
        </w:tabs>
        <w:numPr>
          <w:ilvl w:val="1"/>
          <w:numId w:val="132"/>
        </w:numPr>
        <w:rPr>
          <w:rFonts w:ascii="Arial" w:cs="Arial" w:eastAsia="Arial" w:hAnsi="Arial"/>
          <w:sz w:val="20"/>
          <w:szCs w:val="20"/>
          <w:color w:val="auto"/>
        </w:rPr>
      </w:pPr>
      <w:r>
        <w:rPr>
          <w:rFonts w:ascii="Arial" w:cs="Arial" w:eastAsia="Arial" w:hAnsi="Arial"/>
          <w:sz w:val="20"/>
          <w:szCs w:val="20"/>
          <w:color w:val="auto"/>
        </w:rPr>
        <w:t>Landlord shall endeavor to deliver possession of the Offer Space to Tenant on the applicable Offer Space Target Delivery Date. Tenant’s possession of Offer Space prior to the applicable Offer Space Commencement Date shall be subject to all of the terms and conditions of this Lease, except that Base Rent and Additional Rent shall not commence to accrue with respect to such Offer Space until the applicable Offer Space Commencement Date. If Landlord fails to deliver possession on the applicable Offer Space Target Delivery Date of the portion of the Offer Space which Tenant has exercised the Right of First Offer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this Lease or the obligations of either Landlord or Tenant hereunder or be construed to extend the expiration of the Term either as to such portion of the Offer Space or the balance of the Premises; provided, however, that under such circumstances, (i) Landlord shall make reasonable efforts to obtain possession of such portion of the Offer Space, and (ii) the Offer Space Commencement Date shall not occur, and Base Rent and Additional Rent shall not commence, as to such portion of the Offer Space until two (2) days after Landlord has delivered possession thereof to Tenant.</w:t>
      </w:r>
    </w:p>
    <w:p>
      <w:pPr>
        <w:spacing w:after="0" w:line="169" w:lineRule="exact"/>
        <w:rPr>
          <w:rFonts w:ascii="Arial" w:cs="Arial" w:eastAsia="Arial" w:hAnsi="Arial"/>
          <w:sz w:val="20"/>
          <w:szCs w:val="20"/>
          <w:color w:val="auto"/>
        </w:rPr>
      </w:pPr>
    </w:p>
    <w:p>
      <w:pPr>
        <w:jc w:val="both"/>
        <w:ind w:firstLine="656"/>
        <w:spacing w:after="0" w:line="213" w:lineRule="auto"/>
        <w:tabs>
          <w:tab w:leader="none" w:pos="1289" w:val="left"/>
        </w:tabs>
        <w:numPr>
          <w:ilvl w:val="1"/>
          <w:numId w:val="132"/>
        </w:numPr>
        <w:rPr>
          <w:rFonts w:ascii="Arial" w:cs="Arial" w:eastAsia="Arial" w:hAnsi="Arial"/>
          <w:sz w:val="20"/>
          <w:szCs w:val="20"/>
          <w:color w:val="auto"/>
        </w:rPr>
      </w:pPr>
      <w:r>
        <w:rPr>
          <w:rFonts w:ascii="Arial" w:cs="Arial" w:eastAsia="Arial" w:hAnsi="Arial"/>
          <w:sz w:val="20"/>
          <w:szCs w:val="20"/>
          <w:color w:val="auto"/>
        </w:rPr>
        <w:t>Upon the valid exercise by Tenant of the Right of First Offer, Landlord and Tenant shall promptly enter into a written amendment to this Lease reflecting the terms, conditions and provisions applicable to such portion of the Offer Space, as determined in according herewith.</w:t>
      </w:r>
    </w:p>
    <w:p>
      <w:pPr>
        <w:spacing w:after="0" w:line="170" w:lineRule="exact"/>
        <w:rPr>
          <w:rFonts w:ascii="Arial" w:cs="Arial" w:eastAsia="Arial" w:hAnsi="Arial"/>
          <w:sz w:val="20"/>
          <w:szCs w:val="20"/>
          <w:color w:val="auto"/>
        </w:rPr>
      </w:pPr>
    </w:p>
    <w:p>
      <w:pPr>
        <w:ind w:firstLine="656"/>
        <w:spacing w:after="0" w:line="222" w:lineRule="auto"/>
        <w:tabs>
          <w:tab w:leader="none" w:pos="1291" w:val="left"/>
        </w:tabs>
        <w:numPr>
          <w:ilvl w:val="1"/>
          <w:numId w:val="132"/>
        </w:numPr>
        <w:rPr>
          <w:rFonts w:ascii="Arial" w:cs="Arial" w:eastAsia="Arial" w:hAnsi="Arial"/>
          <w:sz w:val="20"/>
          <w:szCs w:val="20"/>
          <w:color w:val="auto"/>
        </w:rPr>
      </w:pPr>
      <w:r>
        <w:rPr>
          <w:rFonts w:ascii="Arial" w:cs="Arial" w:eastAsia="Arial" w:hAnsi="Arial"/>
          <w:sz w:val="20"/>
          <w:szCs w:val="20"/>
          <w:color w:val="auto"/>
        </w:rPr>
        <w:t>If any portion of the Offer Space is leased to Tenant other than pursuant to the Right of First Offer, such portion of the Offer Space shall thereupon be deleted from the Offer Space.</w:t>
      </w:r>
    </w:p>
    <w:p>
      <w:pPr>
        <w:spacing w:after="0" w:line="144" w:lineRule="exact"/>
        <w:rPr>
          <w:rFonts w:ascii="Arial" w:cs="Arial" w:eastAsia="Arial" w:hAnsi="Arial"/>
          <w:sz w:val="20"/>
          <w:szCs w:val="20"/>
          <w:color w:val="auto"/>
        </w:rPr>
      </w:pPr>
    </w:p>
    <w:p>
      <w:pPr>
        <w:ind w:right="740" w:firstLine="656"/>
        <w:spacing w:after="0" w:line="234" w:lineRule="auto"/>
        <w:tabs>
          <w:tab w:leader="none" w:pos="1284"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As used herein, the term “</w:t>
      </w:r>
      <w:r>
        <w:rPr>
          <w:rFonts w:ascii="Arial" w:cs="Arial" w:eastAsia="Arial" w:hAnsi="Arial"/>
          <w:sz w:val="20"/>
          <w:szCs w:val="20"/>
          <w:b w:val="1"/>
          <w:bCs w:val="1"/>
          <w:color w:val="auto"/>
        </w:rPr>
        <w:t>Offer Period</w:t>
      </w:r>
      <w:r>
        <w:rPr>
          <w:rFonts w:ascii="Arial" w:cs="Arial" w:eastAsia="Arial" w:hAnsi="Arial"/>
          <w:sz w:val="20"/>
          <w:szCs w:val="20"/>
          <w:color w:val="auto"/>
        </w:rPr>
        <w:t>” shall mean the period commencing on the date of this Lease and expiring on the original Termination Date of this Lease.</w:t>
      </w:r>
    </w:p>
    <w:p>
      <w:pPr>
        <w:spacing w:after="0" w:line="145" w:lineRule="exact"/>
        <w:rPr>
          <w:rFonts w:ascii="Arial" w:cs="Arial" w:eastAsia="Arial" w:hAnsi="Arial"/>
          <w:sz w:val="20"/>
          <w:szCs w:val="20"/>
          <w:color w:val="auto"/>
        </w:rPr>
      </w:pPr>
    </w:p>
    <w:p>
      <w:pPr>
        <w:jc w:val="both"/>
        <w:ind w:firstLine="8"/>
        <w:spacing w:after="0" w:line="207" w:lineRule="auto"/>
        <w:tabs>
          <w:tab w:leader="none" w:pos="638"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RIGHT OF FIRST REFUSAL</w:t>
      </w:r>
      <w:r>
        <w:rPr>
          <w:rFonts w:ascii="Arial" w:cs="Arial" w:eastAsia="Arial" w:hAnsi="Arial"/>
          <w:sz w:val="20"/>
          <w:szCs w:val="20"/>
          <w:color w:val="auto"/>
        </w:rPr>
        <w:t>. Landlord hereby grants to Tenant the one time right to lease (the “</w:t>
      </w:r>
      <w:r>
        <w:rPr>
          <w:rFonts w:ascii="Arial" w:cs="Arial" w:eastAsia="Arial" w:hAnsi="Arial"/>
          <w:sz w:val="20"/>
          <w:szCs w:val="20"/>
          <w:b w:val="1"/>
          <w:bCs w:val="1"/>
          <w:color w:val="auto"/>
        </w:rPr>
        <w:t>Right of First Refusal</w:t>
      </w:r>
      <w:r>
        <w:rPr>
          <w:rFonts w:ascii="Arial" w:cs="Arial" w:eastAsia="Arial" w:hAnsi="Arial"/>
          <w:sz w:val="20"/>
          <w:szCs w:val="20"/>
          <w:color w:val="auto"/>
        </w:rPr>
        <w:t>”), upon the terms and conditions hereinafter set forth, but subject to the existing rights of any current tenants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Building and subject to Landlord’s right to renew or extend the term of the lease of the then-current tenant or occupant of the ROFR Space (hereinafter defined), such portion of the 17th floor of the Building containing approximately 10,580 square feet of rentable area, as depicted on </w:t>
      </w:r>
      <w:r>
        <w:rPr>
          <w:rFonts w:ascii="Arial" w:cs="Arial" w:eastAsia="Arial" w:hAnsi="Arial"/>
          <w:sz w:val="20"/>
          <w:szCs w:val="20"/>
          <w:b w:val="1"/>
          <w:bCs w:val="1"/>
          <w:color w:val="auto"/>
        </w:rPr>
        <w:t>Exhibit A-2</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ROFR Space</w:t>
      </w:r>
      <w:r>
        <w:rPr>
          <w:rFonts w:ascii="Arial" w:cs="Arial" w:eastAsia="Arial" w:hAnsi="Arial"/>
          <w:sz w:val="20"/>
          <w:szCs w:val="20"/>
          <w:color w:val="auto"/>
        </w:rPr>
        <w:t>”) which become available for leasing (as determined in accordance with paragraph (a) below) during the Term originally described in this Lease, prior to entering into a lease for such space with another party.</w:t>
      </w:r>
    </w:p>
    <w:p>
      <w:pPr>
        <w:spacing w:after="0" w:line="150" w:lineRule="exact"/>
        <w:rPr>
          <w:rFonts w:ascii="Arial" w:cs="Arial" w:eastAsia="Arial" w:hAnsi="Arial"/>
          <w:sz w:val="20"/>
          <w:szCs w:val="20"/>
          <w:b w:val="1"/>
          <w:bCs w:val="1"/>
          <w:color w:val="auto"/>
        </w:rPr>
      </w:pPr>
    </w:p>
    <w:p>
      <w:pPr>
        <w:jc w:val="both"/>
        <w:ind w:firstLine="656"/>
        <w:spacing w:after="0" w:line="222" w:lineRule="auto"/>
        <w:tabs>
          <w:tab w:leader="none" w:pos="129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A portion of the ROFR Space shall be deemed to be “</w:t>
      </w:r>
      <w:r>
        <w:rPr>
          <w:rFonts w:ascii="Arial" w:cs="Arial" w:eastAsia="Arial" w:hAnsi="Arial"/>
          <w:sz w:val="20"/>
          <w:szCs w:val="20"/>
          <w:b w:val="1"/>
          <w:bCs w:val="1"/>
          <w:color w:val="auto"/>
        </w:rPr>
        <w:t>available for leasing</w:t>
      </w:r>
      <w:r>
        <w:rPr>
          <w:rFonts w:ascii="Arial" w:cs="Arial" w:eastAsia="Arial" w:hAnsi="Arial"/>
          <w:sz w:val="20"/>
          <w:szCs w:val="20"/>
          <w:color w:val="auto"/>
        </w:rPr>
        <w:t>” when Landlord is prepared to accept an offer (an “</w:t>
      </w:r>
      <w:r>
        <w:rPr>
          <w:rFonts w:ascii="Arial" w:cs="Arial" w:eastAsia="Arial" w:hAnsi="Arial"/>
          <w:sz w:val="20"/>
          <w:szCs w:val="20"/>
          <w:b w:val="1"/>
          <w:bCs w:val="1"/>
          <w:color w:val="auto"/>
        </w:rPr>
        <w:t>Acceptable Offer</w:t>
      </w:r>
      <w:r>
        <w:rPr>
          <w:rFonts w:ascii="Arial" w:cs="Arial" w:eastAsia="Arial" w:hAnsi="Arial"/>
          <w:sz w:val="20"/>
          <w:szCs w:val="20"/>
          <w:color w:val="auto"/>
        </w:rPr>
        <w:t>”) to lease such space from another party, other than the then-current tenant or occupant of such ROFR Space and other than a current tenant of the Building with existing right to lease such space.</w:t>
      </w:r>
    </w:p>
    <w:p>
      <w:pPr>
        <w:spacing w:after="0" w:line="168" w:lineRule="exact"/>
        <w:rPr>
          <w:rFonts w:ascii="Arial" w:cs="Arial" w:eastAsia="Arial" w:hAnsi="Arial"/>
          <w:sz w:val="20"/>
          <w:szCs w:val="20"/>
          <w:color w:val="auto"/>
        </w:rPr>
      </w:pPr>
    </w:p>
    <w:p>
      <w:pPr>
        <w:jc w:val="both"/>
        <w:ind w:firstLine="656"/>
        <w:spacing w:after="0" w:line="209" w:lineRule="auto"/>
        <w:tabs>
          <w:tab w:leader="none" w:pos="129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Prior to Landlord’s entering into a lease for any portion of the ROFR Space which is available for leasing during the Term originally described in this Lease, Landlord shall notify Tenant in writing of the material terms of the applicable Acceptable Offer (the “</w:t>
      </w:r>
      <w:r>
        <w:rPr>
          <w:rFonts w:ascii="Arial" w:cs="Arial" w:eastAsia="Arial" w:hAnsi="Arial"/>
          <w:sz w:val="20"/>
          <w:szCs w:val="20"/>
          <w:b w:val="1"/>
          <w:bCs w:val="1"/>
          <w:color w:val="auto"/>
        </w:rPr>
        <w:t>ROFR Availability Notice</w:t>
      </w:r>
      <w:r>
        <w:rPr>
          <w:rFonts w:ascii="Arial" w:cs="Arial" w:eastAsia="Arial" w:hAnsi="Arial"/>
          <w:sz w:val="20"/>
          <w:szCs w:val="20"/>
          <w:color w:val="auto"/>
        </w:rPr>
        <w:t>”) and setting forth (i) the location, (ii) the rentable area, (iii) the rental rate; (iv) all other material economic terms; (v) the target delivery date (the “</w:t>
      </w:r>
      <w:r>
        <w:rPr>
          <w:rFonts w:ascii="Arial" w:cs="Arial" w:eastAsia="Arial" w:hAnsi="Arial"/>
          <w:sz w:val="20"/>
          <w:szCs w:val="20"/>
          <w:b w:val="1"/>
          <w:bCs w:val="1"/>
          <w:color w:val="auto"/>
        </w:rPr>
        <w:t>ROFR Space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19" w:right="339" w:bottom="1440" w:gutter="0" w:footer="0" w:header="0"/>
        </w:sectPr>
      </w:pPr>
    </w:p>
    <w:bookmarkStart w:id="177" w:name="page178"/>
    <w:bookmarkEnd w:id="177"/>
    <w:p>
      <w:pPr>
        <w:spacing w:after="0" w:line="234" w:lineRule="auto"/>
        <w:rPr>
          <w:sz w:val="20"/>
          <w:szCs w:val="20"/>
          <w:color w:val="auto"/>
        </w:rPr>
      </w:pPr>
      <w:r>
        <w:rPr>
          <w:rFonts w:ascii="Arial" w:cs="Arial" w:eastAsia="Arial" w:hAnsi="Arial"/>
          <w:sz w:val="20"/>
          <w:szCs w:val="20"/>
          <w:b w:val="1"/>
          <w:bCs w:val="1"/>
          <w:color w:val="auto"/>
        </w:rPr>
        <w:t>Delivery Date</w:t>
      </w:r>
      <w:r>
        <w:rPr>
          <w:rFonts w:ascii="Arial" w:cs="Arial" w:eastAsia="Arial" w:hAnsi="Arial"/>
          <w:sz w:val="20"/>
          <w:szCs w:val="20"/>
          <w:color w:val="auto"/>
        </w:rPr>
        <w:t>”), (vi) the commencement date (the “</w:t>
      </w:r>
      <w:r>
        <w:rPr>
          <w:rFonts w:ascii="Arial" w:cs="Arial" w:eastAsia="Arial" w:hAnsi="Arial"/>
          <w:sz w:val="20"/>
          <w:szCs w:val="20"/>
          <w:b w:val="1"/>
          <w:bCs w:val="1"/>
          <w:color w:val="auto"/>
        </w:rPr>
        <w:t>ROFR Space Commencement Date</w:t>
      </w:r>
      <w:r>
        <w:rPr>
          <w:rFonts w:ascii="Arial" w:cs="Arial" w:eastAsia="Arial" w:hAnsi="Arial"/>
          <w:sz w:val="20"/>
          <w:szCs w:val="20"/>
          <w:color w:val="auto"/>
        </w:rPr>
        <w:t>”), and (vii) the termination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ROFR Space Termination Date</w:t>
      </w:r>
      <w:r>
        <w:rPr>
          <w:rFonts w:ascii="Arial" w:cs="Arial" w:eastAsia="Arial" w:hAnsi="Arial"/>
          <w:sz w:val="20"/>
          <w:szCs w:val="20"/>
          <w:color w:val="auto"/>
        </w:rPr>
        <w:t>").</w:t>
      </w:r>
    </w:p>
    <w:p>
      <w:pPr>
        <w:spacing w:after="0" w:line="146" w:lineRule="exact"/>
        <w:rPr>
          <w:sz w:val="20"/>
          <w:szCs w:val="20"/>
          <w:color w:val="auto"/>
        </w:rPr>
      </w:pPr>
    </w:p>
    <w:p>
      <w:pPr>
        <w:jc w:val="both"/>
        <w:ind w:firstLine="656"/>
        <w:spacing w:after="0" w:line="206" w:lineRule="auto"/>
        <w:tabs>
          <w:tab w:leader="none" w:pos="129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Tenant’s right to lease a portion of the ROFR Space shall be exercisable by written notice (the “</w:t>
      </w:r>
      <w:r>
        <w:rPr>
          <w:rFonts w:ascii="Arial" w:cs="Arial" w:eastAsia="Arial" w:hAnsi="Arial"/>
          <w:sz w:val="20"/>
          <w:szCs w:val="20"/>
          <w:b w:val="1"/>
          <w:bCs w:val="1"/>
          <w:color w:val="auto"/>
        </w:rPr>
        <w:t>ROFR</w:t>
      </w:r>
      <w:r>
        <w:rPr>
          <w:rFonts w:ascii="Arial" w:cs="Arial" w:eastAsia="Arial" w:hAnsi="Arial"/>
          <w:sz w:val="20"/>
          <w:szCs w:val="20"/>
          <w:color w:val="auto"/>
        </w:rPr>
        <w:t xml:space="preserve"> </w:t>
      </w:r>
      <w:r>
        <w:rPr>
          <w:rFonts w:ascii="Arial" w:cs="Arial" w:eastAsia="Arial" w:hAnsi="Arial"/>
          <w:sz w:val="20"/>
          <w:szCs w:val="20"/>
          <w:b w:val="1"/>
          <w:bCs w:val="1"/>
          <w:color w:val="auto"/>
        </w:rPr>
        <w:t>Acceptance Notice</w:t>
      </w:r>
      <w:r>
        <w:rPr>
          <w:rFonts w:ascii="Arial" w:cs="Arial" w:eastAsia="Arial" w:hAnsi="Arial"/>
          <w:sz w:val="20"/>
          <w:szCs w:val="20"/>
          <w:color w:val="auto"/>
        </w:rPr>
        <w:t>”) from Tenant to Landlord delivered not later than seven (7) business days after the ROFR Availability</w:t>
      </w:r>
      <w:r>
        <w:rPr>
          <w:rFonts w:ascii="Arial" w:cs="Arial" w:eastAsia="Arial" w:hAnsi="Arial"/>
          <w:sz w:val="20"/>
          <w:szCs w:val="20"/>
          <w:b w:val="1"/>
          <w:bCs w:val="1"/>
          <w:color w:val="auto"/>
        </w:rPr>
        <w:t xml:space="preserve"> </w:t>
      </w:r>
      <w:r>
        <w:rPr>
          <w:rFonts w:ascii="Arial" w:cs="Arial" w:eastAsia="Arial" w:hAnsi="Arial"/>
          <w:sz w:val="20"/>
          <w:szCs w:val="20"/>
          <w:color w:val="auto"/>
        </w:rPr>
        <w:t>Notice is delivered to Tenant, time being of the essence. Tenant may not elect to lease less than the entire portion of the ROFR Space described in a ROFR Notice. If Tenant does not exercise such right to lease such portion of the ROFR Space, then Landlord shall have the right thereafter to lease such space to another prospective tenant without offering such space to Tenant. If Tenant has validly exercised the Right of First Refusal, then such ROFR Space shall be included in the Premises, subject to all the agreements, terms and conditions of this Lease, as modified by the terms set forth in the applicable ROFR Notice, as such terms may be further modified as set forth below.</w:t>
      </w:r>
    </w:p>
    <w:p>
      <w:pPr>
        <w:spacing w:after="0" w:line="172" w:lineRule="exact"/>
        <w:rPr>
          <w:rFonts w:ascii="Arial" w:cs="Arial" w:eastAsia="Arial" w:hAnsi="Arial"/>
          <w:sz w:val="20"/>
          <w:szCs w:val="20"/>
          <w:color w:val="auto"/>
        </w:rPr>
      </w:pPr>
    </w:p>
    <w:p>
      <w:pPr>
        <w:ind w:left="1300" w:hanging="644"/>
        <w:spacing w:after="0"/>
        <w:tabs>
          <w:tab w:leader="none" w:pos="130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Tenant’s right to lease ROFR Space is subject to the following additional terms and conditions:</w:t>
      </w:r>
    </w:p>
    <w:p>
      <w:pPr>
        <w:spacing w:after="0" w:line="175" w:lineRule="exact"/>
        <w:rPr>
          <w:rFonts w:ascii="Arial" w:cs="Arial" w:eastAsia="Arial" w:hAnsi="Arial"/>
          <w:sz w:val="20"/>
          <w:szCs w:val="20"/>
          <w:color w:val="auto"/>
        </w:rPr>
      </w:pPr>
    </w:p>
    <w:p>
      <w:pPr>
        <w:ind w:left="660" w:firstLine="644"/>
        <w:spacing w:after="0" w:line="222"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This Lease must be in full force and effect on the date on which Tenant delivers the ROFR Exercise Notice to Landlord and on the applicable ROFR Space Commencement Date;</w:t>
      </w:r>
    </w:p>
    <w:p>
      <w:pPr>
        <w:spacing w:after="0" w:line="168" w:lineRule="exact"/>
        <w:rPr>
          <w:rFonts w:ascii="Arial" w:cs="Arial" w:eastAsia="Arial" w:hAnsi="Arial"/>
          <w:sz w:val="20"/>
          <w:szCs w:val="20"/>
          <w:color w:val="auto"/>
        </w:rPr>
      </w:pPr>
    </w:p>
    <w:p>
      <w:pPr>
        <w:jc w:val="both"/>
        <w:ind w:left="660" w:firstLine="644"/>
        <w:spacing w:after="0" w:line="213"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Tenant must not be in Material Default under this Lease either on the date Tenant delivers the ROFR Exercise Notice to Landlord or on the applicable ROFR Space Commencement Date, unless Landlord, in its sole and absolute discretion, agrees in writing to permit Tenant to lease such ROFR Space notwithstanding such Default; and</w:t>
      </w:r>
    </w:p>
    <w:p>
      <w:pPr>
        <w:spacing w:after="0" w:line="170" w:lineRule="exact"/>
        <w:rPr>
          <w:rFonts w:ascii="Arial" w:cs="Arial" w:eastAsia="Arial" w:hAnsi="Arial"/>
          <w:sz w:val="20"/>
          <w:szCs w:val="20"/>
          <w:color w:val="auto"/>
        </w:rPr>
      </w:pPr>
    </w:p>
    <w:p>
      <w:pPr>
        <w:ind w:left="660" w:firstLine="644"/>
        <w:spacing w:after="0" w:line="222"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Tenant shall not have assigned this Lease and shall not have sublet any portion of the Premises except to a Permitted Transferee and CrowdStrike, Inc. or its Permitted Transferee shall be occupying the entire Premises</w:t>
      </w:r>
      <w:r>
        <w:rPr>
          <w:rFonts w:ascii="Arial" w:cs="Arial" w:eastAsia="Arial" w:hAnsi="Arial"/>
          <w:sz w:val="20"/>
          <w:szCs w:val="20"/>
          <w:i w:val="1"/>
          <w:iCs w:val="1"/>
          <w:color w:val="auto"/>
        </w:rPr>
        <w:t>.</w:t>
      </w:r>
    </w:p>
    <w:p>
      <w:pPr>
        <w:spacing w:after="0" w:line="168" w:lineRule="exact"/>
        <w:rPr>
          <w:rFonts w:ascii="Arial" w:cs="Arial" w:eastAsia="Arial" w:hAnsi="Arial"/>
          <w:sz w:val="20"/>
          <w:szCs w:val="20"/>
          <w:color w:val="auto"/>
        </w:rPr>
      </w:pPr>
    </w:p>
    <w:p>
      <w:pPr>
        <w:jc w:val="both"/>
        <w:ind w:firstLine="656"/>
        <w:spacing w:after="0" w:line="213" w:lineRule="auto"/>
        <w:tabs>
          <w:tab w:leader="none" w:pos="129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If Tenant has validly exercised the Right of First Refusal, then effective as of the applicable ROFR Space Commencement Date, such portion of the ROFR Space shall be included in the Premises, subject to all of the terms, conditions and provisions of this Lease except that:</w:t>
      </w:r>
    </w:p>
    <w:p>
      <w:pPr>
        <w:spacing w:after="0" w:line="170" w:lineRule="exact"/>
        <w:rPr>
          <w:rFonts w:ascii="Arial" w:cs="Arial" w:eastAsia="Arial" w:hAnsi="Arial"/>
          <w:sz w:val="20"/>
          <w:szCs w:val="20"/>
          <w:color w:val="auto"/>
        </w:rPr>
      </w:pPr>
    </w:p>
    <w:p>
      <w:pPr>
        <w:ind w:left="660" w:firstLine="644"/>
        <w:spacing w:after="0" w:line="222"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Base Rent per square foot of rentable area for such portion of the ROFR Space shall be the rate (including escalations) specified in the applicable ROFR Availability Notice;</w:t>
      </w:r>
    </w:p>
    <w:p>
      <w:pPr>
        <w:spacing w:after="0" w:line="168" w:lineRule="exact"/>
        <w:rPr>
          <w:rFonts w:ascii="Arial" w:cs="Arial" w:eastAsia="Arial" w:hAnsi="Arial"/>
          <w:sz w:val="20"/>
          <w:szCs w:val="20"/>
          <w:color w:val="auto"/>
        </w:rPr>
      </w:pPr>
    </w:p>
    <w:p>
      <w:pPr>
        <w:jc w:val="both"/>
        <w:ind w:left="660" w:firstLine="644"/>
        <w:spacing w:after="0" w:line="213"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rentable area in the Premises shall be increased by the number of square feet of rentable area in such portion of the ROFR Space and such rentable area in the Premises, as so increased, shall be used in calculating the increases in Tenant’s Pro Rata Share;</w:t>
      </w:r>
    </w:p>
    <w:p>
      <w:pPr>
        <w:spacing w:after="0" w:line="170" w:lineRule="exact"/>
        <w:rPr>
          <w:rFonts w:ascii="Arial" w:cs="Arial" w:eastAsia="Arial" w:hAnsi="Arial"/>
          <w:sz w:val="20"/>
          <w:szCs w:val="20"/>
          <w:color w:val="auto"/>
        </w:rPr>
      </w:pPr>
    </w:p>
    <w:p>
      <w:pPr>
        <w:jc w:val="both"/>
        <w:ind w:left="660" w:firstLine="644"/>
        <w:spacing w:after="0" w:line="202"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Term with respect to the ROFR Space shall commence on the applicable ROFR Space Commencement Date. If Landlord delivers the ROFR Availability Notice within six (6) months after the date on which Landlord delivers possession of the Premises to Tenant, the Term with respect to the ROFR Space shall expire simultaneously with the expiration or earlier termination of the Term, including any extension or renewal thereof. If Landlord delivers the ROFR Availability Notice more than six (6) months after the date on which Landlord delivers possession of the Premises to Tenant, the Term with respect to the ROFR Space shall expire upon the later of (a) the ROFR Space Termination Date, or (b) the expiration of the Term; provided, if there is an earlier termination of the Term than the expiration date of the Term, the Term with respect to the ROFR Space also shall terminate upon such earlier termination; and</w:t>
      </w:r>
    </w:p>
    <w:p>
      <w:pPr>
        <w:spacing w:after="0" w:line="174" w:lineRule="exact"/>
        <w:rPr>
          <w:rFonts w:ascii="Arial" w:cs="Arial" w:eastAsia="Arial" w:hAnsi="Arial"/>
          <w:sz w:val="20"/>
          <w:szCs w:val="20"/>
          <w:color w:val="auto"/>
        </w:rPr>
      </w:pPr>
    </w:p>
    <w:p>
      <w:pPr>
        <w:ind w:left="660" w:right="20" w:firstLine="644"/>
        <w:spacing w:after="0" w:line="222" w:lineRule="auto"/>
        <w:tabs>
          <w:tab w:leader="none" w:pos="1945"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ROFR Space shall be rented in its “as is” condition as of the ROFR Space Commencement Date, without representation or warranty by Landlord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95"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9"/>
          <w:szCs w:val="19"/>
          <w:color w:val="auto"/>
        </w:rPr>
        <w:t>other party acting on behalf of Landlord, except as may be expressly set forth in the applicable ROFR Availability Notice.</w:t>
      </w:r>
    </w:p>
    <w:p>
      <w:pPr>
        <w:spacing w:after="0" w:line="187"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Notwithstanding the foregoing, if the Term of the Lease of the ROFR Space is not the same duration as the lease term set forth in the applicable Acceptable Offer, the material economic terms of Tenant’s lease of such ROFR Space shall be equitably adjusted by Landlord to reflect such different duration.</w:t>
      </w:r>
    </w:p>
    <w:p>
      <w:pPr>
        <w:spacing w:after="0" w:line="171" w:lineRule="exact"/>
        <w:rPr>
          <w:sz w:val="20"/>
          <w:szCs w:val="20"/>
          <w:color w:val="auto"/>
        </w:rPr>
      </w:pPr>
    </w:p>
    <w:p>
      <w:pPr>
        <w:jc w:val="both"/>
        <w:ind w:firstLine="656"/>
        <w:spacing w:after="0" w:line="207" w:lineRule="auto"/>
        <w:tabs>
          <w:tab w:leader="none" w:pos="1261" w:val="left"/>
        </w:tabs>
        <w:numPr>
          <w:ilvl w:val="1"/>
          <w:numId w:val="135"/>
        </w:numPr>
        <w:rPr>
          <w:rFonts w:ascii="Arial" w:cs="Arial" w:eastAsia="Arial" w:hAnsi="Arial"/>
          <w:sz w:val="19"/>
          <w:szCs w:val="19"/>
          <w:color w:val="auto"/>
        </w:rPr>
      </w:pPr>
      <w:r>
        <w:rPr>
          <w:rFonts w:ascii="Arial" w:cs="Arial" w:eastAsia="Arial" w:hAnsi="Arial"/>
          <w:sz w:val="19"/>
          <w:szCs w:val="19"/>
          <w:color w:val="auto"/>
        </w:rPr>
        <w:t>Landlord shall endeavor to deliver possession of the ROFR Space to Tenant on the applicable ROFR Space Target Delivery Date. Tenant’s possession of ROFR Space prior to the applicable ROFR Space Commencement Date shall be subject to all of the terms and conditions of this Lease, except that Base Rent and Additional Rent shall not commence to accrue with respect to such ROFR Space until the applicable ROFR Space Commencement Date. If Landlord fails to deliver possession on the applicable ROFR Space Target Delivery Date of the portion of the ROFR Space which Tenant has exercised the Right of First Refusal because of any act or occurrence beyond the reasonable control of Landlord, including, without limitation, the holding over of any tenants or occupants beyond the expiration of their lease terms, then Landlord shall not be subject to any liability for failure to deliver possession, and such failure to deliver possession shall not affect either the validity of this Lease or the obligations of either Landlord or Tenant hereunder or be construed to extend the expiration of the Term either as to such portion of the ROFR Space or the balance of the Premises; provided, however, that under such circumstances,</w:t>
      </w:r>
    </w:p>
    <w:p>
      <w:pPr>
        <w:spacing w:after="0" w:line="5" w:lineRule="exact"/>
        <w:rPr>
          <w:rFonts w:ascii="Arial" w:cs="Arial" w:eastAsia="Arial" w:hAnsi="Arial"/>
          <w:sz w:val="19"/>
          <w:szCs w:val="19"/>
          <w:color w:val="auto"/>
        </w:rPr>
      </w:pPr>
    </w:p>
    <w:p>
      <w:pPr>
        <w:jc w:val="both"/>
        <w:ind w:right="20" w:firstLine="8"/>
        <w:spacing w:after="0" w:line="213" w:lineRule="auto"/>
        <w:tabs>
          <w:tab w:leader="none" w:pos="25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Landlord shall make reasonable efforts to obtain possession of such portion of the ROFR Space, and (ii) Base Rent and Additional Rent shall not commence as to such portion of the ROFR Space until two (2) days after Landlord has delivered possession thereof to Tenant.</w:t>
      </w:r>
    </w:p>
    <w:p>
      <w:pPr>
        <w:spacing w:after="0" w:line="170" w:lineRule="exact"/>
        <w:rPr>
          <w:rFonts w:ascii="Arial" w:cs="Arial" w:eastAsia="Arial" w:hAnsi="Arial"/>
          <w:sz w:val="20"/>
          <w:szCs w:val="20"/>
          <w:color w:val="auto"/>
        </w:rPr>
      </w:pPr>
    </w:p>
    <w:p>
      <w:pPr>
        <w:jc w:val="both"/>
        <w:ind w:firstLine="656"/>
        <w:spacing w:after="0" w:line="213" w:lineRule="auto"/>
        <w:tabs>
          <w:tab w:leader="none" w:pos="1289" w:val="left"/>
        </w:tabs>
        <w:numPr>
          <w:ilvl w:val="1"/>
          <w:numId w:val="136"/>
        </w:numPr>
        <w:rPr>
          <w:rFonts w:ascii="Arial" w:cs="Arial" w:eastAsia="Arial" w:hAnsi="Arial"/>
          <w:sz w:val="20"/>
          <w:szCs w:val="20"/>
          <w:color w:val="auto"/>
        </w:rPr>
      </w:pPr>
      <w:r>
        <w:rPr>
          <w:rFonts w:ascii="Arial" w:cs="Arial" w:eastAsia="Arial" w:hAnsi="Arial"/>
          <w:sz w:val="20"/>
          <w:szCs w:val="20"/>
          <w:color w:val="auto"/>
        </w:rPr>
        <w:t>Upon the valid exercise by Tenant of the Right of First Refusal, Landlord and Tenant shall promptly enter into a written amendment to this Lease reflecting the terms, conditions and provisions applicable to such portion of the ROFR Space, as determined in according herewith.</w:t>
      </w:r>
    </w:p>
    <w:p>
      <w:pPr>
        <w:spacing w:after="0" w:line="170" w:lineRule="exact"/>
        <w:rPr>
          <w:rFonts w:ascii="Arial" w:cs="Arial" w:eastAsia="Arial" w:hAnsi="Arial"/>
          <w:sz w:val="20"/>
          <w:szCs w:val="20"/>
          <w:color w:val="auto"/>
        </w:rPr>
      </w:pPr>
    </w:p>
    <w:p>
      <w:pPr>
        <w:ind w:firstLine="656"/>
        <w:spacing w:after="0" w:line="222" w:lineRule="auto"/>
        <w:tabs>
          <w:tab w:leader="none" w:pos="1291" w:val="left"/>
        </w:tabs>
        <w:numPr>
          <w:ilvl w:val="1"/>
          <w:numId w:val="136"/>
        </w:numPr>
        <w:rPr>
          <w:rFonts w:ascii="Arial" w:cs="Arial" w:eastAsia="Arial" w:hAnsi="Arial"/>
          <w:sz w:val="20"/>
          <w:szCs w:val="20"/>
          <w:color w:val="auto"/>
        </w:rPr>
      </w:pPr>
      <w:r>
        <w:rPr>
          <w:rFonts w:ascii="Arial" w:cs="Arial" w:eastAsia="Arial" w:hAnsi="Arial"/>
          <w:sz w:val="20"/>
          <w:szCs w:val="20"/>
          <w:color w:val="auto"/>
        </w:rPr>
        <w:t>If any portion of the ROFR Space is leased to Tenant other than pursuant to the Right of First Refusal, such portion of the ROFR Space shall thereupon be deleted from the ROFR Space.</w:t>
      </w:r>
    </w:p>
    <w:p>
      <w:pPr>
        <w:spacing w:after="0" w:line="145" w:lineRule="exact"/>
        <w:rPr>
          <w:sz w:val="20"/>
          <w:szCs w:val="20"/>
          <w:color w:val="auto"/>
        </w:rPr>
      </w:pPr>
    </w:p>
    <w:p>
      <w:pPr>
        <w:jc w:val="both"/>
        <w:spacing w:after="0" w:line="201" w:lineRule="auto"/>
        <w:rPr>
          <w:sz w:val="20"/>
          <w:szCs w:val="20"/>
          <w:color w:val="auto"/>
        </w:rPr>
      </w:pPr>
      <w:r>
        <w:rPr>
          <w:rFonts w:ascii="Arial" w:cs="Arial" w:eastAsia="Arial" w:hAnsi="Arial"/>
          <w:sz w:val="20"/>
          <w:szCs w:val="20"/>
          <w:b w:val="1"/>
          <w:bCs w:val="1"/>
          <w:color w:val="auto"/>
        </w:rPr>
        <w:t xml:space="preserve">IV. LETTER OF CREDIT. </w:t>
      </w:r>
      <w:r>
        <w:rPr>
          <w:rFonts w:ascii="Arial" w:cs="Arial" w:eastAsia="Arial" w:hAnsi="Arial"/>
          <w:sz w:val="20"/>
          <w:szCs w:val="20"/>
          <w:color w:val="auto"/>
        </w:rPr>
        <w:t>The Security Deposit required pursuant to Section 6 of the Lease shall be in the form of negotiable</w:t>
      </w:r>
      <w:r>
        <w:rPr>
          <w:rFonts w:ascii="Arial" w:cs="Arial" w:eastAsia="Arial" w:hAnsi="Arial"/>
          <w:sz w:val="20"/>
          <w:szCs w:val="20"/>
          <w:b w:val="1"/>
          <w:bCs w:val="1"/>
          <w:color w:val="auto"/>
        </w:rPr>
        <w:t xml:space="preserve"> </w:t>
      </w:r>
      <w:r>
        <w:rPr>
          <w:rFonts w:ascii="Arial" w:cs="Arial" w:eastAsia="Arial" w:hAnsi="Arial"/>
          <w:sz w:val="20"/>
          <w:szCs w:val="20"/>
          <w:color w:val="auto"/>
        </w:rPr>
        <w:t>standby letter of credit (the “</w:t>
      </w:r>
      <w:r>
        <w:rPr>
          <w:rFonts w:ascii="Arial" w:cs="Arial" w:eastAsia="Arial" w:hAnsi="Arial"/>
          <w:sz w:val="20"/>
          <w:szCs w:val="20"/>
          <w:b w:val="1"/>
          <w:bCs w:val="1"/>
          <w:color w:val="auto"/>
        </w:rPr>
        <w:t>Letter of Credit</w:t>
      </w:r>
      <w:r>
        <w:rPr>
          <w:rFonts w:ascii="Arial" w:cs="Arial" w:eastAsia="Arial" w:hAnsi="Arial"/>
          <w:sz w:val="20"/>
          <w:szCs w:val="20"/>
          <w:color w:val="auto"/>
        </w:rPr>
        <w:t xml:space="preserve">”), which Letter of Credit shall be delivered to Landlord upon the execution of this Lease by Tenant and shall: (a) be in the amount of $800,000.00, (b) be issued on the form attached hereto as </w:t>
      </w:r>
      <w:r>
        <w:rPr>
          <w:rFonts w:ascii="Arial" w:cs="Arial" w:eastAsia="Arial" w:hAnsi="Arial"/>
          <w:sz w:val="20"/>
          <w:szCs w:val="20"/>
          <w:b w:val="1"/>
          <w:bCs w:val="1"/>
          <w:color w:val="auto"/>
        </w:rPr>
        <w:t>Exhibit F-1</w:t>
      </w:r>
      <w:r>
        <w:rPr>
          <w:rFonts w:ascii="Arial" w:cs="Arial" w:eastAsia="Arial" w:hAnsi="Arial"/>
          <w:sz w:val="20"/>
          <w:szCs w:val="20"/>
          <w:color w:val="auto"/>
        </w:rPr>
        <w:t xml:space="preserve"> or another form meeting the requirements set forth herein and otherwise acceptable to Landlord, (c) name Landlord as its beneficiary, (d) be drawn on Silicon Valley Bank or another FDIC insured financial institution satisfactory to the Landlord (the “</w:t>
      </w:r>
      <w:r>
        <w:rPr>
          <w:rFonts w:ascii="Arial" w:cs="Arial" w:eastAsia="Arial" w:hAnsi="Arial"/>
          <w:sz w:val="20"/>
          <w:szCs w:val="20"/>
          <w:b w:val="1"/>
          <w:bCs w:val="1"/>
          <w:color w:val="auto"/>
        </w:rPr>
        <w:t>Issuing Bank</w:t>
      </w:r>
      <w:r>
        <w:rPr>
          <w:rFonts w:ascii="Arial" w:cs="Arial" w:eastAsia="Arial" w:hAnsi="Arial"/>
          <w:sz w:val="20"/>
          <w:szCs w:val="20"/>
          <w:color w:val="auto"/>
        </w:rPr>
        <w:t>”), (e) be able to be drawn upon in Chicago, Illinois, (f) be “callable” at sight, unconditional and irrevocable, (g) be fully assignable, without a fee (or with a fee that shall be payable by Tenant), by Landlord and its successors and assigns, (h) permit partial draws and multiple presentations. If permitted by applicable Law, the Letter of Credit shall be an “evergreen” letter of credit, which shall be for a term of not less than 1 year, and which provides that the same shall be automatically renewed for successive 1 year periods through a date which is not earlier than 60 days after the Termination Date of this Lease, as such date is renewed or extended (the “</w:t>
      </w:r>
      <w:r>
        <w:rPr>
          <w:rFonts w:ascii="Arial" w:cs="Arial" w:eastAsia="Arial" w:hAnsi="Arial"/>
          <w:sz w:val="20"/>
          <w:szCs w:val="20"/>
          <w:b w:val="1"/>
          <w:bCs w:val="1"/>
          <w:color w:val="auto"/>
        </w:rPr>
        <w:t>LOC Expiration Date</w:t>
      </w:r>
      <w:r>
        <w:rPr>
          <w:rFonts w:ascii="Arial" w:cs="Arial" w:eastAsia="Arial" w:hAnsi="Arial"/>
          <w:sz w:val="20"/>
          <w:szCs w:val="20"/>
          <w:color w:val="auto"/>
        </w:rPr>
        <w:t>”). In the event an “evergreen” letter of credit is not permitted by applicable Law or a letter of credit cannot be obtained through the LOC Expiration Date, the Letter of Credit (and any renewals or replacements thereof) shall be for a term of not less than 1 year, and Tenant agrees that it shall from time to time, as necessary, as a result of the expiration of the Letter of Credit then in effect, renew or replace the original and any subsequent Letter of Credit so that a Letter of Credit, in the amount required hereunder and meeting the requirements set forth herein, is in effect until a date which is at least 60 days after the LOC Expiration Date. If the LOC Expiration Date is after the stated expiration date of the Letter of Credit then held by Landlord and either the Issuing Bank does not renew the Letter of Credit at least 60 days prior to the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19" w:right="339" w:bottom="1440" w:gutter="0" w:footer="0" w:header="0"/>
        </w:sectPr>
      </w:pPr>
    </w:p>
    <w:bookmarkStart w:id="179" w:name="page180"/>
    <w:bookmarkEnd w:id="179"/>
    <w:p>
      <w:pPr>
        <w:jc w:val="both"/>
        <w:spacing w:after="0" w:line="211" w:lineRule="auto"/>
        <w:rPr>
          <w:sz w:val="20"/>
          <w:szCs w:val="20"/>
          <w:color w:val="auto"/>
        </w:rPr>
      </w:pPr>
      <w:r>
        <w:rPr>
          <w:rFonts w:ascii="Arial" w:cs="Arial" w:eastAsia="Arial" w:hAnsi="Arial"/>
          <w:sz w:val="19"/>
          <w:szCs w:val="19"/>
          <w:color w:val="auto"/>
        </w:rPr>
        <w:t>expiration date of such Letter of Credit or Tenant fails to furnish to Landlord such renewal or replacement at least 60 days prior to the stated expiration date of such Letter of Credit, then Landlord, or its managing agent, may draw upon such Letter of Credit and hold the proceeds thereof (and such proceeds need not be segregated) as a Security Deposit pursuant to the terms of Section 6 of the Lease. In addition, Landlord, or its then managing agent, shall have the right to draw down an amount up to the face amount of the Letter of Credit if any of the following shall have occurred or are applicable: (1) such amount is due to Landlord under the terms and conditions of this Lease and remains unpaid after the expiration of any applicable notice and cure period, or (2) Tenant has filed a voluntary petition under the U. S. Bankruptcy Code or any state bankruptcy code (collectively, “</w:t>
      </w:r>
      <w:r>
        <w:rPr>
          <w:rFonts w:ascii="Arial" w:cs="Arial" w:eastAsia="Arial" w:hAnsi="Arial"/>
          <w:sz w:val="19"/>
          <w:szCs w:val="19"/>
          <w:b w:val="1"/>
          <w:bCs w:val="1"/>
          <w:color w:val="auto"/>
        </w:rPr>
        <w:t>Bankruptcy Code</w:t>
      </w:r>
      <w:r>
        <w:rPr>
          <w:rFonts w:ascii="Arial" w:cs="Arial" w:eastAsia="Arial" w:hAnsi="Arial"/>
          <w:sz w:val="19"/>
          <w:szCs w:val="19"/>
          <w:color w:val="auto"/>
        </w:rPr>
        <w:t>”), or (3) an involuntary petition has been filed against Tenant under the Bankruptcy Code, or (4) the long term rating of the Issuing Bank has been downgraded to BBB or lower (by Standard &amp; Poor’s) or Baa2 or lower (by Moody’s) and Tenant has failed to deliver a new Letter of Credit from a bank with a long term rating of A or higher (by Standard &amp; Poor’s) or A2 or higher (by Moody’s) and otherwise meeting the requirements set forth in this Section within ten (10) Business Days following notice from Landlord. The Letter of Credit will be honored by the Issuing Bank regardless of whether Tenant disputes Landlord’s right to draw upon the Letter of Credit. Any renewal or replacement of the original or any subsequent Letter of Credit shall meet the requirements for the original Letter of Credit as set forth above, except that such replacement or renewal shall be issued by an FDIC insured financial institution satisfactory to the Landlord at the time of the issuance thereof.</w:t>
      </w:r>
    </w:p>
    <w:p>
      <w:pPr>
        <w:spacing w:after="0" w:line="170"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If Landlord draws on the Letter of Credit as permitted in this Lease or by the Letter of Credit, then, within ten (10) Business Days after receipt of Landlord’s written demand, Tenant shall restore the amount available under the Letter of Credit to its original amount by providing Landlord with an amendment to the Letter of Credit evidencing that the amount available under the Letter of Credit has been restored to its original amount and Tenant’s failure to do so shall constitute an incurable Default. In the alternative, Tenant may provide Landlord with cash, to be held by Landlord in accordance with Section 6 of the Lease, equal to the restoration amount required under the Letter of Credit. If Landlord desires to assign the Letter of Credit, Tenant shall execute and deliver to the Issuing Bank and documents required to effectuate such transfer and pay any transfer and processing fees.</w:t>
      </w:r>
    </w:p>
    <w:p>
      <w:pPr>
        <w:spacing w:after="0" w:line="196" w:lineRule="exact"/>
        <w:rPr>
          <w:sz w:val="20"/>
          <w:szCs w:val="20"/>
          <w:color w:val="auto"/>
        </w:rPr>
      </w:pPr>
    </w:p>
    <w:p>
      <w:pPr>
        <w:jc w:val="both"/>
        <w:spacing w:after="0" w:line="207" w:lineRule="auto"/>
        <w:rPr>
          <w:sz w:val="20"/>
          <w:szCs w:val="20"/>
          <w:color w:val="auto"/>
        </w:rPr>
      </w:pPr>
      <w:r>
        <w:rPr>
          <w:rFonts w:ascii="Arial" w:cs="Arial" w:eastAsia="Arial" w:hAnsi="Arial"/>
          <w:sz w:val="19"/>
          <w:szCs w:val="19"/>
          <w:color w:val="auto"/>
        </w:rPr>
        <w:t>The use, application or retention of the Letter of Credit, or any portion thereof, by Landlord shall not prevent Landlord from exercising any other right or remedy provided by this Lease or by any applicable Law, it being intended that Landlord shall not first be required to proceed against the Letter of Credit, and it shall not operate as a limitation on any recovery to which Landlord may otherwise be entitled. Tenant agrees not to interfere in any way with payment to Landlord of the proceeds of the Letter of Credit. No condition or term of this Lease shall be deemed to render the Letter of Credit conditional to justify the Issuing Bank in failing to honor a drawing upon such Letter of Credit in a timely manner. Tenant agrees and acknowledges that (a) the Letter of Credit constitutes a separate and independent contract between Landlord and the Issuing Bank, (b) Tenant is not a third party beneficiary of such contract, (c) Tenant has no property interest whatsoever in the Letter of Credit or the proceeds thereof, and</w:t>
      </w:r>
    </w:p>
    <w:p>
      <w:pPr>
        <w:spacing w:after="0" w:line="4" w:lineRule="exact"/>
        <w:rPr>
          <w:sz w:val="20"/>
          <w:szCs w:val="20"/>
          <w:color w:val="auto"/>
        </w:rPr>
      </w:pPr>
    </w:p>
    <w:p>
      <w:pPr>
        <w:jc w:val="both"/>
        <w:ind w:right="20" w:firstLine="8"/>
        <w:spacing w:after="0" w:line="213" w:lineRule="auto"/>
        <w:tabs>
          <w:tab w:leader="none" w:pos="30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 the event Tenant becomes a debtor under any chapter of the Bankruptcy Code, neither Tenant, any trustee, nor Tenant’s bankruptcy estate shall have any right to restrict or limit Landlord’s claim and/or rights to the Letter of Credit and/or the proceeds thereof by application of Section 502(b)(6) of the U. S. Bankruptcy Code or otherwise.</w:t>
      </w:r>
    </w:p>
    <w:p>
      <w:pPr>
        <w:spacing w:after="0" w:line="198"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Notwithstanding any provision of this Lease to the contrary, provided that a Material Default does not exist under any of the terms and conditions of this Lease and no more than 3 Monetary Defaults have occurred during the Term prior to the applicable Reduction Date, the balance of the Letter of Credit shall be reduced to (i) $650,000.00 on the third (3rd) anniversary of the Commencement Date, (ii) $500,000.00 on the fourth (4th) anniversary of the Commencement Date, and (iii) $350,000.00 on the fifth (5th) anniversary of the Commencement Date (each a “</w:t>
      </w:r>
      <w:r>
        <w:rPr>
          <w:rFonts w:ascii="Arial" w:cs="Arial" w:eastAsia="Arial" w:hAnsi="Arial"/>
          <w:sz w:val="20"/>
          <w:szCs w:val="20"/>
          <w:b w:val="1"/>
          <w:bCs w:val="1"/>
          <w:color w:val="auto"/>
        </w:rPr>
        <w:t>Reduction Date</w:t>
      </w:r>
      <w:r>
        <w:rPr>
          <w:rFonts w:ascii="Arial" w:cs="Arial" w:eastAsia="Arial" w:hAnsi="Arial"/>
          <w:sz w:val="20"/>
          <w:szCs w:val="20"/>
          <w:color w:val="auto"/>
        </w:rPr>
        <w:t>”). On or before each Reduction Date, Tenant shall send Landlord a notice requesting Landlord to reduce the Security Deposit. Provided the conditions set forth above are satisfied, Landlord shall consent in writing to, and, at no cost to Landlord (A) accept from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19" w:right="339" w:bottom="1440" w:gutter="0" w:footer="0" w:header="0"/>
        </w:sectPr>
      </w:pPr>
    </w:p>
    <w:bookmarkStart w:id="180" w:name="page181"/>
    <w:bookmarkEnd w:id="180"/>
    <w:p>
      <w:pPr>
        <w:jc w:val="both"/>
        <w:spacing w:after="0" w:line="227" w:lineRule="auto"/>
        <w:rPr>
          <w:sz w:val="20"/>
          <w:szCs w:val="20"/>
          <w:color w:val="auto"/>
        </w:rPr>
      </w:pPr>
      <w:r>
        <w:rPr>
          <w:rFonts w:ascii="Arial" w:cs="Arial" w:eastAsia="Arial" w:hAnsi="Arial"/>
          <w:sz w:val="19"/>
          <w:szCs w:val="19"/>
          <w:color w:val="auto"/>
        </w:rPr>
        <w:t xml:space="preserve">Issuing Bank, an amendment to the Letter of Credit or a substitute Letter of Credit in the form annexed hereto as </w:t>
      </w:r>
      <w:r>
        <w:rPr>
          <w:rFonts w:ascii="Arial" w:cs="Arial" w:eastAsia="Arial" w:hAnsi="Arial"/>
          <w:sz w:val="19"/>
          <w:szCs w:val="19"/>
          <w:b w:val="1"/>
          <w:bCs w:val="1"/>
          <w:color w:val="auto"/>
        </w:rPr>
        <w:t>Exhibit F-1</w:t>
      </w:r>
      <w:r>
        <w:rPr>
          <w:rFonts w:ascii="Arial" w:cs="Arial" w:eastAsia="Arial" w:hAnsi="Arial"/>
          <w:sz w:val="19"/>
          <w:szCs w:val="19"/>
          <w:color w:val="auto"/>
        </w:rPr>
        <w:t xml:space="preserve"> or another form meeting the requirements set forth herein and otherwise acceptable to Landlord, which reduces the Letter of Credit as provided herein but which does not otherwise amend or modify same, and (B) if requested by the Issuing Bank, execute and deliver to the Issuing Bank such instruments reasonably required by the Issuing Bank to effectuate such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F</w:t>
      </w: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395" w:right="339" w:bottom="1440" w:gutter="0" w:footer="0" w:header="0"/>
        </w:sectPr>
      </w:pPr>
    </w:p>
    <w:bookmarkStart w:id="181" w:name="page182"/>
    <w:bookmarkEnd w:id="181"/>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F-1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LETTER OF CREDIT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[LETTERHEAD OF ISSUER OF LETTER OF CREDIT]</w:t>
      </w:r>
    </w:p>
    <w:p>
      <w:pPr>
        <w:spacing w:after="0" w:line="199" w:lineRule="exact"/>
        <w:rPr>
          <w:sz w:val="20"/>
          <w:szCs w:val="20"/>
          <w:color w:val="auto"/>
        </w:rPr>
      </w:pPr>
    </w:p>
    <w:p>
      <w:pPr>
        <w:ind w:left="3500"/>
        <w:spacing w:after="0"/>
        <w:rPr>
          <w:sz w:val="20"/>
          <w:szCs w:val="20"/>
          <w:color w:val="auto"/>
        </w:rPr>
      </w:pPr>
      <w:r>
        <w:rPr>
          <w:rFonts w:ascii="Arial" w:cs="Arial" w:eastAsia="Arial" w:hAnsi="Arial"/>
          <w:sz w:val="20"/>
          <w:szCs w:val="20"/>
          <w:color w:val="auto"/>
        </w:rPr>
        <w:t>____________________ (MONTH, DAY,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5581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5581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473710</wp:posOffset>
            </wp:positionV>
            <wp:extent cx="5581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5581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593725</wp:posOffset>
            </wp:positionV>
            <wp:extent cx="5581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558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REF:</w:t>
        <w:tab/>
        <w:t>IRREVOCABLE LETTER OF CREDIT NO. _____________</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EXPIRATION DATE: ______________ </w:t>
      </w:r>
      <w:r>
        <w:rPr>
          <w:rFonts w:ascii="Arial" w:cs="Arial" w:eastAsia="Arial" w:hAnsi="Arial"/>
          <w:sz w:val="19"/>
          <w:szCs w:val="19"/>
          <w:b w:val="1"/>
          <w:bCs w:val="1"/>
          <w:u w:val="single" w:color="auto"/>
          <w:color w:val="auto"/>
        </w:rPr>
        <w:t>[NOTE TO ISSUER: INSERT DATE THAT IS 3 YEARS FROM THE ISSUANCE DATE.]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WE HEREBY OPEN OUR UNCONDITIONAL IRREVOCABLE CLEAN LETTER OF CREDIT NO. __________ IN YOUR</w:t>
      </w:r>
    </w:p>
    <w:p>
      <w:pPr>
        <w:jc w:val="both"/>
        <w:ind w:right="20"/>
        <w:spacing w:after="0" w:line="222" w:lineRule="auto"/>
        <w:rPr>
          <w:sz w:val="20"/>
          <w:szCs w:val="20"/>
          <w:color w:val="auto"/>
        </w:rPr>
      </w:pPr>
      <w:r>
        <w:rPr>
          <w:rFonts w:ascii="Arial" w:cs="Arial" w:eastAsia="Arial" w:hAnsi="Arial"/>
          <w:sz w:val="20"/>
          <w:szCs w:val="20"/>
          <w:color w:val="auto"/>
        </w:rPr>
        <w:t>FAVOR AVAILABLE BY YOUR DRAFT(S) AT SIGHT FOR AN AMOUNT NOT TO EXCEED IN THE AGGREGATE ($800,000.00) EFFECTIVE IMMEDIATELY.</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ALL DRAFTS SO DRAWN MUST BE MARKED “DRAWN UNDER IRREVOCABLE LETTER OF CREDIT OF </w:t>
      </w:r>
      <w:r>
        <w:rPr>
          <w:rFonts w:ascii="Arial" w:cs="Arial" w:eastAsia="Arial" w:hAnsi="Arial"/>
          <w:sz w:val="20"/>
          <w:szCs w:val="20"/>
          <w:b w:val="1"/>
          <w:bCs w:val="1"/>
          <w:color w:val="auto"/>
        </w:rPr>
        <w:t>[ISSUING BANK]</w:t>
      </w:r>
      <w:r>
        <w:rPr>
          <w:rFonts w:ascii="Arial" w:cs="Arial" w:eastAsia="Arial" w:hAnsi="Arial"/>
          <w:sz w:val="20"/>
          <w:szCs w:val="20"/>
          <w:color w:val="auto"/>
        </w:rPr>
        <w:t>, NO. __________, DATED _______________, 20__.”</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THIS LETTER OF CREDIT IS ISSUED, PRESENTABLE AND PAYABLE AT OUR OFFICE AT _________________________,</w:t>
      </w:r>
    </w:p>
    <w:p>
      <w:pPr>
        <w:jc w:val="both"/>
        <w:spacing w:after="0" w:line="197" w:lineRule="auto"/>
        <w:rPr>
          <w:sz w:val="20"/>
          <w:szCs w:val="20"/>
          <w:color w:val="auto"/>
        </w:rPr>
      </w:pPr>
      <w:r>
        <w:rPr>
          <w:rFonts w:ascii="Arial" w:cs="Arial" w:eastAsia="Arial" w:hAnsi="Arial"/>
          <w:sz w:val="20"/>
          <w:szCs w:val="20"/>
          <w:color w:val="auto"/>
        </w:rPr>
        <w:t>OR SUCH OTHER OFFICE IN CHICAGO, ILLINOIS AS WE MAY DESIGNATE BY WRITTEN NOTICE TO YOU, AND EXPIRES WITH OUR CLOSE OF BUSINESS ON ____________________. IT IS A CONDITION OF THIS LETTER OF CREDIT THAT IT SHALL BE AUTOMATICALLY EXTENDED FOR ADDITIONAL TWELVE MONTH PERIODS THROUGH</w:t>
      </w:r>
    </w:p>
    <w:p>
      <w:pPr>
        <w:spacing w:after="0" w:line="197" w:lineRule="auto"/>
        <w:rPr>
          <w:sz w:val="20"/>
          <w:szCs w:val="20"/>
          <w:color w:val="auto"/>
        </w:rPr>
      </w:pPr>
      <w:r>
        <w:rPr>
          <w:rFonts w:ascii="Arial" w:cs="Arial" w:eastAsia="Arial" w:hAnsi="Arial"/>
          <w:sz w:val="20"/>
          <w:szCs w:val="20"/>
          <w:color w:val="auto"/>
        </w:rPr>
        <w:t xml:space="preserve">____________________ </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NOTE: INSERT DATE WHICH IS 60 DAYS AFTER LEASE EXPIRATION]</w:t>
      </w:r>
      <w:r>
        <w:rPr>
          <w:rFonts w:ascii="Arial" w:cs="Arial" w:eastAsia="Arial" w:hAnsi="Arial"/>
          <w:sz w:val="20"/>
          <w:szCs w:val="20"/>
          <w:color w:val="auto"/>
        </w:rPr>
        <w:t>, UNLESS WE INFORM</w:t>
      </w:r>
    </w:p>
    <w:p>
      <w:pPr>
        <w:spacing w:after="0" w:line="1" w:lineRule="exact"/>
        <w:rPr>
          <w:sz w:val="20"/>
          <w:szCs w:val="20"/>
          <w:color w:val="auto"/>
        </w:rPr>
      </w:pPr>
    </w:p>
    <w:p>
      <w:pPr>
        <w:jc w:val="both"/>
        <w:spacing w:after="0" w:line="197" w:lineRule="auto"/>
        <w:rPr>
          <w:sz w:val="20"/>
          <w:szCs w:val="20"/>
          <w:color w:val="auto"/>
        </w:rPr>
      </w:pPr>
      <w:r>
        <w:rPr>
          <w:rFonts w:ascii="Arial" w:cs="Arial" w:eastAsia="Arial" w:hAnsi="Arial"/>
          <w:sz w:val="20"/>
          <w:szCs w:val="20"/>
          <w:color w:val="auto"/>
        </w:rPr>
        <w:t>YOU IN WRITING BY REGISTERED MAIL OR BY OVERNIGHT MAIL DELIVERED BY A REPUTABLE NATIONAL COURIER AT THE ABOVE ADDRESS (WITH A COPY TO _______________________________________</w:t>
      </w:r>
    </w:p>
    <w:p>
      <w:pPr>
        <w:spacing w:after="0" w:line="208" w:lineRule="auto"/>
        <w:rPr>
          <w:sz w:val="20"/>
          <w:szCs w:val="20"/>
          <w:color w:val="auto"/>
        </w:rPr>
      </w:pPr>
      <w:r>
        <w:rPr>
          <w:rFonts w:ascii="Arial" w:cs="Arial" w:eastAsia="Arial" w:hAnsi="Arial"/>
          <w:sz w:val="19"/>
          <w:szCs w:val="19"/>
          <w:color w:val="auto"/>
        </w:rPr>
        <w:t>____________________________________) DISPATCHED BY US AT LEAST 60 DAYS PRIOR TO THE THEN EXPIRATION</w:t>
      </w:r>
    </w:p>
    <w:p>
      <w:pPr>
        <w:jc w:val="both"/>
        <w:spacing w:after="0" w:line="205" w:lineRule="auto"/>
        <w:rPr>
          <w:sz w:val="20"/>
          <w:szCs w:val="20"/>
          <w:color w:val="auto"/>
        </w:rPr>
      </w:pPr>
      <w:r>
        <w:rPr>
          <w:rFonts w:ascii="Arial" w:cs="Arial" w:eastAsia="Arial" w:hAnsi="Arial"/>
          <w:sz w:val="20"/>
          <w:szCs w:val="20"/>
          <w:color w:val="auto"/>
        </w:rPr>
        <w:t>DATE THAT THIS LETTER OF CREDIT SHALL NOT BE EXTENDED. IN THE EVENT THIS CREDIT IS NOT EXTENDED FOR AN ADDITIONAL PERIOD AS PROVIDED ABOVE, YOU MAY DRAW HEREUNDER. SUCH DRAWING IS TO BE MADE BY MEANS OF A DRAFT ON US AT SIGHT WHICH MUST BE PRESENTED TO US BEFORE THE THEN EXPIRATION DATE OF THIS LETTER OF CREDIT. THIS LETTER OF CREDIT CANNOT BE MODIFIED OR REVOKED WITHOUT YOUR CONSENT. THIS LETTER OF CREDIT IS PAYABLE IN MULTIPLE DRAFTS AND SHALL BE TRANSFERABLE BY YOU WITHOUT ADDITIONAL CHARGE.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DRAWS MAY BE PRESENTED BY FACSIMILE TO FAX NUMBER _____________ UNDER TELEPHONE PRE-ADVICE TO</w:t>
      </w:r>
    </w:p>
    <w:p>
      <w:pPr>
        <w:spacing w:after="0" w:line="197" w:lineRule="auto"/>
        <w:rPr>
          <w:sz w:val="20"/>
          <w:szCs w:val="20"/>
          <w:color w:val="auto"/>
        </w:rPr>
      </w:pPr>
      <w:r>
        <w:rPr>
          <w:rFonts w:ascii="Arial" w:cs="Arial" w:eastAsia="Arial" w:hAnsi="Arial"/>
          <w:sz w:val="20"/>
          <w:szCs w:val="20"/>
          <w:color w:val="auto"/>
        </w:rPr>
        <w:t>______________. FURTHER PRESENTATION OF THE ORIGINAL DRAFT AND THIS LETTER OF CREDIT IS NOT</w:t>
      </w:r>
    </w:p>
    <w:p>
      <w:pPr>
        <w:spacing w:after="0"/>
        <w:rPr>
          <w:sz w:val="20"/>
          <w:szCs w:val="20"/>
          <w:color w:val="auto"/>
        </w:rPr>
      </w:pPr>
      <w:r>
        <w:rPr>
          <w:rFonts w:ascii="Arial" w:cs="Arial" w:eastAsia="Arial" w:hAnsi="Arial"/>
          <w:sz w:val="20"/>
          <w:szCs w:val="20"/>
          <w:color w:val="auto"/>
        </w:rPr>
        <w:t>REQUIRED.</w:t>
      </w:r>
    </w:p>
    <w:p>
      <w:pPr>
        <w:spacing w:after="0" w:line="175"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IF DEMAND FOR PAYMENT IS PRESENTED BEFORE 11:00 A.M. CENTRAL TIME, PAYMENT SHALL BE MADE TO YOU OF THE AMOUNT DEMANDED IN IMMEDIATELY AVAILABLE FUNDS NOT LATER THAN 4:00 P.M. CENTRAL TIME ON THE FOLLOWING BUSINESS DAY. IF DEMAND FOR PAYMENT IS PRESENTED AFTER 11:00 A.M. CENTRAL TIME, PAYMENT SHALL BE MADE TO YOU OF THE AMOUNT DEMANDED IN IMMEDIATELY AVAILABLE FUNDS NOT LATER THAN 4:00 P.M. CENTRAL TIME ON THE SECOND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40" w:right="339" w:bottom="1440" w:gutter="0" w:footer="0" w:header="0"/>
        </w:sectPr>
      </w:pPr>
    </w:p>
    <w:bookmarkStart w:id="182" w:name="page183"/>
    <w:bookmarkEnd w:id="182"/>
    <w:p>
      <w:pPr>
        <w:jc w:val="both"/>
        <w:spacing w:after="0" w:line="207" w:lineRule="auto"/>
        <w:rPr>
          <w:sz w:val="20"/>
          <w:szCs w:val="20"/>
          <w:color w:val="auto"/>
        </w:rPr>
      </w:pPr>
      <w:r>
        <w:rPr>
          <w:rFonts w:ascii="Arial" w:cs="Arial" w:eastAsia="Arial" w:hAnsi="Arial"/>
          <w:sz w:val="19"/>
          <w:szCs w:val="19"/>
          <w:color w:val="auto"/>
        </w:rPr>
        <w:t>WE HEREBY DO UNDERTAKE TO PROMPTLY HONOR YOUR SIGHT DRAFT OR DRAFTS DRAWN ON US, INDICATING OUR LETTER OF CREDIT NO. __________ FOR THE AMOUNT AVAILABLE TO BE DRAWN ON THIS LETTER OF CREDIT</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UPON PRESENTATION OF YOUR SIGHT DRAFT IN THE FORM OF </w:t>
      </w:r>
      <w:r>
        <w:rPr>
          <w:rFonts w:ascii="Arial" w:cs="Arial" w:eastAsia="Arial" w:hAnsi="Arial"/>
          <w:sz w:val="20"/>
          <w:szCs w:val="20"/>
          <w:i w:val="1"/>
          <w:iCs w:val="1"/>
          <w:color w:val="auto"/>
        </w:rPr>
        <w:t>SCHEDULE A</w:t>
      </w:r>
      <w:r>
        <w:rPr>
          <w:rFonts w:ascii="Arial" w:cs="Arial" w:eastAsia="Arial" w:hAnsi="Arial"/>
          <w:sz w:val="20"/>
          <w:szCs w:val="20"/>
          <w:color w:val="auto"/>
        </w:rPr>
        <w:t xml:space="preserve"> ATTACHED HERETO DRAWN ON US AT OUR OFFICES SPECIFIED ABOVE DURING OUR USUAL BUSINESS HOURS ON OR BEFORE THE EXPIRATION DATE HEREOF.</w:t>
      </w:r>
    </w:p>
    <w:p>
      <w:pPr>
        <w:spacing w:after="0" w:line="171"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EXCEPT AS EXPRESSLY STATED HEREIN, THIS UNDERTAKING IS NOT SUBJECT TO ANY AGREEMENTS, REQUIREMENTS OR QUALIFICATION. OUR OBLIGATION UNDER THIS LETTER OF CREDIT IS OUR INDIVIDUAL OBLIGATION AND IS IN NO WAY CONTINGENT UPON REIMBURSEMENT WITH RESPECT THERETO OR UPON OUR ABILITY TO PERFECT ANY LIEN, SECURITY INTEREST OR ANY OTHER REIMBURSEMENT.</w:t>
      </w:r>
    </w:p>
    <w:p>
      <w:pPr>
        <w:spacing w:after="0" w:line="17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EXCEPT SO FAR AS OTHERWISE EXPRESSLY STATED, THIS LETTER OF CREDIT IS SUBJECT TO INTERNATIONAL STANDBY PRACTICES 1998, INTERNATIONAL CHAMBER OF COMMERCE PUBLICATION NO. 590.</w:t>
      </w:r>
    </w:p>
    <w:p>
      <w:pPr>
        <w:spacing w:after="0" w:line="169" w:lineRule="exact"/>
        <w:rPr>
          <w:sz w:val="20"/>
          <w:szCs w:val="20"/>
          <w:color w:val="auto"/>
        </w:rPr>
      </w:pPr>
    </w:p>
    <w:p>
      <w:pPr>
        <w:ind w:left="1520"/>
        <w:spacing w:after="0"/>
        <w:rPr>
          <w:sz w:val="20"/>
          <w:szCs w:val="20"/>
          <w:color w:val="auto"/>
        </w:rPr>
      </w:pPr>
      <w:r>
        <w:rPr>
          <w:rFonts w:ascii="Arial" w:cs="Arial" w:eastAsia="Arial" w:hAnsi="Arial"/>
          <w:sz w:val="20"/>
          <w:szCs w:val="20"/>
          <w:color w:val="auto"/>
        </w:rPr>
        <w:t>[ISSUER OF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336550</wp:posOffset>
            </wp:positionV>
            <wp:extent cx="139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F</w:t>
      </w: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19" w:right="3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20"/>
          <w:szCs w:val="20"/>
          <w:b w:val="1"/>
          <w:bCs w:val="1"/>
          <w:color w:val="auto"/>
        </w:rPr>
        <w:t>SCHEDULE A TO LETTER OF CREDIT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for value received</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pay at sight by wire transfer in immediately available funds to _________________________ the sum of U.S. $__________</w:t>
      </w:r>
    </w:p>
    <w:p>
      <w:pPr>
        <w:spacing w:after="0" w:line="219" w:lineRule="auto"/>
        <w:tabs>
          <w:tab w:leader="none" w:pos="800" w:val="left"/>
          <w:tab w:leader="none" w:pos="1560" w:val="left"/>
          <w:tab w:leader="none" w:pos="2800" w:val="left"/>
          <w:tab w:leader="none" w:pos="3520" w:val="left"/>
          <w:tab w:leader="none" w:pos="3940" w:val="left"/>
          <w:tab w:leader="none" w:pos="4700" w:val="left"/>
          <w:tab w:leader="none" w:pos="5240" w:val="left"/>
          <w:tab w:leader="none" w:pos="6660" w:val="left"/>
          <w:tab w:leader="none" w:pos="7420" w:val="left"/>
          <w:tab w:leader="none" w:pos="9400" w:val="left"/>
          <w:tab w:leader="none" w:pos="10160" w:val="left"/>
          <w:tab w:leader="none" w:pos="11000" w:val="left"/>
        </w:tabs>
        <w:rPr>
          <w:sz w:val="20"/>
          <w:szCs w:val="20"/>
          <w:color w:val="auto"/>
        </w:rPr>
      </w:pPr>
      <w:r>
        <w:rPr>
          <w:rFonts w:ascii="Arial" w:cs="Arial" w:eastAsia="Arial" w:hAnsi="Arial"/>
          <w:sz w:val="20"/>
          <w:szCs w:val="20"/>
          <w:color w:val="auto"/>
        </w:rPr>
        <w:t>drawn</w:t>
        <w:tab/>
        <w:t>under</w:t>
        <w:tab/>
        <w:t>irrevocable</w:t>
        <w:tab/>
        <w:t>letter</w:t>
        <w:tab/>
        <w:t>of</w:t>
        <w:tab/>
        <w:t>credit</w:t>
        <w:tab/>
        <w:t>no.</w:t>
        <w:tab/>
        <w:t>__________,</w:t>
        <w:tab/>
        <w:t>dated</w:t>
        <w:tab/>
        <w:t>_______________,</w:t>
        <w:tab/>
        <w:t>20__,</w:t>
        <w:tab/>
        <w:t>issued</w:t>
      </w:r>
      <w:r>
        <w:rPr>
          <w:sz w:val="20"/>
          <w:szCs w:val="20"/>
          <w:color w:val="auto"/>
        </w:rPr>
        <w:tab/>
      </w:r>
      <w:r>
        <w:rPr>
          <w:rFonts w:ascii="Arial" w:cs="Arial" w:eastAsia="Arial" w:hAnsi="Arial"/>
          <w:sz w:val="18"/>
          <w:szCs w:val="18"/>
          <w:color w:val="auto"/>
        </w:rPr>
        <w:t>by</w:t>
      </w:r>
    </w:p>
    <w:p>
      <w:pPr>
        <w:spacing w:after="0"/>
        <w:rPr>
          <w:sz w:val="20"/>
          <w:szCs w:val="20"/>
          <w:color w:val="auto"/>
        </w:rPr>
      </w:pPr>
      <w:r>
        <w:rPr>
          <w:rFonts w:ascii="Arial" w:cs="Arial" w:eastAsia="Arial" w:hAnsi="Arial"/>
          <w:sz w:val="20"/>
          <w:szCs w:val="20"/>
          <w:color w:val="auto"/>
        </w:rPr>
        <w:t>_________________________.</w:t>
      </w:r>
    </w:p>
    <w:p>
      <w:pPr>
        <w:spacing w:after="0" w:line="175"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to:</w:t>
        <w:tab/>
        <w:t>[issuer of letter of credit]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[CITY,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F</w:t>
      </w: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395" w:right="33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20"/>
          <w:szCs w:val="20"/>
          <w:b w:val="1"/>
          <w:bCs w:val="1"/>
          <w:color w:val="auto"/>
        </w:rPr>
        <w:t>EXHIBIT 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G</w:t>
      </w: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395"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20"/>
          <w:szCs w:val="20"/>
          <w:b w:val="1"/>
          <w:bCs w:val="1"/>
          <w:color w:val="auto"/>
        </w:rPr>
        <w:t>EXHIBIT G-1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STATE SPECIFIC RIDER</w:t>
      </w:r>
    </w:p>
    <w:p>
      <w:pPr>
        <w:spacing w:after="0" w:line="175" w:lineRule="exact"/>
        <w:rPr>
          <w:sz w:val="20"/>
          <w:szCs w:val="20"/>
          <w:color w:val="auto"/>
        </w:rPr>
      </w:pPr>
    </w:p>
    <w:p>
      <w:pPr>
        <w:jc w:val="both"/>
        <w:ind w:firstLine="648"/>
        <w:spacing w:after="0" w:line="203"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EQC CAPITOL</w:t>
      </w:r>
      <w:r>
        <w:rPr>
          <w:rFonts w:ascii="Arial" w:cs="Arial" w:eastAsia="Arial" w:hAnsi="Arial"/>
          <w:sz w:val="20"/>
          <w:szCs w:val="20"/>
          <w:color w:val="auto"/>
        </w:rPr>
        <w:t xml:space="preserve"> </w:t>
      </w:r>
      <w:r>
        <w:rPr>
          <w:rFonts w:ascii="Arial" w:cs="Arial" w:eastAsia="Arial" w:hAnsi="Arial"/>
          <w:sz w:val="20"/>
          <w:szCs w:val="20"/>
          <w:b w:val="1"/>
          <w:bCs w:val="1"/>
          <w:color w:val="auto"/>
        </w:rPr>
        <w:t>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CROWDSTRIKE,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for space in the Building (as defined in the Lease) located at 206 East 9th Street, Austin, Texas. Capitalized terms used but not defined herein shall have the meanings given in the Lease.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151" w:lineRule="exact"/>
        <w:rPr>
          <w:sz w:val="20"/>
          <w:szCs w:val="20"/>
          <w:color w:val="auto"/>
        </w:rPr>
      </w:pPr>
    </w:p>
    <w:p>
      <w:pPr>
        <w:ind w:left="440" w:hanging="432"/>
        <w:spacing w:after="0"/>
        <w:tabs>
          <w:tab w:leader="none" w:pos="440" w:val="left"/>
        </w:tabs>
        <w:numPr>
          <w:ilvl w:val="0"/>
          <w:numId w:val="138"/>
        </w:numPr>
        <w:rPr>
          <w:rFonts w:ascii="Arial" w:cs="Arial" w:eastAsia="Arial" w:hAnsi="Arial"/>
          <w:sz w:val="20"/>
          <w:szCs w:val="20"/>
          <w:color w:val="auto"/>
        </w:rPr>
      </w:pPr>
      <w:r>
        <w:rPr>
          <w:rFonts w:ascii="Arial" w:cs="Arial" w:eastAsia="Arial" w:hAnsi="Arial"/>
          <w:sz w:val="20"/>
          <w:szCs w:val="20"/>
          <w:b w:val="1"/>
          <w:bCs w:val="1"/>
          <w:color w:val="auto"/>
        </w:rPr>
        <w:t>GENERAL PROVISIONS.</w:t>
      </w:r>
    </w:p>
    <w:p>
      <w:pPr>
        <w:spacing w:after="0" w:line="175"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1.01. Purpose. This </w:t>
      </w:r>
      <w:r>
        <w:rPr>
          <w:rFonts w:ascii="Arial" w:cs="Arial" w:eastAsia="Arial" w:hAnsi="Arial"/>
          <w:sz w:val="20"/>
          <w:szCs w:val="20"/>
          <w:b w:val="1"/>
          <w:bCs w:val="1"/>
          <w:color w:val="auto"/>
        </w:rPr>
        <w:t>Exhibit G-1</w:t>
      </w:r>
      <w:r>
        <w:rPr>
          <w:rFonts w:ascii="Arial" w:cs="Arial" w:eastAsia="Arial" w:hAnsi="Arial"/>
          <w:sz w:val="20"/>
          <w:szCs w:val="20"/>
          <w:color w:val="auto"/>
        </w:rPr>
        <w:t xml:space="preserve"> sets forth certain provisions particular to the state or commonwealth in which the Property is located.</w:t>
      </w:r>
    </w:p>
    <w:p>
      <w:pPr>
        <w:spacing w:after="0" w:line="146"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1.02. Prevailing Provisions. If there are any inconsistencies between the Lease and the provisions of this </w:t>
      </w:r>
      <w:r>
        <w:rPr>
          <w:rFonts w:ascii="Arial" w:cs="Arial" w:eastAsia="Arial" w:hAnsi="Arial"/>
          <w:sz w:val="20"/>
          <w:szCs w:val="20"/>
          <w:b w:val="1"/>
          <w:bCs w:val="1"/>
          <w:color w:val="auto"/>
        </w:rPr>
        <w:t>Exhibit G-1</w:t>
      </w:r>
      <w:r>
        <w:rPr>
          <w:rFonts w:ascii="Arial" w:cs="Arial" w:eastAsia="Arial" w:hAnsi="Arial"/>
          <w:sz w:val="20"/>
          <w:szCs w:val="20"/>
          <w:color w:val="auto"/>
        </w:rPr>
        <w:t xml:space="preserve">, the provisions of this </w:t>
      </w:r>
      <w:r>
        <w:rPr>
          <w:rFonts w:ascii="Arial" w:cs="Arial" w:eastAsia="Arial" w:hAnsi="Arial"/>
          <w:sz w:val="20"/>
          <w:szCs w:val="20"/>
          <w:b w:val="1"/>
          <w:bCs w:val="1"/>
          <w:color w:val="auto"/>
        </w:rPr>
        <w:t>Exhibit G-1</w:t>
      </w:r>
      <w:r>
        <w:rPr>
          <w:rFonts w:ascii="Arial" w:cs="Arial" w:eastAsia="Arial" w:hAnsi="Arial"/>
          <w:sz w:val="20"/>
          <w:szCs w:val="20"/>
          <w:color w:val="auto"/>
        </w:rPr>
        <w:t xml:space="preserve"> shall prevail.</w:t>
      </w:r>
    </w:p>
    <w:p>
      <w:pPr>
        <w:spacing w:after="0" w:line="146" w:lineRule="exact"/>
        <w:rPr>
          <w:sz w:val="20"/>
          <w:szCs w:val="20"/>
          <w:color w:val="auto"/>
        </w:rPr>
      </w:pPr>
    </w:p>
    <w:p>
      <w:pPr>
        <w:ind w:firstLine="8"/>
        <w:spacing w:after="0" w:line="234" w:lineRule="auto"/>
        <w:tabs>
          <w:tab w:leader="none" w:pos="385" w:val="left"/>
        </w:tabs>
        <w:numPr>
          <w:ilvl w:val="0"/>
          <w:numId w:val="139"/>
        </w:numPr>
        <w:rPr>
          <w:rFonts w:ascii="Arial" w:cs="Arial" w:eastAsia="Arial" w:hAnsi="Arial"/>
          <w:sz w:val="20"/>
          <w:szCs w:val="20"/>
          <w:color w:val="auto"/>
        </w:rPr>
      </w:pPr>
      <w:r>
        <w:rPr>
          <w:rFonts w:ascii="Arial" w:cs="Arial" w:eastAsia="Arial" w:hAnsi="Arial"/>
          <w:sz w:val="20"/>
          <w:szCs w:val="20"/>
          <w:b w:val="1"/>
          <w:bCs w:val="1"/>
          <w:color w:val="auto"/>
        </w:rPr>
        <w:t>AMENDMENT AND SUPPLEMENTS</w:t>
      </w:r>
      <w:r>
        <w:rPr>
          <w:rFonts w:ascii="Arial" w:cs="Arial" w:eastAsia="Arial" w:hAnsi="Arial"/>
          <w:sz w:val="20"/>
          <w:szCs w:val="20"/>
          <w:color w:val="auto"/>
        </w:rPr>
        <w:t>. The following Articles and Sections of the Lease are amended and supplemented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9"/>
          <w:szCs w:val="19"/>
          <w:color w:val="auto"/>
        </w:rPr>
        <w:t>The following shall be added at the end of Section 4.01:</w:t>
      </w:r>
    </w:p>
    <w:p>
      <w:pPr>
        <w:spacing w:after="0" w:line="175" w:lineRule="exact"/>
        <w:rPr>
          <w:sz w:val="20"/>
          <w:szCs w:val="20"/>
          <w:color w:val="auto"/>
        </w:rPr>
      </w:pPr>
    </w:p>
    <w:p>
      <w:pPr>
        <w:jc w:val="both"/>
        <w:ind w:left="660"/>
        <w:spacing w:after="0" w:line="202" w:lineRule="auto"/>
        <w:rPr>
          <w:sz w:val="20"/>
          <w:szCs w:val="20"/>
          <w:color w:val="auto"/>
        </w:rPr>
      </w:pPr>
      <w:r>
        <w:rPr>
          <w:rFonts w:ascii="Arial" w:cs="Arial" w:eastAsia="Arial" w:hAnsi="Arial"/>
          <w:sz w:val="20"/>
          <w:szCs w:val="20"/>
          <w:color w:val="auto"/>
        </w:rPr>
        <w:t>LANDLORD AND TENANT AGREE THAT EACH PROVISION OF THIS LEASE FOR DETERMINING CHARGES AND AMOUNTS PAYABLE BY TENANT (INCLUDING PROVISIONS REGARDING ADDITIONAL RENT AND ANY OTHER CHARGES PAYABLE BY TENANT UNDER THIS LEASE) IS COMMERCIALLY REASONABLE AND, AS TO EACH SUCH CHARGE OR AMOUNT, CONSTITUTES A STATEMENT OF THE AMOUNT OF THE CHARGE OR A METHOD BY WHICH THE CHARGE IS TO BE COMPUTED FOR PURPOSES OF SECTION 93.012 OF THE TEXAS PROPERTY CODE. ACCORDINGLY, TENANT AND LANDLORD HEREBY VOLUNTARILY AND KNOWINGLY WAIVE ALL RIGHTS AND BENEFITS TO WHICH THEY MAY RESPECTIVELY BE ENTITLED UNDER SECTION 93.012 OF THE TEXAS PROPERTY CODE, AS SUCH SECTION NOW EXISTS OR AS SAME MAY BE HEREAFTER AMENDED OR SUCCEEDED.</w:t>
      </w:r>
    </w:p>
    <w:p>
      <w:pPr>
        <w:spacing w:after="0" w:line="17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color w:val="auto"/>
        </w:rPr>
        <w:t>The following shall be added after Section 19.04:</w:t>
      </w:r>
    </w:p>
    <w:p>
      <w:pPr>
        <w:spacing w:after="0" w:line="175" w:lineRule="exact"/>
        <w:rPr>
          <w:sz w:val="20"/>
          <w:szCs w:val="20"/>
          <w:color w:val="auto"/>
        </w:rPr>
      </w:pPr>
    </w:p>
    <w:p>
      <w:pPr>
        <w:jc w:val="both"/>
        <w:ind w:left="660"/>
        <w:spacing w:after="0" w:line="205" w:lineRule="auto"/>
        <w:rPr>
          <w:sz w:val="20"/>
          <w:szCs w:val="20"/>
          <w:color w:val="auto"/>
        </w:rPr>
      </w:pPr>
      <w:r>
        <w:rPr>
          <w:rFonts w:ascii="Arial" w:cs="Arial" w:eastAsia="Arial" w:hAnsi="Arial"/>
          <w:sz w:val="20"/>
          <w:szCs w:val="20"/>
          <w:color w:val="auto"/>
        </w:rPr>
        <w:t>19.05. The provisions and remedies set forth herein are intended to fully supersede the provisions of Texas Property Code §93.002 in the event Landlord reenters and repossesses the Premises and evicts tenant by self-help means and without judicial process. Landlord may, but shall not be required, to post a notice on the front door of the Premises after reentering and repossessing the Premises informing Tenant where it may obtain a new key only after payment of the delinquent rent, or other sum, or curing the Default which was the basis for Landlord’s reentry and repossession of the Premises.</w:t>
      </w:r>
    </w:p>
    <w:p>
      <w:pPr>
        <w:spacing w:after="0" w:line="171" w:lineRule="exact"/>
        <w:rPr>
          <w:sz w:val="20"/>
          <w:szCs w:val="20"/>
          <w:color w:val="auto"/>
        </w:rPr>
      </w:pPr>
    </w:p>
    <w:p>
      <w:pPr>
        <w:jc w:val="both"/>
        <w:ind w:left="660"/>
        <w:spacing w:after="0" w:line="209" w:lineRule="auto"/>
        <w:rPr>
          <w:sz w:val="20"/>
          <w:szCs w:val="20"/>
          <w:color w:val="auto"/>
        </w:rPr>
      </w:pPr>
      <w:r>
        <w:rPr>
          <w:rFonts w:ascii="Arial" w:cs="Arial" w:eastAsia="Arial" w:hAnsi="Arial"/>
          <w:sz w:val="20"/>
          <w:szCs w:val="20"/>
          <w:color w:val="auto"/>
        </w:rPr>
        <w:t>19.06. Tenant shall not claim a lien on the Rent owed to Landlord by Tenant. Tenant shall pay all Rent due under the Lease without offset or deduction for amounts which might be claimed by Tenant to be owed by Landlord. Any amounts owed by Landlord to Tenant, if any, shall be paid by separate payments and not by offsets or deductions from the Rent owed.</w:t>
      </w:r>
    </w:p>
    <w:p>
      <w:pPr>
        <w:spacing w:after="0" w:line="171" w:lineRule="exact"/>
        <w:rPr>
          <w:sz w:val="20"/>
          <w:szCs w:val="20"/>
          <w:color w:val="auto"/>
        </w:rPr>
      </w:pPr>
    </w:p>
    <w:p>
      <w:pPr>
        <w:jc w:val="both"/>
        <w:ind w:left="660"/>
        <w:spacing w:after="0" w:line="213" w:lineRule="auto"/>
        <w:rPr>
          <w:sz w:val="20"/>
          <w:szCs w:val="20"/>
          <w:color w:val="auto"/>
        </w:rPr>
      </w:pPr>
      <w:r>
        <w:rPr>
          <w:rFonts w:ascii="Arial" w:cs="Arial" w:eastAsia="Arial" w:hAnsi="Arial"/>
          <w:sz w:val="20"/>
          <w:szCs w:val="20"/>
          <w:color w:val="auto"/>
        </w:rPr>
        <w:t>19.07. If Tenant vacates, deserts, or abandons the Premises or is evicted from the Premises by Landlord and to the extent such events create a duty on the part of Landlord to mitigate its damages, then it is agreed that the following standards shall apply in determining the reasonableness of Landlord’s efforts to relet the Premises: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G-1</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5" w:right="339" w:bottom="1440" w:gutter="0" w:footer="0" w:header="0"/>
        </w:sectPr>
      </w:pPr>
    </w:p>
    <w:bookmarkStart w:id="186" w:name="page187"/>
    <w:bookmarkEnd w:id="186"/>
    <w:p>
      <w:pPr>
        <w:jc w:val="both"/>
        <w:spacing w:after="0" w:line="199" w:lineRule="auto"/>
        <w:rPr>
          <w:sz w:val="20"/>
          <w:szCs w:val="20"/>
          <w:color w:val="auto"/>
        </w:rPr>
      </w:pPr>
      <w:r>
        <w:rPr>
          <w:rFonts w:ascii="Arial" w:cs="Arial" w:eastAsia="Arial" w:hAnsi="Arial"/>
          <w:sz w:val="20"/>
          <w:szCs w:val="20"/>
          <w:color w:val="auto"/>
        </w:rPr>
        <w:t>Landlord may elect to relet or lease other vacant and/or available space in the Building, if any, before reletting the Premises; (b) Landlord shall not be required to give preference to reletting the Premises over leasing other space in the Building to a prospective tenant who is seeking to lease space in the Building and multiple spaces could satisfy such prospective tenant’s needs; (c) Landlord may elect to consent to the leasing, assignment, or subletting of the Premises to an existing tenant in the Building instead of leasing the Premises to a tenant which was not previously a tenant in the Building; (d) Landlord may decline to lease to a prospective tenant which will cause or require Landlord to incur substantial out-of-pocket costs for refurbishing or modifying the Premises; (e) Landlord may decline to lease the Premises to a prospective tenant at rental rates less than the prevailing market rental rates, or for an amount less than the rental rate Tenant is obligated to pay under the Lease; (f) Landlord may decline to relet the Premises to a prospective tenant whose type of business or use of the Premises is, in the judgment of Landlord, not suitable or a good fit in the Building; (g) Landlord may require a prospective tenant to demonstrate the same or similar financial capability that Landlord would require of a tenant seeking to lease other space within the Building; (h) Landlord may require that any prospective tenant seeking to lease the Premises must demonstrate financial capacity similar to the financial capacity of Tenant at the commencement of the Lease; (i) Landlord may decline to relet the Premises to a prospective tenant whose operations could breach a covenant in the Lease or any exclusivity provision granted to another tenant in the Building. Landlord listing the Premises as available for lease with a broker or agent similar to the other vacant spaces in the Building shall constitute a presumption that Landlord has exercised reasonable efforts to advertise and relet the Premises, and Landlord shall not be required to make special efforts to relet the Premises beyond the normal and reasonable efforts made to lease other vacant spaces within the Building.</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9"/>
          <w:szCs w:val="19"/>
          <w:color w:val="auto"/>
        </w:rPr>
        <w:t>The following shall be added at the end of Article 20:</w:t>
      </w:r>
    </w:p>
    <w:p>
      <w:pPr>
        <w:spacing w:after="0" w:line="175"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TENANT HEREBY WAIVES AND SURRENDERS, FOR ITSELF AND FOR ALL PERSONS OR ENTITIES CLAIMING BY, THROUGH AND UNDER TENANT, ANY RIGHTS, PRIVILEGES AND LIENS SET OUT UNDER SECTION 91.004(B) OF THE TEXAS PROPERTY CODE (AS SUCH SECTION NOW EXISTS OR AS SAME MAY BE HEREAFTER AMENDED AND/OR SUCCEEDED), AND TENANT EXEMPTS LANDLORD FROM ANY LIABILITY OR DUTY THEREUNDER.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color w:val="auto"/>
        </w:rPr>
        <w:t>The following shall be added after Section 26.20:</w:t>
      </w:r>
    </w:p>
    <w:p>
      <w:pPr>
        <w:spacing w:after="0" w:line="175"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26.21 TO THE MAXIMUM EXTENT PERMITTED UNDER APPLICABLE LAW, TENANT HEREBY WAIVES ALL OF ITS RIGHTS UNDER THE TEXAS DECEPTIVE TRADE PRACTICES – CONSUMER PROTECTION ACT, SECTION 17.41 ET. SEQ. OF THE TEXAS BUSINESS AND COMMERCE CODE, A LAW THAT GIVES CONSUMERS SPECIAL RIGHTS AND PROTECTIONS. AFTER CONSULTATION WITH AN ATTORNEY OF TENANT’S OWN SELECTION, TENANT VOLUNTARILY CONSENTS TO SUCH WAIVER.</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9"/>
          <w:szCs w:val="19"/>
          <w:color w:val="auto"/>
        </w:rPr>
        <w:t>The following shall be added at the end of the first paragraph in Section 2.04 in Exhibit B:</w:t>
      </w:r>
    </w:p>
    <w:p>
      <w:pPr>
        <w:spacing w:after="0" w:line="17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Notwithstanding anything in this Lease to the contrary, Taxes shall include the so called “franchise tax” or “margin tax” imposed under Chapter 171 of the Texas Tax Code, as the same may be amended, renewed or replaced from time to time.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9"/>
          <w:szCs w:val="19"/>
          <w:color w:val="auto"/>
        </w:rPr>
        <w:t>The following shall be added at the end of Section 2.04 in Exhibit B:</w:t>
      </w:r>
    </w:p>
    <w:p>
      <w:pPr>
        <w:spacing w:after="0" w:line="17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TO THE MAXIMUM EXTENT ALLOWED BY LAW, TENANT HEREBY WAIVES ALL RIGHTS TO PROTEST THE APPRAISED VALUE OF THE BUILDING INCLUDING THE PREMISES OR APPEAL THE SAME AND ALL RIGHTS TO RECEIVE NOTICES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EXHIBIT G-1</w:t>
      </w:r>
    </w:p>
    <w:p>
      <w:pPr>
        <w:jc w:val="center"/>
        <w:ind w:right="6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580"/>
          </w:cols>
          <w:pgMar w:left="980" w:top="1419" w:right="339" w:bottom="1440" w:gutter="0" w:footer="0" w:header="0"/>
        </w:sectPr>
      </w:pPr>
    </w:p>
    <w:bookmarkStart w:id="187" w:name="page188"/>
    <w:bookmarkEnd w:id="187"/>
    <w:p>
      <w:pPr>
        <w:spacing w:after="0"/>
        <w:rPr>
          <w:sz w:val="20"/>
          <w:szCs w:val="20"/>
          <w:color w:val="auto"/>
        </w:rPr>
      </w:pPr>
      <w:r>
        <w:rPr>
          <w:rFonts w:ascii="Arial" w:cs="Arial" w:eastAsia="Arial" w:hAnsi="Arial"/>
          <w:sz w:val="19"/>
          <w:szCs w:val="19"/>
          <w:color w:val="auto"/>
        </w:rPr>
        <w:t>REAPPRAISALS SET FORTH IN SECTIONS 41.413 AND 42.015 OF THE TEXAS TAX CODE.</w:t>
      </w:r>
    </w:p>
    <w:p>
      <w:pPr>
        <w:sectPr>
          <w:pgSz w:w="11900" w:h="16838" w:orient="portrait"/>
          <w:cols w:equalWidth="0" w:num="1">
            <w:col w:w="9479"/>
          </w:cols>
          <w:pgMar w:left="98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EXHIBIT G-1</w:t>
      </w:r>
    </w:p>
    <w:p>
      <w:pPr>
        <w:jc w:val="center"/>
        <w:ind w:right="-4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479"/>
          </w:cols>
          <w:pgMar w:left="980" w:top="1419" w:right="1440" w:bottom="1440" w:gutter="0" w:footer="0" w:header="0"/>
          <w:type w:val="continuous"/>
        </w:sectPr>
      </w:pPr>
    </w:p>
    <w:bookmarkStart w:id="188" w:name="page189"/>
    <w:bookmarkEnd w:id="188"/>
    <w:p>
      <w:pPr>
        <w:jc w:val="center"/>
        <w:spacing w:after="0"/>
        <w:rPr>
          <w:sz w:val="20"/>
          <w:szCs w:val="20"/>
          <w:color w:val="auto"/>
        </w:rPr>
      </w:pPr>
      <w:r>
        <w:rPr>
          <w:rFonts w:ascii="Arial" w:cs="Arial" w:eastAsia="Arial" w:hAnsi="Arial"/>
          <w:sz w:val="20"/>
          <w:szCs w:val="20"/>
          <w:b w:val="1"/>
          <w:bCs w:val="1"/>
          <w:color w:val="auto"/>
        </w:rPr>
        <w:t>EXHIBIT 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PARKING AGREEMENT</w:t>
      </w:r>
    </w:p>
    <w:p>
      <w:pPr>
        <w:spacing w:after="0" w:line="20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0"/>
          <w:szCs w:val="20"/>
          <w:color w:val="auto"/>
        </w:rPr>
        <w:t>This Exhibit is attached to and made a part of the Office Lease Agreement (the “</w:t>
      </w:r>
      <w:r>
        <w:rPr>
          <w:rFonts w:ascii="Arial" w:cs="Arial" w:eastAsia="Arial" w:hAnsi="Arial"/>
          <w:sz w:val="20"/>
          <w:szCs w:val="20"/>
          <w:b w:val="1"/>
          <w:bCs w:val="1"/>
          <w:color w:val="auto"/>
        </w:rPr>
        <w:t>Lease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EQC CAPITOL</w:t>
      </w:r>
      <w:r>
        <w:rPr>
          <w:rFonts w:ascii="Arial" w:cs="Arial" w:eastAsia="Arial" w:hAnsi="Arial"/>
          <w:sz w:val="20"/>
          <w:szCs w:val="20"/>
          <w:color w:val="auto"/>
        </w:rPr>
        <w:t xml:space="preserve"> </w:t>
      </w:r>
      <w:r>
        <w:rPr>
          <w:rFonts w:ascii="Arial" w:cs="Arial" w:eastAsia="Arial" w:hAnsi="Arial"/>
          <w:sz w:val="20"/>
          <w:szCs w:val="20"/>
          <w:b w:val="1"/>
          <w:bCs w:val="1"/>
          <w:color w:val="auto"/>
        </w:rPr>
        <w:t>TOWER PROPERTY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Landlord</w:t>
      </w:r>
      <w:r>
        <w:rPr>
          <w:rFonts w:ascii="Arial" w:cs="Arial" w:eastAsia="Arial" w:hAnsi="Arial"/>
          <w:sz w:val="20"/>
          <w:szCs w:val="20"/>
          <w:color w:val="auto"/>
        </w:rPr>
        <w:t>”) and</w:t>
      </w:r>
      <w:r>
        <w:rPr>
          <w:rFonts w:ascii="Arial" w:cs="Arial" w:eastAsia="Arial" w:hAnsi="Arial"/>
          <w:sz w:val="20"/>
          <w:szCs w:val="20"/>
          <w:b w:val="1"/>
          <w:bCs w:val="1"/>
          <w:color w:val="auto"/>
        </w:rPr>
        <w:t xml:space="preserve"> CROWDSTRIKE, INC.</w:t>
      </w:r>
      <w:r>
        <w:rPr>
          <w:rFonts w:ascii="Arial" w:cs="Arial" w:eastAsia="Arial" w:hAnsi="Arial"/>
          <w:sz w:val="20"/>
          <w:szCs w:val="20"/>
          <w:color w:val="auto"/>
        </w:rPr>
        <w:t>,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w:t>
      </w:r>
      <w:r>
        <w:rPr>
          <w:rFonts w:ascii="Arial" w:cs="Arial" w:eastAsia="Arial" w:hAnsi="Arial"/>
          <w:sz w:val="20"/>
          <w:szCs w:val="20"/>
          <w:b w:val="1"/>
          <w:bCs w:val="1"/>
          <w:color w:val="auto"/>
        </w:rPr>
        <w:t>Tenant</w:t>
      </w:r>
      <w:r>
        <w:rPr>
          <w:rFonts w:ascii="Arial" w:cs="Arial" w:eastAsia="Arial" w:hAnsi="Arial"/>
          <w:sz w:val="20"/>
          <w:szCs w:val="20"/>
          <w:color w:val="auto"/>
        </w:rPr>
        <w:t>”) for space in the Building (as defined in the Lease) located at 206 East 9th Street, Austin, Texas. Capitalized terms used but not defined herein shall have the meanings given in the Lease.</w:t>
      </w:r>
    </w:p>
    <w:p>
      <w:pPr>
        <w:spacing w:after="0" w:line="144" w:lineRule="exact"/>
        <w:rPr>
          <w:sz w:val="20"/>
          <w:szCs w:val="20"/>
          <w:color w:val="auto"/>
        </w:rPr>
      </w:pPr>
    </w:p>
    <w:p>
      <w:pPr>
        <w:jc w:val="both"/>
        <w:ind w:firstLine="656"/>
        <w:spacing w:after="0" w:line="200" w:lineRule="auto"/>
        <w:tabs>
          <w:tab w:leader="none" w:pos="1109" w:val="left"/>
        </w:tabs>
        <w:numPr>
          <w:ilvl w:val="0"/>
          <w:numId w:val="140"/>
        </w:numPr>
        <w:rPr>
          <w:rFonts w:ascii="Arial" w:cs="Arial" w:eastAsia="Arial" w:hAnsi="Arial"/>
          <w:sz w:val="20"/>
          <w:szCs w:val="20"/>
          <w:color w:val="auto"/>
        </w:rPr>
      </w:pPr>
      <w:r>
        <w:rPr>
          <w:rFonts w:ascii="Arial" w:cs="Arial" w:eastAsia="Arial" w:hAnsi="Arial"/>
          <w:sz w:val="20"/>
          <w:szCs w:val="20"/>
          <w:color w:val="auto"/>
        </w:rPr>
        <w:t>Landlord hereby grants to Tenant a license to use 40 parking spaces (the "</w:t>
      </w:r>
      <w:r>
        <w:rPr>
          <w:rFonts w:ascii="Arial" w:cs="Arial" w:eastAsia="Arial" w:hAnsi="Arial"/>
          <w:sz w:val="20"/>
          <w:szCs w:val="20"/>
          <w:b w:val="1"/>
          <w:bCs w:val="1"/>
          <w:color w:val="auto"/>
        </w:rPr>
        <w:t>Initial Spaces</w:t>
      </w:r>
      <w:r>
        <w:rPr>
          <w:rFonts w:ascii="Arial" w:cs="Arial" w:eastAsia="Arial" w:hAnsi="Arial"/>
          <w:sz w:val="20"/>
          <w:szCs w:val="20"/>
          <w:color w:val="auto"/>
        </w:rPr>
        <w:t>") in the parking facility located at the Property (“</w:t>
      </w:r>
      <w:r>
        <w:rPr>
          <w:rFonts w:ascii="Arial" w:cs="Arial" w:eastAsia="Arial" w:hAnsi="Arial"/>
          <w:sz w:val="20"/>
          <w:szCs w:val="20"/>
          <w:b w:val="1"/>
          <w:bCs w:val="1"/>
          <w:color w:val="auto"/>
        </w:rPr>
        <w:t>Parking Facility</w:t>
      </w:r>
      <w:r>
        <w:rPr>
          <w:rFonts w:ascii="Arial" w:cs="Arial" w:eastAsia="Arial" w:hAnsi="Arial"/>
          <w:sz w:val="20"/>
          <w:szCs w:val="20"/>
          <w:color w:val="auto"/>
        </w:rPr>
        <w:t>”), up to 2 of which may be reserved spaces and the balance of which shall be non-reserved parking spaces, on the terms and conditions set forth in this Exhibit. Commencing on the Premises Delivery Date, Landlord grants to Tenant a license to use up to 50 additional parking spaces (the "</w:t>
      </w:r>
      <w:r>
        <w:rPr>
          <w:rFonts w:ascii="Arial" w:cs="Arial" w:eastAsia="Arial" w:hAnsi="Arial"/>
          <w:sz w:val="20"/>
          <w:szCs w:val="20"/>
          <w:b w:val="1"/>
          <w:bCs w:val="1"/>
          <w:color w:val="auto"/>
        </w:rPr>
        <w:t>Lease Term Additional Parking Spaces</w:t>
      </w:r>
      <w:r>
        <w:rPr>
          <w:rFonts w:ascii="Arial" w:cs="Arial" w:eastAsia="Arial" w:hAnsi="Arial"/>
          <w:sz w:val="20"/>
          <w:szCs w:val="20"/>
          <w:color w:val="auto"/>
        </w:rPr>
        <w:t>") in the Parking Facility, up to 3 of which may be reserved spaces and the balance of which shall be non-reserved spaces. The term of such license as to the Initial Spaces shall commence on the Effective Date under the Lease, and the term of such license as to the Lease Term Additional Parking Spaces shall commence on the Premises Delivery Date under the Lease. The term of such license as to the Initial Spaces and the Lease Term Additional Spaces shall continue until the earlier to occur of the Termination Date under the Lease or the earlier termination of the Lease or Tenant’s right to occupy the Premises, or Tenant’s abandonment of the Premises thereunder. Tenant shall not have the right to use more than the number of spaces set forth above with respect to any period. Tenant may use parking spaces on an unlimited 24/7 basis, subject to the terms of this Exhibit, including, without limitation, Section 3 below). During the term of such licenses, Tenant shall pay Landlord the then-current monthly garage rate, plus tax, per parking space per month, which rate is subject to change by Landlord at any time so long as any rate change is consistent with fair market pricing for comparable parking facilities (the “</w:t>
      </w:r>
      <w:r>
        <w:rPr>
          <w:rFonts w:ascii="Arial" w:cs="Arial" w:eastAsia="Arial" w:hAnsi="Arial"/>
          <w:sz w:val="20"/>
          <w:szCs w:val="20"/>
          <w:b w:val="1"/>
          <w:bCs w:val="1"/>
          <w:color w:val="auto"/>
        </w:rPr>
        <w:t>Parking Charge</w:t>
      </w:r>
      <w:r>
        <w:rPr>
          <w:rFonts w:ascii="Arial" w:cs="Arial" w:eastAsia="Arial" w:hAnsi="Arial"/>
          <w:sz w:val="20"/>
          <w:szCs w:val="20"/>
          <w:color w:val="auto"/>
        </w:rPr>
        <w:t>”), payable in advance on the first day of each month (and on the Effective Date, if the Effective Date is not the first day of a month); provided, from the Effective Date through the first (1st) anniversary of the Commencement Date, the charge for each reserved parking space shall be $300 per month, plus applicable taxes, and the charge for each unreserved parking space shall be $200 per month, plus applicable taxes. Unless otherwise directed by Landlord, the Parking Charge and other sums due hereunder shall be paid to Landlord in the same manner that monthly Base Rent is paid to Landlord under the Lease. No deductions from the monthly charge shall be made for days on which the Parking Facility or any parking spaces are not used by Tenant.</w:t>
      </w:r>
    </w:p>
    <w:p>
      <w:pPr>
        <w:spacing w:after="0" w:line="187" w:lineRule="exact"/>
        <w:rPr>
          <w:rFonts w:ascii="Arial" w:cs="Arial" w:eastAsia="Arial" w:hAnsi="Arial"/>
          <w:sz w:val="20"/>
          <w:szCs w:val="20"/>
          <w:color w:val="auto"/>
        </w:rPr>
      </w:pPr>
    </w:p>
    <w:p>
      <w:pPr>
        <w:jc w:val="both"/>
        <w:ind w:firstLine="656"/>
        <w:spacing w:after="0" w:line="204" w:lineRule="auto"/>
        <w:tabs>
          <w:tab w:leader="none" w:pos="103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Tenant shall at all times comply with all applicable Laws respecting the use of the Parking Facility. Landlord reserves the right to adopt, modify and enforce reasonable, non-discriminatory rules (“</w:t>
      </w:r>
      <w:r>
        <w:rPr>
          <w:rFonts w:ascii="Arial" w:cs="Arial" w:eastAsia="Arial" w:hAnsi="Arial"/>
          <w:sz w:val="20"/>
          <w:szCs w:val="20"/>
          <w:b w:val="1"/>
          <w:bCs w:val="1"/>
          <w:color w:val="auto"/>
        </w:rPr>
        <w:t>Rules</w:t>
      </w:r>
      <w:r>
        <w:rPr>
          <w:rFonts w:ascii="Arial" w:cs="Arial" w:eastAsia="Arial" w:hAnsi="Arial"/>
          <w:sz w:val="20"/>
          <w:szCs w:val="20"/>
          <w:color w:val="auto"/>
        </w:rPr>
        <w:t xml:space="preserve">”) governing the use of the Parking Facility from time to time including any parking sticker, key-card, or other identification or entrance system and hours of operation. Tenant shall comply with all such Rules, including, without limitation, the Rules attached hereto as </w:t>
      </w:r>
      <w:r>
        <w:rPr>
          <w:rFonts w:ascii="Arial" w:cs="Arial" w:eastAsia="Arial" w:hAnsi="Arial"/>
          <w:sz w:val="20"/>
          <w:szCs w:val="20"/>
          <w:b w:val="1"/>
          <w:bCs w:val="1"/>
          <w:color w:val="auto"/>
        </w:rPr>
        <w:t>Exhibit H-1</w:t>
      </w:r>
      <w:r>
        <w:rPr>
          <w:rFonts w:ascii="Arial" w:cs="Arial" w:eastAsia="Arial" w:hAnsi="Arial"/>
          <w:sz w:val="20"/>
          <w:szCs w:val="20"/>
          <w:color w:val="auto"/>
        </w:rPr>
        <w:t xml:space="preserve"> and shall cause any of the Tenant Related Parties using the Parking Facility (“</w:t>
      </w:r>
      <w:r>
        <w:rPr>
          <w:rFonts w:ascii="Arial" w:cs="Arial" w:eastAsia="Arial" w:hAnsi="Arial"/>
          <w:sz w:val="20"/>
          <w:szCs w:val="20"/>
          <w:b w:val="1"/>
          <w:bCs w:val="1"/>
          <w:color w:val="auto"/>
        </w:rPr>
        <w:t>Tenant Users</w:t>
      </w:r>
      <w:r>
        <w:rPr>
          <w:rFonts w:ascii="Arial" w:cs="Arial" w:eastAsia="Arial" w:hAnsi="Arial"/>
          <w:sz w:val="20"/>
          <w:szCs w:val="20"/>
          <w:color w:val="auto"/>
        </w:rPr>
        <w:t>”) to comply with such Rules. To the extent permitted under applicable Laws, Landlord may refuse to permit any person who violates such Rules to park in the Parking Facility, and any violation of the Rules shall subject the applicable car to removal by towing from the Parking Facility.</w:t>
      </w:r>
    </w:p>
    <w:p>
      <w:pPr>
        <w:spacing w:after="0" w:line="170" w:lineRule="exact"/>
        <w:rPr>
          <w:rFonts w:ascii="Arial" w:cs="Arial" w:eastAsia="Arial" w:hAnsi="Arial"/>
          <w:sz w:val="20"/>
          <w:szCs w:val="20"/>
          <w:color w:val="auto"/>
        </w:rPr>
      </w:pPr>
    </w:p>
    <w:p>
      <w:pPr>
        <w:jc w:val="both"/>
        <w:ind w:firstLine="656"/>
        <w:spacing w:after="0" w:line="204" w:lineRule="auto"/>
        <w:tabs>
          <w:tab w:leader="none" w:pos="1038" w:val="left"/>
        </w:tabs>
        <w:numPr>
          <w:ilvl w:val="0"/>
          <w:numId w:val="140"/>
        </w:numPr>
        <w:rPr>
          <w:rFonts w:ascii="Arial" w:cs="Arial" w:eastAsia="Arial" w:hAnsi="Arial"/>
          <w:sz w:val="20"/>
          <w:szCs w:val="20"/>
          <w:color w:val="auto"/>
        </w:rPr>
      </w:pPr>
      <w:r>
        <w:rPr>
          <w:rFonts w:ascii="Arial" w:cs="Arial" w:eastAsia="Arial" w:hAnsi="Arial"/>
          <w:sz w:val="20"/>
          <w:szCs w:val="20"/>
          <w:color w:val="auto"/>
        </w:rPr>
        <w:t>Except for any reserved parking spaces licensed to Tenant hereunder, the parking spaces Tenant is permitted to use hereunder shall be provided, subject to availability, on a non-designated “first-come, first-served” basis. Landlord reserves the right to assign specific parking spaces, and to reserve parking spaces for visitors, small cars, handicapped persons and for other tenants, types of tenants or guests of tenants or other parties, which assignment and reservation or passes may be relocated as determined by Landlord from time to time, and Tenant shall not park in any location designated for assigned or reserved parking spaces. Tenant acknowledges that the Parking Facility may be closed entirely or in part in order to make repairs or perform maintenance services, or to alter, modify, re-stripe or renovate the Parking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H</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5" w:right="339" w:bottom="1440" w:gutter="0" w:footer="0" w:header="0"/>
        </w:sectPr>
      </w:pPr>
    </w:p>
    <w:bookmarkStart w:id="189" w:name="page190"/>
    <w:bookmarkEnd w:id="189"/>
    <w:p>
      <w:pPr>
        <w:jc w:val="both"/>
        <w:spacing w:after="0" w:line="209" w:lineRule="auto"/>
        <w:rPr>
          <w:sz w:val="20"/>
          <w:szCs w:val="20"/>
          <w:color w:val="auto"/>
        </w:rPr>
      </w:pPr>
      <w:r>
        <w:rPr>
          <w:rFonts w:ascii="Arial" w:cs="Arial" w:eastAsia="Arial" w:hAnsi="Arial"/>
          <w:sz w:val="20"/>
          <w:szCs w:val="20"/>
          <w:color w:val="auto"/>
        </w:rPr>
        <w:t>Facility, or if required by casualty, strike, condemnation, act of God, governmental law or requirement or other reason beyond the reasonable control of the party operating the Parking Facility. Landlord will use commercially reasonable efforts to return the affected portion of the Parking Facility to its full use as quickly as reasonably possible, and Tenant will not be entitled to any abatement or reduction of Parking Charges.</w:t>
      </w:r>
    </w:p>
    <w:p>
      <w:pPr>
        <w:spacing w:after="0" w:line="171" w:lineRule="exact"/>
        <w:rPr>
          <w:sz w:val="20"/>
          <w:szCs w:val="20"/>
          <w:color w:val="auto"/>
        </w:rPr>
      </w:pPr>
    </w:p>
    <w:p>
      <w:pPr>
        <w:jc w:val="both"/>
        <w:ind w:firstLine="656"/>
        <w:spacing w:after="0" w:line="202" w:lineRule="auto"/>
        <w:tabs>
          <w:tab w:leader="none" w:pos="1148"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If Tenant shall Default under this Exhibit, Landlord shall have the right to remove from the Parking Facility any vehicles hereunder which shall have been involved or shall have been owned or driven by parties involved in causing such Default, without liability therefor whatsoever. In addition, if Tenant shall Default under this Exhibit, Landlord shall have the right to terminate the license and the rights granted to Tenant under this Exhibit, on 10 days’ written notice, unless within such 10-day period, Tenant cures such Default. If Tenant Defaults with respect to the same term or condition under this Exhibit more than 3 times during any 12-month period, and Landlord notifies Tenant thereof promptly after each such Default, the next Default of such term or condition during the succeeding 12-month period, shall, at Landlord’s election, constitute an incurable Default. Such license termination right shall be cumulative and in addition to any other rights or remedies available to Landlord at law or equity, or provided under the Lease.</w:t>
      </w:r>
    </w:p>
    <w:p>
      <w:pPr>
        <w:spacing w:after="0" w:line="174" w:lineRule="exact"/>
        <w:rPr>
          <w:rFonts w:ascii="Arial" w:cs="Arial" w:eastAsia="Arial" w:hAnsi="Arial"/>
          <w:sz w:val="20"/>
          <w:szCs w:val="20"/>
          <w:color w:val="auto"/>
        </w:rPr>
      </w:pPr>
    </w:p>
    <w:p>
      <w:pPr>
        <w:ind w:firstLine="656"/>
        <w:spacing w:after="0" w:line="222" w:lineRule="auto"/>
        <w:tabs>
          <w:tab w:leader="none" w:pos="1029"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Tenant shall not assign, sublease or transfer any of its rights under this Exhibit without the consent of Landlord, other than in connection with a permitted assignment or sublease of the Premises pursuant to Article 11 of the Lease.</w:t>
      </w:r>
    </w:p>
    <w:p>
      <w:pPr>
        <w:spacing w:after="0" w:line="168" w:lineRule="exact"/>
        <w:rPr>
          <w:rFonts w:ascii="Arial" w:cs="Arial" w:eastAsia="Arial" w:hAnsi="Arial"/>
          <w:sz w:val="20"/>
          <w:szCs w:val="20"/>
          <w:color w:val="auto"/>
        </w:rPr>
      </w:pPr>
    </w:p>
    <w:p>
      <w:pPr>
        <w:jc w:val="both"/>
        <w:ind w:firstLine="656"/>
        <w:spacing w:after="0" w:line="202" w:lineRule="auto"/>
        <w:tabs>
          <w:tab w:leader="none" w:pos="1104" w:val="left"/>
        </w:tabs>
        <w:numPr>
          <w:ilvl w:val="1"/>
          <w:numId w:val="141"/>
        </w:numPr>
        <w:rPr>
          <w:rFonts w:ascii="Arial" w:cs="Arial" w:eastAsia="Arial" w:hAnsi="Arial"/>
          <w:sz w:val="20"/>
          <w:szCs w:val="20"/>
          <w:color w:val="auto"/>
        </w:rPr>
      </w:pPr>
      <w:r>
        <w:rPr>
          <w:rFonts w:ascii="Arial" w:cs="Arial" w:eastAsia="Arial" w:hAnsi="Arial"/>
          <w:sz w:val="20"/>
          <w:szCs w:val="20"/>
          <w:color w:val="auto"/>
        </w:rPr>
        <w:t>Landlord hereby reserves the right to enter into a management agreement or lease with an entity for the Parking Facility (“</w:t>
      </w:r>
      <w:r>
        <w:rPr>
          <w:rFonts w:ascii="Arial" w:cs="Arial" w:eastAsia="Arial" w:hAnsi="Arial"/>
          <w:sz w:val="20"/>
          <w:szCs w:val="20"/>
          <w:b w:val="1"/>
          <w:bCs w:val="1"/>
          <w:color w:val="auto"/>
        </w:rPr>
        <w:t>Parking Facility Operator</w:t>
      </w:r>
      <w:r>
        <w:rPr>
          <w:rFonts w:ascii="Arial" w:cs="Arial" w:eastAsia="Arial" w:hAnsi="Arial"/>
          <w:sz w:val="20"/>
          <w:szCs w:val="20"/>
          <w:color w:val="auto"/>
        </w:rPr>
        <w:t>”). In such event, Tenant (or, at the option of Landlord or the Parking Facility Operator, the Tenant Users), upon request of Landlord, shall enter into a parking agreement with the Parking Facility Operator (provided Tenant shall still be obligated to comply with the provisions of this Exhibit) and shall pay the Parking Facility Operator the monthly charge established hereunder, and, to the extent permitted under applicable Laws, Landlord shall have no liability for claims arising through acts or omissions of the Parking Facility Operator. It is understood and agreed that the identity of the Parking Facility Operator may change from time to time during the Lease Term. In connection therewith, any parking lease or agreement entered into between Tenant or the Tenant Users and a Parking Facility Operator shall be freely assignable by such Parking Facility Operator or any successors thereto.</w:t>
      </w:r>
    </w:p>
    <w:p>
      <w:pPr>
        <w:spacing w:after="0" w:line="174" w:lineRule="exact"/>
        <w:rPr>
          <w:rFonts w:ascii="Arial" w:cs="Arial" w:eastAsia="Arial" w:hAnsi="Arial"/>
          <w:sz w:val="20"/>
          <w:szCs w:val="20"/>
          <w:color w:val="auto"/>
        </w:rPr>
      </w:pPr>
    </w:p>
    <w:p>
      <w:pPr>
        <w:jc w:val="both"/>
        <w:ind w:firstLine="656"/>
        <w:spacing w:after="0" w:line="202" w:lineRule="auto"/>
        <w:tabs>
          <w:tab w:leader="none" w:pos="1083" w:val="left"/>
        </w:tabs>
        <w:numPr>
          <w:ilvl w:val="1"/>
          <w:numId w:val="141"/>
        </w:numPr>
        <w:rPr>
          <w:rFonts w:ascii="Arial" w:cs="Arial" w:eastAsia="Arial" w:hAnsi="Arial"/>
          <w:sz w:val="20"/>
          <w:szCs w:val="20"/>
          <w:color w:val="auto"/>
        </w:rPr>
      </w:pPr>
      <w:r>
        <w:rPr>
          <w:rFonts w:ascii="Arial" w:cs="Arial" w:eastAsia="Arial" w:hAnsi="Arial"/>
          <w:sz w:val="20"/>
          <w:szCs w:val="20"/>
          <w:color w:val="auto"/>
        </w:rPr>
        <w:t>TENANT ACKNOWLEDGES AND AGREES THAT, TO THE FULLEST EXTENT PERMITTED BY LAW, NEITHER LANDLORD NOR ANY OF THE LANDLORD RELATED PARTIES SHALL BE RESPONSIBLE FOR AND TENANT WAIVES, ON BEHALF OF ITSELF AND ANY TENANT USERS, ANY CLAIMS FOR LOSS OR DAMAGE TO TENANT OR ANY TENANT USER OR THE PROPERTY OF ANY SUCH PARTIES (INCLUDING, WITHOUT LIMITATION, ANY LOSS OR DAMAGE TO TENANT’S AND/OR TENANT’S USERS’ AUTOMOBILES OR THE CONTENTS THEREOF DUE TO THEFT, VANDALISM OR ACCIDENT) ARISING FROM OR RELATED TO TENANT’S OR SUCH TENANT’S USERS’ USE OF THE PARKING FACILITY OR EXERCISE OF ANY RIGHTS UNDER THIS EXHIBIT. In all events, Tenant agrees to look first to its insurance carrier and to require that Tenant’s Users look first to their respective insurance carriers for payment of any losses sustained in connection with any use of the Parking Facility. Tenant shall cause its insurance company to waive all rights of subrogation against Landlord or the Landlord Related Parties for or with respect to the matters described above or herein.</w:t>
      </w:r>
    </w:p>
    <w:p>
      <w:pPr>
        <w:spacing w:after="0" w:line="170" w:lineRule="exact"/>
        <w:rPr>
          <w:rFonts w:ascii="Arial" w:cs="Arial" w:eastAsia="Arial" w:hAnsi="Arial"/>
          <w:sz w:val="20"/>
          <w:szCs w:val="20"/>
          <w:color w:val="auto"/>
        </w:rPr>
      </w:pPr>
    </w:p>
    <w:p>
      <w:pPr>
        <w:jc w:val="both"/>
        <w:ind w:firstLine="8"/>
        <w:spacing w:after="0" w:line="205" w:lineRule="auto"/>
        <w:tabs>
          <w:tab w:leader="none" w:pos="40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Without limiting the provisions of Section 7 above, to the extent permitted under applicable Laws, Tenant, on behalf of itself and the Tenant Users hereby voluntarily releases, discharges, waives and relinquishes any and all actions or causes of action for personal injury or property damage occurring to Tenant or to such Tenant Users arising as a result of parking in the Parking Facility, or any activities incidental thereto, wherever or however the same may occur, and further agrees that neither Tenant nor the Tenant Users will prosecute any claim for personal injury or property damage against Landlord or any of the Landlord Related Parties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H</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19" w:right="339" w:bottom="1440" w:gutter="0" w:footer="0" w:header="0"/>
        </w:sectPr>
      </w:pPr>
    </w:p>
    <w:bookmarkStart w:id="190" w:name="page191"/>
    <w:bookmarkEnd w:id="190"/>
    <w:p>
      <w:pPr>
        <w:jc w:val="both"/>
        <w:spacing w:after="0" w:line="209" w:lineRule="auto"/>
        <w:rPr>
          <w:sz w:val="20"/>
          <w:szCs w:val="20"/>
          <w:color w:val="auto"/>
        </w:rPr>
      </w:pPr>
      <w:r>
        <w:rPr>
          <w:rFonts w:ascii="Arial" w:cs="Arial" w:eastAsia="Arial" w:hAnsi="Arial"/>
          <w:sz w:val="20"/>
          <w:szCs w:val="20"/>
          <w:color w:val="auto"/>
        </w:rPr>
        <w:t>any said causes of action. It is the intention of Tenant by this instrument, to exempt and relieve Landlord and the Landlord Related Parties from liability for personal injury or property damage caused by negligence, to the extent permitted under applicable Laws. To the extent permitted by law, the use of the parking spaces shall be at the sole risk of Tenant and/or the Tenant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EXHIBIT H</w:t>
      </w: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19"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EXHIBIT H-1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PARKING FACILITY RULES</w:t>
      </w:r>
    </w:p>
    <w:p>
      <w:pPr>
        <w:spacing w:after="0" w:line="20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As used in these rules, the “operator of the Parking Facility” is deemed to mean Landlord or any third party operator of the Parking Facility designated by Landlord. Capitalized terms used but not defined in this Exhibit shall have the meanings given in the immediately preceding Exhibit or, if applicable, in the Lease.</w:t>
      </w:r>
    </w:p>
    <w:p>
      <w:pPr>
        <w:spacing w:after="0" w:line="154" w:lineRule="exact"/>
        <w:rPr>
          <w:sz w:val="20"/>
          <w:szCs w:val="20"/>
          <w:color w:val="auto"/>
        </w:rPr>
      </w:pPr>
    </w:p>
    <w:p>
      <w:pPr>
        <w:jc w:val="both"/>
        <w:ind w:firstLine="656"/>
        <w:spacing w:after="0" w:line="218" w:lineRule="auto"/>
        <w:tabs>
          <w:tab w:leader="none" w:pos="10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Parking Facility hours shall be as set forth in </w:t>
      </w:r>
      <w:r>
        <w:rPr>
          <w:rFonts w:ascii="Arial" w:cs="Arial" w:eastAsia="Arial" w:hAnsi="Arial"/>
          <w:sz w:val="18"/>
          <w:szCs w:val="18"/>
          <w:b w:val="1"/>
          <w:bCs w:val="1"/>
          <w:color w:val="auto"/>
        </w:rPr>
        <w:t>Exhibit H</w:t>
      </w:r>
      <w:r>
        <w:rPr>
          <w:rFonts w:ascii="Arial" w:cs="Arial" w:eastAsia="Arial" w:hAnsi="Arial"/>
          <w:sz w:val="18"/>
          <w:szCs w:val="18"/>
          <w:color w:val="auto"/>
        </w:rPr>
        <w:t>. Neither Tenant nor the Tenant Users shall store any automobiles in the Parking Facility without the prior written consent of the operator of the Parking Facility. Except for emergency repairs, neither Tenant nor the Tenant Users shall perform any work on any automobiles while located in the Parking Facility, or on the Property. If it is necessary for Tenant or the Tenant Users to leave an automobile in the Parking Facility overnight, Tenant or the Tenant Users, as applicable, shall provide the operator of the Parking Facility with prior notice thereof designating the license plate number and model of such automobile.</w:t>
      </w:r>
    </w:p>
    <w:p>
      <w:pPr>
        <w:spacing w:after="0" w:line="175" w:lineRule="exact"/>
        <w:rPr>
          <w:rFonts w:ascii="Arial" w:cs="Arial" w:eastAsia="Arial" w:hAnsi="Arial"/>
          <w:sz w:val="18"/>
          <w:szCs w:val="18"/>
          <w:color w:val="auto"/>
        </w:rPr>
      </w:pPr>
    </w:p>
    <w:p>
      <w:pPr>
        <w:ind w:firstLine="656"/>
        <w:spacing w:after="0" w:line="227" w:lineRule="auto"/>
        <w:tabs>
          <w:tab w:leader="none" w:pos="102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Cars must be parked entirely within the painted stall lines, and only small cars may be parked in areas reserved for small cars. Every parker must park “head in” and may not back into parking spaces.</w:t>
      </w:r>
    </w:p>
    <w:p>
      <w:pPr>
        <w:spacing w:after="0" w:line="175" w:lineRule="exact"/>
        <w:rPr>
          <w:rFonts w:ascii="Arial" w:cs="Arial" w:eastAsia="Arial" w:hAnsi="Arial"/>
          <w:sz w:val="18"/>
          <w:szCs w:val="18"/>
          <w:color w:val="auto"/>
        </w:rPr>
      </w:pPr>
    </w:p>
    <w:p>
      <w:pPr>
        <w:ind w:left="1000" w:hanging="344"/>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directional signs and arrows must be observed.</w:t>
      </w:r>
    </w:p>
    <w:p>
      <w:pPr>
        <w:spacing w:after="0" w:line="184" w:lineRule="exact"/>
        <w:rPr>
          <w:rFonts w:ascii="Arial" w:cs="Arial" w:eastAsia="Arial" w:hAnsi="Arial"/>
          <w:sz w:val="18"/>
          <w:szCs w:val="18"/>
          <w:color w:val="auto"/>
        </w:rPr>
      </w:pPr>
    </w:p>
    <w:p>
      <w:pPr>
        <w:ind w:left="1000" w:hanging="344"/>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speed limit shall be 5 miles per hour unless otherwise posted.</w:t>
      </w:r>
    </w:p>
    <w:p>
      <w:pPr>
        <w:spacing w:after="0" w:line="184" w:lineRule="exact"/>
        <w:rPr>
          <w:rFonts w:ascii="Arial" w:cs="Arial" w:eastAsia="Arial" w:hAnsi="Arial"/>
          <w:sz w:val="18"/>
          <w:szCs w:val="18"/>
          <w:color w:val="auto"/>
        </w:rPr>
      </w:pPr>
    </w:p>
    <w:p>
      <w:pPr>
        <w:ind w:left="1000" w:hanging="344"/>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Parking spaces reserved for handicapped persons must be used only by vehicles properly designated as such.</w:t>
      </w:r>
    </w:p>
    <w:p>
      <w:pPr>
        <w:spacing w:after="0" w:line="184" w:lineRule="exact"/>
        <w:rPr>
          <w:rFonts w:ascii="Arial" w:cs="Arial" w:eastAsia="Arial" w:hAnsi="Arial"/>
          <w:sz w:val="18"/>
          <w:szCs w:val="18"/>
          <w:color w:val="auto"/>
        </w:rPr>
      </w:pPr>
    </w:p>
    <w:p>
      <w:pPr>
        <w:ind w:left="1000" w:hanging="344"/>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Parking is prohibited in all areas not expressly designated for parking, including without limitation:</w:t>
      </w:r>
    </w:p>
    <w:p>
      <w:pPr>
        <w:spacing w:after="0" w:line="184" w:lineRule="exact"/>
        <w:rPr>
          <w:rFonts w:ascii="Arial" w:cs="Arial" w:eastAsia="Arial" w:hAnsi="Arial"/>
          <w:sz w:val="18"/>
          <w:szCs w:val="18"/>
          <w:color w:val="auto"/>
        </w:rPr>
      </w:pPr>
    </w:p>
    <w:p>
      <w:pPr>
        <w:ind w:left="1260" w:hanging="404"/>
        <w:spacing w:after="0"/>
        <w:tabs>
          <w:tab w:leader="none" w:pos="12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Areas not striped for parking</w:t>
      </w:r>
    </w:p>
    <w:p>
      <w:pPr>
        <w:spacing w:after="0" w:line="184" w:lineRule="exact"/>
        <w:rPr>
          <w:rFonts w:ascii="Arial" w:cs="Arial" w:eastAsia="Arial" w:hAnsi="Arial"/>
          <w:sz w:val="18"/>
          <w:szCs w:val="18"/>
          <w:color w:val="auto"/>
        </w:rPr>
      </w:pPr>
    </w:p>
    <w:p>
      <w:pPr>
        <w:ind w:left="1280" w:hanging="424"/>
        <w:spacing w:after="0"/>
        <w:tabs>
          <w:tab w:leader="none" w:pos="12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aisles</w:t>
      </w:r>
    </w:p>
    <w:p>
      <w:pPr>
        <w:spacing w:after="0" w:line="184" w:lineRule="exact"/>
        <w:rPr>
          <w:rFonts w:ascii="Arial" w:cs="Arial" w:eastAsia="Arial" w:hAnsi="Arial"/>
          <w:sz w:val="18"/>
          <w:szCs w:val="18"/>
          <w:color w:val="auto"/>
        </w:rPr>
      </w:pPr>
    </w:p>
    <w:p>
      <w:pPr>
        <w:ind w:left="1260" w:hanging="404"/>
        <w:spacing w:after="0"/>
        <w:tabs>
          <w:tab w:leader="none" w:pos="12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where “no parking” signs are posted</w:t>
      </w:r>
    </w:p>
    <w:p>
      <w:pPr>
        <w:spacing w:after="0" w:line="184" w:lineRule="exact"/>
        <w:rPr>
          <w:rFonts w:ascii="Arial" w:cs="Arial" w:eastAsia="Arial" w:hAnsi="Arial"/>
          <w:sz w:val="18"/>
          <w:szCs w:val="18"/>
          <w:color w:val="auto"/>
        </w:rPr>
      </w:pPr>
    </w:p>
    <w:p>
      <w:pPr>
        <w:ind w:left="1280" w:hanging="424"/>
        <w:spacing w:after="0"/>
        <w:tabs>
          <w:tab w:leader="none" w:pos="12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ramps</w:t>
      </w:r>
    </w:p>
    <w:p>
      <w:pPr>
        <w:spacing w:after="0" w:line="184" w:lineRule="exact"/>
        <w:rPr>
          <w:rFonts w:ascii="Arial" w:cs="Arial" w:eastAsia="Arial" w:hAnsi="Arial"/>
          <w:sz w:val="18"/>
          <w:szCs w:val="18"/>
          <w:color w:val="auto"/>
        </w:rPr>
      </w:pPr>
    </w:p>
    <w:p>
      <w:pPr>
        <w:ind w:left="1280" w:hanging="424"/>
        <w:spacing w:after="0"/>
        <w:tabs>
          <w:tab w:leader="none" w:pos="12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loading zones</w:t>
      </w:r>
    </w:p>
    <w:p>
      <w:pPr>
        <w:spacing w:after="0" w:line="184" w:lineRule="exact"/>
        <w:rPr>
          <w:rFonts w:ascii="Arial" w:cs="Arial" w:eastAsia="Arial" w:hAnsi="Arial"/>
          <w:sz w:val="18"/>
          <w:szCs w:val="18"/>
          <w:color w:val="auto"/>
        </w:rPr>
      </w:pPr>
    </w:p>
    <w:p>
      <w:pPr>
        <w:ind w:left="1220" w:hanging="364"/>
        <w:spacing w:after="0"/>
        <w:tabs>
          <w:tab w:leader="none" w:pos="12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spaces marked as reserved for other parkers</w:t>
      </w:r>
    </w:p>
    <w:p>
      <w:pPr>
        <w:spacing w:after="0" w:line="162" w:lineRule="exact"/>
        <w:rPr>
          <w:rFonts w:ascii="Arial" w:cs="Arial" w:eastAsia="Arial" w:hAnsi="Arial"/>
          <w:sz w:val="18"/>
          <w:szCs w:val="18"/>
          <w:color w:val="auto"/>
        </w:rPr>
      </w:pPr>
    </w:p>
    <w:p>
      <w:pPr>
        <w:jc w:val="both"/>
        <w:ind w:firstLine="656"/>
        <w:spacing w:after="0" w:line="213" w:lineRule="auto"/>
        <w:tabs>
          <w:tab w:leader="none" w:pos="111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Parking stickers, key cards or any other devices or forms of identification permitting entry into the Parking Facility (“</w:t>
      </w:r>
      <w:r>
        <w:rPr>
          <w:rFonts w:ascii="Arial" w:cs="Arial" w:eastAsia="Arial" w:hAnsi="Arial"/>
          <w:sz w:val="18"/>
          <w:szCs w:val="18"/>
          <w:b w:val="1"/>
          <w:bCs w:val="1"/>
          <w:color w:val="auto"/>
        </w:rPr>
        <w:t>Entry</w:t>
      </w:r>
      <w:r>
        <w:rPr>
          <w:rFonts w:ascii="Arial" w:cs="Arial" w:eastAsia="Arial" w:hAnsi="Arial"/>
          <w:sz w:val="18"/>
          <w:szCs w:val="18"/>
          <w:color w:val="auto"/>
        </w:rPr>
        <w:t xml:space="preserve"> </w:t>
      </w:r>
      <w:r>
        <w:rPr>
          <w:rFonts w:ascii="Arial" w:cs="Arial" w:eastAsia="Arial" w:hAnsi="Arial"/>
          <w:sz w:val="18"/>
          <w:szCs w:val="18"/>
          <w:b w:val="1"/>
          <w:bCs w:val="1"/>
          <w:color w:val="auto"/>
        </w:rPr>
        <w:t>Devices</w:t>
      </w:r>
      <w:r>
        <w:rPr>
          <w:rFonts w:ascii="Arial" w:cs="Arial" w:eastAsia="Arial" w:hAnsi="Arial"/>
          <w:sz w:val="18"/>
          <w:szCs w:val="18"/>
          <w:color w:val="auto"/>
        </w:rPr>
        <w:t>”) supplied by the operator of the Parking Facility, if any, shall remain the property of the operator. Such Entry Devices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displayed as requested and may not be mutilated in any manner. The serial number of the Entry Devices may not be obliterated. Entry Devices are not transferable and, at the request of the operator of the Parking Facility, shall be assigned to specific individuals, and may not be used to permit entry into the Parking Facility by more than one vehicle at a time. Any Entry Device in the possession of an unauthorized holder shall be void. The operator of the Parking Facility shall have the right to require Tenant or the Tenant Users to place a deposit on such Entry Devices and to pay a fee for any lost or damaged Entry Devices.</w:t>
      </w:r>
    </w:p>
    <w:p>
      <w:pPr>
        <w:spacing w:after="0" w:line="180" w:lineRule="exact"/>
        <w:rPr>
          <w:rFonts w:ascii="Arial" w:cs="Arial" w:eastAsia="Arial" w:hAnsi="Arial"/>
          <w:sz w:val="18"/>
          <w:szCs w:val="18"/>
          <w:color w:val="auto"/>
        </w:rPr>
      </w:pPr>
    </w:p>
    <w:p>
      <w:pPr>
        <w:jc w:val="both"/>
        <w:ind w:firstLine="656"/>
        <w:spacing w:after="0" w:line="219" w:lineRule="auto"/>
        <w:tabs>
          <w:tab w:leader="none" w:pos="102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Monthly fees, if any, shall be payable in advance prior to the first day of each month. Failure to do so shall automatically cancel parking privileges and a charge at the prevailing daily parking rate shall be due, with no refund or offset of such daily parking rate charges against subsequent payments made for monthly parking fees.</w:t>
      </w:r>
    </w:p>
    <w:p>
      <w:pPr>
        <w:spacing w:after="0" w:line="175" w:lineRule="exact"/>
        <w:rPr>
          <w:rFonts w:ascii="Arial" w:cs="Arial" w:eastAsia="Arial" w:hAnsi="Arial"/>
          <w:sz w:val="18"/>
          <w:szCs w:val="18"/>
          <w:color w:val="auto"/>
        </w:rPr>
      </w:pPr>
    </w:p>
    <w:p>
      <w:pPr>
        <w:ind w:left="1000" w:hanging="344"/>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Parking Facility attendants, if any, are not authorized to make or allow any exceptions to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H-1</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9" w:right="339" w:bottom="1440" w:gutter="0" w:footer="0" w:header="0"/>
        </w:sectPr>
      </w:pPr>
    </w:p>
    <w:bookmarkStart w:id="192" w:name="page193"/>
    <w:bookmarkEnd w:id="192"/>
    <w:p>
      <w:pPr>
        <w:ind w:left="1100" w:hanging="444"/>
        <w:spacing w:after="0"/>
        <w:tabs>
          <w:tab w:leader="none" w:pos="11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Every parker is required to park and lock his/her own car.</w:t>
      </w:r>
    </w:p>
    <w:p>
      <w:pPr>
        <w:spacing w:after="0" w:line="184" w:lineRule="exact"/>
        <w:rPr>
          <w:rFonts w:ascii="Arial" w:cs="Arial" w:eastAsia="Arial" w:hAnsi="Arial"/>
          <w:sz w:val="18"/>
          <w:szCs w:val="18"/>
          <w:color w:val="auto"/>
        </w:rPr>
      </w:pPr>
    </w:p>
    <w:p>
      <w:pPr>
        <w:jc w:val="both"/>
        <w:ind w:firstLine="656"/>
        <w:spacing w:after="0" w:line="219" w:lineRule="auto"/>
        <w:tabs>
          <w:tab w:leader="none" w:pos="11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Loss or theft of Entry Devices must be reported to Landlord and to the operator of the Parking Facility immediately. Any Entry Devices reported lost or stolen found on any unauthorized car shall be confiscated and the illegal holder shall be subject to prosecution. Lost or stolen Entry Devices found by Tenant or the Tenant Users must be reported to the operator of the Parking Facility immediately.</w:t>
      </w:r>
    </w:p>
    <w:p>
      <w:pPr>
        <w:spacing w:after="0" w:line="175" w:lineRule="exact"/>
        <w:rPr>
          <w:rFonts w:ascii="Arial" w:cs="Arial" w:eastAsia="Arial" w:hAnsi="Arial"/>
          <w:sz w:val="18"/>
          <w:szCs w:val="18"/>
          <w:color w:val="auto"/>
        </w:rPr>
      </w:pPr>
    </w:p>
    <w:p>
      <w:pPr>
        <w:ind w:firstLine="656"/>
        <w:spacing w:after="0" w:line="227" w:lineRule="auto"/>
        <w:tabs>
          <w:tab w:leader="none" w:pos="10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Washing, waxing, cleaning or servicing of any vehicle by Tenant or the Tenant Users is prohibited. Parking spaces may be used only for parking automobiles.</w:t>
      </w:r>
    </w:p>
    <w:p>
      <w:pPr>
        <w:spacing w:after="0" w:line="175" w:lineRule="exact"/>
        <w:rPr>
          <w:rFonts w:ascii="Arial" w:cs="Arial" w:eastAsia="Arial" w:hAnsi="Arial"/>
          <w:sz w:val="18"/>
          <w:szCs w:val="18"/>
          <w:color w:val="auto"/>
        </w:rPr>
      </w:pPr>
    </w:p>
    <w:p>
      <w:pPr>
        <w:jc w:val="both"/>
        <w:ind w:firstLine="656"/>
        <w:spacing w:after="0" w:line="219" w:lineRule="auto"/>
        <w:tabs>
          <w:tab w:leader="none" w:pos="11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extent permitted by applicable laws, the operator of the Parking Facility reserves the right to remove by towing any vehicle from the Parking Facility without liability whatsoever, at such violator’s risk and expense, if a vehicle is parked in the Parking Facility and lacks a license plate, or is in an obvious state of disrepair, or is parked overnight.</w:t>
      </w:r>
    </w:p>
    <w:p>
      <w:pPr>
        <w:spacing w:after="0" w:line="175" w:lineRule="exact"/>
        <w:rPr>
          <w:rFonts w:ascii="Arial" w:cs="Arial" w:eastAsia="Arial" w:hAnsi="Arial"/>
          <w:sz w:val="18"/>
          <w:szCs w:val="18"/>
          <w:color w:val="auto"/>
        </w:rPr>
      </w:pPr>
    </w:p>
    <w:p>
      <w:pPr>
        <w:jc w:val="both"/>
        <w:ind w:firstLine="656"/>
        <w:spacing w:after="0" w:line="209" w:lineRule="auto"/>
        <w:tabs>
          <w:tab w:leader="none" w:pos="11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Notwithstanding any other provision of the Lease, under no circumstances shall Tenant or the Tenant Users place or store any of the following in or about the Parking Facility or any vehicle located therein: (i) combustible materials or substances (other than fuel in the gas tank or oil in the engine of the vehicles parked in the Parking Facility), (ii) Hazardous Materials (as defined in the Lease), or (iii) materials or substances that are regulated by Environmental Laws (as defined in the Lease). Without limiting the foregoing, Landlord and/or the Landlord Related Parties shall have the right to prohibit and to require the immediate removal of any vehicle that is leaking significant amounts of fuel, oil, coolant, or other fluids or vapors. Tenant and the Tenant Users shall indemnify, defend and hold Landlord and the Landlord Related Parties harmless from any expense, cost and liability arising directly or indirectly from Tenant’s or the Tenant’s Users’ violation of this Section 14, which indemnification obligation shall survive the expiration or earlier termination of the Lease.</w:t>
      </w:r>
    </w:p>
    <w:p>
      <w:pPr>
        <w:spacing w:after="0" w:line="146" w:lineRule="exact"/>
        <w:rPr>
          <w:rFonts w:ascii="Arial" w:cs="Arial" w:eastAsia="Arial" w:hAnsi="Arial"/>
          <w:sz w:val="18"/>
          <w:szCs w:val="18"/>
          <w:color w:val="auto"/>
        </w:rPr>
      </w:pPr>
    </w:p>
    <w:p>
      <w:pPr>
        <w:ind w:left="1160" w:hanging="504"/>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By signing the Lease, Tenant agrees to acquaint all Tenant Users with these Rules and to cause them to comply with these</w:t>
      </w:r>
    </w:p>
    <w:p>
      <w:pPr>
        <w:spacing w:after="0"/>
        <w:rPr>
          <w:rFonts w:ascii="Arial" w:cs="Arial" w:eastAsia="Arial" w:hAnsi="Arial"/>
          <w:sz w:val="18"/>
          <w:szCs w:val="18"/>
          <w:color w:val="auto"/>
        </w:rPr>
      </w:pPr>
      <w:r>
        <w:rPr>
          <w:rFonts w:ascii="Arial" w:cs="Arial" w:eastAsia="Arial" w:hAnsi="Arial"/>
          <w:sz w:val="18"/>
          <w:szCs w:val="18"/>
          <w:color w:val="auto"/>
        </w:rPr>
        <w:t>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H-1</w:t>
      </w: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21"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EXHIBIT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SUBORDINATION, NON-DISTURBANCE AND ATTORNMENT AGREEMENT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399" w:right="1440"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AFTER RECORDING, RETURN TO: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Berkadia Commercial Mortgage LLC</w:t>
      </w:r>
    </w:p>
    <w:p>
      <w:pPr>
        <w:spacing w:after="0" w:line="203" w:lineRule="auto"/>
        <w:rPr>
          <w:sz w:val="20"/>
          <w:szCs w:val="20"/>
          <w:color w:val="auto"/>
        </w:rPr>
      </w:pPr>
      <w:r>
        <w:rPr>
          <w:rFonts w:ascii="Arial" w:cs="Arial" w:eastAsia="Arial" w:hAnsi="Arial"/>
          <w:sz w:val="18"/>
          <w:szCs w:val="18"/>
          <w:color w:val="auto"/>
        </w:rPr>
        <w:t>323 Norristown Road, Suite 300</w:t>
      </w:r>
    </w:p>
    <w:p>
      <w:pPr>
        <w:spacing w:after="0" w:line="203" w:lineRule="auto"/>
        <w:rPr>
          <w:sz w:val="20"/>
          <w:szCs w:val="20"/>
          <w:color w:val="auto"/>
        </w:rPr>
      </w:pPr>
      <w:r>
        <w:rPr>
          <w:rFonts w:ascii="Arial" w:cs="Arial" w:eastAsia="Arial" w:hAnsi="Arial"/>
          <w:sz w:val="18"/>
          <w:szCs w:val="18"/>
          <w:color w:val="auto"/>
        </w:rPr>
        <w:t>Ambler, PA 19002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Attn: Client Relations Manager – Loan # 010072830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SPACE ABOVE THIS LINE RESERVED FOR RECORDER'S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-121920</wp:posOffset>
            </wp:positionV>
            <wp:extent cx="15995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NON-DISTURBANCE</w:t>
      </w:r>
    </w:p>
    <w:p>
      <w:pPr>
        <w:jc w:val="center"/>
        <w:spacing w:after="0"/>
        <w:rPr>
          <w:sz w:val="20"/>
          <w:szCs w:val="20"/>
          <w:color w:val="auto"/>
        </w:rPr>
      </w:pPr>
      <w:r>
        <w:rPr>
          <w:rFonts w:ascii="Arial" w:cs="Arial" w:eastAsia="Arial" w:hAnsi="Arial"/>
          <w:sz w:val="18"/>
          <w:szCs w:val="18"/>
          <w:b w:val="1"/>
          <w:bCs w:val="1"/>
          <w:color w:val="auto"/>
        </w:rPr>
        <w:t>AND ATTORNMENT AGREEMENT</w:t>
      </w:r>
    </w:p>
    <w:p>
      <w:pPr>
        <w:spacing w:after="0" w:line="192" w:lineRule="exact"/>
        <w:rPr>
          <w:sz w:val="20"/>
          <w:szCs w:val="20"/>
          <w:color w:val="auto"/>
        </w:rPr>
      </w:pPr>
    </w:p>
    <w:p>
      <w:pPr>
        <w:jc w:val="both"/>
        <w:ind w:firstLine="220"/>
        <w:spacing w:after="0" w:line="223" w:lineRule="auto"/>
        <w:rPr>
          <w:sz w:val="20"/>
          <w:szCs w:val="20"/>
          <w:color w:val="auto"/>
        </w:rPr>
      </w:pPr>
      <w:r>
        <w:rPr>
          <w:rFonts w:ascii="Arial" w:cs="Arial" w:eastAsia="Arial" w:hAnsi="Arial"/>
          <w:sz w:val="17"/>
          <w:szCs w:val="17"/>
          <w:color w:val="auto"/>
        </w:rPr>
        <w:t>This Subordination, Non-Disturbance and Attornment Agreement ("</w:t>
      </w:r>
      <w:r>
        <w:rPr>
          <w:rFonts w:ascii="Arial" w:cs="Arial" w:eastAsia="Arial" w:hAnsi="Arial"/>
          <w:sz w:val="17"/>
          <w:szCs w:val="17"/>
          <w:b w:val="1"/>
          <w:bCs w:val="1"/>
          <w:color w:val="auto"/>
        </w:rPr>
        <w:t>Agreement</w:t>
      </w:r>
      <w:r>
        <w:rPr>
          <w:rFonts w:ascii="Arial" w:cs="Arial" w:eastAsia="Arial" w:hAnsi="Arial"/>
          <w:sz w:val="17"/>
          <w:szCs w:val="17"/>
          <w:color w:val="auto"/>
        </w:rPr>
        <w:t>"), is made as of this day of January 2, 2018 among Wells Fargo Bank National Association, not individually, but solely as Trustee for the Morgan Stanley Capital I Inc., Commercial Mortgage Pass-Through Certificates Series 2011-C1, under that certain Pooling and Servicing Agreement dated as of February 1, 2011 (“</w:t>
      </w:r>
      <w:r>
        <w:rPr>
          <w:rFonts w:ascii="Arial" w:cs="Arial" w:eastAsia="Arial" w:hAnsi="Arial"/>
          <w:sz w:val="17"/>
          <w:szCs w:val="17"/>
          <w:b w:val="1"/>
          <w:bCs w:val="1"/>
          <w:color w:val="auto"/>
        </w:rPr>
        <w:t>Lender</w:t>
      </w:r>
      <w:r>
        <w:rPr>
          <w:rFonts w:ascii="Arial" w:cs="Arial" w:eastAsia="Arial" w:hAnsi="Arial"/>
          <w:sz w:val="17"/>
          <w:szCs w:val="17"/>
          <w:color w:val="auto"/>
        </w:rPr>
        <w:t>”), by and through Berkadia Commercial Mortgage LLC, a Delaware limited liability company, its Sub Servicer on behalf of KeyBank National Association, Inc., pursuant to the Sub Servicing Agreement dated as of March 30, 2012, January 18, 2013 (“</w:t>
      </w:r>
      <w:r>
        <w:rPr>
          <w:rFonts w:ascii="Arial" w:cs="Arial" w:eastAsia="Arial" w:hAnsi="Arial"/>
          <w:sz w:val="17"/>
          <w:szCs w:val="17"/>
          <w:b w:val="1"/>
          <w:bCs w:val="1"/>
          <w:color w:val="auto"/>
        </w:rPr>
        <w:t>Amended and Restated Sub Servicing Agreement</w:t>
      </w:r>
      <w:r>
        <w:rPr>
          <w:rFonts w:ascii="Arial" w:cs="Arial" w:eastAsia="Arial" w:hAnsi="Arial"/>
          <w:sz w:val="17"/>
          <w:szCs w:val="17"/>
          <w:color w:val="auto"/>
        </w:rPr>
        <w:t>”), June 24, 2013 (“</w:t>
      </w:r>
      <w:r>
        <w:rPr>
          <w:rFonts w:ascii="Arial" w:cs="Arial" w:eastAsia="Arial" w:hAnsi="Arial"/>
          <w:sz w:val="17"/>
          <w:szCs w:val="17"/>
          <w:b w:val="1"/>
          <w:bCs w:val="1"/>
          <w:color w:val="auto"/>
        </w:rPr>
        <w:t>First Amendment to Amended</w:t>
      </w:r>
      <w:r>
        <w:rPr>
          <w:rFonts w:ascii="Arial" w:cs="Arial" w:eastAsia="Arial" w:hAnsi="Arial"/>
          <w:sz w:val="17"/>
          <w:szCs w:val="17"/>
          <w:color w:val="auto"/>
        </w:rPr>
        <w:t xml:space="preserve"> </w:t>
      </w:r>
      <w:r>
        <w:rPr>
          <w:rFonts w:ascii="Arial" w:cs="Arial" w:eastAsia="Arial" w:hAnsi="Arial"/>
          <w:sz w:val="17"/>
          <w:szCs w:val="17"/>
          <w:b w:val="1"/>
          <w:bCs w:val="1"/>
          <w:color w:val="auto"/>
        </w:rPr>
        <w:t>and Restated Sub Servicing Agreement</w:t>
      </w:r>
      <w:r>
        <w:rPr>
          <w:rFonts w:ascii="Arial" w:cs="Arial" w:eastAsia="Arial" w:hAnsi="Arial"/>
          <w:sz w:val="17"/>
          <w:szCs w:val="17"/>
          <w:color w:val="auto"/>
        </w:rPr>
        <w:t>”) January 06, 2014 (“</w:t>
      </w:r>
      <w:r>
        <w:rPr>
          <w:rFonts w:ascii="Arial" w:cs="Arial" w:eastAsia="Arial" w:hAnsi="Arial"/>
          <w:sz w:val="17"/>
          <w:szCs w:val="17"/>
          <w:b w:val="1"/>
          <w:bCs w:val="1"/>
          <w:color w:val="auto"/>
        </w:rPr>
        <w:t>Second Amendment to Amended and Restated Sub Servicing Agreement</w:t>
      </w:r>
      <w:r>
        <w:rPr>
          <w:rFonts w:ascii="Arial" w:cs="Arial" w:eastAsia="Arial" w:hAnsi="Arial"/>
          <w:sz w:val="17"/>
          <w:szCs w:val="17"/>
          <w:color w:val="auto"/>
        </w:rPr>
        <w:t>”), April 03,</w:t>
      </w:r>
      <w:r>
        <w:rPr>
          <w:rFonts w:ascii="Arial" w:cs="Arial" w:eastAsia="Arial" w:hAnsi="Arial"/>
          <w:sz w:val="17"/>
          <w:szCs w:val="17"/>
          <w:b w:val="1"/>
          <w:bCs w:val="1"/>
          <w:color w:val="auto"/>
        </w:rPr>
        <w:t xml:space="preserve"> </w:t>
      </w:r>
      <w:r>
        <w:rPr>
          <w:rFonts w:ascii="Arial" w:cs="Arial" w:eastAsia="Arial" w:hAnsi="Arial"/>
          <w:sz w:val="17"/>
          <w:szCs w:val="17"/>
          <w:color w:val="auto"/>
        </w:rPr>
        <w:t>2015 (“</w:t>
      </w:r>
      <w:r>
        <w:rPr>
          <w:rFonts w:ascii="Arial" w:cs="Arial" w:eastAsia="Arial" w:hAnsi="Arial"/>
          <w:sz w:val="17"/>
          <w:szCs w:val="17"/>
          <w:b w:val="1"/>
          <w:bCs w:val="1"/>
          <w:color w:val="auto"/>
        </w:rPr>
        <w:t>Amendment No. 3 to Amended and Restated Sub Servicing Agreement</w:t>
      </w:r>
      <w:r>
        <w:rPr>
          <w:rFonts w:ascii="Arial" w:cs="Arial" w:eastAsia="Arial" w:hAnsi="Arial"/>
          <w:sz w:val="17"/>
          <w:szCs w:val="17"/>
          <w:color w:val="auto"/>
        </w:rPr>
        <w:t>”) and October 13, 2015 (“</w:t>
      </w:r>
      <w:r>
        <w:rPr>
          <w:rFonts w:ascii="Arial" w:cs="Arial" w:eastAsia="Arial" w:hAnsi="Arial"/>
          <w:sz w:val="17"/>
          <w:szCs w:val="17"/>
          <w:b w:val="1"/>
          <w:bCs w:val="1"/>
          <w:color w:val="auto"/>
        </w:rPr>
        <w:t>Amendment No. 4 to Amended and</w:t>
      </w:r>
      <w:r>
        <w:rPr>
          <w:rFonts w:ascii="Arial" w:cs="Arial" w:eastAsia="Arial" w:hAnsi="Arial"/>
          <w:sz w:val="17"/>
          <w:szCs w:val="17"/>
          <w:color w:val="auto"/>
        </w:rPr>
        <w:t xml:space="preserve"> </w:t>
      </w:r>
      <w:r>
        <w:rPr>
          <w:rFonts w:ascii="Arial" w:cs="Arial" w:eastAsia="Arial" w:hAnsi="Arial"/>
          <w:sz w:val="17"/>
          <w:szCs w:val="17"/>
          <w:b w:val="1"/>
          <w:bCs w:val="1"/>
          <w:color w:val="auto"/>
        </w:rPr>
        <w:t>Restated Sub Servicing Agreement</w:t>
      </w:r>
      <w:r>
        <w:rPr>
          <w:rFonts w:ascii="Arial" w:cs="Arial" w:eastAsia="Arial" w:hAnsi="Arial"/>
          <w:sz w:val="17"/>
          <w:szCs w:val="17"/>
          <w:color w:val="auto"/>
        </w:rPr>
        <w:t>”) EQC Capitol Tower Property LLC, a Delaware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Landlord</w:t>
      </w:r>
      <w:r>
        <w:rPr>
          <w:rFonts w:ascii="Arial" w:cs="Arial" w:eastAsia="Arial" w:hAnsi="Arial"/>
          <w:sz w:val="17"/>
          <w:szCs w:val="17"/>
          <w:color w:val="auto"/>
        </w:rPr>
        <w:t>"), and Crowdstrike Inc.,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Delaware corporation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Tenant</w:t>
      </w:r>
      <w:r>
        <w:rPr>
          <w:rFonts w:ascii="Arial" w:cs="Arial" w:eastAsia="Arial" w:hAnsi="Arial"/>
          <w:sz w:val="17"/>
          <w:szCs w:val="17"/>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08" w:lineRule="exact"/>
        <w:rPr>
          <w:sz w:val="20"/>
          <w:szCs w:val="20"/>
          <w:color w:val="auto"/>
        </w:rPr>
      </w:pPr>
    </w:p>
    <w:p>
      <w:pPr>
        <w:ind w:right="120" w:firstLine="656"/>
        <w:spacing w:after="0" w:line="223" w:lineRule="auto"/>
        <w:tabs>
          <w:tab w:leader="none" w:pos="129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Lender is the owner and holder of a deed of trust or mortgage or other similar security instrument (either, the “</w:t>
      </w:r>
      <w:r>
        <w:rPr>
          <w:rFonts w:ascii="Arial" w:cs="Arial" w:eastAsia="Arial" w:hAnsi="Arial"/>
          <w:sz w:val="17"/>
          <w:szCs w:val="17"/>
          <w:b w:val="1"/>
          <w:bCs w:val="1"/>
          <w:color w:val="auto"/>
        </w:rPr>
        <w:t>Security Instrument</w:t>
      </w:r>
      <w:r>
        <w:rPr>
          <w:rFonts w:ascii="Arial" w:cs="Arial" w:eastAsia="Arial" w:hAnsi="Arial"/>
          <w:sz w:val="17"/>
          <w:szCs w:val="17"/>
          <w:color w:val="auto"/>
        </w:rPr>
        <w:t>”), covering, among other things, the real property commonly known and described as Capitol Tower Investors and further described on Exhibit “A” attached hereto and made a part hereof for all purposes, and the building and improvements thereon (collectively, the “</w:t>
      </w:r>
      <w:r>
        <w:rPr>
          <w:rFonts w:ascii="Arial" w:cs="Arial" w:eastAsia="Arial" w:hAnsi="Arial"/>
          <w:sz w:val="17"/>
          <w:szCs w:val="17"/>
          <w:b w:val="1"/>
          <w:bCs w:val="1"/>
          <w:color w:val="auto"/>
        </w:rPr>
        <w:t>Property</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right="280" w:firstLine="656"/>
        <w:spacing w:after="0" w:line="226" w:lineRule="auto"/>
        <w:tabs>
          <w:tab w:leader="none" w:pos="12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Tenant is the lessee under that certain lease agreement between Landlord and Tenant dated _____ ("</w:t>
      </w:r>
      <w:r>
        <w:rPr>
          <w:rFonts w:ascii="Arial" w:cs="Arial" w:eastAsia="Arial" w:hAnsi="Arial"/>
          <w:sz w:val="18"/>
          <w:szCs w:val="18"/>
          <w:b w:val="1"/>
          <w:bCs w:val="1"/>
          <w:color w:val="auto"/>
        </w:rPr>
        <w:t>Lease</w:t>
      </w:r>
      <w:r>
        <w:rPr>
          <w:rFonts w:ascii="Arial" w:cs="Arial" w:eastAsia="Arial" w:hAnsi="Arial"/>
          <w:sz w:val="18"/>
          <w:szCs w:val="18"/>
          <w:color w:val="auto"/>
        </w:rPr>
        <w:t>"), demising a portion of the Property described more particularly in the Lease ("</w:t>
      </w:r>
      <w:r>
        <w:rPr>
          <w:rFonts w:ascii="Arial" w:cs="Arial" w:eastAsia="Arial" w:hAnsi="Arial"/>
          <w:sz w:val="18"/>
          <w:szCs w:val="18"/>
          <w:b w:val="1"/>
          <w:bCs w:val="1"/>
          <w:color w:val="auto"/>
        </w:rPr>
        <w:t>Leased Space</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Landlord, Tenant and Lender desire to enter into the following agreements with respect to the priority of the Lease and Security</w:t>
      </w:r>
    </w:p>
    <w:p>
      <w:pPr>
        <w:spacing w:after="0"/>
        <w:rPr>
          <w:rFonts w:ascii="Arial" w:cs="Arial" w:eastAsia="Arial" w:hAnsi="Arial"/>
          <w:sz w:val="17"/>
          <w:szCs w:val="17"/>
          <w:color w:val="auto"/>
        </w:rPr>
      </w:pPr>
      <w:r>
        <w:rPr>
          <w:rFonts w:ascii="Arial" w:cs="Arial" w:eastAsia="Arial" w:hAnsi="Arial"/>
          <w:sz w:val="18"/>
          <w:szCs w:val="18"/>
          <w:color w:val="auto"/>
        </w:rPr>
        <w:t>Instrument.</w:t>
      </w:r>
    </w:p>
    <w:p>
      <w:pPr>
        <w:spacing w:after="0" w:line="196" w:lineRule="exact"/>
        <w:rPr>
          <w:sz w:val="20"/>
          <w:szCs w:val="20"/>
          <w:color w:val="auto"/>
        </w:rPr>
      </w:pPr>
    </w:p>
    <w:p>
      <w:pPr>
        <w:ind w:firstLine="215"/>
        <w:spacing w:after="0" w:line="235" w:lineRule="auto"/>
        <w:rPr>
          <w:sz w:val="20"/>
          <w:szCs w:val="20"/>
          <w:color w:val="auto"/>
        </w:rPr>
      </w:pPr>
      <w:r>
        <w:rPr>
          <w:rFonts w:ascii="Arial" w:cs="Arial" w:eastAsia="Arial" w:hAnsi="Arial"/>
          <w:sz w:val="18"/>
          <w:szCs w:val="18"/>
          <w:color w:val="auto"/>
        </w:rPr>
        <w:t>NOW, THEREFORE, in consideration of the mutual promises of this Agreement, and intending to be legally bound hereby, the parties hereto agree as follows:</w:t>
      </w:r>
    </w:p>
    <w:p>
      <w:pPr>
        <w:spacing w:after="0" w:line="189" w:lineRule="exact"/>
        <w:rPr>
          <w:sz w:val="20"/>
          <w:szCs w:val="20"/>
          <w:color w:val="auto"/>
        </w:rPr>
      </w:pPr>
    </w:p>
    <w:p>
      <w:pPr>
        <w:ind w:firstLine="710"/>
        <w:spacing w:after="0" w:line="235" w:lineRule="auto"/>
        <w:tabs>
          <w:tab w:leader="none" w:pos="129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Tenant agrees that the Lease, and all estates, options and rights created under the Lease, hereby are subordinated and made subject to the lien and priority of the Security Instrument.</w:t>
      </w:r>
    </w:p>
    <w:p>
      <w:pPr>
        <w:spacing w:after="0" w:line="188" w:lineRule="exact"/>
        <w:rPr>
          <w:rFonts w:ascii="Arial" w:cs="Arial" w:eastAsia="Arial" w:hAnsi="Arial"/>
          <w:sz w:val="18"/>
          <w:szCs w:val="18"/>
          <w:color w:val="auto"/>
        </w:rPr>
      </w:pPr>
    </w:p>
    <w:p>
      <w:pPr>
        <w:ind w:right="120" w:firstLine="710"/>
        <w:spacing w:after="0" w:line="216" w:lineRule="auto"/>
        <w:tabs>
          <w:tab w:leader="none" w:pos="129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Nondisturbance</w:t>
      </w:r>
      <w:r>
        <w:rPr>
          <w:rFonts w:ascii="Arial" w:cs="Arial" w:eastAsia="Arial" w:hAnsi="Arial"/>
          <w:sz w:val="18"/>
          <w:szCs w:val="18"/>
          <w:color w:val="auto"/>
        </w:rPr>
        <w:t>. Lender agrees that no foreclosure (whether judicial or nonjudicial), deed-in-lieu of foreclosure, or other sale of the Property in connection with enforcement of the Security Instrument or otherwise in satisfaction of the underlying loan shall operate to terminate the Lease or Tenant's rights thereunder to possess and use the Leased Space provided, however, that (a) the term of the Lease has commenced, (b) Tenant is in possession of the Leased Space, and (c) the Lease is in full force and effect and no uncured default exists under the Lease, beyond any applicable notice and cure periods.</w:t>
      </w:r>
    </w:p>
    <w:p>
      <w:pPr>
        <w:spacing w:after="0" w:line="189" w:lineRule="exact"/>
        <w:rPr>
          <w:rFonts w:ascii="Arial" w:cs="Arial" w:eastAsia="Arial" w:hAnsi="Arial"/>
          <w:sz w:val="18"/>
          <w:szCs w:val="18"/>
          <w:color w:val="auto"/>
        </w:rPr>
      </w:pPr>
    </w:p>
    <w:p>
      <w:pPr>
        <w:ind w:right="140" w:firstLine="710"/>
        <w:spacing w:after="0" w:line="223" w:lineRule="auto"/>
        <w:tabs>
          <w:tab w:leader="none" w:pos="1296"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Attornment</w:t>
      </w:r>
      <w:r>
        <w:rPr>
          <w:rFonts w:ascii="Arial" w:cs="Arial" w:eastAsia="Arial" w:hAnsi="Arial"/>
          <w:sz w:val="17"/>
          <w:szCs w:val="17"/>
          <w:color w:val="auto"/>
        </w:rPr>
        <w:t>. Tenant agrees to attorn to and recognize as its landlord under the Lease each party acquiring legal title to the Property by foreclosure (whether judicial or nonjudicial) of the Security Instrument, deed-in-lieu of foreclosure, or other sale in connection with enforcement of the Security Instrument or otherwise in satisfaction of the underlying loan ("</w:t>
      </w:r>
      <w:r>
        <w:rPr>
          <w:rFonts w:ascii="Arial" w:cs="Arial" w:eastAsia="Arial" w:hAnsi="Arial"/>
          <w:sz w:val="17"/>
          <w:szCs w:val="17"/>
          <w:b w:val="1"/>
          <w:bCs w:val="1"/>
          <w:color w:val="auto"/>
        </w:rPr>
        <w:t>Successor Owner</w:t>
      </w:r>
      <w:r>
        <w:rPr>
          <w:rFonts w:ascii="Arial" w:cs="Arial" w:eastAsia="Arial" w:hAnsi="Arial"/>
          <w:sz w:val="17"/>
          <w:szCs w:val="17"/>
          <w:color w:val="auto"/>
        </w:rPr>
        <w:t>"). Provided that the conditions set forth in Section 2 above are met at the time Successor Owner becomes owner of the Property, Successor Owner shall perform all obligations of the landlord under the Lease arising from and after the date title to the Property was transferred to Successor Owner. In no event, however, will any Successor Owner be: (a) liable for any default, act or omission of any prior landlord under the Lease (except that Successor Owner shall not be relieved from the obligation to cure any defaults which are non-monetary and continuing in nature, and such that Successor Owner’s failure to cure would constitute a continuing default under the Lease; for the avoidance of doubt, defaults which are non-monetary include repair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04" w:right="339" w:bottom="1440" w:gutter="0" w:footer="0" w:header="0"/>
        </w:sectPr>
      </w:pPr>
    </w:p>
    <w:bookmarkStart w:id="195" w:name="page196"/>
    <w:bookmarkEnd w:id="195"/>
    <w:p>
      <w:pPr>
        <w:jc w:val="both"/>
        <w:ind w:right="80"/>
        <w:spacing w:after="0" w:line="239" w:lineRule="auto"/>
        <w:rPr>
          <w:sz w:val="20"/>
          <w:szCs w:val="20"/>
          <w:color w:val="auto"/>
        </w:rPr>
      </w:pPr>
      <w:r>
        <w:rPr>
          <w:rFonts w:ascii="Arial" w:cs="Arial" w:eastAsia="Arial" w:hAnsi="Arial"/>
          <w:sz w:val="16"/>
          <w:szCs w:val="16"/>
          <w:color w:val="auto"/>
        </w:rPr>
        <w:t>maintenance defaults even though curing such defaults may require the expenditure of money); (b) subject to any offset or defense which Tenant may have against any prior landlord under the Lease; (c) bound by any payment of rent or additional rent made by Tenant to Landlord more than 30 days in advance;</w:t>
      </w:r>
    </w:p>
    <w:p>
      <w:pPr>
        <w:spacing w:after="0" w:line="1" w:lineRule="exact"/>
        <w:rPr>
          <w:sz w:val="20"/>
          <w:szCs w:val="20"/>
          <w:color w:val="auto"/>
        </w:rPr>
      </w:pPr>
    </w:p>
    <w:p>
      <w:pPr>
        <w:ind w:right="20" w:firstLine="8"/>
        <w:spacing w:after="0" w:line="228"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bound by any modification or supplement to the Lease, or waiver of Lease terms, which revise Tenant’s or Landlord’s monetary obligations under the Lease, modifies the term of the Lease, the parties’ termination rights or the description of the Leased Space, made without Lender’s written consent thereto;</w:t>
      </w:r>
    </w:p>
    <w:p>
      <w:pPr>
        <w:spacing w:after="0" w:line="1" w:lineRule="exact"/>
        <w:rPr>
          <w:rFonts w:ascii="Arial" w:cs="Arial" w:eastAsia="Arial" w:hAnsi="Arial"/>
          <w:sz w:val="16"/>
          <w:szCs w:val="16"/>
          <w:color w:val="auto"/>
        </w:rPr>
      </w:pPr>
    </w:p>
    <w:p>
      <w:pPr>
        <w:ind w:firstLine="8"/>
        <w:spacing w:after="0" w:line="220" w:lineRule="auto"/>
        <w:tabs>
          <w:tab w:leader="none" w:pos="24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liable for the return of any security deposit or other prepaid charge paid by Tenant under the Lease, except to the extent such amounts were actually received by Lender; (f) liable or bound by any right of first refusal or option to purchase all or any portion of the Property; or (g) liable for construction, completion or payment to Tenant for any improvements to the Property or as required under the Lease for Tenant's use and occupancy (whenever arising); provided, however, this clause (g) shall in no way modify, limit or impair any obligation of Successor Owner to perform maintenance and repair obligations to existing improvements and provided further, that if Successor Owner fails to perform any such maintenance and repair obligations, then Tenant shall have all rights and remedies available to it in the Lease, at law, and in equity. Although the foregoing provisions of this Agreement are self-operative, Tenant agrees to execute and deliver to Lender or any Successor Owner such further instruments as Lender or a Successor Owner may from time to time request in order to confirm this Agreement. If any liability of Successor Owner does arise pursuant to this Agreement, such liability shall be limited to Successor Owner's interest in the Property.</w:t>
      </w:r>
    </w:p>
    <w:p>
      <w:pPr>
        <w:spacing w:after="0" w:line="193" w:lineRule="exact"/>
        <w:rPr>
          <w:rFonts w:ascii="Arial" w:cs="Arial" w:eastAsia="Arial" w:hAnsi="Arial"/>
          <w:sz w:val="17"/>
          <w:szCs w:val="17"/>
          <w:color w:val="auto"/>
        </w:rPr>
      </w:pPr>
    </w:p>
    <w:p>
      <w:pPr>
        <w:ind w:right="100" w:firstLine="710"/>
        <w:spacing w:after="0" w:line="212" w:lineRule="auto"/>
        <w:tabs>
          <w:tab w:leader="none" w:pos="1296"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Rent Payments; Notice to Tenant Regarding Rent Payments</w:t>
      </w:r>
      <w:r>
        <w:rPr>
          <w:rFonts w:ascii="Arial" w:cs="Arial" w:eastAsia="Arial" w:hAnsi="Arial"/>
          <w:sz w:val="18"/>
          <w:szCs w:val="18"/>
          <w:color w:val="auto"/>
        </w:rPr>
        <w:t>. Tenant agrees not to pay rent more than one (1) month in advance unless otherwise specified in the Lease. After notice is given to Tenant by Lender that Landlord is in default under the Security Instrument and that the rentals under the Lease should be paid to Lender pursuant to the assignment of leases and rents granted by Landlord to Lender in connection therewith, Tenant shall thereafter pay to Lender all rent and all other amounts due or to become due to Landlord under the Lease, and Landlord hereby expressly authorizes Tenant to make such payments to Lender upon reliance on Lender's written notice (without any inquiry into the factual basis for such notice or any prior notice to or consent from Landlord) and hereby releases Tenant from all liability to Landlord in connection with Tenant's compliance with Lender's written instructions.</w:t>
      </w:r>
    </w:p>
    <w:p>
      <w:pPr>
        <w:spacing w:after="0" w:line="191" w:lineRule="exact"/>
        <w:rPr>
          <w:rFonts w:ascii="Arial" w:cs="Arial" w:eastAsia="Arial" w:hAnsi="Arial"/>
          <w:sz w:val="18"/>
          <w:szCs w:val="18"/>
          <w:color w:val="auto"/>
        </w:rPr>
      </w:pPr>
    </w:p>
    <w:p>
      <w:pPr>
        <w:ind w:right="220" w:firstLine="710"/>
        <w:spacing w:after="0" w:line="225" w:lineRule="auto"/>
        <w:tabs>
          <w:tab w:leader="none" w:pos="1296"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Lender Opportunity to Cure Landlord Defaults</w:t>
      </w:r>
      <w:r>
        <w:rPr>
          <w:rFonts w:ascii="Arial" w:cs="Arial" w:eastAsia="Arial" w:hAnsi="Arial"/>
          <w:sz w:val="17"/>
          <w:szCs w:val="17"/>
          <w:color w:val="auto"/>
        </w:rPr>
        <w:t>. Tenant agrees that, until the Security Instrument is satisfied of record by Lender, it will not exercise any remedies under the Lease following a Landlord default without having first given to Lender (a) written notice of the alleged Landlord default and (b) the opportunity to cure such default within the time periods provided for cure by Landlord, measured from the time notice is received by Lender. Tenant acknowledges that Lender is not obligated to cure any Landlord default, but if Lender elects to do so, Tenant agrees to accept cure by Lender as that of Landlord under the Lease and will not exercise any right or remedy under the Lease for a Landlord default. Performance rendered by Lender on Landlord's behalf is without prejudice to Lender's rights against Landlord under the Security Instrument or any other documents executed by Landlord in favor of Lender in connection therewith.</w:t>
      </w:r>
    </w:p>
    <w:p>
      <w:pPr>
        <w:spacing w:after="0" w:line="188" w:lineRule="exact"/>
        <w:rPr>
          <w:rFonts w:ascii="Arial" w:cs="Arial" w:eastAsia="Arial" w:hAnsi="Arial"/>
          <w:sz w:val="17"/>
          <w:szCs w:val="17"/>
          <w:color w:val="auto"/>
        </w:rPr>
      </w:pPr>
    </w:p>
    <w:p>
      <w:pPr>
        <w:ind w:left="1300" w:hanging="590"/>
        <w:spacing w:after="0"/>
        <w:tabs>
          <w:tab w:leader="none" w:pos="1300"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620" w:right="60" w:firstLine="1304"/>
        <w:spacing w:after="0" w:line="244" w:lineRule="auto"/>
        <w:tabs>
          <w:tab w:leader="none" w:pos="3237" w:val="left"/>
        </w:tabs>
        <w:numPr>
          <w:ilvl w:val="2"/>
          <w:numId w:val="14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will be effective only if made in writing and addressed to the address for a party provided below such party's signature. A new notice address may be established from time to time by written notice given in accordance with this Section. All notices will be deemed received only upon actual receipt. Notice to outside counsel or parties other than the named Tenant, Lender and Landlord, now or hereafter designated by a party as entitled to notice, are for convenience only and are not required for notice to a party to be effective in accordance with this section.</w:t>
      </w:r>
    </w:p>
    <w:p>
      <w:pPr>
        <w:spacing w:after="0" w:line="185" w:lineRule="exact"/>
        <w:rPr>
          <w:rFonts w:ascii="Arial" w:cs="Arial" w:eastAsia="Arial" w:hAnsi="Arial"/>
          <w:sz w:val="16"/>
          <w:szCs w:val="16"/>
          <w:color w:val="auto"/>
        </w:rPr>
      </w:pPr>
    </w:p>
    <w:p>
      <w:pPr>
        <w:ind w:left="1620" w:right="160" w:firstLine="1304"/>
        <w:spacing w:after="0" w:line="244" w:lineRule="auto"/>
        <w:tabs>
          <w:tab w:leader="none" w:pos="3234" w:val="left"/>
        </w:tabs>
        <w:numPr>
          <w:ilvl w:val="2"/>
          <w:numId w:val="147"/>
        </w:numPr>
        <w:rPr>
          <w:rFonts w:ascii="Arial" w:cs="Arial" w:eastAsia="Arial" w:hAnsi="Arial"/>
          <w:sz w:val="16"/>
          <w:szCs w:val="16"/>
          <w:color w:val="auto"/>
        </w:rPr>
      </w:pPr>
      <w:r>
        <w:rPr>
          <w:rFonts w:ascii="Arial" w:cs="Arial" w:eastAsia="Arial" w:hAnsi="Arial"/>
          <w:sz w:val="16"/>
          <w:szCs w:val="16"/>
          <w:u w:val="single" w:color="auto"/>
          <w:color w:val="auto"/>
        </w:rPr>
        <w:t>Entire Agreement; Modification</w:t>
      </w:r>
      <w:r>
        <w:rPr>
          <w:rFonts w:ascii="Arial" w:cs="Arial" w:eastAsia="Arial" w:hAnsi="Arial"/>
          <w:sz w:val="16"/>
          <w:szCs w:val="16"/>
          <w:color w:val="auto"/>
        </w:rPr>
        <w:t>. This Agreement is the entire agreement between the parties relating to the subordination and nondisturbance of the Lease, and supersedes and replaces all prior discussions, representations and agreements (oral and written) with respect to the subordination and nondisturbance of the Lease. This Agreement controls any conflict between the terms of this Agreement and the Lease. This Agreement may not be modified, supplemented or terminated, nor any provision hereof waived, unless by written agreement of Lender and Tenant, and then only to the extent expressly set forth in such writing.</w:t>
      </w:r>
    </w:p>
    <w:p>
      <w:pPr>
        <w:spacing w:after="0" w:line="185" w:lineRule="exact"/>
        <w:rPr>
          <w:rFonts w:ascii="Arial" w:cs="Arial" w:eastAsia="Arial" w:hAnsi="Arial"/>
          <w:sz w:val="16"/>
          <w:szCs w:val="16"/>
          <w:color w:val="auto"/>
        </w:rPr>
      </w:pPr>
    </w:p>
    <w:p>
      <w:pPr>
        <w:ind w:left="1620" w:right="40" w:firstLine="1304"/>
        <w:spacing w:after="0" w:line="219" w:lineRule="auto"/>
        <w:tabs>
          <w:tab w:leader="none" w:pos="3237" w:val="left"/>
        </w:tabs>
        <w:numPr>
          <w:ilvl w:val="2"/>
          <w:numId w:val="14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binds and inures to the benefit of each party hereto and their respective heirs, executors, legal representatives, successors and assigns, whether by voluntary action of the parties or by operation of law. If the Security Instrument is a deed of trust, this Agreement is entered into by the trustee of the Security Instrument solely in its capacity as trustee and not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08" w:right="339" w:bottom="1440" w:gutter="0" w:footer="0" w:header="0"/>
        </w:sectPr>
      </w:pPr>
    </w:p>
    <w:bookmarkStart w:id="196" w:name="page197"/>
    <w:bookmarkEnd w:id="196"/>
    <w:p>
      <w:pPr>
        <w:ind w:left="500" w:right="100" w:firstLine="1304"/>
        <w:spacing w:after="0" w:line="219" w:lineRule="auto"/>
        <w:tabs>
          <w:tab w:leader="none" w:pos="211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Unenforceability</w:t>
      </w:r>
      <w:r>
        <w:rPr>
          <w:rFonts w:ascii="Arial" w:cs="Arial" w:eastAsia="Arial" w:hAnsi="Arial"/>
          <w:sz w:val="18"/>
          <w:szCs w:val="18"/>
          <w:color w:val="auto"/>
        </w:rPr>
        <w:t>. Any provision of this Agreement which is determined by a government body or court of competent jurisdiction to be invalid, unenforceable or illegal shall be ineffective only to the extent of such holding and shall not affect the validity, enforceability or legality of any other provision, nor shall such determination apply in any circumstance or to any party not controlled by such determination.</w:t>
      </w:r>
    </w:p>
    <w:p>
      <w:pPr>
        <w:spacing w:after="0" w:line="189" w:lineRule="exact"/>
        <w:rPr>
          <w:rFonts w:ascii="Arial" w:cs="Arial" w:eastAsia="Arial" w:hAnsi="Arial"/>
          <w:sz w:val="18"/>
          <w:szCs w:val="18"/>
          <w:color w:val="auto"/>
        </w:rPr>
      </w:pPr>
    </w:p>
    <w:p>
      <w:pPr>
        <w:ind w:left="500" w:right="40" w:firstLine="1304"/>
        <w:spacing w:after="0" w:line="219" w:lineRule="auto"/>
        <w:tabs>
          <w:tab w:leader="none" w:pos="211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Construction of Certain Terms</w:t>
      </w:r>
      <w:r>
        <w:rPr>
          <w:rFonts w:ascii="Arial" w:cs="Arial" w:eastAsia="Arial" w:hAnsi="Arial"/>
          <w:sz w:val="18"/>
          <w:szCs w:val="18"/>
          <w:color w:val="auto"/>
        </w:rPr>
        <w:t>. Defined terms used in this Agreement may be used interchangeably in singular or plural form, and pronouns cover all genders. Unless otherwise provided herein, all days from performance shall be calendar days, and a "</w:t>
      </w:r>
      <w:r>
        <w:rPr>
          <w:rFonts w:ascii="Arial" w:cs="Arial" w:eastAsia="Arial" w:hAnsi="Arial"/>
          <w:sz w:val="18"/>
          <w:szCs w:val="18"/>
          <w:b w:val="1"/>
          <w:bCs w:val="1"/>
          <w:color w:val="auto"/>
        </w:rPr>
        <w:t>business day</w:t>
      </w:r>
      <w:r>
        <w:rPr>
          <w:rFonts w:ascii="Arial" w:cs="Arial" w:eastAsia="Arial" w:hAnsi="Arial"/>
          <w:sz w:val="18"/>
          <w:szCs w:val="18"/>
          <w:color w:val="auto"/>
        </w:rPr>
        <w:t>" is any day other than Saturday, Sunday and days on which Lender is closed for legal holidays, by government order or weather emergency.</w:t>
      </w:r>
    </w:p>
    <w:p>
      <w:pPr>
        <w:spacing w:after="0" w:line="189" w:lineRule="exact"/>
        <w:rPr>
          <w:rFonts w:ascii="Arial" w:cs="Arial" w:eastAsia="Arial" w:hAnsi="Arial"/>
          <w:sz w:val="18"/>
          <w:szCs w:val="18"/>
          <w:color w:val="auto"/>
        </w:rPr>
      </w:pPr>
    </w:p>
    <w:p>
      <w:pPr>
        <w:ind w:left="500" w:right="240" w:firstLine="1304"/>
        <w:spacing w:after="0" w:line="235" w:lineRule="auto"/>
        <w:tabs>
          <w:tab w:leader="none" w:pos="2111"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in which the Property is located (without giving effect to its rules governing conflicts of laws).</w:t>
      </w:r>
    </w:p>
    <w:p>
      <w:pPr>
        <w:spacing w:after="0" w:line="184" w:lineRule="exact"/>
        <w:rPr>
          <w:rFonts w:ascii="Arial" w:cs="Arial" w:eastAsia="Arial" w:hAnsi="Arial"/>
          <w:sz w:val="18"/>
          <w:szCs w:val="18"/>
          <w:color w:val="auto"/>
        </w:rPr>
      </w:pPr>
    </w:p>
    <w:p>
      <w:pPr>
        <w:ind w:left="500" w:firstLine="1304"/>
        <w:spacing w:after="0" w:line="220" w:lineRule="auto"/>
        <w:tabs>
          <w:tab w:leader="none" w:pos="2114"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TENANT, AS AN INDUCEMENT FOR LENDER TO PROVIDE THIS AGREEMENT AND THE ACCOMMODATIONS TO TENANT OFFERED HEREBY, HEREBY WAIVES ITS RIGHT, TO THE FULL EXTENT PERMITTED BY LAW, AND AGREES NOT TO ELECT, A TRIAL BY JURY WITH RESPECT TO ANY ISSUE ARISING OUT OF THIS AGREEMENT.</w:t>
      </w:r>
    </w:p>
    <w:p>
      <w:pPr>
        <w:spacing w:after="0" w:line="190" w:lineRule="exact"/>
        <w:rPr>
          <w:rFonts w:ascii="Arial" w:cs="Arial" w:eastAsia="Arial" w:hAnsi="Arial"/>
          <w:sz w:val="18"/>
          <w:szCs w:val="18"/>
          <w:color w:val="auto"/>
        </w:rPr>
      </w:pPr>
    </w:p>
    <w:p>
      <w:pPr>
        <w:ind w:left="500" w:right="40" w:firstLine="1304"/>
        <w:spacing w:after="0" w:line="224" w:lineRule="auto"/>
        <w:tabs>
          <w:tab w:leader="none" w:pos="211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all of which together constitute a fully executed agreement even though all signatures do not appear on the same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SIGNATURES AND NOTARIES APPEAR ON THE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20"/>
          </w:cols>
          <w:pgMar w:left="1440" w:top="1408" w:right="339" w:bottom="1440" w:gutter="0" w:footer="0" w:header="0"/>
        </w:sectPr>
      </w:pPr>
    </w:p>
    <w:bookmarkStart w:id="197" w:name="page198"/>
    <w:bookmarkEnd w:id="197"/>
    <w:p>
      <w:pPr>
        <w:ind w:left="18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Agreement is executed as of the date first above written.</w:t>
      </w:r>
    </w:p>
    <w:p>
      <w:pPr>
        <w:sectPr>
          <w:pgSz w:w="11900" w:h="16838" w:orient="portrait"/>
          <w:cols w:equalWidth="0" w:num="1">
            <w:col w:w="11240"/>
          </w:cols>
          <w:pgMar w:left="320" w:top="1404" w:right="339" w:bottom="1440" w:gutter="0" w:footer="0" w:header="0"/>
        </w:sect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LENDER:</w:t>
      </w:r>
    </w:p>
    <w:p>
      <w:pPr>
        <w:spacing w:after="0" w:line="27" w:lineRule="exact"/>
        <w:rPr>
          <w:sz w:val="20"/>
          <w:szCs w:val="20"/>
          <w:color w:val="auto"/>
        </w:rPr>
      </w:pPr>
    </w:p>
    <w:p>
      <w:pPr>
        <w:jc w:val="both"/>
        <w:ind w:left="80"/>
        <w:spacing w:after="0" w:line="224" w:lineRule="auto"/>
        <w:rPr>
          <w:sz w:val="20"/>
          <w:szCs w:val="20"/>
          <w:color w:val="auto"/>
        </w:rPr>
      </w:pPr>
      <w:r>
        <w:rPr>
          <w:rFonts w:ascii="Arial" w:cs="Arial" w:eastAsia="Arial" w:hAnsi="Arial"/>
          <w:sz w:val="18"/>
          <w:szCs w:val="18"/>
          <w:color w:val="auto"/>
        </w:rPr>
        <w:t>Wells Fargo Bank National Association, not individually, but solely as Trustee for the Morgan Stanley Capital I Inc., Commercial Mortgage Pass-Through Certificates Series 2011-C1, Trustee</w:t>
      </w:r>
    </w:p>
    <w:p>
      <w:pPr>
        <w:spacing w:after="0" w:line="189" w:lineRule="exact"/>
        <w:rPr>
          <w:sz w:val="20"/>
          <w:szCs w:val="20"/>
          <w:color w:val="auto"/>
        </w:rPr>
      </w:pPr>
    </w:p>
    <w:p>
      <w:pPr>
        <w:jc w:val="both"/>
        <w:ind w:left="80" w:right="20"/>
        <w:spacing w:after="0" w:line="235" w:lineRule="auto"/>
        <w:rPr>
          <w:sz w:val="20"/>
          <w:szCs w:val="20"/>
          <w:color w:val="auto"/>
        </w:rPr>
      </w:pPr>
      <w:r>
        <w:rPr>
          <w:rFonts w:ascii="Arial" w:cs="Arial" w:eastAsia="Arial" w:hAnsi="Arial"/>
          <w:sz w:val="18"/>
          <w:szCs w:val="18"/>
          <w:color w:val="auto"/>
        </w:rPr>
        <w:t>By: Berkadia Commercial Mortgage LLC, a Delaware limited liability company, its Sub Servicer</w:t>
      </w: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-635</wp:posOffset>
            </wp:positionV>
            <wp:extent cx="6858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80"/>
        <w:spacing w:after="0" w:line="203" w:lineRule="auto"/>
        <w:tabs>
          <w:tab w:leader="none" w:pos="760" w:val="left"/>
        </w:tabs>
        <w:rPr>
          <w:sz w:val="20"/>
          <w:szCs w:val="20"/>
          <w:color w:val="auto"/>
        </w:rPr>
      </w:pPr>
      <w:r>
        <w:rPr>
          <w:rFonts w:ascii="Arial" w:cs="Arial" w:eastAsia="Arial" w:hAnsi="Arial"/>
          <w:sz w:val="18"/>
          <w:szCs w:val="18"/>
          <w:color w:val="auto"/>
        </w:rPr>
        <w:t>Name:</w:t>
        <w:tab/>
        <w:t>Gary A. Routzahn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0</wp:posOffset>
            </wp:positionV>
            <wp:extent cx="13201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80"/>
        <w:spacing w:after="0"/>
        <w:tabs>
          <w:tab w:leader="none" w:pos="660" w:val="left"/>
        </w:tabs>
        <w:rPr>
          <w:sz w:val="20"/>
          <w:szCs w:val="20"/>
          <w:color w:val="auto"/>
        </w:rPr>
      </w:pPr>
      <w:r>
        <w:rPr>
          <w:rFonts w:ascii="Arial" w:cs="Arial" w:eastAsia="Arial" w:hAnsi="Arial"/>
          <w:sz w:val="18"/>
          <w:szCs w:val="18"/>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-20320</wp:posOffset>
            </wp:positionV>
            <wp:extent cx="170053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1700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 NOTICE ADDRESS:</w:t>
      </w:r>
    </w:p>
    <w:p>
      <w:pPr>
        <w:spacing w:after="0" w:line="27" w:lineRule="exact"/>
        <w:rPr>
          <w:sz w:val="20"/>
          <w:szCs w:val="20"/>
          <w:color w:val="auto"/>
        </w:rPr>
      </w:pPr>
    </w:p>
    <w:p>
      <w:pPr>
        <w:jc w:val="both"/>
        <w:ind w:left="60" w:right="60"/>
        <w:spacing w:after="0" w:line="224" w:lineRule="auto"/>
        <w:rPr>
          <w:sz w:val="20"/>
          <w:szCs w:val="20"/>
          <w:color w:val="auto"/>
        </w:rPr>
      </w:pPr>
      <w:r>
        <w:rPr>
          <w:rFonts w:ascii="Arial" w:cs="Arial" w:eastAsia="Arial" w:hAnsi="Arial"/>
          <w:sz w:val="18"/>
          <w:szCs w:val="18"/>
          <w:color w:val="auto"/>
        </w:rPr>
        <w:t>Wells Fargo Bank National Association, not individually, but solely as Trustee for the Morgan Stanley Capital I Inc., Commercial Mortgage Pass-Through Certificates Series 2011-C1, Trustee</w:t>
      </w:r>
    </w:p>
    <w:p>
      <w:pPr>
        <w:spacing w:after="0" w:line="189" w:lineRule="exact"/>
        <w:rPr>
          <w:sz w:val="20"/>
          <w:szCs w:val="20"/>
          <w:color w:val="auto"/>
        </w:rPr>
      </w:pPr>
    </w:p>
    <w:p>
      <w:pPr>
        <w:ind w:left="60" w:right="2580"/>
        <w:spacing w:after="0" w:line="209" w:lineRule="auto"/>
        <w:rPr>
          <w:sz w:val="20"/>
          <w:szCs w:val="20"/>
          <w:color w:val="auto"/>
        </w:rPr>
      </w:pPr>
      <w:r>
        <w:rPr>
          <w:rFonts w:ascii="Arial" w:cs="Arial" w:eastAsia="Arial" w:hAnsi="Arial"/>
          <w:sz w:val="18"/>
          <w:szCs w:val="18"/>
          <w:color w:val="auto"/>
        </w:rPr>
        <w:t>c/o Berkadia Commercial Mortgage LLC 323 Norristown Road, Suite 300 Ambler, PA 19002</w:t>
      </w:r>
    </w:p>
    <w:p>
      <w:pPr>
        <w:ind w:left="60"/>
        <w:spacing w:after="0" w:line="231" w:lineRule="auto"/>
        <w:tabs>
          <w:tab w:leader="none" w:pos="5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Client Relations Manager</w:t>
      </w:r>
    </w:p>
    <w:p>
      <w:pPr>
        <w:ind w:left="240"/>
        <w:spacing w:after="0"/>
        <w:rPr>
          <w:sz w:val="20"/>
          <w:szCs w:val="20"/>
          <w:color w:val="auto"/>
        </w:rPr>
      </w:pPr>
      <w:r>
        <w:rPr>
          <w:rFonts w:ascii="Arial" w:cs="Arial" w:eastAsia="Arial" w:hAnsi="Arial"/>
          <w:sz w:val="18"/>
          <w:szCs w:val="18"/>
          <w:color w:val="auto"/>
        </w:rPr>
        <w:t>For Loan # 010072830</w:t>
      </w:r>
    </w:p>
    <w:p>
      <w:pPr>
        <w:spacing w:after="0" w:line="685" w:lineRule="exact"/>
        <w:rPr>
          <w:sz w:val="20"/>
          <w:szCs w:val="20"/>
          <w:color w:val="auto"/>
        </w:rPr>
      </w:pPr>
    </w:p>
    <w:p>
      <w:pPr>
        <w:sectPr>
          <w:pgSz w:w="11900" w:h="16838" w:orient="portrait"/>
          <w:cols w:equalWidth="0" w:num="2">
            <w:col w:w="5560" w:space="80"/>
            <w:col w:w="5600"/>
          </w:cols>
          <w:pgMar w:left="320" w:top="1404"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Notary Acknowledgment for Lender:</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COMMONWEALTH OF PENNSYLVANIA</w:t>
      </w:r>
      <w:r>
        <w:rPr>
          <w:rFonts w:ascii="Arial" w:cs="Arial" w:eastAsia="Arial" w:hAnsi="Arial"/>
          <w:sz w:val="18"/>
          <w:szCs w:val="18"/>
          <w:color w:val="auto"/>
        </w:rPr>
        <w:t>:</w:t>
      </w:r>
    </w:p>
    <w:tbl>
      <w:tblPr>
        <w:tblLayout w:type="fixed"/>
        <w:tblInd w:w="80" w:type="dxa"/>
        <w:tblCellMar>
          <w:top w:w="0" w:type="dxa"/>
          <w:left w:w="0" w:type="dxa"/>
          <w:bottom w:w="0" w:type="dxa"/>
          <w:right w:w="0" w:type="dxa"/>
        </w:tblCellMar>
      </w:tblPr>
      <w:tr>
        <w:trPr>
          <w:trHeight w:val="160"/>
        </w:trPr>
        <w:tc>
          <w:tcPr>
            <w:tcW w:w="2560" w:type="dxa"/>
            <w:vAlign w:val="bottom"/>
          </w:tcPr>
          <w:p>
            <w:pPr>
              <w:ind w:left="940"/>
              <w:spacing w:after="0" w:line="160" w:lineRule="exact"/>
              <w:rPr>
                <w:sz w:val="20"/>
                <w:szCs w:val="20"/>
                <w:color w:val="auto"/>
              </w:rPr>
            </w:pPr>
            <w:r>
              <w:rPr>
                <w:rFonts w:ascii="Arial" w:cs="Arial" w:eastAsia="Arial" w:hAnsi="Arial"/>
                <w:sz w:val="18"/>
                <w:szCs w:val="18"/>
                <w:color w:val="auto"/>
              </w:rPr>
              <w:t>: ss</w:t>
            </w: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w w:val="71"/>
              </w:rPr>
              <w:t>s:</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COUNTY OF MONTGOMERY</w:t>
            </w:r>
          </w:p>
        </w:tc>
        <w:tc>
          <w:tcPr>
            <w:tcW w:w="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-25400</wp:posOffset>
            </wp:positionV>
            <wp:extent cx="18014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180149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On ______________________, before me, ______________________, Notary Public, personally appeared </w:t>
      </w:r>
      <w:r>
        <w:rPr>
          <w:rFonts w:ascii="Arial" w:cs="Arial" w:eastAsia="Arial" w:hAnsi="Arial"/>
          <w:sz w:val="16"/>
          <w:szCs w:val="16"/>
          <w:u w:val="single" w:color="auto"/>
          <w:color w:val="auto"/>
        </w:rPr>
        <w:t>Gary A. Routzahn</w:t>
      </w:r>
      <w:r>
        <w:rPr>
          <w:rFonts w:ascii="Arial" w:cs="Arial" w:eastAsia="Arial" w:hAnsi="Arial"/>
          <w:sz w:val="16"/>
          <w:szCs w:val="16"/>
          <w:color w:val="auto"/>
        </w:rPr>
        <w:t>, who proved to me</w:t>
      </w:r>
    </w:p>
    <w:p>
      <w:pPr>
        <w:spacing w:after="0" w:line="12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 certify under PENALTY OF PERJURY under the laws of the </w:t>
      </w:r>
      <w:r>
        <w:rPr>
          <w:rFonts w:ascii="Arial" w:cs="Arial" w:eastAsia="Arial" w:hAnsi="Arial"/>
          <w:sz w:val="16"/>
          <w:szCs w:val="16"/>
          <w:u w:val="single" w:color="auto"/>
          <w:color w:val="auto"/>
        </w:rPr>
        <w:t>Commonwealth of Pennsylvania</w:t>
      </w:r>
      <w:r>
        <w:rPr>
          <w:rFonts w:ascii="Arial" w:cs="Arial" w:eastAsia="Arial" w:hAnsi="Arial"/>
          <w:sz w:val="16"/>
          <w:szCs w:val="16"/>
          <w:color w:val="auto"/>
        </w:rPr>
        <w:t xml:space="preserve"> that the foregoing paragraph is true and correct.</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OF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17424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[Tenant’s Signature and Acknowledgment continued on next page]</w:t>
      </w:r>
    </w:p>
    <w:p>
      <w:pPr>
        <w:sectPr>
          <w:pgSz w:w="11900" w:h="16838" w:orient="portrait"/>
          <w:cols w:equalWidth="0" w:num="1">
            <w:col w:w="11240"/>
          </w:cols>
          <w:pgMar w:left="320" w:top="14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04" w:right="339" w:bottom="1440" w:gutter="0" w:footer="0" w:header="0"/>
          <w:type w:val="continuous"/>
        </w:sectPr>
      </w:pPr>
    </w:p>
    <w:bookmarkStart w:id="198" w:name="page199"/>
    <w:bookmarkEnd w:id="198"/>
    <w:p>
      <w:pPr>
        <w:spacing w:after="0" w:line="1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b w:val="1"/>
          <w:bCs w:val="1"/>
          <w:color w:val="auto"/>
        </w:rPr>
        <w:t>TENANT:</w:t>
      </w:r>
      <w:r>
        <w:rPr>
          <w:sz w:val="20"/>
          <w:szCs w:val="20"/>
          <w:color w:val="auto"/>
        </w:rPr>
        <w:tab/>
      </w:r>
      <w:r>
        <w:rPr>
          <w:rFonts w:ascii="Arial" w:cs="Arial" w:eastAsia="Arial" w:hAnsi="Arial"/>
          <w:sz w:val="18"/>
          <w:szCs w:val="18"/>
          <w:b w:val="1"/>
          <w:bCs w:val="1"/>
          <w:color w:val="auto"/>
        </w:rPr>
        <w:t>TENANT NOTICE ADDRESS:</w:t>
      </w:r>
    </w:p>
    <w:p>
      <w:pPr>
        <w:ind w:left="20"/>
        <w:spacing w:after="0"/>
        <w:tabs>
          <w:tab w:leader="none" w:pos="5620" w:val="left"/>
        </w:tabs>
        <w:rPr>
          <w:sz w:val="20"/>
          <w:szCs w:val="20"/>
          <w:color w:val="auto"/>
        </w:rPr>
      </w:pPr>
      <w:r>
        <w:rPr>
          <w:rFonts w:ascii="Arial" w:cs="Arial" w:eastAsia="Arial" w:hAnsi="Arial"/>
          <w:sz w:val="18"/>
          <w:szCs w:val="18"/>
          <w:color w:val="auto"/>
        </w:rPr>
        <w:t>CrowdStrike, Inc., a Delaware corporation</w:t>
      </w:r>
      <w:r>
        <w:rPr>
          <w:sz w:val="20"/>
          <w:szCs w:val="20"/>
          <w:color w:val="auto"/>
        </w:rPr>
        <w:tab/>
      </w:r>
      <w:r>
        <w:rPr>
          <w:rFonts w:ascii="Arial" w:cs="Arial" w:eastAsia="Arial" w:hAnsi="Arial"/>
          <w:sz w:val="16"/>
          <w:szCs w:val="16"/>
          <w:color w:val="auto"/>
        </w:rPr>
        <w:t>CrowdStrike</w:t>
      </w:r>
    </w:p>
    <w:p>
      <w:pPr>
        <w:ind w:left="5640"/>
        <w:spacing w:after="0" w:line="211" w:lineRule="auto"/>
        <w:rPr>
          <w:sz w:val="20"/>
          <w:szCs w:val="20"/>
          <w:color w:val="auto"/>
        </w:rPr>
      </w:pPr>
      <w:r>
        <w:rPr>
          <w:rFonts w:ascii="Arial" w:cs="Arial" w:eastAsia="Arial" w:hAnsi="Arial"/>
          <w:sz w:val="18"/>
          <w:szCs w:val="18"/>
          <w:color w:val="auto"/>
        </w:rPr>
        <w:t>150 Mathilda Place, 3rd Floor</w:t>
      </w:r>
    </w:p>
    <w:p>
      <w:pPr>
        <w:ind w:left="5640"/>
        <w:spacing w:after="0" w:line="203" w:lineRule="auto"/>
        <w:rPr>
          <w:sz w:val="20"/>
          <w:szCs w:val="20"/>
          <w:color w:val="auto"/>
        </w:rPr>
      </w:pPr>
      <w:r>
        <w:rPr>
          <w:rFonts w:ascii="Arial" w:cs="Arial" w:eastAsia="Arial" w:hAnsi="Arial"/>
          <w:sz w:val="18"/>
          <w:szCs w:val="18"/>
          <w:color w:val="auto"/>
        </w:rPr>
        <w:t>Sunnyvale, CA 94086</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Attn: Robin 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ind w:left="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-130175</wp:posOffset>
            </wp:positionV>
            <wp:extent cx="7620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62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Notary Acknowledgment for Tenant:</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-635</wp:posOffset>
            </wp:positionV>
            <wp:extent cx="6858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240" w:hanging="85"/>
        <w:spacing w:after="0" w:line="203" w:lineRule="auto"/>
        <w:tabs>
          <w:tab w:leader="none" w:pos="12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ss</w:t>
      </w:r>
    </w:p>
    <w:p>
      <w:pPr>
        <w:spacing w:after="0"/>
        <w:tabs>
          <w:tab w:leader="none" w:pos="0" w:val="left"/>
        </w:tabs>
        <w:numPr>
          <w:ilvl w:val="0"/>
          <w:numId w:val="149"/>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-20320</wp:posOffset>
            </wp:positionV>
            <wp:extent cx="6858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260" w:val="left"/>
          <w:tab w:leader="none" w:pos="3680" w:val="left"/>
          <w:tab w:leader="none" w:pos="4540" w:val="left"/>
          <w:tab w:leader="none" w:pos="5200" w:val="left"/>
          <w:tab w:leader="none" w:pos="7620" w:val="left"/>
          <w:tab w:leader="none" w:pos="8520" w:val="left"/>
          <w:tab w:leader="none" w:pos="9420" w:val="left"/>
          <w:tab w:leader="none" w:pos="105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before</w:t>
      </w:r>
      <w:r>
        <w:rPr>
          <w:sz w:val="20"/>
          <w:szCs w:val="20"/>
          <w:color w:val="auto"/>
        </w:rPr>
        <w:tab/>
      </w:r>
      <w:r>
        <w:rPr>
          <w:rFonts w:ascii="Arial" w:cs="Arial" w:eastAsia="Arial" w:hAnsi="Arial"/>
          <w:sz w:val="18"/>
          <w:szCs w:val="18"/>
          <w:color w:val="auto"/>
        </w:rPr>
        <w:t>me,</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Notary</w:t>
      </w:r>
      <w:r>
        <w:rPr>
          <w:sz w:val="20"/>
          <w:szCs w:val="20"/>
          <w:color w:val="auto"/>
        </w:rPr>
        <w:tab/>
      </w:r>
      <w:r>
        <w:rPr>
          <w:rFonts w:ascii="Arial" w:cs="Arial" w:eastAsia="Arial" w:hAnsi="Arial"/>
          <w:sz w:val="18"/>
          <w:szCs w:val="18"/>
          <w:color w:val="auto"/>
        </w:rPr>
        <w:t>Public,</w:t>
      </w:r>
      <w:r>
        <w:rPr>
          <w:sz w:val="20"/>
          <w:szCs w:val="20"/>
          <w:color w:val="auto"/>
        </w:rPr>
        <w:tab/>
      </w:r>
      <w:r>
        <w:rPr>
          <w:rFonts w:ascii="Arial" w:cs="Arial" w:eastAsia="Arial" w:hAnsi="Arial"/>
          <w:sz w:val="18"/>
          <w:szCs w:val="18"/>
          <w:color w:val="auto"/>
        </w:rPr>
        <w:t>personally</w:t>
      </w:r>
      <w:r>
        <w:rPr>
          <w:sz w:val="20"/>
          <w:szCs w:val="20"/>
          <w:color w:val="auto"/>
        </w:rPr>
        <w:tab/>
      </w:r>
      <w:r>
        <w:rPr>
          <w:rFonts w:ascii="Arial" w:cs="Arial" w:eastAsia="Arial" w:hAnsi="Arial"/>
          <w:sz w:val="15"/>
          <w:szCs w:val="15"/>
          <w:color w:val="auto"/>
        </w:rPr>
        <w:t>appeared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 who proved to me on the basis of satisfactory evidence to be the person(s) whose name(s) is/are</w:t>
      </w:r>
    </w:p>
    <w:p>
      <w:pPr>
        <w:spacing w:after="0" w:line="115" w:lineRule="exact"/>
        <w:rPr>
          <w:sz w:val="20"/>
          <w:szCs w:val="20"/>
          <w:color w:val="auto"/>
        </w:rPr>
      </w:pPr>
    </w:p>
    <w:p>
      <w:pPr>
        <w:spacing w:after="0" w:line="424" w:lineRule="auto"/>
        <w:rPr>
          <w:sz w:val="20"/>
          <w:szCs w:val="20"/>
          <w:color w:val="auto"/>
        </w:rPr>
      </w:pPr>
      <w:r>
        <w:rPr>
          <w:rFonts w:ascii="Arial" w:cs="Arial" w:eastAsia="Arial" w:hAnsi="Arial"/>
          <w:sz w:val="17"/>
          <w:szCs w:val="17"/>
          <w:color w:val="auto"/>
        </w:rPr>
        <w:t>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46"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 certify under PENALTY OF PERJURY under the laws of the State of</w:t>
      </w:r>
      <w:r>
        <w:rPr>
          <w:sz w:val="20"/>
          <w:szCs w:val="20"/>
          <w:color w:val="auto"/>
        </w:rPr>
        <w:tab/>
      </w:r>
      <w:r>
        <w:rPr>
          <w:rFonts w:ascii="Arial" w:cs="Arial" w:eastAsia="Arial" w:hAnsi="Arial"/>
          <w:sz w:val="16"/>
          <w:szCs w:val="16"/>
          <w:color w:val="auto"/>
        </w:rPr>
        <w:t>that the foregoing paragraph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-10160</wp:posOffset>
            </wp:positionV>
            <wp:extent cx="3429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OF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17424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[Landlord’s Signature and Acknowledgment continued on next page]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type w:val="continuous"/>
        </w:sectPr>
      </w:pPr>
    </w:p>
    <w:bookmarkStart w:id="199" w:name="page200"/>
    <w:bookmarkEnd w:id="199"/>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LANDLORD:</w:t>
            </w:r>
          </w:p>
        </w:tc>
        <w:tc>
          <w:tcPr>
            <w:tcW w:w="3220" w:type="dxa"/>
            <w:vAlign w:val="bottom"/>
          </w:tcPr>
          <w:p>
            <w:pPr>
              <w:ind w:left="180"/>
              <w:spacing w:after="0"/>
              <w:rPr>
                <w:sz w:val="20"/>
                <w:szCs w:val="20"/>
                <w:color w:val="auto"/>
              </w:rPr>
            </w:pPr>
            <w:r>
              <w:rPr>
                <w:rFonts w:ascii="Arial" w:cs="Arial" w:eastAsia="Arial" w:hAnsi="Arial"/>
                <w:sz w:val="18"/>
                <w:szCs w:val="18"/>
                <w:b w:val="1"/>
                <w:bCs w:val="1"/>
                <w:color w:val="auto"/>
              </w:rPr>
              <w:t>LANDLORD NOTICE ADDRESS:</w:t>
            </w:r>
          </w:p>
        </w:tc>
      </w:tr>
      <w:tr>
        <w:trPr>
          <w:trHeight w:val="364"/>
        </w:trPr>
        <w:tc>
          <w:tcPr>
            <w:tcW w:w="5440" w:type="dxa"/>
            <w:vAlign w:val="bottom"/>
            <w:gridSpan w:val="3"/>
          </w:tcPr>
          <w:p>
            <w:pPr>
              <w:spacing w:after="0"/>
              <w:rPr>
                <w:sz w:val="20"/>
                <w:szCs w:val="20"/>
                <w:color w:val="auto"/>
              </w:rPr>
            </w:pPr>
            <w:r>
              <w:rPr>
                <w:rFonts w:ascii="Arial" w:cs="Arial" w:eastAsia="Arial" w:hAnsi="Arial"/>
                <w:sz w:val="18"/>
                <w:szCs w:val="18"/>
                <w:color w:val="auto"/>
                <w:w w:val="96"/>
              </w:rPr>
              <w:t>EQC Capitol Tower Property LLC, a Delaware limited liability company</w:t>
            </w:r>
          </w:p>
        </w:tc>
        <w:tc>
          <w:tcPr>
            <w:tcW w:w="3220" w:type="dxa"/>
            <w:vAlign w:val="bottom"/>
          </w:tcPr>
          <w:p>
            <w:pPr>
              <w:ind w:left="180"/>
              <w:spacing w:after="0"/>
              <w:rPr>
                <w:sz w:val="20"/>
                <w:szCs w:val="20"/>
                <w:color w:val="auto"/>
              </w:rPr>
            </w:pPr>
            <w:r>
              <w:rPr>
                <w:rFonts w:ascii="Arial" w:cs="Arial" w:eastAsia="Arial" w:hAnsi="Arial"/>
                <w:sz w:val="18"/>
                <w:szCs w:val="18"/>
                <w:color w:val="auto"/>
                <w:w w:val="92"/>
              </w:rPr>
              <w:t>Equity Commonwealth Management LLC</w:t>
            </w:r>
          </w:p>
        </w:tc>
      </w:tr>
      <w:tr>
        <w:trPr>
          <w:trHeight w:val="176"/>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rPr>
              <w:t>Two North Riverside Plaza</w:t>
            </w:r>
          </w:p>
        </w:tc>
      </w:tr>
      <w:tr>
        <w:trPr>
          <w:trHeight w:val="176"/>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rPr>
              <w:t>Suite 2100</w:t>
            </w:r>
          </w:p>
        </w:tc>
      </w:tr>
      <w:tr>
        <w:trPr>
          <w:trHeight w:val="175"/>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rPr>
              <w:t>Chicago, Illinois 60606</w:t>
            </w:r>
          </w:p>
        </w:tc>
      </w:tr>
      <w:tr>
        <w:trPr>
          <w:trHeight w:val="230"/>
        </w:trPr>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Attention: Legal Department-Leasing</w:t>
            </w:r>
          </w:p>
        </w:tc>
      </w:tr>
      <w:tr>
        <w:trPr>
          <w:trHeight w:val="364"/>
        </w:trPr>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With a copy to:</w:t>
            </w:r>
          </w:p>
        </w:tc>
      </w:tr>
      <w:tr>
        <w:trPr>
          <w:trHeight w:val="175"/>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w w:val="92"/>
              </w:rPr>
              <w:t>Equity Commonwealth Management LLC</w:t>
            </w:r>
          </w:p>
        </w:tc>
      </w:tr>
      <w:tr>
        <w:trPr>
          <w:trHeight w:val="176"/>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rPr>
              <w:t>Two North Riverside Plaza</w:t>
            </w:r>
          </w:p>
        </w:tc>
      </w:tr>
      <w:tr>
        <w:trPr>
          <w:trHeight w:val="176"/>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rPr>
              <w:t>Suite 2100</w:t>
            </w:r>
          </w:p>
        </w:tc>
      </w:tr>
      <w:tr>
        <w:trPr>
          <w:trHeight w:val="175"/>
        </w:trPr>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20" w:type="dxa"/>
            <w:vAlign w:val="bottom"/>
          </w:tcPr>
          <w:p>
            <w:pPr>
              <w:ind w:left="180"/>
              <w:spacing w:after="0" w:line="176" w:lineRule="exact"/>
              <w:rPr>
                <w:sz w:val="20"/>
                <w:szCs w:val="20"/>
                <w:color w:val="auto"/>
              </w:rPr>
            </w:pPr>
            <w:r>
              <w:rPr>
                <w:rFonts w:ascii="Arial" w:cs="Arial" w:eastAsia="Arial" w:hAnsi="Arial"/>
                <w:sz w:val="18"/>
                <w:szCs w:val="18"/>
                <w:color w:val="auto"/>
              </w:rPr>
              <w:t>Chicago, Illinois 60606</w:t>
            </w:r>
          </w:p>
        </w:tc>
      </w:tr>
      <w:tr>
        <w:trPr>
          <w:trHeight w:val="230"/>
        </w:trPr>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Attention: General Counsel</w:t>
            </w:r>
          </w:p>
        </w:tc>
      </w:tr>
      <w:tr>
        <w:trPr>
          <w:trHeight w:val="674"/>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108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24"/>
        </w:trPr>
        <w:tc>
          <w:tcPr>
            <w:tcW w:w="1340" w:type="dxa"/>
            <w:vAlign w:val="bottom"/>
            <w:gridSpan w:val="2"/>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Notary Acknowledgment for Landlord:</w:t>
      </w:r>
    </w:p>
    <w:p>
      <w:pPr>
        <w:spacing w:after="0" w:line="25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-635</wp:posOffset>
            </wp:positionV>
            <wp:extent cx="6858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240" w:hanging="85"/>
        <w:spacing w:after="0" w:line="203" w:lineRule="auto"/>
        <w:tabs>
          <w:tab w:leader="none" w:pos="12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ss</w:t>
      </w:r>
    </w:p>
    <w:p>
      <w:pPr>
        <w:spacing w:after="0"/>
        <w:tabs>
          <w:tab w:leader="none" w:pos="0" w:val="left"/>
        </w:tabs>
        <w:numPr>
          <w:ilvl w:val="0"/>
          <w:numId w:val="150"/>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-20320</wp:posOffset>
            </wp:positionV>
            <wp:extent cx="6858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260" w:val="left"/>
          <w:tab w:leader="none" w:pos="3680" w:val="left"/>
          <w:tab w:leader="none" w:pos="4540" w:val="left"/>
          <w:tab w:leader="none" w:pos="5200" w:val="left"/>
          <w:tab w:leader="none" w:pos="7620" w:val="left"/>
          <w:tab w:leader="none" w:pos="8520" w:val="left"/>
          <w:tab w:leader="none" w:pos="9420" w:val="left"/>
          <w:tab w:leader="none" w:pos="1056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before</w:t>
      </w:r>
      <w:r>
        <w:rPr>
          <w:sz w:val="20"/>
          <w:szCs w:val="20"/>
          <w:color w:val="auto"/>
        </w:rPr>
        <w:tab/>
      </w:r>
      <w:r>
        <w:rPr>
          <w:rFonts w:ascii="Arial" w:cs="Arial" w:eastAsia="Arial" w:hAnsi="Arial"/>
          <w:sz w:val="18"/>
          <w:szCs w:val="18"/>
          <w:color w:val="auto"/>
        </w:rPr>
        <w:t>me,</w:t>
      </w:r>
      <w:r>
        <w:rPr>
          <w:sz w:val="20"/>
          <w:szCs w:val="20"/>
          <w:color w:val="auto"/>
        </w:rPr>
        <w:tab/>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Notary</w:t>
      </w:r>
      <w:r>
        <w:rPr>
          <w:sz w:val="20"/>
          <w:szCs w:val="20"/>
          <w:color w:val="auto"/>
        </w:rPr>
        <w:tab/>
      </w:r>
      <w:r>
        <w:rPr>
          <w:rFonts w:ascii="Arial" w:cs="Arial" w:eastAsia="Arial" w:hAnsi="Arial"/>
          <w:sz w:val="18"/>
          <w:szCs w:val="18"/>
          <w:color w:val="auto"/>
        </w:rPr>
        <w:t>Public,</w:t>
      </w:r>
      <w:r>
        <w:rPr>
          <w:sz w:val="20"/>
          <w:szCs w:val="20"/>
          <w:color w:val="auto"/>
        </w:rPr>
        <w:tab/>
      </w:r>
      <w:r>
        <w:rPr>
          <w:rFonts w:ascii="Arial" w:cs="Arial" w:eastAsia="Arial" w:hAnsi="Arial"/>
          <w:sz w:val="18"/>
          <w:szCs w:val="18"/>
          <w:color w:val="auto"/>
        </w:rPr>
        <w:t>personally</w:t>
      </w:r>
      <w:r>
        <w:rPr>
          <w:sz w:val="20"/>
          <w:szCs w:val="20"/>
          <w:color w:val="auto"/>
        </w:rPr>
        <w:tab/>
      </w:r>
      <w:r>
        <w:rPr>
          <w:rFonts w:ascii="Arial" w:cs="Arial" w:eastAsia="Arial" w:hAnsi="Arial"/>
          <w:sz w:val="15"/>
          <w:szCs w:val="15"/>
          <w:color w:val="auto"/>
        </w:rPr>
        <w:t>appeared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 who proved to me on the basis of satisfactory evidence to be the person(s) whose name(s) is/are</w:t>
      </w:r>
    </w:p>
    <w:p>
      <w:pPr>
        <w:spacing w:after="0" w:line="115" w:lineRule="exact"/>
        <w:rPr>
          <w:sz w:val="20"/>
          <w:szCs w:val="20"/>
          <w:color w:val="auto"/>
        </w:rPr>
      </w:pPr>
    </w:p>
    <w:p>
      <w:pPr>
        <w:spacing w:after="0" w:line="424" w:lineRule="auto"/>
        <w:rPr>
          <w:sz w:val="20"/>
          <w:szCs w:val="20"/>
          <w:color w:val="auto"/>
        </w:rPr>
      </w:pPr>
      <w:r>
        <w:rPr>
          <w:rFonts w:ascii="Arial" w:cs="Arial" w:eastAsia="Arial" w:hAnsi="Arial"/>
          <w:sz w:val="17"/>
          <w:szCs w:val="17"/>
          <w:color w:val="auto"/>
        </w:rPr>
        <w:t>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146" w:lineRule="exact"/>
        <w:rPr>
          <w:sz w:val="20"/>
          <w:szCs w:val="20"/>
          <w:color w:val="auto"/>
        </w:rPr>
      </w:pPr>
    </w:p>
    <w:p>
      <w:pPr>
        <w:ind w:left="660"/>
        <w:spacing w:after="0"/>
        <w:tabs>
          <w:tab w:leader="none" w:pos="6380" w:val="left"/>
        </w:tabs>
        <w:rPr>
          <w:sz w:val="20"/>
          <w:szCs w:val="20"/>
          <w:color w:val="auto"/>
        </w:rPr>
      </w:pPr>
      <w:r>
        <w:rPr>
          <w:rFonts w:ascii="Arial" w:cs="Arial" w:eastAsia="Arial" w:hAnsi="Arial"/>
          <w:sz w:val="18"/>
          <w:szCs w:val="18"/>
          <w:color w:val="auto"/>
        </w:rPr>
        <w:t>I certify under PENALTY OF PERJURY under the laws of the State of</w:t>
      </w:r>
      <w:r>
        <w:rPr>
          <w:sz w:val="20"/>
          <w:szCs w:val="20"/>
          <w:color w:val="auto"/>
        </w:rPr>
        <w:tab/>
      </w:r>
      <w:r>
        <w:rPr>
          <w:rFonts w:ascii="Arial" w:cs="Arial" w:eastAsia="Arial" w:hAnsi="Arial"/>
          <w:sz w:val="16"/>
          <w:szCs w:val="16"/>
          <w:color w:val="auto"/>
        </w:rPr>
        <w:t>that the foregoing paragraph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-10160</wp:posOffset>
            </wp:positionV>
            <wp:extent cx="3429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OF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17424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Exhibit “A”</w:t>
      </w:r>
    </w:p>
    <w:p>
      <w:pPr>
        <w:jc w:val="center"/>
        <w:ind w:right="19"/>
        <w:spacing w:after="0"/>
        <w:rPr>
          <w:sz w:val="20"/>
          <w:szCs w:val="20"/>
          <w:color w:val="auto"/>
        </w:rPr>
      </w:pPr>
      <w:r>
        <w:rPr>
          <w:rFonts w:ascii="Arial" w:cs="Arial" w:eastAsia="Arial" w:hAnsi="Arial"/>
          <w:sz w:val="15"/>
          <w:szCs w:val="15"/>
          <w:b w:val="1"/>
          <w:bCs w:val="1"/>
          <w:i w:val="1"/>
          <w:iCs w:val="1"/>
          <w:color w:val="auto"/>
        </w:rPr>
        <w:t>(Legal Description of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318135</wp:posOffset>
            </wp:positionV>
            <wp:extent cx="5349240" cy="13887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440"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8"/>
        <w:spacing w:after="0"/>
        <w:rPr>
          <w:sz w:val="20"/>
          <w:szCs w:val="20"/>
          <w:color w:val="auto"/>
        </w:rPr>
      </w:pPr>
      <w:r>
        <w:rPr>
          <w:rFonts w:ascii="Arial" w:cs="Arial" w:eastAsia="Arial" w:hAnsi="Arial"/>
          <w:sz w:val="18"/>
          <w:szCs w:val="18"/>
          <w:b w:val="1"/>
          <w:bCs w:val="1"/>
          <w:color w:val="auto"/>
        </w:rPr>
        <w:t>FIRST AMENDMENT TO LEASE</w:t>
      </w:r>
    </w:p>
    <w:p>
      <w:pPr>
        <w:spacing w:after="0" w:line="225" w:lineRule="exact"/>
        <w:rPr>
          <w:sz w:val="20"/>
          <w:szCs w:val="20"/>
          <w:color w:val="auto"/>
        </w:rPr>
      </w:pPr>
    </w:p>
    <w:p>
      <w:pPr>
        <w:jc w:val="both"/>
        <w:ind w:left="2"/>
        <w:spacing w:after="0" w:line="253" w:lineRule="auto"/>
        <w:rPr>
          <w:sz w:val="20"/>
          <w:szCs w:val="20"/>
          <w:color w:val="auto"/>
        </w:rPr>
      </w:pPr>
      <w:r>
        <w:rPr>
          <w:rFonts w:ascii="Arial" w:cs="Arial" w:eastAsia="Arial" w:hAnsi="Arial"/>
          <w:sz w:val="18"/>
          <w:szCs w:val="18"/>
          <w:b w:val="1"/>
          <w:bCs w:val="1"/>
          <w:color w:val="auto"/>
        </w:rPr>
        <w:t xml:space="preserve">THIS FIRST AMENDMENT TO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June 6,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EQC CAPITOL TOWER PROPERTY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CROWDSTRIKE,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6" w:lineRule="exact"/>
        <w:rPr>
          <w:sz w:val="20"/>
          <w:szCs w:val="20"/>
          <w:color w:val="auto"/>
        </w:rPr>
      </w:pPr>
    </w:p>
    <w:p>
      <w:pPr>
        <w:jc w:val="center"/>
        <w:ind w:right="78"/>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left="642" w:right="220" w:hanging="642"/>
        <w:spacing w:after="0" w:line="221" w:lineRule="auto"/>
        <w:tabs>
          <w:tab w:leader="none" w:pos="6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Landlord and Tenant are parties to that certain lease dated April 20, 2018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Landlord has leased to Tenant space currently containing approximately 25,805 rentable square feet (the "</w:t>
      </w:r>
      <w:r>
        <w:rPr>
          <w:rFonts w:ascii="Arial" w:cs="Arial" w:eastAsia="Arial" w:hAnsi="Arial"/>
          <w:sz w:val="18"/>
          <w:szCs w:val="18"/>
          <w:b w:val="1"/>
          <w:bCs w:val="1"/>
          <w:color w:val="auto"/>
        </w:rPr>
        <w:t>Original Premises</w:t>
      </w:r>
      <w:r>
        <w:rPr>
          <w:rFonts w:ascii="Arial" w:cs="Arial" w:eastAsia="Arial" w:hAnsi="Arial"/>
          <w:sz w:val="18"/>
          <w:szCs w:val="18"/>
          <w:color w:val="auto"/>
        </w:rPr>
        <w:t>") described as Suite No. 1400 on the 14</w:t>
      </w:r>
      <w:r>
        <w:rPr>
          <w:rFonts w:ascii="Arial" w:cs="Arial" w:eastAsia="Arial" w:hAnsi="Arial"/>
          <w:sz w:val="11"/>
          <w:szCs w:val="11"/>
          <w:color w:val="auto"/>
        </w:rPr>
        <w:t>th</w:t>
      </w:r>
      <w:r>
        <w:rPr>
          <w:rFonts w:ascii="Arial" w:cs="Arial" w:eastAsia="Arial" w:hAnsi="Arial"/>
          <w:sz w:val="18"/>
          <w:szCs w:val="18"/>
          <w:color w:val="auto"/>
        </w:rPr>
        <w:t xml:space="preserve"> floor of the building commonly known as Capitol Tower located at 206 East 9</w:t>
      </w:r>
      <w:r>
        <w:rPr>
          <w:rFonts w:ascii="Arial" w:cs="Arial" w:eastAsia="Arial" w:hAnsi="Arial"/>
          <w:sz w:val="11"/>
          <w:szCs w:val="11"/>
          <w:color w:val="auto"/>
        </w:rPr>
        <w:t>th</w:t>
      </w:r>
      <w:r>
        <w:rPr>
          <w:rFonts w:ascii="Arial" w:cs="Arial" w:eastAsia="Arial" w:hAnsi="Arial"/>
          <w:sz w:val="18"/>
          <w:szCs w:val="18"/>
          <w:color w:val="auto"/>
        </w:rPr>
        <w:t xml:space="preserve"> Street, Austin, Texas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204" w:lineRule="exact"/>
        <w:rPr>
          <w:rFonts w:ascii="Arial" w:cs="Arial" w:eastAsia="Arial" w:hAnsi="Arial"/>
          <w:sz w:val="18"/>
          <w:szCs w:val="18"/>
          <w:color w:val="auto"/>
        </w:rPr>
      </w:pPr>
    </w:p>
    <w:p>
      <w:pPr>
        <w:jc w:val="both"/>
        <w:ind w:left="642" w:right="240" w:hanging="642"/>
        <w:spacing w:after="0" w:line="219" w:lineRule="auto"/>
        <w:tabs>
          <w:tab w:leader="none" w:pos="6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Tenant has requested that additional space containing approximately 10,580 rentable square feet described as Suite No. 1750 on the 17</w:t>
      </w:r>
      <w:r>
        <w:rPr>
          <w:rFonts w:ascii="Arial" w:cs="Arial" w:eastAsia="Arial" w:hAnsi="Arial"/>
          <w:sz w:val="11"/>
          <w:szCs w:val="11"/>
          <w:color w:val="auto"/>
        </w:rPr>
        <w:t>th</w:t>
      </w:r>
      <w:r>
        <w:rPr>
          <w:rFonts w:ascii="Arial" w:cs="Arial" w:eastAsia="Arial" w:hAnsi="Arial"/>
          <w:sz w:val="18"/>
          <w:szCs w:val="18"/>
          <w:color w:val="auto"/>
        </w:rPr>
        <w:t xml:space="preserve"> floor of the Building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Expansion Space</w:t>
      </w:r>
      <w:r>
        <w:rPr>
          <w:rFonts w:ascii="Arial" w:cs="Arial" w:eastAsia="Arial" w:hAnsi="Arial"/>
          <w:sz w:val="18"/>
          <w:szCs w:val="18"/>
          <w:color w:val="auto"/>
        </w:rPr>
        <w:t>") be added to the Premises and that the Lease be appropriately amended and Landlord is willing to do the same on the following terms and conditions.</w:t>
      </w:r>
    </w:p>
    <w:p>
      <w:pPr>
        <w:spacing w:after="0" w:line="216" w:lineRule="exact"/>
        <w:rPr>
          <w:rFonts w:ascii="Arial" w:cs="Arial" w:eastAsia="Arial" w:hAnsi="Arial"/>
          <w:sz w:val="18"/>
          <w:szCs w:val="18"/>
          <w:color w:val="auto"/>
        </w:rPr>
      </w:pPr>
    </w:p>
    <w:p>
      <w:pPr>
        <w:ind w:left="642" w:hanging="642"/>
        <w:spacing w:after="0"/>
        <w:tabs>
          <w:tab w:leader="none" w:pos="64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Tenant and Landlord mutually desire that the Lease be amended on and subject to the following terms and conditions.</w:t>
      </w:r>
    </w:p>
    <w:p>
      <w:pPr>
        <w:spacing w:after="0" w:line="190" w:lineRule="exact"/>
        <w:rPr>
          <w:sz w:val="20"/>
          <w:szCs w:val="20"/>
          <w:color w:val="auto"/>
        </w:rPr>
      </w:pPr>
    </w:p>
    <w:p>
      <w:pPr>
        <w:ind w:left="2" w:right="240" w:firstLine="647"/>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herein contained and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Landlord and Tenant agree as follows:</w:t>
      </w:r>
    </w:p>
    <w:p>
      <w:pPr>
        <w:spacing w:after="0" w:line="180" w:lineRule="exact"/>
        <w:rPr>
          <w:sz w:val="20"/>
          <w:szCs w:val="20"/>
          <w:color w:val="auto"/>
        </w:rPr>
      </w:pPr>
    </w:p>
    <w:p>
      <w:pPr>
        <w:jc w:val="both"/>
        <w:ind w:left="642" w:right="220" w:hanging="318"/>
        <w:spacing w:after="0" w:line="209" w:lineRule="auto"/>
        <w:tabs>
          <w:tab w:leader="none" w:pos="63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Expansion Effective Date (defined below), the Premises, as defined in the Lease, is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from 25,805 rentable square feet on the 14</w:t>
      </w:r>
      <w:r>
        <w:rPr>
          <w:rFonts w:ascii="Arial" w:cs="Arial" w:eastAsia="Arial" w:hAnsi="Arial"/>
          <w:sz w:val="11"/>
          <w:szCs w:val="11"/>
          <w:color w:val="auto"/>
        </w:rPr>
        <w:t>th</w:t>
      </w:r>
      <w:r>
        <w:rPr>
          <w:rFonts w:ascii="Arial" w:cs="Arial" w:eastAsia="Arial" w:hAnsi="Arial"/>
          <w:sz w:val="18"/>
          <w:szCs w:val="18"/>
          <w:color w:val="auto"/>
        </w:rPr>
        <w:t xml:space="preserve"> floor to </w:t>
      </w:r>
      <w:r>
        <w:rPr>
          <w:rFonts w:ascii="Arial" w:cs="Arial" w:eastAsia="Arial" w:hAnsi="Arial"/>
          <w:sz w:val="18"/>
          <w:szCs w:val="18"/>
          <w:b w:val="1"/>
          <w:bCs w:val="1"/>
          <w:color w:val="auto"/>
        </w:rPr>
        <w:t>36,385</w:t>
      </w:r>
      <w:r>
        <w:rPr>
          <w:rFonts w:ascii="Arial" w:cs="Arial" w:eastAsia="Arial" w:hAnsi="Arial"/>
          <w:sz w:val="18"/>
          <w:szCs w:val="18"/>
          <w:color w:val="auto"/>
        </w:rPr>
        <w:t xml:space="preserve"> rentable square feet on the 14</w:t>
      </w:r>
      <w:r>
        <w:rPr>
          <w:rFonts w:ascii="Arial" w:cs="Arial" w:eastAsia="Arial" w:hAnsi="Arial"/>
          <w:sz w:val="11"/>
          <w:szCs w:val="11"/>
          <w:color w:val="auto"/>
        </w:rPr>
        <w:t>th</w:t>
      </w:r>
      <w:r>
        <w:rPr>
          <w:rFonts w:ascii="Arial" w:cs="Arial" w:eastAsia="Arial" w:hAnsi="Arial"/>
          <w:sz w:val="18"/>
          <w:szCs w:val="18"/>
          <w:color w:val="auto"/>
        </w:rPr>
        <w:t xml:space="preserve"> and 17</w:t>
      </w:r>
      <w:r>
        <w:rPr>
          <w:rFonts w:ascii="Arial" w:cs="Arial" w:eastAsia="Arial" w:hAnsi="Arial"/>
          <w:sz w:val="11"/>
          <w:szCs w:val="11"/>
          <w:color w:val="auto"/>
        </w:rPr>
        <w:t>th</w:t>
      </w:r>
      <w:r>
        <w:rPr>
          <w:rFonts w:ascii="Arial" w:cs="Arial" w:eastAsia="Arial" w:hAnsi="Arial"/>
          <w:sz w:val="18"/>
          <w:szCs w:val="18"/>
          <w:color w:val="auto"/>
        </w:rPr>
        <w:t xml:space="preserve"> floors by the addition of the Expansion Space, and from and after the Expansion Effective Date, the Original Premises and the Expansion Space, collectively, shall be deemed the Premises, as defined in the Lease. The Term for the Expansion Space shall commence on the Expansion Effective Date and end on the Termination Date (as defined in the Lease). The Expansion Space is subject to all the terms and conditions of the Lease (including all restrictions set forth in Section 5 of the Lease, provided that in no event shall any portion of the Landlord Work, as hereinafter defined, performed by Landlord in the Expansion Space prior the delivery of same to Tenant be deemed to create any Tenant Triggered Compliance obligations), except as expressly modified herein and except that Tenant shall not be entitled to receive any allowances, abatements or other financial concessions granted with respect to the Original Premises unless such concessions are expressly provided for herein with respect to the Expansion Space. Landlord and Tenant stipulate and agree that the rentable square footage of the Expansion Space is correct and shall not be remeasured, unless there is an actual physical change in the Expansion Space.</w:t>
      </w:r>
    </w:p>
    <w:p>
      <w:pPr>
        <w:spacing w:after="0" w:line="221" w:lineRule="exact"/>
        <w:rPr>
          <w:rFonts w:ascii="Arial" w:cs="Arial" w:eastAsia="Arial" w:hAnsi="Arial"/>
          <w:sz w:val="18"/>
          <w:szCs w:val="18"/>
          <w:b w:val="1"/>
          <w:bCs w:val="1"/>
          <w:color w:val="auto"/>
        </w:rPr>
      </w:pPr>
    </w:p>
    <w:p>
      <w:pPr>
        <w:ind w:left="642" w:right="660"/>
        <w:spacing w:after="0" w:line="227" w:lineRule="auto"/>
        <w:rPr>
          <w:rFonts w:ascii="Arial" w:cs="Arial" w:eastAsia="Arial" w:hAnsi="Arial"/>
          <w:sz w:val="18"/>
          <w:szCs w:val="18"/>
          <w:b w:val="1"/>
          <w:bCs w:val="1"/>
          <w:color w:val="auto"/>
        </w:rPr>
      </w:pPr>
      <w:r>
        <w:rPr>
          <w:rFonts w:ascii="Arial" w:cs="Arial" w:eastAsia="Arial" w:hAnsi="Arial"/>
          <w:sz w:val="18"/>
          <w:szCs w:val="18"/>
          <w:color w:val="auto"/>
        </w:rPr>
        <w:t>Tenant shall deliver to Landlord the first month’s estimated gross Rent obligation concurrently with its delivery of the Tenant-executed copy of this Amendment.</w:t>
      </w:r>
    </w:p>
    <w:p>
      <w:pPr>
        <w:spacing w:after="0" w:line="180" w:lineRule="exact"/>
        <w:rPr>
          <w:rFonts w:ascii="Arial" w:cs="Arial" w:eastAsia="Arial" w:hAnsi="Arial"/>
          <w:sz w:val="18"/>
          <w:szCs w:val="18"/>
          <w:b w:val="1"/>
          <w:bCs w:val="1"/>
          <w:color w:val="auto"/>
        </w:rPr>
      </w:pPr>
    </w:p>
    <w:p>
      <w:pPr>
        <w:ind w:left="1302" w:right="240" w:hanging="648"/>
        <w:spacing w:after="0"/>
        <w:rPr>
          <w:rFonts w:ascii="Arial" w:cs="Arial" w:eastAsia="Arial" w:hAnsi="Arial"/>
          <w:sz w:val="18"/>
          <w:szCs w:val="18"/>
          <w:b w:val="1"/>
          <w:bCs w:val="1"/>
          <w:color w:val="auto"/>
        </w:rPr>
      </w:pPr>
      <w:r>
        <w:rPr>
          <w:rFonts w:ascii="Arial" w:cs="Arial" w:eastAsia="Arial" w:hAnsi="Arial"/>
          <w:sz w:val="18"/>
          <w:szCs w:val="18"/>
          <w:color w:val="auto"/>
        </w:rPr>
        <w:t>1.01. The “</w:t>
      </w:r>
      <w:r>
        <w:rPr>
          <w:rFonts w:ascii="Arial" w:cs="Arial" w:eastAsia="Arial" w:hAnsi="Arial"/>
          <w:sz w:val="18"/>
          <w:szCs w:val="18"/>
          <w:b w:val="1"/>
          <w:bCs w:val="1"/>
          <w:color w:val="auto"/>
        </w:rPr>
        <w:t>Expansion Effective Date</w:t>
      </w:r>
      <w:r>
        <w:rPr>
          <w:rFonts w:ascii="Arial" w:cs="Arial" w:eastAsia="Arial" w:hAnsi="Arial"/>
          <w:sz w:val="18"/>
          <w:szCs w:val="18"/>
          <w:color w:val="auto"/>
        </w:rPr>
        <w:t>” shall be the earlier to occur of (i) August 1, 2019 and (ii) the date upon which Tenant first occupies the Expansion Space for the conduct of its business.</w:t>
      </w:r>
    </w:p>
    <w:p>
      <w:pPr>
        <w:spacing w:after="0" w:line="215" w:lineRule="exact"/>
        <w:rPr>
          <w:rFonts w:ascii="Arial" w:cs="Arial" w:eastAsia="Arial" w:hAnsi="Arial"/>
          <w:sz w:val="18"/>
          <w:szCs w:val="18"/>
          <w:b w:val="1"/>
          <w:bCs w:val="1"/>
          <w:color w:val="auto"/>
        </w:rPr>
      </w:pPr>
    </w:p>
    <w:p>
      <w:pPr>
        <w:ind w:left="1302" w:right="220" w:hanging="648"/>
        <w:spacing w:after="0" w:line="213" w:lineRule="auto"/>
        <w:rPr>
          <w:rFonts w:ascii="Arial" w:cs="Arial" w:eastAsia="Arial" w:hAnsi="Arial"/>
          <w:sz w:val="18"/>
          <w:szCs w:val="18"/>
          <w:b w:val="1"/>
          <w:bCs w:val="1"/>
          <w:color w:val="auto"/>
        </w:rPr>
      </w:pPr>
      <w:r>
        <w:rPr>
          <w:rFonts w:ascii="Arial" w:cs="Arial" w:eastAsia="Arial" w:hAnsi="Arial"/>
          <w:sz w:val="18"/>
          <w:szCs w:val="18"/>
          <w:color w:val="auto"/>
        </w:rPr>
        <w:t xml:space="preserve">1.02. If for any reason Landlord fails to deliver possession of the Expansion Space by May 15, 2019, with all Landlord Work described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attached hereto substantially completed, including but not limited to, holding over by prior occupants, then such delay shall solely delay the Expansion Effective Date but shall not subject Landlord to any liability for any loss or damage resulting therefrom. If the Expansion Effective Date is delayed, the Termination Date shall not be similarly extended.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8"/>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2"/>
          </w:cols>
          <w:pgMar w:left="418" w:top="126" w:right="339" w:bottom="1440" w:gutter="0" w:footer="0" w:header="0"/>
        </w:sectPr>
      </w:pPr>
    </w:p>
    <w:bookmarkStart w:id="202" w:name="page203"/>
    <w:bookmarkEnd w:id="202"/>
    <w:p>
      <w:pPr>
        <w:ind w:left="320" w:hanging="319"/>
        <w:spacing w:after="0"/>
        <w:tabs>
          <w:tab w:leader="none" w:pos="32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p>
    <w:p>
      <w:pPr>
        <w:spacing w:after="0" w:line="292" w:lineRule="exact"/>
        <w:rPr>
          <w:rFonts w:ascii="Arial" w:cs="Arial" w:eastAsia="Arial" w:hAnsi="Arial"/>
          <w:sz w:val="18"/>
          <w:szCs w:val="18"/>
          <w:b w:val="1"/>
          <w:bCs w:val="1"/>
          <w:color w:val="auto"/>
        </w:rPr>
      </w:pPr>
    </w:p>
    <w:p>
      <w:pPr>
        <w:jc w:val="center"/>
        <w:ind w:left="980" w:right="20" w:hanging="648"/>
        <w:spacing w:after="0"/>
        <w:rPr>
          <w:rFonts w:ascii="Arial" w:cs="Arial" w:eastAsia="Arial" w:hAnsi="Arial"/>
          <w:sz w:val="18"/>
          <w:szCs w:val="18"/>
          <w:b w:val="1"/>
          <w:bCs w:val="1"/>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Expansion Space from Expansion Effective Date through Termination Date.</w:t>
      </w:r>
      <w:r>
        <w:rPr>
          <w:rFonts w:ascii="Arial" w:cs="Arial" w:eastAsia="Arial" w:hAnsi="Arial"/>
          <w:sz w:val="18"/>
          <w:szCs w:val="18"/>
          <w:color w:val="auto"/>
        </w:rPr>
        <w:t xml:space="preserve"> As of the Expansion Effective Date, the schedule of Base Rent payable with respect to the Expansion Space for the balance of the Term is the following:</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47"/>
        </w:trPr>
        <w:tc>
          <w:tcPr>
            <w:tcW w:w="40" w:type="dxa"/>
            <w:vAlign w:val="bottom"/>
            <w:tcBorders>
              <w:top w:val="single" w:sz="8" w:color="auto"/>
              <w:right w:val="single" w:sz="8" w:color="auto"/>
            </w:tcBorders>
            <w:shd w:val="clear" w:color="auto" w:fill="000000"/>
          </w:tcPr>
          <w:p>
            <w:pPr>
              <w:spacing w:after="0"/>
              <w:rPr>
                <w:sz w:val="21"/>
                <w:szCs w:val="21"/>
                <w:color w:val="auto"/>
              </w:rPr>
            </w:pPr>
          </w:p>
        </w:tc>
        <w:tc>
          <w:tcPr>
            <w:tcW w:w="2540" w:type="dxa"/>
            <w:vAlign w:val="bottom"/>
            <w:tcBorders>
              <w:top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Months of Term or</w:t>
            </w:r>
          </w:p>
        </w:tc>
        <w:tc>
          <w:tcPr>
            <w:tcW w:w="270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Annual Rate Per Square</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Monthly Base Rent</w:t>
            </w:r>
          </w:p>
        </w:tc>
      </w:tr>
      <w:tr>
        <w:trPr>
          <w:trHeight w:val="246"/>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54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Period</w:t>
            </w:r>
          </w:p>
        </w:tc>
        <w:tc>
          <w:tcPr>
            <w:tcW w:w="2700" w:type="dxa"/>
            <w:vAlign w:val="bottom"/>
            <w:tcBorders>
              <w:bottom w:val="single" w:sz="8" w:color="auto"/>
              <w:right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Foot</w:t>
            </w:r>
          </w:p>
        </w:tc>
        <w:tc>
          <w:tcPr>
            <w:tcW w:w="2720" w:type="dxa"/>
            <w:vAlign w:val="bottom"/>
            <w:tcBorders>
              <w:bottom w:val="single" w:sz="8" w:color="auto"/>
              <w:right w:val="single" w:sz="8" w:color="auto"/>
            </w:tcBorders>
          </w:tcPr>
          <w:p>
            <w:pPr>
              <w:spacing w:after="0"/>
              <w:rPr>
                <w:sz w:val="21"/>
                <w:szCs w:val="2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Expansion Effective Date</w:t>
            </w:r>
          </w:p>
        </w:tc>
        <w:tc>
          <w:tcPr>
            <w:tcW w:w="2700" w:type="dxa"/>
            <w:vAlign w:val="bottom"/>
            <w:tcBorders>
              <w:right w:val="single" w:sz="8" w:color="auto"/>
            </w:tcBorders>
          </w:tcPr>
          <w:p>
            <w:pPr>
              <w:jc w:val="right"/>
              <w:ind w:right="990"/>
              <w:spacing w:after="0"/>
              <w:rPr>
                <w:sz w:val="20"/>
                <w:szCs w:val="20"/>
                <w:color w:val="auto"/>
              </w:rPr>
            </w:pPr>
            <w:r>
              <w:rPr>
                <w:rFonts w:ascii="Arial" w:cs="Arial" w:eastAsia="Arial" w:hAnsi="Arial"/>
                <w:sz w:val="18"/>
                <w:szCs w:val="18"/>
                <w:color w:val="auto"/>
              </w:rPr>
              <w:t>$35.00</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$30,858.33</w:t>
            </w:r>
          </w:p>
        </w:tc>
      </w:tr>
      <w:tr>
        <w:trPr>
          <w:trHeight w:val="224"/>
        </w:trPr>
        <w:tc>
          <w:tcPr>
            <w:tcW w:w="40" w:type="dxa"/>
            <w:vAlign w:val="bottom"/>
            <w:tcBorders>
              <w:right w:val="single" w:sz="8" w:color="auto"/>
            </w:tcBorders>
          </w:tcPr>
          <w:p>
            <w:pPr>
              <w:spacing w:after="0"/>
              <w:rPr>
                <w:sz w:val="19"/>
                <w:szCs w:val="19"/>
                <w:color w:val="auto"/>
              </w:rPr>
            </w:pPr>
          </w:p>
        </w:tc>
        <w:tc>
          <w:tcPr>
            <w:tcW w:w="2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 9/30/2020</w:t>
            </w:r>
          </w:p>
        </w:tc>
        <w:tc>
          <w:tcPr>
            <w:tcW w:w="2700" w:type="dxa"/>
            <w:vAlign w:val="bottom"/>
            <w:tcBorders>
              <w:bottom w:val="single" w:sz="8" w:color="auto"/>
              <w:right w:val="single" w:sz="8" w:color="auto"/>
            </w:tcBorders>
          </w:tcPr>
          <w:p>
            <w:pPr>
              <w:spacing w:after="0"/>
              <w:rPr>
                <w:sz w:val="19"/>
                <w:szCs w:val="19"/>
                <w:color w:val="auto"/>
              </w:rPr>
            </w:pPr>
          </w:p>
        </w:tc>
        <w:tc>
          <w:tcPr>
            <w:tcW w:w="2720" w:type="dxa"/>
            <w:vAlign w:val="bottom"/>
            <w:tcBorders>
              <w:bottom w:val="single" w:sz="8" w:color="auto"/>
              <w:right w:val="single" w:sz="8" w:color="auto"/>
            </w:tcBorders>
          </w:tcPr>
          <w:p>
            <w:pPr>
              <w:spacing w:after="0"/>
              <w:rPr>
                <w:sz w:val="19"/>
                <w:szCs w:val="19"/>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10/1/20 – 9/30/21</w:t>
            </w:r>
          </w:p>
        </w:tc>
        <w:tc>
          <w:tcPr>
            <w:tcW w:w="270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$36.05</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$31,784.08</w:t>
            </w:r>
          </w:p>
        </w:tc>
      </w:tr>
      <w:tr>
        <w:trPr>
          <w:trHeight w:val="237"/>
        </w:trPr>
        <w:tc>
          <w:tcPr>
            <w:tcW w:w="40" w:type="dxa"/>
            <w:vAlign w:val="bottom"/>
            <w:tcBorders>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10/1/21 – 9/30/22</w:t>
            </w:r>
          </w:p>
        </w:tc>
        <w:tc>
          <w:tcPr>
            <w:tcW w:w="270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$37.13</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$32,737.61</w:t>
            </w:r>
          </w:p>
        </w:tc>
      </w:tr>
      <w:tr>
        <w:trPr>
          <w:trHeight w:val="237"/>
        </w:trPr>
        <w:tc>
          <w:tcPr>
            <w:tcW w:w="40" w:type="dxa"/>
            <w:vAlign w:val="bottom"/>
            <w:tcBorders>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10/1/22 – 9/30/23</w:t>
            </w:r>
          </w:p>
        </w:tc>
        <w:tc>
          <w:tcPr>
            <w:tcW w:w="270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$38.25</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$33,719.73</w:t>
            </w:r>
          </w:p>
        </w:tc>
      </w:tr>
      <w:tr>
        <w:trPr>
          <w:trHeight w:val="237"/>
        </w:trPr>
        <w:tc>
          <w:tcPr>
            <w:tcW w:w="40" w:type="dxa"/>
            <w:vAlign w:val="bottom"/>
            <w:tcBorders>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10/1/23 – 9/30/24</w:t>
            </w:r>
          </w:p>
        </w:tc>
        <w:tc>
          <w:tcPr>
            <w:tcW w:w="270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$39.40</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$34,731.33</w:t>
            </w:r>
          </w:p>
        </w:tc>
      </w:tr>
      <w:tr>
        <w:trPr>
          <w:trHeight w:val="236"/>
        </w:trPr>
        <w:tc>
          <w:tcPr>
            <w:tcW w:w="40" w:type="dxa"/>
            <w:vAlign w:val="bottom"/>
            <w:tcBorders>
              <w:right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10/1/24 – 10/31/24</w:t>
            </w:r>
          </w:p>
        </w:tc>
        <w:tc>
          <w:tcPr>
            <w:tcW w:w="2700" w:type="dxa"/>
            <w:vAlign w:val="bottom"/>
            <w:tcBorders>
              <w:bottom w:val="single" w:sz="8" w:color="auto"/>
              <w:right w:val="single" w:sz="8" w:color="auto"/>
            </w:tcBorders>
          </w:tcPr>
          <w:p>
            <w:pPr>
              <w:jc w:val="right"/>
              <w:ind w:right="990"/>
              <w:spacing w:after="0"/>
              <w:rPr>
                <w:sz w:val="20"/>
                <w:szCs w:val="20"/>
                <w:color w:val="auto"/>
              </w:rPr>
            </w:pPr>
            <w:r>
              <w:rPr>
                <w:rFonts w:ascii="Arial" w:cs="Arial" w:eastAsia="Arial" w:hAnsi="Arial"/>
                <w:sz w:val="18"/>
                <w:szCs w:val="18"/>
                <w:color w:val="auto"/>
              </w:rPr>
              <w:t>$40.58</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$35,778.03</w:t>
            </w:r>
          </w:p>
        </w:tc>
      </w:tr>
    </w:tbl>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such Base Rent shall be payable by Tenant in accordance with the terms of the Lease.</w:t>
      </w:r>
    </w:p>
    <w:p>
      <w:pPr>
        <w:spacing w:after="0" w:line="190" w:lineRule="exact"/>
        <w:rPr>
          <w:sz w:val="20"/>
          <w:szCs w:val="20"/>
          <w:color w:val="auto"/>
        </w:rPr>
      </w:pPr>
    </w:p>
    <w:p>
      <w:pPr>
        <w:jc w:val="both"/>
        <w:ind w:left="980" w:right="20" w:hanging="647"/>
        <w:spacing w:after="0" w:line="218" w:lineRule="auto"/>
        <w:rPr>
          <w:sz w:val="20"/>
          <w:szCs w:val="20"/>
          <w:color w:val="auto"/>
        </w:rPr>
      </w:pPr>
      <w:r>
        <w:rPr>
          <w:rFonts w:ascii="Arial" w:cs="Arial" w:eastAsia="Arial" w:hAnsi="Arial"/>
          <w:sz w:val="18"/>
          <w:szCs w:val="18"/>
          <w:color w:val="auto"/>
        </w:rPr>
        <w:t xml:space="preserve">2.02 A form of “Premises Acceptance Letter” is attached as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Premises Acceptance Letter</w:t>
      </w:r>
      <w:r>
        <w:rPr>
          <w:rFonts w:ascii="Arial" w:cs="Arial" w:eastAsia="Arial" w:hAnsi="Arial"/>
          <w:sz w:val="18"/>
          <w:szCs w:val="18"/>
          <w:color w:val="auto"/>
        </w:rPr>
        <w:t>”). Promptly after the determination of the Expansion Effective Date, Landlord and Tenant shall execute and deliver a Premises Acceptance Letter specifying the dates referenced therein. Tenant’s failure to execute and return the Premises Acceptance Letter, or to provide written objection to the statements contained in the Premises Acceptance Letter, within 30 days after the date of the Premises Acceptance Letter shall be deemed an approval by Tenant of the statements contained therein.</w:t>
      </w:r>
    </w:p>
    <w:p>
      <w:pPr>
        <w:spacing w:after="0" w:line="194" w:lineRule="exact"/>
        <w:rPr>
          <w:sz w:val="20"/>
          <w:szCs w:val="20"/>
          <w:color w:val="auto"/>
        </w:rPr>
      </w:pPr>
    </w:p>
    <w:p>
      <w:pPr>
        <w:jc w:val="both"/>
        <w:ind w:left="320" w:hanging="318"/>
        <w:spacing w:after="0" w:line="207" w:lineRule="auto"/>
        <w:tabs>
          <w:tab w:leader="none" w:pos="308"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Security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10 Business Days after Tenant's execution hereof, Tenant shall cause the Letter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to be increased by an additional $200,000 to be $1,000,000 in the aggregate. Landlord agrees to accept an amendment to the Letter of Credit or a substitute Letter of Credit from the Issuing Bank that satisfies all requirements of Exhibit F, Section IV to the original Lease. In addition, subject to the Default restrictions set forth in Exhibit F, Section IV to the original Lease, the Letter of Credit may be reduced by Tenant at each Reduction Date described below to the following amounts (in lieu of the reduction amounts set forth in the original Lease): (i) to $812,500 on October 1, 2021;</w:t>
      </w:r>
    </w:p>
    <w:p>
      <w:pPr>
        <w:spacing w:after="0" w:line="3"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(ii) to $625,000 on October 1, 2022; and (iii) to $437,500 on October 1, 2023.</w:t>
      </w:r>
    </w:p>
    <w:p>
      <w:pPr>
        <w:spacing w:after="0" w:line="189" w:lineRule="exact"/>
        <w:rPr>
          <w:rFonts w:ascii="Arial" w:cs="Arial" w:eastAsia="Arial" w:hAnsi="Arial"/>
          <w:sz w:val="18"/>
          <w:szCs w:val="18"/>
          <w:b w:val="1"/>
          <w:bCs w:val="1"/>
          <w:color w:val="auto"/>
        </w:rPr>
      </w:pPr>
    </w:p>
    <w:p>
      <w:pPr>
        <w:ind w:left="320" w:right="20" w:hanging="318"/>
        <w:spacing w:after="0"/>
        <w:tabs>
          <w:tab w:leader="none" w:pos="308"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Pro Rata Share.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 commencing with the Expansion Effective Date and ending on the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“Tenant's Pro Rata Share” </w:t>
      </w:r>
      <w:r>
        <w:rPr>
          <w:rFonts w:ascii="Arial" w:cs="Arial" w:eastAsia="Arial" w:hAnsi="Arial"/>
          <w:sz w:val="18"/>
          <w:szCs w:val="18"/>
          <w:i w:val="1"/>
          <w:iCs w:val="1"/>
          <w:color w:val="auto"/>
        </w:rPr>
        <w:t>for the Expansion Space</w:t>
      </w:r>
      <w:r>
        <w:rPr>
          <w:rFonts w:ascii="Arial" w:cs="Arial" w:eastAsia="Arial" w:hAnsi="Arial"/>
          <w:sz w:val="18"/>
          <w:szCs w:val="18"/>
          <w:color w:val="auto"/>
        </w:rPr>
        <w:t xml:space="preserve"> is 6.03%.</w:t>
      </w:r>
    </w:p>
    <w:p>
      <w:pPr>
        <w:spacing w:after="0" w:line="193" w:lineRule="exact"/>
        <w:rPr>
          <w:rFonts w:ascii="Arial" w:cs="Arial" w:eastAsia="Arial" w:hAnsi="Arial"/>
          <w:sz w:val="18"/>
          <w:szCs w:val="18"/>
          <w:b w:val="1"/>
          <w:bCs w:val="1"/>
          <w:color w:val="auto"/>
        </w:rPr>
      </w:pPr>
    </w:p>
    <w:p>
      <w:pPr>
        <w:ind w:left="320" w:hanging="319"/>
        <w:spacing w:after="0"/>
        <w:tabs>
          <w:tab w:leader="none" w:pos="3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and Taxes.</w:t>
      </w:r>
    </w:p>
    <w:p>
      <w:pPr>
        <w:spacing w:after="0" w:line="292" w:lineRule="exact"/>
        <w:rPr>
          <w:rFonts w:ascii="Arial" w:cs="Arial" w:eastAsia="Arial" w:hAnsi="Arial"/>
          <w:sz w:val="18"/>
          <w:szCs w:val="18"/>
          <w:b w:val="1"/>
          <w:bCs w:val="1"/>
          <w:color w:val="auto"/>
        </w:rPr>
      </w:pPr>
    </w:p>
    <w:p>
      <w:pPr>
        <w:ind w:left="980" w:hanging="648"/>
        <w:spacing w:after="0" w:line="221" w:lineRule="auto"/>
        <w:rPr>
          <w:rFonts w:ascii="Arial" w:cs="Arial" w:eastAsia="Arial" w:hAnsi="Arial"/>
          <w:sz w:val="18"/>
          <w:szCs w:val="18"/>
          <w:b w:val="1"/>
          <w:bCs w:val="1"/>
          <w:color w:val="auto"/>
        </w:rPr>
      </w:pPr>
      <w:r>
        <w:rPr>
          <w:rFonts w:ascii="Arial" w:cs="Arial" w:eastAsia="Arial" w:hAnsi="Arial"/>
          <w:sz w:val="18"/>
          <w:szCs w:val="18"/>
          <w:color w:val="auto"/>
        </w:rPr>
        <w:t xml:space="preserve">5.01. </w:t>
      </w:r>
      <w:r>
        <w:rPr>
          <w:rFonts w:ascii="Arial" w:cs="Arial" w:eastAsia="Arial" w:hAnsi="Arial"/>
          <w:sz w:val="18"/>
          <w:szCs w:val="18"/>
          <w:b w:val="1"/>
          <w:bCs w:val="1"/>
          <w:color w:val="auto"/>
        </w:rPr>
        <w:t>Expansion Space from Expansion Effective Date through Termination Date.</w:t>
      </w:r>
      <w:r>
        <w:rPr>
          <w:rFonts w:ascii="Arial" w:cs="Arial" w:eastAsia="Arial" w:hAnsi="Arial"/>
          <w:sz w:val="18"/>
          <w:szCs w:val="18"/>
          <w:color w:val="auto"/>
        </w:rPr>
        <w:t xml:space="preserve"> For the period commencing with the Expansion Effective Date and ending on the Termination Date, Tenant shall pay for Tenant’s Pro Rata Share of Expenses and Taxes applicable to the Expansion Space in accordance with the terms of the Lease including the cap on Controllable Expenses described in Section 2.06 of the Lease.</w:t>
      </w:r>
    </w:p>
    <w:p>
      <w:pPr>
        <w:spacing w:after="0" w:line="182" w:lineRule="exact"/>
        <w:rPr>
          <w:rFonts w:ascii="Arial" w:cs="Arial" w:eastAsia="Arial" w:hAnsi="Arial"/>
          <w:sz w:val="18"/>
          <w:szCs w:val="18"/>
          <w:b w:val="1"/>
          <w:bCs w:val="1"/>
          <w:color w:val="auto"/>
        </w:rPr>
      </w:pPr>
    </w:p>
    <w:p>
      <w:pPr>
        <w:ind w:left="320" w:hanging="319"/>
        <w:spacing w:after="0"/>
        <w:tabs>
          <w:tab w:leader="none" w:pos="32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Improvements to Expansion Space.</w:t>
      </w:r>
    </w:p>
    <w:p>
      <w:pPr>
        <w:spacing w:after="0" w:line="306" w:lineRule="exact"/>
        <w:rPr>
          <w:rFonts w:ascii="Arial" w:cs="Arial" w:eastAsia="Arial" w:hAnsi="Arial"/>
          <w:sz w:val="18"/>
          <w:szCs w:val="18"/>
          <w:b w:val="1"/>
          <w:bCs w:val="1"/>
          <w:color w:val="auto"/>
        </w:rPr>
      </w:pPr>
    </w:p>
    <w:p>
      <w:pPr>
        <w:ind w:left="980" w:hanging="648"/>
        <w:spacing w:after="0" w:line="215" w:lineRule="auto"/>
        <w:rPr>
          <w:rFonts w:ascii="Arial" w:cs="Arial" w:eastAsia="Arial" w:hAnsi="Arial"/>
          <w:sz w:val="18"/>
          <w:szCs w:val="18"/>
          <w:b w:val="1"/>
          <w:bCs w:val="1"/>
          <w:color w:val="auto"/>
        </w:rPr>
      </w:pPr>
      <w:r>
        <w:rPr>
          <w:rFonts w:ascii="Arial" w:cs="Arial" w:eastAsia="Arial" w:hAnsi="Arial"/>
          <w:sz w:val="18"/>
          <w:szCs w:val="18"/>
          <w:color w:val="auto"/>
        </w:rPr>
        <w:t xml:space="preserve">6.01. </w:t>
      </w:r>
      <w:r>
        <w:rPr>
          <w:rFonts w:ascii="Arial" w:cs="Arial" w:eastAsia="Arial" w:hAnsi="Arial"/>
          <w:sz w:val="18"/>
          <w:szCs w:val="18"/>
          <w:b w:val="1"/>
          <w:bCs w:val="1"/>
          <w:color w:val="auto"/>
        </w:rPr>
        <w:t>Condition of Expansion Space.</w:t>
      </w:r>
      <w:r>
        <w:rPr>
          <w:rFonts w:ascii="Arial" w:cs="Arial" w:eastAsia="Arial" w:hAnsi="Arial"/>
          <w:sz w:val="18"/>
          <w:szCs w:val="18"/>
          <w:color w:val="auto"/>
        </w:rPr>
        <w:t xml:space="preserve"> Tenant has inspected the Expansion Space and agrees to accept the same "as is" without any agreements, representations, understandings or obligations on the part of Landlord to perform any alterations, repairs or improvements, except as may be expressly provided otherwise in this Amendment, including the improvements shown on </w:t>
      </w:r>
      <w:r>
        <w:rPr>
          <w:rFonts w:ascii="Arial" w:cs="Arial" w:eastAsia="Arial" w:hAnsi="Arial"/>
          <w:sz w:val="18"/>
          <w:szCs w:val="18"/>
          <w:b w:val="1"/>
          <w:bCs w:val="1"/>
          <w:color w:val="auto"/>
        </w:rPr>
        <w:t>Schedule A</w:t>
      </w:r>
      <w:r>
        <w:rPr>
          <w:rFonts w:ascii="Arial" w:cs="Arial" w:eastAsia="Arial" w:hAnsi="Arial"/>
          <w:sz w:val="18"/>
          <w:szCs w:val="18"/>
          <w:color w:val="auto"/>
        </w:rPr>
        <w:t xml:space="preserve"> attached hereto (collectively, the “Landlord Work”). Landlord shall deliver the Landlord Work free from material defects and the systems serving the Expansion Space shall be in good working order upon Landlord’s delivery of possession of the Expansion</w:t>
      </w:r>
    </w:p>
    <w:p>
      <w:pPr>
        <w:spacing w:after="0" w:line="200" w:lineRule="exact"/>
        <w:rPr>
          <w:sz w:val="20"/>
          <w:szCs w:val="20"/>
          <w:color w:val="auto"/>
        </w:rPr>
      </w:pPr>
    </w:p>
    <w:p>
      <w:pPr>
        <w:spacing w:after="0" w:line="322"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600"/>
          </w:cols>
          <w:pgMar w:left="740" w:top="1399" w:right="559" w:bottom="1440" w:gutter="0" w:footer="0" w:header="0"/>
        </w:sectPr>
      </w:pPr>
    </w:p>
    <w:bookmarkStart w:id="203" w:name="page204"/>
    <w:bookmarkEnd w:id="203"/>
    <w:p>
      <w:pPr>
        <w:spacing w:after="0" w:line="225" w:lineRule="exact"/>
        <w:rPr>
          <w:sz w:val="20"/>
          <w:szCs w:val="20"/>
          <w:color w:val="auto"/>
        </w:rPr>
      </w:pPr>
    </w:p>
    <w:p>
      <w:pPr>
        <w:ind w:left="980"/>
        <w:spacing w:after="0" w:line="227" w:lineRule="auto"/>
        <w:rPr>
          <w:sz w:val="20"/>
          <w:szCs w:val="20"/>
          <w:color w:val="auto"/>
        </w:rPr>
      </w:pPr>
      <w:r>
        <w:rPr>
          <w:rFonts w:ascii="Arial" w:cs="Arial" w:eastAsia="Arial" w:hAnsi="Arial"/>
          <w:sz w:val="18"/>
          <w:szCs w:val="18"/>
          <w:color w:val="auto"/>
        </w:rPr>
        <w:t>Space as provided in Section 1.02. Landlord shall, upon delivery of possession of the Expansion Space to Tenant, deliver to Tenant a set of “as built” plans for the Landlord Work.</w:t>
      </w:r>
    </w:p>
    <w:p>
      <w:pPr>
        <w:spacing w:after="0" w:line="180" w:lineRule="exact"/>
        <w:rPr>
          <w:sz w:val="20"/>
          <w:szCs w:val="20"/>
          <w:color w:val="auto"/>
        </w:rPr>
      </w:pPr>
    </w:p>
    <w:p>
      <w:pPr>
        <w:jc w:val="both"/>
        <w:ind w:left="960" w:right="20" w:hanging="647"/>
        <w:spacing w:after="0" w:line="227"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color w:val="auto"/>
        </w:rPr>
        <w:t xml:space="preserve">Responsibility for Improvements to Expansion Space. </w:t>
      </w:r>
      <w:r>
        <w:rPr>
          <w:rFonts w:ascii="Arial" w:cs="Arial" w:eastAsia="Arial" w:hAnsi="Arial"/>
          <w:sz w:val="18"/>
          <w:szCs w:val="18"/>
          <w:color w:val="auto"/>
        </w:rPr>
        <w:t>Tenant may perform improvements to the Expansion Space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the Work Letter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Tenant shall be entitled to an improvement allowance in connection with such work as more fully described in </w:t>
      </w:r>
      <w:r>
        <w:rPr>
          <w:rFonts w:ascii="Arial" w:cs="Arial" w:eastAsia="Arial" w:hAnsi="Arial"/>
          <w:sz w:val="18"/>
          <w:szCs w:val="18"/>
          <w:b w:val="1"/>
          <w:bCs w:val="1"/>
          <w:color w:val="auto"/>
        </w:rPr>
        <w:t>Exhibit B</w:t>
      </w:r>
      <w:r>
        <w:rPr>
          <w:rFonts w:ascii="Arial" w:cs="Arial" w:eastAsia="Arial" w:hAnsi="Arial"/>
          <w:sz w:val="18"/>
          <w:szCs w:val="18"/>
          <w:color w:val="auto"/>
        </w:rPr>
        <w:t>.</w:t>
      </w:r>
    </w:p>
    <w:p>
      <w:pPr>
        <w:spacing w:after="0" w:line="182" w:lineRule="exact"/>
        <w:rPr>
          <w:sz w:val="20"/>
          <w:szCs w:val="20"/>
          <w:color w:val="auto"/>
        </w:rPr>
      </w:pPr>
    </w:p>
    <w:p>
      <w:pPr>
        <w:jc w:val="both"/>
        <w:ind w:left="320" w:right="20" w:hanging="318"/>
        <w:spacing w:after="0" w:line="215" w:lineRule="auto"/>
        <w:tabs>
          <w:tab w:leader="none" w:pos="308"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Early Access to Expansion Space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have possession of the Expansion Space from and after the date that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delivers possession as provided in Section 1.02. Tenant’s possession of the Expansion Space before the Expansion Effective Date shall be subject to the terms and conditions of the Lease and this Amendment, except that Tenant shall not be required to pay Base Rent, Tax Rent, or Expense Rent for the Expansion Space for any days of possession before the Expansion Effective Date during which Tenant is in possession of the Expansion Space for the sole purpose of performing improvements or installing furniture, equipment or other personal property.</w:t>
      </w:r>
    </w:p>
    <w:p>
      <w:pPr>
        <w:spacing w:after="0" w:line="183" w:lineRule="exact"/>
        <w:rPr>
          <w:rFonts w:ascii="Arial" w:cs="Arial" w:eastAsia="Arial" w:hAnsi="Arial"/>
          <w:sz w:val="18"/>
          <w:szCs w:val="18"/>
          <w:b w:val="1"/>
          <w:bCs w:val="1"/>
          <w:color w:val="auto"/>
        </w:rPr>
      </w:pPr>
    </w:p>
    <w:p>
      <w:pPr>
        <w:jc w:val="both"/>
        <w:ind w:left="320" w:right="40" w:hanging="318"/>
        <w:spacing w:after="0" w:line="221" w:lineRule="auto"/>
        <w:tabs>
          <w:tab w:leader="none" w:pos="308"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Renewal Option</w:t>
      </w:r>
      <w:r>
        <w:rPr>
          <w:rFonts w:ascii="Arial" w:cs="Arial" w:eastAsia="Arial" w:hAnsi="Arial"/>
          <w:sz w:val="18"/>
          <w:szCs w:val="18"/>
          <w:color w:val="auto"/>
        </w:rPr>
        <w:t>. Exhibit F, Section I shall continue to apply to the Premises, including the Expansion Space; 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have the option in its Initial Renewal Notice to renew either (i) the Original Premises together with the Expansion Space or (ii) only the Original Premises (and surrender the Expansion Space on the original Termination Date). All other terms and conditions of Exhibit F, Section I shall remain and apply.</w:t>
      </w:r>
    </w:p>
    <w:p>
      <w:pPr>
        <w:spacing w:after="0" w:line="182" w:lineRule="exact"/>
        <w:rPr>
          <w:rFonts w:ascii="Arial" w:cs="Arial" w:eastAsia="Arial" w:hAnsi="Arial"/>
          <w:sz w:val="18"/>
          <w:szCs w:val="18"/>
          <w:b w:val="1"/>
          <w:bCs w:val="1"/>
          <w:color w:val="auto"/>
        </w:rPr>
      </w:pPr>
    </w:p>
    <w:p>
      <w:pPr>
        <w:ind w:left="320" w:hanging="318"/>
        <w:spacing w:after="0"/>
        <w:tabs>
          <w:tab w:leader="none" w:pos="3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Exhibit F, Section III and Exhibit A-2 to the Lease are hereby deleted in their entirety.</w:t>
      </w:r>
    </w:p>
    <w:p>
      <w:pPr>
        <w:spacing w:after="0" w:line="225" w:lineRule="exact"/>
        <w:rPr>
          <w:rFonts w:ascii="Arial" w:cs="Arial" w:eastAsia="Arial" w:hAnsi="Arial"/>
          <w:sz w:val="18"/>
          <w:szCs w:val="18"/>
          <w:b w:val="1"/>
          <w:bCs w:val="1"/>
          <w:color w:val="auto"/>
        </w:rPr>
      </w:pPr>
    </w:p>
    <w:p>
      <w:pPr>
        <w:jc w:val="both"/>
        <w:ind w:left="320" w:right="40" w:hanging="318"/>
        <w:spacing w:after="0" w:line="208" w:lineRule="auto"/>
        <w:tabs>
          <w:tab w:leader="none" w:pos="31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In lieu of the allotment of parking spaces described in Exhibit H, Parking Agreement, Landlord hereby grants Tenant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 to use up to </w:t>
      </w:r>
      <w:r>
        <w:rPr>
          <w:rFonts w:ascii="Arial" w:cs="Arial" w:eastAsia="Arial" w:hAnsi="Arial"/>
          <w:sz w:val="18"/>
          <w:szCs w:val="18"/>
          <w:u w:val="single" w:color="auto"/>
          <w:color w:val="auto"/>
        </w:rPr>
        <w:t>121</w:t>
      </w:r>
      <w:r>
        <w:rPr>
          <w:rFonts w:ascii="Arial" w:cs="Arial" w:eastAsia="Arial" w:hAnsi="Arial"/>
          <w:sz w:val="18"/>
          <w:szCs w:val="18"/>
          <w:color w:val="auto"/>
        </w:rPr>
        <w:t xml:space="preserve"> parking spaces in the Parking Facility, with the right of Tenant to allocate no more than 8 of those spaces as reserved spaces, and the balance of which spaces shall be non-reserved parking spaces, in either case on the terms and conditions set forth in Exhibits H and H-1. Tenant shall pay Landlord the Parking Charge applicable to each space per month, which is currently $225 plus taxes per month for unreserved spaces and</w:t>
      </w:r>
    </w:p>
    <w:p>
      <w:pPr>
        <w:spacing w:after="0" w:line="2"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$325 plus taxes per month for reserved spaces.</w:t>
      </w:r>
    </w:p>
    <w:p>
      <w:pPr>
        <w:spacing w:after="0" w:line="189" w:lineRule="exact"/>
        <w:rPr>
          <w:rFonts w:ascii="Arial" w:cs="Arial" w:eastAsia="Arial" w:hAnsi="Arial"/>
          <w:sz w:val="18"/>
          <w:szCs w:val="18"/>
          <w:b w:val="1"/>
          <w:bCs w:val="1"/>
          <w:color w:val="auto"/>
        </w:rPr>
      </w:pPr>
    </w:p>
    <w:p>
      <w:pPr>
        <w:ind w:left="320" w:hanging="319"/>
        <w:spacing w:after="0"/>
        <w:tabs>
          <w:tab w:leader="none" w:pos="3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328" w:lineRule="exact"/>
        <w:rPr>
          <w:rFonts w:ascii="Arial" w:cs="Arial" w:eastAsia="Arial" w:hAnsi="Arial"/>
          <w:sz w:val="18"/>
          <w:szCs w:val="18"/>
          <w:b w:val="1"/>
          <w:bCs w:val="1"/>
          <w:color w:val="auto"/>
        </w:rPr>
      </w:pPr>
    </w:p>
    <w:p>
      <w:pPr>
        <w:jc w:val="both"/>
        <w:ind w:left="980" w:right="40" w:hanging="330"/>
        <w:spacing w:after="0" w:line="210" w:lineRule="auto"/>
        <w:tabs>
          <w:tab w:leader="none" w:pos="96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Amendment and the attached exhibits and schedule, which are hereby incorporated into and made a part of this Amendment, set forth the entire agreement between the parties with respect to the matters set forth herein. There have been no additional oral or written representations or agreements. This Amendment shall inure only to the benefit of and be binding only upon Landlord and Tenant and their permitted successors and assigns. Under no circumstances shall Tenant be entitled to any Rent abatement, improvement allowance, leasehold improvements, or other work to the Premises, or any similar economic incentives that may have been provided Tenant in connection with entering into the Lease, unless specifically set forth in this Amendment.</w:t>
      </w:r>
    </w:p>
    <w:p>
      <w:pPr>
        <w:spacing w:after="0" w:line="217" w:lineRule="exact"/>
        <w:rPr>
          <w:rFonts w:ascii="Arial" w:cs="Arial" w:eastAsia="Arial" w:hAnsi="Arial"/>
          <w:sz w:val="18"/>
          <w:szCs w:val="18"/>
          <w:color w:val="auto"/>
        </w:rPr>
      </w:pPr>
    </w:p>
    <w:p>
      <w:pPr>
        <w:jc w:val="both"/>
        <w:ind w:left="980" w:right="40" w:hanging="330"/>
        <w:spacing w:after="0" w:line="219" w:lineRule="auto"/>
        <w:tabs>
          <w:tab w:leader="none" w:pos="96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Except as herein modified or amended, the provisions, conditions and terms of the Lease shall remain unchanged and in full force and effect and shall apply to the Expansion Space (including without limitation, all provisions in Exhibit G-1 to the Lease).</w:t>
      </w:r>
    </w:p>
    <w:p>
      <w:pPr>
        <w:spacing w:after="0" w:line="202" w:lineRule="exact"/>
        <w:rPr>
          <w:rFonts w:ascii="Arial" w:cs="Arial" w:eastAsia="Arial" w:hAnsi="Arial"/>
          <w:sz w:val="18"/>
          <w:szCs w:val="18"/>
          <w:color w:val="auto"/>
        </w:rPr>
      </w:pPr>
    </w:p>
    <w:p>
      <w:pPr>
        <w:ind w:left="980" w:right="40" w:hanging="330"/>
        <w:spacing w:after="0" w:line="227" w:lineRule="auto"/>
        <w:tabs>
          <w:tab w:leader="none" w:pos="97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case of any inconsistency between the provisions of the Lease and this Amendment, the provisions of this Amendment shall govern and control.</w:t>
      </w:r>
    </w:p>
    <w:p>
      <w:pPr>
        <w:spacing w:after="0" w:line="202" w:lineRule="exact"/>
        <w:rPr>
          <w:rFonts w:ascii="Arial" w:cs="Arial" w:eastAsia="Arial" w:hAnsi="Arial"/>
          <w:sz w:val="18"/>
          <w:szCs w:val="18"/>
          <w:color w:val="auto"/>
        </w:rPr>
      </w:pPr>
    </w:p>
    <w:p>
      <w:pPr>
        <w:jc w:val="both"/>
        <w:ind w:left="980" w:right="40" w:hanging="330"/>
        <w:spacing w:after="0" w:line="219" w:lineRule="auto"/>
        <w:tabs>
          <w:tab w:leader="none" w:pos="96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Submission of this Amendment by Landlord is not an offer to enter into this Amendment but rather is a solicitation for such an offer by Tenant. Landlord shall not be bound by this Amendment until Landlord has executed and delivered the same to Tenant.</w:t>
      </w:r>
    </w:p>
    <w:p>
      <w:pPr>
        <w:spacing w:after="0" w:line="27" w:lineRule="exact"/>
        <w:rPr>
          <w:rFonts w:ascii="Arial" w:cs="Arial" w:eastAsia="Arial" w:hAnsi="Arial"/>
          <w:sz w:val="18"/>
          <w:szCs w:val="18"/>
          <w:color w:val="auto"/>
        </w:rPr>
      </w:pPr>
    </w:p>
    <w:p>
      <w:pPr>
        <w:ind w:left="980" w:right="40" w:hanging="330"/>
        <w:spacing w:after="0" w:line="227" w:lineRule="auto"/>
        <w:tabs>
          <w:tab w:leader="none" w:pos="96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capitalized terms used in this Amendment shall have the same definitions as set forth in the Lease to the extent that such capitalized terms are defined therein and not redefined in this Amendment.</w:t>
      </w:r>
    </w:p>
    <w:p>
      <w:pPr>
        <w:spacing w:after="0" w:line="215" w:lineRule="exact"/>
        <w:rPr>
          <w:rFonts w:ascii="Arial" w:cs="Arial" w:eastAsia="Arial" w:hAnsi="Arial"/>
          <w:sz w:val="18"/>
          <w:szCs w:val="18"/>
          <w:color w:val="auto"/>
        </w:rPr>
      </w:pPr>
    </w:p>
    <w:p>
      <w:pPr>
        <w:jc w:val="both"/>
        <w:ind w:left="980" w:right="40" w:hanging="330"/>
        <w:spacing w:after="0" w:line="219" w:lineRule="auto"/>
        <w:tabs>
          <w:tab w:leader="none" w:pos="97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Tenant hereby represents to Landlord that Tenant has dealt with no broker in connection with this Amendment, other than Jones Lang LaSalle (“</w:t>
      </w:r>
      <w:r>
        <w:rPr>
          <w:rFonts w:ascii="Arial" w:cs="Arial" w:eastAsia="Arial" w:hAnsi="Arial"/>
          <w:sz w:val="18"/>
          <w:szCs w:val="18"/>
          <w:b w:val="1"/>
          <w:bCs w:val="1"/>
          <w:color w:val="auto"/>
        </w:rPr>
        <w:t>Tenant’s Broker</w:t>
      </w:r>
      <w:r>
        <w:rPr>
          <w:rFonts w:ascii="Arial" w:cs="Arial" w:eastAsia="Arial" w:hAnsi="Arial"/>
          <w:sz w:val="18"/>
          <w:szCs w:val="18"/>
          <w:color w:val="auto"/>
        </w:rPr>
        <w:t>”). Tenant agrees to indemnify and hold Landlord, its trustees, members, principals, beneficiaries, partners,</w:t>
      </w:r>
    </w:p>
    <w:p>
      <w:pPr>
        <w:spacing w:after="0" w:line="200" w:lineRule="exact"/>
        <w:rPr>
          <w:sz w:val="20"/>
          <w:szCs w:val="20"/>
          <w:color w:val="auto"/>
        </w:rPr>
      </w:pPr>
    </w:p>
    <w:p>
      <w:pPr>
        <w:spacing w:after="0" w:line="333"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620"/>
          </w:cols>
          <w:pgMar w:left="740" w:top="1440" w:right="539" w:bottom="1440" w:gutter="0" w:footer="0" w:header="0"/>
        </w:sectPr>
      </w:pPr>
    </w:p>
    <w:bookmarkStart w:id="204" w:name="page205"/>
    <w:bookmarkEnd w:id="204"/>
    <w:p>
      <w:pPr>
        <w:jc w:val="both"/>
        <w:ind w:left="330"/>
        <w:spacing w:after="0" w:line="210" w:lineRule="auto"/>
        <w:rPr>
          <w:sz w:val="20"/>
          <w:szCs w:val="20"/>
          <w:color w:val="auto"/>
        </w:rPr>
      </w:pPr>
      <w:r>
        <w:rPr>
          <w:rFonts w:ascii="Arial" w:cs="Arial" w:eastAsia="Arial" w:hAnsi="Arial"/>
          <w:sz w:val="18"/>
          <w:szCs w:val="18"/>
          <w:color w:val="auto"/>
        </w:rPr>
        <w:t>officers, directors, employees, mortgagee(s) and agents, and the respective principals and members of any such agents (collectively, the “</w:t>
      </w:r>
      <w:r>
        <w:rPr>
          <w:rFonts w:ascii="Arial" w:cs="Arial" w:eastAsia="Arial" w:hAnsi="Arial"/>
          <w:sz w:val="18"/>
          <w:szCs w:val="18"/>
          <w:b w:val="1"/>
          <w:bCs w:val="1"/>
          <w:color w:val="auto"/>
        </w:rPr>
        <w:t>Landlord Related Parties</w:t>
      </w:r>
      <w:r>
        <w:rPr>
          <w:rFonts w:ascii="Arial" w:cs="Arial" w:eastAsia="Arial" w:hAnsi="Arial"/>
          <w:sz w:val="18"/>
          <w:szCs w:val="18"/>
          <w:color w:val="auto"/>
        </w:rPr>
        <w:t>”) harmless from all claims of any other brokers claiming to have represented Tenant in connection with this Amendment. Landlord hereby represents to Tenant that Landlord has dealt with no broker in connection with this Amendment other than Jones Lang LaSalle (“</w:t>
      </w:r>
      <w:r>
        <w:rPr>
          <w:rFonts w:ascii="Arial" w:cs="Arial" w:eastAsia="Arial" w:hAnsi="Arial"/>
          <w:sz w:val="18"/>
          <w:szCs w:val="18"/>
          <w:b w:val="1"/>
          <w:bCs w:val="1"/>
          <w:color w:val="auto"/>
        </w:rPr>
        <w:t>Landlord’s Broker</w:t>
      </w:r>
      <w:r>
        <w:rPr>
          <w:rFonts w:ascii="Arial" w:cs="Arial" w:eastAsia="Arial" w:hAnsi="Arial"/>
          <w:sz w:val="18"/>
          <w:szCs w:val="18"/>
          <w:color w:val="auto"/>
        </w:rPr>
        <w:t>”). Landlord agrees to indemnify and hold Tenant, its members, principals, beneficiaries, partners, officers, directors, employees, and agents, and the respective principals and members of any such agents (collectively, the “</w:t>
      </w:r>
      <w:r>
        <w:rPr>
          <w:rFonts w:ascii="Arial" w:cs="Arial" w:eastAsia="Arial" w:hAnsi="Arial"/>
          <w:sz w:val="18"/>
          <w:szCs w:val="18"/>
          <w:b w:val="1"/>
          <w:bCs w:val="1"/>
          <w:color w:val="auto"/>
        </w:rPr>
        <w:t>Tenant Related Parties</w:t>
      </w:r>
      <w:r>
        <w:rPr>
          <w:rFonts w:ascii="Arial" w:cs="Arial" w:eastAsia="Arial" w:hAnsi="Arial"/>
          <w:sz w:val="18"/>
          <w:szCs w:val="18"/>
          <w:color w:val="auto"/>
        </w:rPr>
        <w:t>”) harmless from all claims of any brokers claiming to have represented Landlord in connection with this Amendment.</w:t>
      </w:r>
    </w:p>
    <w:p>
      <w:pPr>
        <w:spacing w:after="0" w:line="217" w:lineRule="exact"/>
        <w:rPr>
          <w:sz w:val="20"/>
          <w:szCs w:val="20"/>
          <w:color w:val="auto"/>
        </w:rPr>
      </w:pPr>
    </w:p>
    <w:p>
      <w:pPr>
        <w:jc w:val="both"/>
        <w:ind w:left="330" w:hanging="330"/>
        <w:spacing w:after="0" w:line="210" w:lineRule="auto"/>
        <w:tabs>
          <w:tab w:leader="none" w:pos="3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Each signatory of this Amendment represents hereby that he or she has the authority to execute and deliver the same on behalf of the party hereto for which such signatory is acting. Tenant agrees that Tenant may acknowledge only the existence of this Amendment by and between Landlord and Tenant, that Tenant may not disclose any of the terms and provisions contained in this Amendment to any tenant or other occupant in the Building or to any agent, employee, subtenant or assignee of such tenant or occupant, and Tenant also shall cause the Tenant Related Parties (including, without limitation, its brokers) to comply with the restrictions set forth in this sentence. The terms and provisions of the preceding sentence shall survive the termination of the Lease (whether by lapse of time or otherwise).</w:t>
      </w:r>
    </w:p>
    <w:p>
      <w:pPr>
        <w:spacing w:after="0" w:line="217" w:lineRule="exact"/>
        <w:rPr>
          <w:rFonts w:ascii="Arial" w:cs="Arial" w:eastAsia="Arial" w:hAnsi="Arial"/>
          <w:sz w:val="18"/>
          <w:szCs w:val="18"/>
          <w:color w:val="auto"/>
        </w:rPr>
      </w:pPr>
    </w:p>
    <w:p>
      <w:pPr>
        <w:jc w:val="both"/>
        <w:ind w:left="330" w:right="20" w:hanging="330"/>
        <w:spacing w:after="0" w:line="208" w:lineRule="auto"/>
        <w:tabs>
          <w:tab w:leader="none" w:pos="3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Amendment shall be construed without regard to any presumption or other rule requiring construction against the party causing this Amendment to be drafted. This Amendment may be executed in counterparts and shall constitute an agreement binding on all parties notwithstanding that all parties are not signatories to the original or the same counterpart, provided that all parties are furnished a copy or copies thereof reflecting the signature of all parties. The parties acknowledge and agree that they intend to conduct this transaction by electronic means and that this Amendment may be executed by electronic signature, which shall be considered as an original signature for all purposes and shall have the same force and effect as an original signature. Without limitation, in addition to electronically produced signatures, “electronic signature” shall include faxed versions of an original signature or electronically scanned and transmitted versions (e.g., via pdf) of an original signature.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1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950"/>
          </w:cols>
          <w:pgMar w:left="1390" w:top="1340" w:right="559" w:bottom="1440" w:gutter="0" w:footer="0" w:header="0"/>
        </w:sectPr>
      </w:pPr>
    </w:p>
    <w:bookmarkStart w:id="205" w:name="page206"/>
    <w:bookmarkEnd w:id="205"/>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Landlord and Tenant have executed this Amendment as of the day and year first above written.</w:t>
      </w:r>
    </w:p>
    <w:p>
      <w:pPr>
        <w:sectPr>
          <w:pgSz w:w="11900" w:h="16838" w:orient="portrait"/>
          <w:cols w:equalWidth="0" w:num="1">
            <w:col w:w="10039"/>
          </w:cols>
          <w:pgMar w:left="420" w:top="1440" w:right="1440" w:bottom="1440" w:gutter="0" w:footer="0" w:header="0"/>
        </w:sectPr>
      </w:pPr>
    </w:p>
    <w:p>
      <w:pPr>
        <w:spacing w:after="0" w:line="2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LANDLORD:</w:t>
      </w:r>
    </w:p>
    <w:p>
      <w:pPr>
        <w:spacing w:after="0" w:line="1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EQC CAPITOL TOWER PROPERTY LLC</w:t>
      </w:r>
      <w:r>
        <w:rPr>
          <w:rFonts w:ascii="Arial" w:cs="Arial" w:eastAsia="Arial" w:hAnsi="Arial"/>
          <w:sz w:val="18"/>
          <w:szCs w:val="18"/>
          <w:color w:val="auto"/>
        </w:rPr>
        <w:t>, a</w:t>
      </w:r>
    </w:p>
    <w:p>
      <w:pPr>
        <w:ind w:left="3620"/>
        <w:spacing w:after="0" w:line="203" w:lineRule="auto"/>
        <w:rPr>
          <w:sz w:val="20"/>
          <w:szCs w:val="20"/>
          <w:color w:val="auto"/>
        </w:rPr>
      </w:pPr>
      <w:r>
        <w:rPr>
          <w:rFonts w:ascii="Arial" w:cs="Arial" w:eastAsia="Arial" w:hAnsi="Arial"/>
          <w:sz w:val="18"/>
          <w:szCs w:val="18"/>
          <w:color w:val="auto"/>
        </w:rPr>
        <w:t>Delaware</w:t>
      </w:r>
    </w:p>
    <w:p>
      <w:pPr>
        <w:ind w:left="3620"/>
        <w:spacing w:after="0"/>
        <w:rPr>
          <w:sz w:val="20"/>
          <w:szCs w:val="20"/>
          <w:color w:val="auto"/>
        </w:rPr>
      </w:pPr>
      <w:r>
        <w:rPr>
          <w:rFonts w:ascii="Arial" w:cs="Arial" w:eastAsia="Arial" w:hAnsi="Arial"/>
          <w:sz w:val="18"/>
          <w:szCs w:val="18"/>
          <w:color w:val="auto"/>
        </w:rPr>
        <w:t>limited liability company</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/s/ Nathan Dorzweiler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-19050</wp:posOffset>
            </wp:positionV>
            <wp:extent cx="12509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25095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Name: Nathan Dorzweiler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-19050</wp:posOffset>
            </wp:positionV>
            <wp:extent cx="10985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-19050</wp:posOffset>
            </wp:positionV>
            <wp:extent cx="12192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pacing w:after="0" w:line="372"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CROWDSTRIKE, INC</w:t>
      </w:r>
      <w:r>
        <w:rPr>
          <w:rFonts w:ascii="Arial" w:cs="Arial" w:eastAsia="Arial" w:hAnsi="Arial"/>
          <w:sz w:val="17"/>
          <w:szCs w:val="17"/>
          <w:color w:val="auto"/>
        </w:rPr>
        <w:t>., a Delaware corporation</w:t>
      </w:r>
    </w:p>
    <w:p>
      <w:pPr>
        <w:spacing w:after="0" w:line="4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By: /s/ Tiffany Ketterer-Buchanan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-19050</wp:posOffset>
            </wp:positionV>
            <wp:extent cx="16383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Name: Tiffany Ketterer-Buchanan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-19050</wp:posOffset>
            </wp:positionV>
            <wp:extent cx="14859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Title: VP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-19050</wp:posOffset>
            </wp:positionV>
            <wp:extent cx="7810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039"/>
          </w:cols>
          <w:pgMar w:left="420" w:top="1440" w:right="1440" w:bottom="1440" w:gutter="0" w:footer="0" w:header="0"/>
          <w:type w:val="continuous"/>
        </w:sectPr>
      </w:pPr>
    </w:p>
    <w:bookmarkStart w:id="206" w:name="page207"/>
    <w:bookmarkEnd w:id="206"/>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207645</wp:posOffset>
            </wp:positionV>
            <wp:extent cx="4894580" cy="6574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4894580" cy="65747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EXHIBIT A</w:t>
      </w: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440" w:right="1440" w:bottom="1440" w:gutter="0" w:footer="0" w:header="0"/>
          <w:type w:val="continuous"/>
        </w:sectPr>
      </w:pPr>
    </w:p>
    <w:bookmarkStart w:id="207" w:name="page208"/>
    <w:bookmarkEnd w:id="207"/>
    <w:p>
      <w:pPr>
        <w:spacing w:after="0" w:line="81" w:lineRule="exact"/>
        <w:rPr>
          <w:sz w:val="20"/>
          <w:szCs w:val="20"/>
          <w:color w:val="auto"/>
        </w:rPr>
      </w:pPr>
    </w:p>
    <w:p>
      <w:pPr>
        <w:jc w:val="center"/>
        <w:ind w:right="-141"/>
        <w:spacing w:after="0"/>
        <w:rPr>
          <w:sz w:val="20"/>
          <w:szCs w:val="20"/>
          <w:color w:val="auto"/>
        </w:rPr>
      </w:pPr>
      <w:r>
        <w:rPr>
          <w:rFonts w:ascii="Arial" w:cs="Arial" w:eastAsia="Arial" w:hAnsi="Arial"/>
          <w:sz w:val="18"/>
          <w:szCs w:val="18"/>
          <w:b w:val="1"/>
          <w:bCs w:val="1"/>
          <w:color w:val="auto"/>
        </w:rPr>
        <w:t>EXHIBIT B</w:t>
      </w:r>
    </w:p>
    <w:p>
      <w:pPr>
        <w:spacing w:after="0" w:line="90" w:lineRule="exact"/>
        <w:rPr>
          <w:sz w:val="20"/>
          <w:szCs w:val="20"/>
          <w:color w:val="auto"/>
        </w:rPr>
      </w:pPr>
    </w:p>
    <w:p>
      <w:pPr>
        <w:jc w:val="center"/>
        <w:ind w:right="-141"/>
        <w:spacing w:after="0"/>
        <w:rPr>
          <w:sz w:val="20"/>
          <w:szCs w:val="20"/>
          <w:color w:val="auto"/>
        </w:rPr>
      </w:pPr>
      <w:r>
        <w:rPr>
          <w:rFonts w:ascii="Arial" w:cs="Arial" w:eastAsia="Arial" w:hAnsi="Arial"/>
          <w:sz w:val="18"/>
          <w:szCs w:val="18"/>
          <w:b w:val="1"/>
          <w:bCs w:val="1"/>
          <w:u w:val="single" w:color="auto"/>
          <w:color w:val="auto"/>
        </w:rPr>
        <w:t>WORK LETTER</w:t>
      </w:r>
    </w:p>
    <w:p>
      <w:pPr>
        <w:spacing w:after="0" w:line="315" w:lineRule="exact"/>
        <w:rPr>
          <w:sz w:val="20"/>
          <w:szCs w:val="20"/>
          <w:color w:val="auto"/>
        </w:rPr>
      </w:pPr>
    </w:p>
    <w:p>
      <w:pPr>
        <w:jc w:val="both"/>
        <w:ind w:left="2" w:firstLine="645"/>
        <w:spacing w:after="0" w:line="206" w:lineRule="auto"/>
        <w:tabs>
          <w:tab w:leader="none" w:pos="12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Tenant, following the delivery of the Expansion Space by Landlord and the full and final execution and delivery of the Amendment to which this Exhibit is attached and all prepaid rental and security deposits required under such agreement, shall have the right to perform alterations and improvements in the Expansion Space (the "</w:t>
      </w:r>
      <w:r>
        <w:rPr>
          <w:rFonts w:ascii="Arial" w:cs="Arial" w:eastAsia="Arial" w:hAnsi="Arial"/>
          <w:sz w:val="18"/>
          <w:szCs w:val="18"/>
          <w:b w:val="1"/>
          <w:bCs w:val="1"/>
          <w:color w:val="auto"/>
        </w:rPr>
        <w:t>Initial Alterations</w:t>
      </w:r>
      <w:r>
        <w:rPr>
          <w:rFonts w:ascii="Arial" w:cs="Arial" w:eastAsia="Arial" w:hAnsi="Arial"/>
          <w:sz w:val="18"/>
          <w:szCs w:val="18"/>
          <w:color w:val="auto"/>
        </w:rPr>
        <w:t>"). Notwithstanding the foregoing, Tenant and its contractors shall not have the right to perform Initial Alterations in the Expansion Space unless and until Tenant has complied with all of the terms and conditions of Section 9 of the Lease, including, without limitation, approval by Landlord of the final plans for the Initial Alterations and the contractors to be retained by Tenant to perform such Initial Alterations. Tenant shall be responsible for all elements of the design of Tenant's plans (including, without limitation, compliance with law, functionality of design, the structural integrity of the design, the configuration of the premises and the placement of Tenant's furniture, appliances and equipment), and Landlord's approval of Tenant's plans shall in no event relieve Tenant of the responsibility for such design. Landlord’s approval of Tenant’s plans for the Initial Alterations shall not be unreasonably withheld. Landlord shall review Tenant’s plans within 15 Business Days after Tenant’s delivery of such plans (in PDF, CAD and hard copy formats) to Landlord’s Building manager. Unless otherwise expressly agreed to by Landlord in writing, Tenant’s plans shall be consistent with the Building’s standards for leasehold improvements. Landlord's approval of the contractors to perform the Initial Alterations shall not be unreasonably withheld, conditioned or delayed. The parties agree that Landlord's approval of the general contractor to perform the Initial Alterations shall not be considered to be unreasonably withheld if any such general contractor (i) does not have trade references reasonably acceptable to Landlord, (ii) does not maintain insurance as required pursuant to the terms of this Lease, or (iii) is not licensed as a contractor in the state/municipality in which the Expansion Space is located. Tenant acknowledges the foregoing is not intended to be an exclusive list of the reasons why Landlord may reasonably withhold its consent to a general contractor. Tenant shall ensure that all contractors performing the Initial Alterations include Landlord and such other parties as Landlord shall require as additional insureds on the insurance policies maintained by such contractors.</w:t>
      </w:r>
    </w:p>
    <w:p>
      <w:pPr>
        <w:spacing w:after="0" w:line="179" w:lineRule="exact"/>
        <w:rPr>
          <w:rFonts w:ascii="Arial" w:cs="Arial" w:eastAsia="Arial" w:hAnsi="Arial"/>
          <w:sz w:val="18"/>
          <w:szCs w:val="18"/>
          <w:color w:val="auto"/>
        </w:rPr>
      </w:pPr>
    </w:p>
    <w:p>
      <w:pPr>
        <w:ind w:left="2" w:right="20" w:firstLine="645"/>
        <w:spacing w:after="0"/>
        <w:tabs>
          <w:tab w:leader="none" w:pos="12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the terms and conditions of this Exhibit, Landlord agrees to contribute the sum of $105,800 (the "</w:t>
      </w:r>
      <w:r>
        <w:rPr>
          <w:rFonts w:ascii="Arial" w:cs="Arial" w:eastAsia="Arial" w:hAnsi="Arial"/>
          <w:sz w:val="18"/>
          <w:szCs w:val="18"/>
          <w:b w:val="1"/>
          <w:bCs w:val="1"/>
          <w:color w:val="auto"/>
        </w:rPr>
        <w:t>Allowance</w:t>
      </w:r>
      <w:r>
        <w:rPr>
          <w:rFonts w:ascii="Arial" w:cs="Arial" w:eastAsia="Arial" w:hAnsi="Arial"/>
          <w:sz w:val="18"/>
          <w:szCs w:val="18"/>
          <w:color w:val="auto"/>
        </w:rPr>
        <w:t>") toward the cost of performing the Initial Alterations in preparation of Tenant's occupancy of the Expansion Space.</w:t>
      </w:r>
    </w:p>
    <w:p>
      <w:pPr>
        <w:spacing w:after="0" w:line="216" w:lineRule="exact"/>
        <w:rPr>
          <w:sz w:val="20"/>
          <w:szCs w:val="20"/>
          <w:color w:val="auto"/>
        </w:rPr>
      </w:pPr>
    </w:p>
    <w:p>
      <w:pPr>
        <w:jc w:val="both"/>
        <w:ind w:left="2" w:right="20" w:firstLine="647"/>
        <w:spacing w:after="0" w:line="203" w:lineRule="auto"/>
        <w:rPr>
          <w:sz w:val="20"/>
          <w:szCs w:val="20"/>
          <w:color w:val="auto"/>
        </w:rPr>
      </w:pPr>
      <w:r>
        <w:rPr>
          <w:rFonts w:ascii="Arial" w:cs="Arial" w:eastAsia="Arial" w:hAnsi="Arial"/>
          <w:sz w:val="18"/>
          <w:szCs w:val="18"/>
          <w:color w:val="auto"/>
        </w:rPr>
        <w:t>The Allowance may only be used for the cost of construction management (including the Landlord Fee), permitting, preparing design and construction documents and mechanical and electrical plans for the Initial Alterations and for hard costs in connection with the Initial Alterations. The Allowance, less a 10% retainage (which retainage shall be payable as part of the final draw), shall be paid to Tenant or, at Landlord's option, to the order of the general contractor that performs the Initial Alterations, in periodic disbursements within 30 days after receipt of the following documentation: (i) an application for payment and sworn statement of contractor substantially in the form of AIA Document G-702 covering all work for which disbursement is to be made to a date specified therein; (ii) Intentionally Omitted;</w:t>
      </w:r>
    </w:p>
    <w:p>
      <w:pPr>
        <w:spacing w:after="0" w:line="3" w:lineRule="exact"/>
        <w:rPr>
          <w:sz w:val="20"/>
          <w:szCs w:val="20"/>
          <w:color w:val="auto"/>
        </w:rPr>
      </w:pPr>
    </w:p>
    <w:p>
      <w:pPr>
        <w:jc w:val="both"/>
        <w:ind w:left="2" w:right="20" w:hanging="2"/>
        <w:spacing w:after="0" w:line="203" w:lineRule="auto"/>
        <w:tabs>
          <w:tab w:leader="none" w:pos="29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Contractor's, subcontractor's and material supplier's waivers of liens which shall cover all Initial Alterations for which disbursement is being requested and all other statements and forms required for compliance with the mechanics' lien laws of the state in which the Premises is located, together with all such invoices, contracts, or other supporting data as Landlord or Landlord's Mortgagee may reasonably require; (iv) copies of all construction contracts for the Initial Alterations, together with copies of all change orders, if any; and</w:t>
      </w:r>
    </w:p>
    <w:p>
      <w:pPr>
        <w:spacing w:after="0" w:line="1" w:lineRule="exact"/>
        <w:rPr>
          <w:rFonts w:ascii="Arial" w:cs="Arial" w:eastAsia="Arial" w:hAnsi="Arial"/>
          <w:sz w:val="18"/>
          <w:szCs w:val="18"/>
          <w:color w:val="auto"/>
        </w:rPr>
      </w:pPr>
    </w:p>
    <w:p>
      <w:pPr>
        <w:jc w:val="both"/>
        <w:ind w:left="2" w:right="20" w:hanging="2"/>
        <w:spacing w:after="0" w:line="203" w:lineRule="auto"/>
        <w:tabs>
          <w:tab w:leader="none" w:pos="29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request to disburse from Tenant containing an approval by Tenant of the work done and a good faith estimate of the cost to complete the Initial Alterations. Upon completion of the Initial Alterations, and prior to final disbursement of the Allowance. Tenant shall furnish Landlord with: (1) general contractor and architect's completion affidavits, (2) full and final waivers of lien, (3) receipted bills covering all labor and materials expended and used, (4) as-built plans of the Initial Alterations in PDF, CAD and hard copy formats, and</w:t>
      </w:r>
    </w:p>
    <w:p>
      <w:pPr>
        <w:spacing w:after="0" w:line="1" w:lineRule="exact"/>
        <w:rPr>
          <w:rFonts w:ascii="Arial" w:cs="Arial" w:eastAsia="Arial" w:hAnsi="Arial"/>
          <w:sz w:val="18"/>
          <w:szCs w:val="18"/>
          <w:color w:val="auto"/>
        </w:rPr>
      </w:pPr>
    </w:p>
    <w:p>
      <w:pPr>
        <w:jc w:val="both"/>
        <w:ind w:left="2" w:right="20"/>
        <w:spacing w:after="0" w:line="211" w:lineRule="auto"/>
        <w:rPr>
          <w:rFonts w:ascii="Arial" w:cs="Arial" w:eastAsia="Arial" w:hAnsi="Arial"/>
          <w:sz w:val="18"/>
          <w:szCs w:val="18"/>
          <w:color w:val="auto"/>
        </w:rPr>
      </w:pPr>
      <w:r>
        <w:rPr>
          <w:rFonts w:ascii="Arial" w:cs="Arial" w:eastAsia="Arial" w:hAnsi="Arial"/>
          <w:sz w:val="18"/>
          <w:szCs w:val="18"/>
          <w:color w:val="auto"/>
        </w:rPr>
        <w:t>(5) the certification of Tenant and its architect that the Initial Alterations have been installed in a good and workmanlike manner in accordance with the approved plans, and in accordance with applicable laws, codes and ordinances. In no event shall Landlord be required to disburse the Allowance more than one time per month. Notwithstanding anything herein to the contrary, Landlord shall not be obligated to disburse any portion of the Allowance during the continuance of an uncured default under the Lease, provided Landlord has delivered written notice to Tenant regarding the existence of such uncured default prior to receipt of Tenant’s request for disbursement of Allowance funds, and Landlord's obligation to disburse shall only resume when and if such default is cured.</w:t>
      </w:r>
    </w:p>
    <w:p>
      <w:pPr>
        <w:spacing w:after="0" w:line="204" w:lineRule="exact"/>
        <w:rPr>
          <w:rFonts w:ascii="Arial" w:cs="Arial" w:eastAsia="Arial" w:hAnsi="Arial"/>
          <w:sz w:val="18"/>
          <w:szCs w:val="18"/>
          <w:color w:val="auto"/>
        </w:rPr>
      </w:pPr>
    </w:p>
    <w:p>
      <w:pPr>
        <w:jc w:val="both"/>
        <w:ind w:left="2" w:right="20" w:firstLine="645"/>
        <w:spacing w:after="0" w:line="215" w:lineRule="auto"/>
        <w:tabs>
          <w:tab w:leader="none" w:pos="120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 no event shall the Allowance be used for the purchase of equipment, furniture or other items of personal property of Tenant. If Tenant does not submit a request for payment of the entire Allowance to Landlord in accordance with the provisions contained in this Exhibit by April 1, 2020, any unused amount shall accrue to the sole benefit of Landlord, it being understood that Tenant shall not be entitled to any credit, abatement or other concession in connection therewith. Tenant shall be responsible</w:t>
      </w:r>
    </w:p>
    <w:p>
      <w:pPr>
        <w:spacing w:after="0" w:line="200" w:lineRule="exact"/>
        <w:rPr>
          <w:sz w:val="20"/>
          <w:szCs w:val="20"/>
          <w:color w:val="auto"/>
        </w:rPr>
      </w:pPr>
    </w:p>
    <w:p>
      <w:pPr>
        <w:spacing w:after="0" w:line="292" w:lineRule="exact"/>
        <w:rPr>
          <w:sz w:val="20"/>
          <w:szCs w:val="20"/>
          <w:color w:val="auto"/>
        </w:rPr>
      </w:pPr>
    </w:p>
    <w:p>
      <w:pPr>
        <w:jc w:val="center"/>
        <w:ind w:right="-141"/>
        <w:spacing w:after="0"/>
        <w:rPr>
          <w:sz w:val="20"/>
          <w:szCs w:val="20"/>
          <w:color w:val="auto"/>
        </w:rPr>
      </w:pPr>
      <w:r>
        <w:rPr>
          <w:rFonts w:ascii="Arial" w:cs="Arial" w:eastAsia="Arial" w:hAnsi="Arial"/>
          <w:sz w:val="14"/>
          <w:szCs w:val="14"/>
          <w:color w:val="auto"/>
        </w:rPr>
        <w:t>EXHIBIT B</w:t>
      </w:r>
    </w:p>
    <w:p>
      <w:pPr>
        <w:spacing w:after="0" w:line="204" w:lineRule="exact"/>
        <w:rPr>
          <w:sz w:val="20"/>
          <w:szCs w:val="20"/>
          <w:color w:val="auto"/>
        </w:rPr>
      </w:pPr>
    </w:p>
    <w:p>
      <w:pPr>
        <w:jc w:val="center"/>
        <w:ind w:right="-141"/>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922"/>
          </w:cols>
          <w:pgMar w:left="418" w:top="1440" w:right="5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for all applicable state sales or use taxes, if any, payable in connection with the Initial Alterations and/or Allowance.</w:t>
      </w:r>
    </w:p>
    <w:p>
      <w:pPr>
        <w:spacing w:after="0" w:line="225" w:lineRule="exact"/>
        <w:rPr>
          <w:sz w:val="20"/>
          <w:szCs w:val="20"/>
          <w:color w:val="auto"/>
        </w:rPr>
      </w:pPr>
    </w:p>
    <w:p>
      <w:pPr>
        <w:jc w:val="both"/>
        <w:ind w:right="20" w:firstLine="645"/>
        <w:spacing w:after="0" w:line="215" w:lineRule="auto"/>
        <w:tabs>
          <w:tab w:leader="none" w:pos="12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Tenant may utilize and apply any unused and unapplied Allowance amounts, that were granted to Tenant in Exhibit C to the original Lease in connection with the buildout of the Original Premises, towards completion of the Initial Alterations to the Expansion Space. Accordingly, the outside date for applying/using that allowance in the original Lease (which was September 1, 2019, as described in Exhibit C, paragraph 3 thereto) shall be extended to be an outside date of April 1, 2020.</w:t>
      </w:r>
    </w:p>
    <w:p>
      <w:pPr>
        <w:spacing w:after="0" w:line="216" w:lineRule="exact"/>
        <w:rPr>
          <w:rFonts w:ascii="Arial" w:cs="Arial" w:eastAsia="Arial" w:hAnsi="Arial"/>
          <w:sz w:val="18"/>
          <w:szCs w:val="18"/>
          <w:color w:val="auto"/>
        </w:rPr>
      </w:pPr>
    </w:p>
    <w:p>
      <w:pPr>
        <w:jc w:val="both"/>
        <w:ind w:right="20" w:firstLine="645"/>
        <w:spacing w:after="0" w:line="213" w:lineRule="auto"/>
        <w:tabs>
          <w:tab w:leader="none" w:pos="12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to the Allowance, Landlord shall pay cost of the test fit drawings for the Expansion Space, up to a maximum amount of $1,058. Tenant acknowledges that the baseline of the design in the test fit shall be inclusive of the Planned Speculative Improvement Plan and said design shall only contain enhancements and customizations thereto. Landlord shall pay such amount directly to the architect who prepares the test fit. To the extent the costs of that test fit exceed the amount in the first sentence of this paragraph, Tenant shall reimburse Landlord for such excess or, at Tenant’s discretion, such amount may be paid to Landlord from the Allowance.</w:t>
      </w:r>
    </w:p>
    <w:p>
      <w:pPr>
        <w:spacing w:after="0" w:line="202" w:lineRule="exact"/>
        <w:rPr>
          <w:rFonts w:ascii="Arial" w:cs="Arial" w:eastAsia="Arial" w:hAnsi="Arial"/>
          <w:sz w:val="18"/>
          <w:szCs w:val="18"/>
          <w:color w:val="auto"/>
        </w:rPr>
      </w:pPr>
    </w:p>
    <w:p>
      <w:pPr>
        <w:jc w:val="both"/>
        <w:ind w:firstLine="645"/>
        <w:spacing w:after="0" w:line="213" w:lineRule="auto"/>
        <w:tabs>
          <w:tab w:leader="none" w:pos="12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Tenant shall pay a fee to Landlord or, at Landlord’s direction, to Landlord’s Building manager, equal to 1% of the hard costs of the Initial Alterations as compensation for Landlord’s project administration of the Initial Alterations, including, without limitation, review of Tenant’s plans, processing payment of the Allowance and other payment requests, coordination of the performance of the Initial Alterations and other work in the Building, monitoring of the Initial Alterations, and project close-out. Landlord shall be entitled to deduct such fee from the Allowance.</w:t>
      </w:r>
    </w:p>
    <w:p>
      <w:pPr>
        <w:spacing w:after="0" w:line="215" w:lineRule="exact"/>
        <w:rPr>
          <w:rFonts w:ascii="Arial" w:cs="Arial" w:eastAsia="Arial" w:hAnsi="Arial"/>
          <w:sz w:val="18"/>
          <w:szCs w:val="18"/>
          <w:color w:val="auto"/>
        </w:rPr>
      </w:pPr>
    </w:p>
    <w:p>
      <w:pPr>
        <w:jc w:val="both"/>
        <w:ind w:right="20" w:firstLine="645"/>
        <w:spacing w:after="0" w:line="215" w:lineRule="auto"/>
        <w:tabs>
          <w:tab w:leader="none" w:pos="12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to any delay in the Expansion Effective Day arising pursuant to Section 1.02, if Tenant shall be actually delayed in substantially completing the Initial Alterations as a result of Landlord’s failure to furnish information or approvals within any time period specified in this Exhibit, then the Expansion Effective Date shall be delayed by the number of days by which Landlord actually exceeded such time period(s) specified in this Exhibit.</w:t>
      </w:r>
    </w:p>
    <w:p>
      <w:pPr>
        <w:spacing w:after="0" w:line="351" w:lineRule="exact"/>
        <w:rPr>
          <w:rFonts w:ascii="Arial" w:cs="Arial" w:eastAsia="Arial" w:hAnsi="Arial"/>
          <w:sz w:val="18"/>
          <w:szCs w:val="18"/>
          <w:color w:val="auto"/>
        </w:rPr>
      </w:pPr>
    </w:p>
    <w:p>
      <w:pPr>
        <w:ind w:right="80" w:firstLine="645"/>
        <w:spacing w:after="0" w:line="215" w:lineRule="auto"/>
        <w:tabs>
          <w:tab w:leader="none" w:pos="120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This Exhibit shall not be deemed applicable to any additional space added to the Premises at any time or from time to time, whether by any options under the Lease or otherwise, or to any portion of the Original Premises or any additions to the Premises in the event of a renewal or extension of the original Term of the Lease, whether by any options under the Lease or otherwise, unless expressly so provided in the Lease or any amendment or supplement to the Lease.</w:t>
      </w:r>
    </w:p>
    <w:p>
      <w:pPr>
        <w:spacing w:after="0" w:line="200" w:lineRule="exact"/>
        <w:rPr>
          <w:sz w:val="20"/>
          <w:szCs w:val="20"/>
          <w:color w:val="auto"/>
        </w:rPr>
      </w:pP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EXHIBIT B</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20"/>
          </w:cols>
          <w:pgMar w:left="420" w:top="1340" w:right="559" w:bottom="1440" w:gutter="0" w:footer="0" w:header="0"/>
        </w:sectPr>
      </w:pPr>
    </w:p>
    <w:bookmarkStart w:id="209" w:name="page210"/>
    <w:bookmarkEnd w:id="209"/>
    <w:p>
      <w:pPr>
        <w:jc w:val="center"/>
        <w:ind w:right="-139"/>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PREMISES ACCEPTANCE LETTER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tabs>
          <w:tab w:leader="none" w:pos="96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-130175</wp:posOffset>
            </wp:positionV>
            <wp:extent cx="1587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158750" cy="8255"/>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-19050</wp:posOffset>
            </wp:positionV>
            <wp:extent cx="1270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1173480</wp:posOffset>
            </wp:positionH>
            <wp:positionV relativeFrom="paragraph">
              <wp:posOffset>-19050</wp:posOffset>
            </wp:positionV>
            <wp:extent cx="1587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158750" cy="8890"/>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92075</wp:posOffset>
            </wp:positionV>
            <wp:extent cx="1270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127000" cy="8255"/>
                    </a:xfrm>
                    <a:prstGeom prst="rect">
                      <a:avLst/>
                    </a:prstGeom>
                    <a:noFill/>
                  </pic:spPr>
                </pic:pic>
              </a:graphicData>
            </a:graphic>
          </wp:anchor>
        </w:drawing>
        <w:drawing>
          <wp:anchor simplePos="0" relativeHeight="251657728" behindDoc="1" locked="0" layoutInCell="0" allowOverlap="1">
            <wp:simplePos x="0" y="0"/>
            <wp:positionH relativeFrom="column">
              <wp:posOffset>821690</wp:posOffset>
            </wp:positionH>
            <wp:positionV relativeFrom="paragraph">
              <wp:posOffset>203200</wp:posOffset>
            </wp:positionV>
            <wp:extent cx="1270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tcPr>
          <w:p>
            <w:pPr>
              <w:spacing w:after="0"/>
              <w:rPr>
                <w:sz w:val="20"/>
                <w:szCs w:val="20"/>
                <w:color w:val="auto"/>
              </w:rPr>
            </w:pPr>
            <w:r>
              <w:rPr>
                <w:rFonts w:ascii="Arial" w:cs="Arial" w:eastAsia="Arial" w:hAnsi="Arial"/>
                <w:sz w:val="18"/>
                <w:szCs w:val="18"/>
                <w:b w:val="1"/>
                <w:bCs w:val="1"/>
                <w:color w:val="auto"/>
              </w:rPr>
              <w:t>Re: Premises Acceptance Letter with respect to that certain First Amendment to Lease dated as of</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jc w:val="both"/>
        <w:ind w:left="640" w:right="640"/>
        <w:spacing w:after="0" w:line="219" w:lineRule="auto"/>
        <w:rPr>
          <w:sz w:val="20"/>
          <w:szCs w:val="20"/>
          <w:color w:val="auto"/>
        </w:rPr>
      </w:pPr>
      <w:r>
        <w:rPr>
          <w:rFonts w:ascii="Arial" w:cs="Arial" w:eastAsia="Arial" w:hAnsi="Arial"/>
          <w:sz w:val="18"/>
          <w:szCs w:val="18"/>
          <w:b w:val="1"/>
          <w:bCs w:val="1"/>
          <w:color w:val="auto"/>
        </w:rPr>
        <w:t>(“Amendment”), by and between EQC Capitol Tower Property LLC, as Landlord, and CrowdStrike, Inc., as Tenant, which Amendment modifies that certain Office Lease Agreement dated April 20, 2018, between Landlord and Tenant (as amended, the “Lease”) for certain space in the Building located at 206 East 9</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Austin, 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-358775</wp:posOffset>
            </wp:positionV>
            <wp:extent cx="3213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Dear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-19050</wp:posOffset>
            </wp:positionV>
            <wp:extent cx="1587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1587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terms and conditions of the above referenced Amendment, Tenant acknowledges and agrees:</w:t>
      </w:r>
    </w:p>
    <w:p>
      <w:pPr>
        <w:spacing w:after="0" w:line="32" w:lineRule="exact"/>
        <w:rPr>
          <w:sz w:val="20"/>
          <w:szCs w:val="20"/>
          <w:color w:val="auto"/>
        </w:rPr>
      </w:pPr>
    </w:p>
    <w:p>
      <w:pPr>
        <w:ind w:left="640" w:hanging="319"/>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Tenant accepted possession of the Expansion Space, as defined in the Amendment, on</w:t>
      </w:r>
    </w:p>
    <w:p>
      <w:pPr>
        <w:ind w:left="940" w:hanging="94"/>
        <w:spacing w:after="0"/>
        <w:tabs>
          <w:tab w:leader="none" w:pos="9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20 .</w:t>
      </w:r>
    </w:p>
    <w:p>
      <w:pPr>
        <w:spacing w:after="0" w:line="225" w:lineRule="exact"/>
        <w:rPr>
          <w:rFonts w:ascii="Arial" w:cs="Arial" w:eastAsia="Arial" w:hAnsi="Arial"/>
          <w:sz w:val="18"/>
          <w:szCs w:val="18"/>
          <w:color w:val="auto"/>
        </w:rPr>
      </w:pPr>
    </w:p>
    <w:p>
      <w:pPr>
        <w:ind w:left="640" w:hanging="318"/>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Expansion Space was delivered to Tenant in the condition required under the terms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-293370</wp:posOffset>
            </wp:positionV>
            <wp:extent cx="1270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127000" cy="8890"/>
                    </a:xfrm>
                    <a:prstGeom prst="rect">
                      <a:avLst/>
                    </a:prstGeom>
                    <a:noFill/>
                  </pic:spPr>
                </pic:pic>
              </a:graphicData>
            </a:graphic>
          </wp:anchor>
        </w:drawing>
        <w:drawing>
          <wp:anchor simplePos="0" relativeHeight="251657728" behindDoc="1" locked="0" layoutInCell="0" allowOverlap="1">
            <wp:simplePos x="0" y="0"/>
            <wp:positionH relativeFrom="column">
              <wp:posOffset>727710</wp:posOffset>
            </wp:positionH>
            <wp:positionV relativeFrom="paragraph">
              <wp:posOffset>-293370</wp:posOffset>
            </wp:positionV>
            <wp:extent cx="317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92" w:lineRule="exact"/>
        <w:rPr>
          <w:sz w:val="20"/>
          <w:szCs w:val="20"/>
          <w:color w:val="auto"/>
        </w:rPr>
      </w:pPr>
    </w:p>
    <w:p>
      <w:pPr>
        <w:ind w:left="320"/>
        <w:spacing w:after="0"/>
        <w:tabs>
          <w:tab w:leader="none" w:pos="620" w:val="left"/>
          <w:tab w:leader="none" w:pos="5800" w:val="left"/>
        </w:tabs>
        <w:rPr>
          <w:sz w:val="20"/>
          <w:szCs w:val="20"/>
          <w:color w:val="auto"/>
        </w:rPr>
      </w:pPr>
      <w:r>
        <w:rPr>
          <w:rFonts w:ascii="Arial" w:cs="Arial" w:eastAsia="Arial" w:hAnsi="Arial"/>
          <w:sz w:val="18"/>
          <w:szCs w:val="18"/>
          <w:color w:val="auto"/>
        </w:rPr>
        <w:t>3.</w:t>
        <w:tab/>
        <w:t>The Expansion Effective Date as defined in the Amendment is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-19050</wp:posOffset>
            </wp:positionV>
            <wp:extent cx="1587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192"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The Termination Date of the Lease has not been modified and continues to be as defined in the Lease.</w:t>
      </w:r>
    </w:p>
    <w:p>
      <w:pPr>
        <w:spacing w:after="0" w:line="225"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Please acknowledge the foregoing by signing all 3 counterparts of this Premises Acceptance Letter in the space provided and returning 2 fully executed counterparts to my attention. Tenant’s failure to execute and return this letter, or to provide written objection to the statements contained in this letter, within 30 days after the date of this letter shall be deemed an approval by Tenant of the statements contained herein.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143510</wp:posOffset>
            </wp:positionV>
            <wp:extent cx="22199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-19050</wp:posOffset>
            </wp:positionV>
            <wp:extent cx="1270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-19050</wp:posOffset>
            </wp:positionV>
            <wp:extent cx="1587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-19050</wp:posOffset>
            </wp:positionV>
            <wp:extent cx="1270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-19050</wp:posOffset>
            </wp:positionV>
            <wp:extent cx="1587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-19050</wp:posOffset>
            </wp:positionV>
            <wp:extent cx="1587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EQC Form (PAL) 2/12/19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EXHIBIT C</w:t>
      </w:r>
    </w:p>
    <w:p>
      <w:pPr>
        <w:jc w:val="center"/>
        <w:ind w:right="-1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900"/>
          </w:cols>
          <w:pgMar w:left="420" w:top="1399" w:right="579" w:bottom="1440" w:gutter="0" w:footer="0" w:header="0"/>
        </w:sectPr>
      </w:pPr>
    </w:p>
    <w:bookmarkStart w:id="210" w:name="page211"/>
    <w:bookmarkEnd w:id="210"/>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LANDLORD WORK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Expansion Space shall be in the configuration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159385</wp:posOffset>
            </wp:positionV>
            <wp:extent cx="1688465" cy="6266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1688465" cy="6266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A</w:t>
      </w: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440" w:right="1440" w:bottom="1440" w:gutter="0" w:footer="0" w:header="0"/>
          <w:type w:val="continuous"/>
        </w:sectPr>
      </w:pPr>
    </w:p>
    <w:bookmarkStart w:id="211" w:name="page212"/>
    <w:bookmarkEnd w:id="211"/>
    <w:p>
      <w:pPr>
        <w:ind w:left="9040"/>
        <w:spacing w:after="0"/>
        <w:rPr>
          <w:sz w:val="20"/>
          <w:szCs w:val="20"/>
          <w:color w:val="auto"/>
        </w:rPr>
      </w:pPr>
      <w:r>
        <w:rPr>
          <w:rFonts w:ascii="Arial" w:cs="Arial" w:eastAsia="Arial" w:hAnsi="Arial"/>
          <w:sz w:val="18"/>
          <w:szCs w:val="18"/>
          <w:color w:val="auto"/>
        </w:rPr>
        <w:t>Exhibit 10.20</w:t>
      </w:r>
    </w:p>
    <w:p>
      <w:pPr>
        <w:spacing w:after="0" w:line="227" w:lineRule="exact"/>
        <w:rPr>
          <w:sz w:val="20"/>
          <w:szCs w:val="20"/>
          <w:color w:val="auto"/>
        </w:rPr>
      </w:pPr>
    </w:p>
    <w:p>
      <w:pPr>
        <w:ind w:left="5460"/>
        <w:spacing w:after="0"/>
        <w:rPr>
          <w:sz w:val="20"/>
          <w:szCs w:val="20"/>
          <w:color w:val="auto"/>
        </w:rPr>
      </w:pPr>
      <w:r>
        <w:rPr>
          <w:rFonts w:ascii="Arial" w:cs="Arial" w:eastAsia="Arial" w:hAnsi="Arial"/>
          <w:sz w:val="16"/>
          <w:szCs w:val="16"/>
          <w:b w:val="1"/>
          <w:bCs w:val="1"/>
          <w:i w:val="1"/>
          <w:iCs w:val="1"/>
          <w:color w:val="494949"/>
        </w:rPr>
        <w:t>Conformed through First Amendment (as defined below)</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SENIOR SECURED CREDIT FACILITIES</w:t>
      </w:r>
    </w:p>
    <w:p>
      <w:pPr>
        <w:spacing w:after="0" w:line="391"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39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dated as of January 4, 2021,</w:t>
      </w:r>
    </w:p>
    <w:p>
      <w:pPr>
        <w:spacing w:after="0" w:line="17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among</w:t>
      </w:r>
    </w:p>
    <w:p>
      <w:pPr>
        <w:spacing w:after="0" w:line="385"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CROWDSTRIKE HOLDINGS, INC.</w:t>
      </w:r>
      <w:r>
        <w:rPr>
          <w:rFonts w:ascii="Arial" w:cs="Arial" w:eastAsia="Arial" w:hAnsi="Arial"/>
          <w:sz w:val="20"/>
          <w:szCs w:val="20"/>
          <w:color w:val="auto"/>
        </w:rPr>
        <w:t>,</w:t>
      </w:r>
    </w:p>
    <w:p>
      <w:pPr>
        <w:spacing w:after="0" w:line="18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a Guarantor,</w:t>
      </w:r>
    </w:p>
    <w:p>
      <w:pPr>
        <w:spacing w:after="0" w:line="385"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CROWDSTRIKE, INC.</w:t>
      </w:r>
      <w:r>
        <w:rPr>
          <w:rFonts w:ascii="Arial" w:cs="Arial" w:eastAsia="Arial" w:hAnsi="Arial"/>
          <w:sz w:val="20"/>
          <w:szCs w:val="20"/>
          <w:color w:val="auto"/>
        </w:rPr>
        <w:t>,</w:t>
      </w:r>
    </w:p>
    <w:p>
      <w:pPr>
        <w:spacing w:after="0" w:line="154"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the Borrower,</w:t>
      </w:r>
    </w:p>
    <w:p>
      <w:pPr>
        <w:spacing w:after="0" w:line="169" w:lineRule="exact"/>
        <w:rPr>
          <w:sz w:val="20"/>
          <w:szCs w:val="20"/>
          <w:color w:val="auto"/>
        </w:rPr>
      </w:pPr>
    </w:p>
    <w:p>
      <w:pPr>
        <w:ind w:left="1420"/>
        <w:spacing w:after="0"/>
        <w:rPr>
          <w:sz w:val="20"/>
          <w:szCs w:val="20"/>
          <w:color w:val="auto"/>
        </w:rPr>
      </w:pPr>
      <w:r>
        <w:rPr>
          <w:rFonts w:ascii="Arial" w:cs="Arial" w:eastAsia="Arial" w:hAnsi="Arial"/>
          <w:sz w:val="20"/>
          <w:szCs w:val="20"/>
          <w:b w:val="1"/>
          <w:bCs w:val="1"/>
          <w:color w:val="auto"/>
        </w:rPr>
        <w:t>THE SEVERAL LENDERS FROM TIME TO TIME PARTY HERETO,</w:t>
      </w:r>
    </w:p>
    <w:p>
      <w:pPr>
        <w:spacing w:after="0" w:line="391"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SILICON VALLEY BANK,</w:t>
      </w:r>
    </w:p>
    <w:p>
      <w:pPr>
        <w:spacing w:after="0" w:line="397"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as Administrative Agent, Issuing Lender and Swingline Lender,</w:t>
      </w:r>
    </w:p>
    <w:p>
      <w:pPr>
        <w:spacing w:after="0" w:line="366"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 xml:space="preserve">SILICON VALLEY BANK </w:t>
      </w:r>
      <w:r>
        <w:rPr>
          <w:rFonts w:ascii="Arial" w:cs="Arial" w:eastAsia="Arial" w:hAnsi="Arial"/>
          <w:sz w:val="20"/>
          <w:szCs w:val="20"/>
          <w:color w:val="auto"/>
        </w:rPr>
        <w:t>and</w:t>
      </w:r>
      <w:r>
        <w:rPr>
          <w:rFonts w:ascii="Arial" w:cs="Arial" w:eastAsia="Arial" w:hAnsi="Arial"/>
          <w:sz w:val="20"/>
          <w:szCs w:val="20"/>
          <w:b w:val="1"/>
          <w:bCs w:val="1"/>
          <w:color w:val="auto"/>
        </w:rPr>
        <w:t xml:space="preserve"> JPMORGAN CHASE BANK, N.A.</w:t>
      </w:r>
      <w:r>
        <w:rPr>
          <w:rFonts w:ascii="Arial" w:cs="Arial" w:eastAsia="Arial" w:hAnsi="Arial"/>
          <w:sz w:val="20"/>
          <w:szCs w:val="20"/>
          <w:color w:val="auto"/>
        </w:rPr>
        <w:t>,</w:t>
      </w:r>
    </w:p>
    <w:p>
      <w:pPr>
        <w:jc w:val="center"/>
        <w:ind w:right="1100"/>
        <w:spacing w:after="0"/>
        <w:rPr>
          <w:sz w:val="20"/>
          <w:szCs w:val="20"/>
          <w:color w:val="auto"/>
        </w:rPr>
      </w:pPr>
      <w:r>
        <w:rPr>
          <w:rFonts w:ascii="Arial" w:cs="Arial" w:eastAsia="Arial" w:hAnsi="Arial"/>
          <w:sz w:val="20"/>
          <w:szCs w:val="20"/>
          <w:color w:val="auto"/>
        </w:rPr>
        <w:t>as Lead Arrangers,</w:t>
      </w:r>
    </w:p>
    <w:p>
      <w:pPr>
        <w:spacing w:after="0" w:line="13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150"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BANK OF AMERICA, N.A.,</w:t>
      </w:r>
    </w:p>
    <w:p>
      <w:pPr>
        <w:jc w:val="center"/>
        <w:ind w:right="1100"/>
        <w:spacing w:after="0" w:line="197" w:lineRule="auto"/>
        <w:rPr>
          <w:sz w:val="20"/>
          <w:szCs w:val="20"/>
          <w:color w:val="auto"/>
        </w:rPr>
      </w:pPr>
      <w:r>
        <w:rPr>
          <w:rFonts w:ascii="Arial" w:cs="Arial" w:eastAsia="Arial" w:hAnsi="Arial"/>
          <w:sz w:val="20"/>
          <w:szCs w:val="20"/>
          <w:b w:val="1"/>
          <w:bCs w:val="1"/>
          <w:color w:val="auto"/>
        </w:rPr>
        <w:t>BARCLAYS BANK PLC,</w:t>
      </w:r>
    </w:p>
    <w:p>
      <w:pPr>
        <w:jc w:val="center"/>
        <w:ind w:right="1100"/>
        <w:spacing w:after="0" w:line="197" w:lineRule="auto"/>
        <w:rPr>
          <w:sz w:val="20"/>
          <w:szCs w:val="20"/>
          <w:color w:val="auto"/>
        </w:rPr>
      </w:pPr>
      <w:r>
        <w:rPr>
          <w:rFonts w:ascii="Arial" w:cs="Arial" w:eastAsia="Arial" w:hAnsi="Arial"/>
          <w:sz w:val="20"/>
          <w:szCs w:val="20"/>
          <w:b w:val="1"/>
          <w:bCs w:val="1"/>
          <w:color w:val="auto"/>
        </w:rPr>
        <w:t>CITIBANK, N.A.</w:t>
      </w:r>
    </w:p>
    <w:p>
      <w:pPr>
        <w:jc w:val="center"/>
        <w:ind w:right="1100"/>
        <w:spacing w:after="0" w:line="197" w:lineRule="auto"/>
        <w:rPr>
          <w:sz w:val="20"/>
          <w:szCs w:val="20"/>
          <w:color w:val="auto"/>
        </w:rPr>
      </w:pPr>
      <w:r>
        <w:rPr>
          <w:rFonts w:ascii="Arial" w:cs="Arial" w:eastAsia="Arial" w:hAnsi="Arial"/>
          <w:sz w:val="20"/>
          <w:szCs w:val="20"/>
          <w:color w:val="auto"/>
        </w:rPr>
        <w:t>and</w:t>
      </w:r>
    </w:p>
    <w:p>
      <w:pPr>
        <w:jc w:val="center"/>
        <w:ind w:right="1100"/>
        <w:spacing w:after="0" w:line="197" w:lineRule="auto"/>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as Co-Syndication Agents</w:t>
      </w:r>
    </w:p>
    <w:p>
      <w:pPr>
        <w:sectPr>
          <w:pgSz w:w="11900" w:h="16838" w:orient="portrait"/>
          <w:cols w:equalWidth="0" w:num="1">
            <w:col w:w="10120"/>
          </w:cols>
          <w:pgMar w:left="1440" w:top="108" w:right="339" w:bottom="1440" w:gutter="0" w:footer="0" w:header="0"/>
        </w:sectPr>
      </w:pPr>
    </w:p>
    <w:bookmarkStart w:id="212" w:name="page213"/>
    <w:bookmarkEnd w:id="212"/>
    <w:p>
      <w:pPr>
        <w:jc w:val="center"/>
        <w:ind w:right="-39"/>
        <w:spacing w:after="0"/>
        <w:rPr>
          <w:sz w:val="20"/>
          <w:szCs w:val="20"/>
          <w:color w:val="auto"/>
        </w:rPr>
      </w:pPr>
      <w:r>
        <w:rPr>
          <w:rFonts w:ascii="Arial" w:cs="Arial" w:eastAsia="Arial" w:hAnsi="Arial"/>
          <w:sz w:val="20"/>
          <w:szCs w:val="20"/>
          <w:b w:val="1"/>
          <w:bCs w:val="1"/>
          <w:color w:val="auto"/>
        </w:rPr>
        <w:t>Table of Contents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1 DEFINITIONS</w:t>
              </w:r>
            </w:hyperlink>
          </w:p>
        </w:tc>
        <w:tc>
          <w:tcPr>
            <w:tcW w:w="2360" w:type="dxa"/>
            <w:vAlign w:val="bottom"/>
          </w:tcPr>
          <w:p>
            <w:pPr>
              <w:ind w:left="2160"/>
              <w:spacing w:after="0"/>
              <w:rPr>
                <w:rFonts w:ascii="Arial" w:cs="Arial" w:eastAsia="Arial" w:hAnsi="Arial"/>
                <w:sz w:val="20"/>
                <w:szCs w:val="20"/>
                <w:color w:val="auto"/>
              </w:rPr>
            </w:pPr>
            <w:hyperlink w:anchor="page218">
              <w:r>
                <w:rPr>
                  <w:rFonts w:ascii="Arial" w:cs="Arial" w:eastAsia="Arial" w:hAnsi="Arial"/>
                  <w:sz w:val="20"/>
                  <w:szCs w:val="20"/>
                  <w:color w:val="auto"/>
                </w:rPr>
                <w:t>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1.1</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Defined Terms</w:t>
              </w:r>
            </w:hyperlink>
          </w:p>
        </w:tc>
        <w:tc>
          <w:tcPr>
            <w:tcW w:w="2360" w:type="dxa"/>
            <w:vAlign w:val="bottom"/>
          </w:tcPr>
          <w:p>
            <w:pPr>
              <w:ind w:left="2160"/>
              <w:spacing w:after="0"/>
              <w:rPr>
                <w:rFonts w:ascii="Arial" w:cs="Arial" w:eastAsia="Arial" w:hAnsi="Arial"/>
                <w:sz w:val="20"/>
                <w:szCs w:val="20"/>
                <w:color w:val="auto"/>
              </w:rPr>
            </w:pPr>
            <w:hyperlink w:anchor="page218">
              <w:r>
                <w:rPr>
                  <w:rFonts w:ascii="Arial" w:cs="Arial" w:eastAsia="Arial" w:hAnsi="Arial"/>
                  <w:sz w:val="20"/>
                  <w:szCs w:val="20"/>
                  <w:color w:val="auto"/>
                </w:rPr>
                <w:t>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1.2</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Other Definitional Provisions.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41</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1.3</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Rounding</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1.4</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Limited Condition Acquisitions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1.5</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Rates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1.6</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Re-Classification and Incurrence Testing</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43</w:t>
              </w:r>
            </w:hyperlink>
          </w:p>
        </w:tc>
      </w:tr>
      <w:tr>
        <w:trPr>
          <w:trHeight w:val="243"/>
        </w:trPr>
        <w:tc>
          <w:tcPr>
            <w:tcW w:w="828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2 AMOUNT AND TERMS OF COMMITMENTS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2.1</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2.2</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2.3</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2.4</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Revolving Commitments.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2.5</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Procedure for Revolving Loan Borrowing</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2.6</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Swingline Commitment</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2.7</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Procedure for Swingline Borrowing; Refunding of Swingline Loans.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45</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2.8</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Overadvances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46</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2.9</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Fees.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2.10</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Termination or Reduction of Revolving Commitments; Prepayments.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47</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2.11</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2.12</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2.13</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Conversion and Continuation Options.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2.14</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Limitations on SOFR Tranches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2.15</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Interest Rates and Payment Dates.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2.16</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Computation of Interest and Fees.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2.17</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Inability to Determine Interest Rate; Benchmark Replacement Setting.</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49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2.18</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Pro Rata Treatment and Payments.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51</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2.19</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Illegality; Requirements of Law.</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54</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2.20</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Taxes.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56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2.21</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Indemnity</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59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2.22</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Change of Lending Office</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60</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2.23</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Substitution of Lenders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60</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2.24</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Defaulting Lenders.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61</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2.25</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63</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2.26</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Notes</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63</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2.27</w:t>
              </w:r>
            </w:hyperlink>
          </w:p>
        </w:tc>
        <w:tc>
          <w:tcPr>
            <w:tcW w:w="788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Incremental Facility.</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63</w:t>
              </w:r>
            </w:hyperlink>
          </w:p>
        </w:tc>
      </w:tr>
      <w:tr>
        <w:trPr>
          <w:trHeight w:val="243"/>
        </w:trPr>
        <w:tc>
          <w:tcPr>
            <w:tcW w:w="828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3 LETTERS OF CREDIT</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65</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3.1</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L/C Commitment.</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65</w:t>
              </w:r>
            </w:hyperlink>
          </w:p>
        </w:tc>
      </w:tr>
      <w:tr>
        <w:trPr>
          <w:trHeight w:val="250"/>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3.2</w:t>
              </w:r>
            </w:hyperlink>
          </w:p>
        </w:tc>
        <w:tc>
          <w:tcPr>
            <w:tcW w:w="788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Procedure for Issuance of Letters of Credit</w:t>
              </w:r>
            </w:hyperlink>
          </w:p>
        </w:tc>
        <w:tc>
          <w:tcPr>
            <w:tcW w:w="2360" w:type="dxa"/>
            <w:vAlign w:val="bottom"/>
          </w:tcPr>
          <w:p>
            <w:pPr>
              <w:ind w:left="2160"/>
              <w:spacing w:after="0"/>
              <w:rPr>
                <w:rFonts w:ascii="Arial" w:cs="Arial" w:eastAsia="Arial" w:hAnsi="Arial"/>
                <w:sz w:val="20"/>
                <w:szCs w:val="20"/>
                <w:color w:val="auto"/>
                <w:w w:val="80"/>
              </w:rPr>
            </w:pPr>
            <w:hyperlink w:anchor="page218">
              <w:r>
                <w:rPr>
                  <w:rFonts w:ascii="Arial" w:cs="Arial" w:eastAsia="Arial" w:hAnsi="Arial"/>
                  <w:sz w:val="20"/>
                  <w:szCs w:val="20"/>
                  <w:color w:val="auto"/>
                  <w:w w:val="80"/>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060"/>
          </w:cols>
          <w:pgMar w:left="400" w:top="104" w:right="439" w:bottom="1440" w:gutter="0" w:footer="0" w:header="0"/>
        </w:sectPr>
      </w:pPr>
    </w:p>
    <w:bookmarkStart w:id="213" w:name="page214"/>
    <w:bookmarkEnd w:id="213"/>
    <w:p>
      <w:pPr>
        <w:jc w:val="center"/>
        <w:ind w:right="-39"/>
        <w:spacing w:after="0"/>
        <w:rPr>
          <w:sz w:val="20"/>
          <w:szCs w:val="20"/>
          <w:color w:val="auto"/>
        </w:rPr>
      </w:pPr>
      <w:r>
        <w:rPr>
          <w:rFonts w:ascii="Arial" w:cs="Arial" w:eastAsia="Arial" w:hAnsi="Arial"/>
          <w:sz w:val="20"/>
          <w:szCs w:val="20"/>
          <w:b w:val="1"/>
          <w:bCs w:val="1"/>
          <w:color w:val="auto"/>
        </w:rPr>
        <w:t>Table of Contents</w:t>
      </w:r>
    </w:p>
    <w:p>
      <w:pPr>
        <w:jc w:val="center"/>
        <w:ind w:right="-3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3.3</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Fees and Other Charges.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67</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3.4</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L/C Participations; Existing Letters of Credit.</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68</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3.5</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Reimbursement.</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68</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3.6</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Obligations Absolute</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69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3.7</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Letter of Credit Payments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69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3.8</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Applications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69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3.9</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Interim Interest</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70</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3.10</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Cash Collateral.</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70</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3.11</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Additional Issuing Lenders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71</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3.12</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Resignation of the Issuing Lender</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71</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3.13</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Applicability of UCP and ISP</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71</w:t>
              </w:r>
            </w:hyperlink>
          </w:p>
        </w:tc>
      </w:tr>
      <w:tr>
        <w:trPr>
          <w:trHeight w:val="243"/>
        </w:trPr>
        <w:tc>
          <w:tcPr>
            <w:tcW w:w="754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4 REPRESENTATIONS AND WARRANTIES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71</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4.1</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Financial Condition.</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4.2</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No Change</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4.3</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Existence; Compliance with Law</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4.4</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Power, Authorization; Enforceable Obligations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4.5</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No Legal Bar</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4.6</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Litigation</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4.7</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No Default</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4.8</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Ownership of Property; Liens; Investments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4.9</w:t>
              </w:r>
            </w:hyperlink>
          </w:p>
        </w:tc>
        <w:tc>
          <w:tcPr>
            <w:tcW w:w="714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Intellectual Property</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73</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4.10</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Taxes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74</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4.11</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Federal Regulations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74</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4.12</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Labor Matters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74</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4.13</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ERISA</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74</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4.14</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Investment Company Act; Other Regulations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75</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4.15</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Subsidiaries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75</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4.16</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Use of Proceeds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4.17</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Environmental Matters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4.18</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Accuracy of Information, etc.</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77</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4.19</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Security Documents.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77</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4.20</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Solvency</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4.21</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Regulation H</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4.22</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Designated Senior Indebtedness</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4.23</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4.24</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Insurance</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4.25</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No Casualty</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50"/>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4.26</w:t>
              </w:r>
            </w:hyperlink>
          </w:p>
        </w:tc>
        <w:tc>
          <w:tcPr>
            <w:tcW w:w="714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10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060"/>
          </w:cols>
          <w:pgMar w:left="400" w:top="84" w:right="439" w:bottom="1440" w:gutter="0" w:footer="0" w:header="0"/>
        </w:sectPr>
      </w:pPr>
    </w:p>
    <w:bookmarkStart w:id="214" w:name="page215"/>
    <w:bookmarkEnd w:id="214"/>
    <w:p>
      <w:pPr>
        <w:jc w:val="center"/>
        <w:ind w:right="-39"/>
        <w:spacing w:after="0"/>
        <w:rPr>
          <w:sz w:val="20"/>
          <w:szCs w:val="20"/>
          <w:color w:val="auto"/>
        </w:rPr>
      </w:pPr>
      <w:r>
        <w:rPr>
          <w:rFonts w:ascii="Arial" w:cs="Arial" w:eastAsia="Arial" w:hAnsi="Arial"/>
          <w:sz w:val="20"/>
          <w:szCs w:val="20"/>
          <w:b w:val="1"/>
          <w:bCs w:val="1"/>
          <w:color w:val="auto"/>
        </w:rPr>
        <w:t>Table of Contents</w:t>
      </w:r>
    </w:p>
    <w:p>
      <w:pPr>
        <w:jc w:val="center"/>
        <w:ind w:right="-3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4.27</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4.28</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OFAC</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4.29</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Anti-Corruption Laws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r>
      <w:tr>
        <w:trPr>
          <w:trHeight w:val="243"/>
        </w:trPr>
        <w:tc>
          <w:tcPr>
            <w:tcW w:w="730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5 CONDITIONS PRECEDENT</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5.1</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Conditions to Initial Extension of Credit</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79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5.2</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Conditions to Each Extension of Credit</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81</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5.3</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Post-Closing Conditions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82</w:t>
              </w:r>
            </w:hyperlink>
          </w:p>
        </w:tc>
      </w:tr>
      <w:tr>
        <w:trPr>
          <w:trHeight w:val="243"/>
        </w:trPr>
        <w:tc>
          <w:tcPr>
            <w:tcW w:w="730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6 AFFIRMATIVE COVENANTS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6.1</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Financial Statements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6.2</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Certificates; Reports; Other Information</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83</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6.3</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6.4</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Payment of Obligations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6.5</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Maintenance of Existence; Compliance</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6.6</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Maintenance of Property; Insurance</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85</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6.7</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Inspection of Books and Records; Discussions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85</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6.8</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Notices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85</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6.9</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Environmental Laws.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6.10</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6.11</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6.12</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Additional Collateral, Etc.</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86</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6.13</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6.14</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Use of Proceeds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6.15</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Designated Senior Indebtedness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6.16</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Anti-Corruption Laws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6.17</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Further Assurances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7300" w:type="dxa"/>
            <w:vAlign w:val="bottom"/>
            <w:gridSpan w:val="2"/>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7 NEGATIVE COVENANTS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7.1</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Financial Condition Covenants.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89</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7.2</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Indebtedness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90</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7.3</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Liens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92</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7.4</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Fundamental Changes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7.5</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Disposition of Property</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94</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7.6</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Restricted Payments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95</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7.7</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96</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7.8</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Investments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96</w:t>
              </w:r>
            </w:hyperlink>
          </w:p>
        </w:tc>
      </w:tr>
      <w:tr>
        <w:trPr>
          <w:trHeight w:val="243"/>
        </w:trPr>
        <w:tc>
          <w:tcPr>
            <w:tcW w:w="4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7.9</w:t>
              </w:r>
            </w:hyperlink>
          </w:p>
        </w:tc>
        <w:tc>
          <w:tcPr>
            <w:tcW w:w="69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ERISA</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7.10</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r>
        <w:trPr>
          <w:trHeight w:val="243"/>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7.11</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Transactions with Affiliates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r>
        <w:trPr>
          <w:trHeight w:val="250"/>
        </w:trPr>
        <w:tc>
          <w:tcPr>
            <w:tcW w:w="400" w:type="dxa"/>
            <w:vAlign w:val="bottom"/>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7.12</w:t>
              </w:r>
            </w:hyperlink>
          </w:p>
        </w:tc>
        <w:tc>
          <w:tcPr>
            <w:tcW w:w="69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Sale Leaseback Transactions</w:t>
              </w:r>
            </w:hyperlink>
          </w:p>
        </w:tc>
        <w:tc>
          <w:tcPr>
            <w:tcW w:w="33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060"/>
          </w:cols>
          <w:pgMar w:left="400" w:top="84" w:right="439" w:bottom="1440" w:gutter="0" w:footer="0" w:header="0"/>
        </w:sectPr>
      </w:pPr>
    </w:p>
    <w:bookmarkStart w:id="215" w:name="page216"/>
    <w:bookmarkEnd w:id="215"/>
    <w:p>
      <w:pPr>
        <w:jc w:val="center"/>
        <w:ind w:right="-39"/>
        <w:spacing w:after="0"/>
        <w:rPr>
          <w:sz w:val="20"/>
          <w:szCs w:val="20"/>
          <w:color w:val="auto"/>
        </w:rPr>
      </w:pPr>
      <w:r>
        <w:rPr>
          <w:rFonts w:ascii="Arial" w:cs="Arial" w:eastAsia="Arial" w:hAnsi="Arial"/>
          <w:sz w:val="20"/>
          <w:szCs w:val="20"/>
          <w:b w:val="1"/>
          <w:bCs w:val="1"/>
          <w:color w:val="auto"/>
        </w:rPr>
        <w:t>Table of Contents</w:t>
      </w:r>
    </w:p>
    <w:p>
      <w:pPr>
        <w:jc w:val="center"/>
        <w:ind w:right="-3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7.13</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Swap Agreements</w:t>
              </w:r>
            </w:hyperlink>
          </w:p>
        </w:tc>
        <w:tc>
          <w:tcPr>
            <w:tcW w:w="2820" w:type="dxa"/>
            <w:vAlign w:val="bottom"/>
          </w:tcPr>
          <w:p>
            <w:pPr>
              <w:ind w:left="2520"/>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7.14</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Accounting Changes</w:t>
              </w:r>
            </w:hyperlink>
          </w:p>
        </w:tc>
        <w:tc>
          <w:tcPr>
            <w:tcW w:w="2820" w:type="dxa"/>
            <w:vAlign w:val="bottom"/>
          </w:tcPr>
          <w:p>
            <w:pPr>
              <w:ind w:left="2520"/>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7.15</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Negative Pledge Clauses</w:t>
              </w:r>
            </w:hyperlink>
          </w:p>
        </w:tc>
        <w:tc>
          <w:tcPr>
            <w:tcW w:w="2820" w:type="dxa"/>
            <w:vAlign w:val="bottom"/>
          </w:tcPr>
          <w:p>
            <w:pPr>
              <w:ind w:left="2520"/>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7.16</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Clauses Restricting Subsidiary Distributions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100</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7.17</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Lines of Business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100</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7.18</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Designation of other Indebtedness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100</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7.19</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[Reserved]</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101</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7.20</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Amendments to Organizational Agreements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101</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7.21</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Use of Proceeds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101</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7.22</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Subordinated Indebtedness.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101</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7.23</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Anti-Terrorism Laws.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101</w:t>
              </w:r>
            </w:hyperlink>
          </w:p>
        </w:tc>
      </w:tr>
      <w:tr>
        <w:trPr>
          <w:trHeight w:val="243"/>
        </w:trPr>
        <w:tc>
          <w:tcPr>
            <w:tcW w:w="7920" w:type="dxa"/>
            <w:vAlign w:val="bottom"/>
            <w:gridSpan w:val="3"/>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8 EVENTS OF DEFAULT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102</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8.1</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Events of Default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102</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8.2</w:t>
              </w:r>
            </w:hyperlink>
          </w:p>
        </w:tc>
        <w:tc>
          <w:tcPr>
            <w:tcW w:w="7560" w:type="dxa"/>
            <w:vAlign w:val="bottom"/>
            <w:gridSpan w:val="2"/>
          </w:tcPr>
          <w:p>
            <w:pPr>
              <w:ind w:left="100"/>
              <w:spacing w:after="0"/>
              <w:rPr>
                <w:rFonts w:ascii="Arial" w:cs="Arial" w:eastAsia="Arial" w:hAnsi="Arial"/>
                <w:sz w:val="20"/>
                <w:szCs w:val="20"/>
                <w:color w:val="auto"/>
              </w:rPr>
            </w:pPr>
            <w:hyperlink w:anchor="page218">
              <w:r>
                <w:rPr>
                  <w:rFonts w:ascii="Arial" w:cs="Arial" w:eastAsia="Arial" w:hAnsi="Arial"/>
                  <w:sz w:val="20"/>
                  <w:szCs w:val="20"/>
                  <w:color w:val="auto"/>
                </w:rPr>
                <w:t>Remedies Upon Event of Default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104</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8.3</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Application of Funds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105</w:t>
              </w:r>
            </w:hyperlink>
          </w:p>
        </w:tc>
      </w:tr>
      <w:tr>
        <w:trPr>
          <w:trHeight w:val="243"/>
        </w:trPr>
        <w:tc>
          <w:tcPr>
            <w:tcW w:w="7920" w:type="dxa"/>
            <w:vAlign w:val="bottom"/>
            <w:gridSpan w:val="3"/>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9 THE ADMINISTRATIVE AGENT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106</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9.1</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Appointment and Authority.</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106</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9.2</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Delegation of Duties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107</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9.3</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Exculpatory Provisions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107</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9.4</w:t>
              </w:r>
            </w:hyperlink>
          </w:p>
        </w:tc>
        <w:tc>
          <w:tcPr>
            <w:tcW w:w="7560" w:type="dxa"/>
            <w:vAlign w:val="bottom"/>
            <w:gridSpan w:val="2"/>
          </w:tcPr>
          <w:p>
            <w:pPr>
              <w:ind w:left="100"/>
              <w:spacing w:after="0"/>
              <w:rPr>
                <w:rFonts w:ascii="Arial" w:cs="Arial" w:eastAsia="Arial" w:hAnsi="Arial"/>
                <w:sz w:val="20"/>
                <w:szCs w:val="20"/>
                <w:color w:val="auto"/>
              </w:rPr>
            </w:pPr>
            <w:hyperlink w:anchor="page218">
              <w:r>
                <w:rPr>
                  <w:rFonts w:ascii="Arial" w:cs="Arial" w:eastAsia="Arial" w:hAnsi="Arial"/>
                  <w:sz w:val="20"/>
                  <w:szCs w:val="20"/>
                  <w:color w:val="auto"/>
                </w:rPr>
                <w:t>Reliance by Administrative Agent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108</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9.5</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Notice of Default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109</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9.6</w:t>
              </w:r>
            </w:hyperlink>
          </w:p>
        </w:tc>
        <w:tc>
          <w:tcPr>
            <w:tcW w:w="7560" w:type="dxa"/>
            <w:vAlign w:val="bottom"/>
            <w:gridSpan w:val="2"/>
          </w:tcPr>
          <w:p>
            <w:pPr>
              <w:ind w:left="100"/>
              <w:spacing w:after="0"/>
              <w:rPr>
                <w:rFonts w:ascii="Arial" w:cs="Arial" w:eastAsia="Arial" w:hAnsi="Arial"/>
                <w:sz w:val="20"/>
                <w:szCs w:val="20"/>
                <w:color w:val="auto"/>
              </w:rPr>
            </w:pPr>
            <w:hyperlink w:anchor="page218">
              <w:r>
                <w:rPr>
                  <w:rFonts w:ascii="Arial" w:cs="Arial" w:eastAsia="Arial" w:hAnsi="Arial"/>
                  <w:sz w:val="20"/>
                  <w:szCs w:val="20"/>
                  <w:color w:val="auto"/>
                </w:rPr>
                <w:t>Non-Reliance on Administrative Agent and Other Lenders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109</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9.7</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Indemnification</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110</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9.8</w:t>
              </w:r>
            </w:hyperlink>
          </w:p>
        </w:tc>
        <w:tc>
          <w:tcPr>
            <w:tcW w:w="7560" w:type="dxa"/>
            <w:vAlign w:val="bottom"/>
            <w:gridSpan w:val="2"/>
          </w:tcPr>
          <w:p>
            <w:pPr>
              <w:ind w:left="100"/>
              <w:spacing w:after="0"/>
              <w:rPr>
                <w:rFonts w:ascii="Arial" w:cs="Arial" w:eastAsia="Arial" w:hAnsi="Arial"/>
                <w:sz w:val="20"/>
                <w:szCs w:val="20"/>
                <w:color w:val="auto"/>
              </w:rPr>
            </w:pPr>
            <w:hyperlink w:anchor="page218">
              <w:r>
                <w:rPr>
                  <w:rFonts w:ascii="Arial" w:cs="Arial" w:eastAsia="Arial" w:hAnsi="Arial"/>
                  <w:sz w:val="20"/>
                  <w:szCs w:val="20"/>
                  <w:color w:val="auto"/>
                </w:rPr>
                <w:t>Agent in Its Individual Capacity</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110</w:t>
              </w:r>
            </w:hyperlink>
          </w:p>
        </w:tc>
      </w:tr>
      <w:tr>
        <w:trPr>
          <w:trHeight w:val="243"/>
        </w:trPr>
        <w:tc>
          <w:tcPr>
            <w:tcW w:w="36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9.9</w:t>
              </w:r>
            </w:hyperlink>
          </w:p>
        </w:tc>
        <w:tc>
          <w:tcPr>
            <w:tcW w:w="40" w:type="dxa"/>
            <w:vAlign w:val="bottom"/>
          </w:tcPr>
          <w:p>
            <w:pPr>
              <w:spacing w:after="0"/>
              <w:rPr>
                <w:sz w:val="21"/>
                <w:szCs w:val="21"/>
                <w:color w:val="auto"/>
              </w:rPr>
            </w:pPr>
          </w:p>
        </w:tc>
        <w:tc>
          <w:tcPr>
            <w:tcW w:w="752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Successor Administrative Agent.</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110</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9.10</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Collateral and Guaranty Matters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111</w:t>
              </w:r>
            </w:hyperlink>
          </w:p>
        </w:tc>
      </w:tr>
      <w:tr>
        <w:trPr>
          <w:trHeight w:val="243"/>
        </w:trPr>
        <w:tc>
          <w:tcPr>
            <w:tcW w:w="7920" w:type="dxa"/>
            <w:vAlign w:val="bottom"/>
            <w:gridSpan w:val="3"/>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9.11  Administrative Agent May File Proofs of Claim</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112</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9.12</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No Other Duties, etc.</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113</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9.13</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Cash Management Bank and Qualified Counterparty Reports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113</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9.14</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Erroneous Payments.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113</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9.15</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Certain ERISA Matters.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116</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9.16</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Survival</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117</w:t>
              </w:r>
            </w:hyperlink>
          </w:p>
        </w:tc>
      </w:tr>
      <w:tr>
        <w:trPr>
          <w:trHeight w:val="243"/>
        </w:trPr>
        <w:tc>
          <w:tcPr>
            <w:tcW w:w="7920" w:type="dxa"/>
            <w:vAlign w:val="bottom"/>
            <w:gridSpan w:val="3"/>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SECTION 10 MISCELLANEOUS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117</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10.1</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Amendments and Waivers.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117</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10.2</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Notices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119</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10.3</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No Waiver; Cumulative Remedies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121</w:t>
              </w:r>
            </w:hyperlink>
          </w:p>
        </w:tc>
      </w:tr>
      <w:tr>
        <w:trPr>
          <w:trHeight w:val="243"/>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10.4</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Survival of Representations and Warranties</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121</w:t>
              </w:r>
            </w:hyperlink>
          </w:p>
        </w:tc>
      </w:tr>
      <w:tr>
        <w:trPr>
          <w:trHeight w:val="250"/>
        </w:trPr>
        <w:tc>
          <w:tcPr>
            <w:tcW w:w="400" w:type="dxa"/>
            <w:vAlign w:val="bottom"/>
            <w:gridSpan w:val="2"/>
          </w:tcPr>
          <w:p>
            <w:pPr>
              <w:spacing w:after="0"/>
              <w:rPr>
                <w:rFonts w:ascii="Arial" w:cs="Arial" w:eastAsia="Arial" w:hAnsi="Arial"/>
                <w:sz w:val="20"/>
                <w:szCs w:val="20"/>
                <w:color w:val="auto"/>
                <w:w w:val="97"/>
              </w:rPr>
            </w:pPr>
            <w:hyperlink w:anchor="page218">
              <w:r>
                <w:rPr>
                  <w:rFonts w:ascii="Arial" w:cs="Arial" w:eastAsia="Arial" w:hAnsi="Arial"/>
                  <w:sz w:val="20"/>
                  <w:szCs w:val="20"/>
                  <w:color w:val="auto"/>
                  <w:w w:val="97"/>
                </w:rPr>
                <w:t>10.5</w:t>
              </w:r>
            </w:hyperlink>
          </w:p>
        </w:tc>
        <w:tc>
          <w:tcPr>
            <w:tcW w:w="752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Expenses; Indemnity; Damage Waiver.</w:t>
              </w:r>
            </w:hyperlink>
          </w:p>
        </w:tc>
        <w:tc>
          <w:tcPr>
            <w:tcW w:w="2820" w:type="dxa"/>
            <w:vAlign w:val="bottom"/>
          </w:tcPr>
          <w:p>
            <w:pPr>
              <w:ind w:left="2520"/>
              <w:spacing w:after="0"/>
              <w:rPr>
                <w:rFonts w:ascii="Arial" w:cs="Arial" w:eastAsia="Arial" w:hAnsi="Arial"/>
                <w:sz w:val="20"/>
                <w:szCs w:val="20"/>
                <w:color w:val="auto"/>
                <w:w w:val="83"/>
              </w:rPr>
            </w:pPr>
            <w:hyperlink w:anchor="page218">
              <w:r>
                <w:rPr>
                  <w:rFonts w:ascii="Arial" w:cs="Arial" w:eastAsia="Arial" w:hAnsi="Arial"/>
                  <w:sz w:val="20"/>
                  <w:szCs w:val="20"/>
                  <w:color w:val="auto"/>
                  <w:w w:val="83"/>
                </w:rPr>
                <w:t>121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060"/>
          </w:cols>
          <w:pgMar w:left="400" w:top="84" w:right="439" w:bottom="144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20"/>
          <w:szCs w:val="20"/>
          <w:b w:val="1"/>
          <w:bCs w:val="1"/>
          <w:color w:val="auto"/>
        </w:rPr>
        <w:t>Table of Contents</w:t>
      </w:r>
    </w:p>
    <w:p>
      <w:pPr>
        <w:jc w:val="center"/>
        <w:ind w:right="-3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10.6</w:t>
              </w:r>
            </w:hyperlink>
          </w:p>
        </w:tc>
        <w:tc>
          <w:tcPr>
            <w:tcW w:w="96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Successors and Assigns; Participations and Assignments.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123</w:t>
              </w:r>
            </w:hyperlink>
          </w:p>
        </w:tc>
      </w:tr>
      <w:tr>
        <w:trPr>
          <w:trHeight w:val="243"/>
        </w:trPr>
        <w:tc>
          <w:tcPr>
            <w:tcW w:w="5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10.7</w:t>
              </w:r>
            </w:hyperlink>
          </w:p>
        </w:tc>
        <w:tc>
          <w:tcPr>
            <w:tcW w:w="96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Adjustments; Set-off.</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126</w:t>
              </w:r>
            </w:hyperlink>
          </w:p>
        </w:tc>
      </w:tr>
      <w:tr>
        <w:trPr>
          <w:trHeight w:val="243"/>
        </w:trPr>
        <w:tc>
          <w:tcPr>
            <w:tcW w:w="5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10.8</w:t>
              </w:r>
            </w:hyperlink>
          </w:p>
        </w:tc>
        <w:tc>
          <w:tcPr>
            <w:tcW w:w="96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Payments Set Aside</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127</w:t>
              </w:r>
            </w:hyperlink>
          </w:p>
        </w:tc>
      </w:tr>
      <w:tr>
        <w:trPr>
          <w:trHeight w:val="243"/>
        </w:trPr>
        <w:tc>
          <w:tcPr>
            <w:tcW w:w="500" w:type="dxa"/>
            <w:vAlign w:val="bottom"/>
          </w:tcPr>
          <w:p>
            <w:pPr>
              <w:spacing w:after="0"/>
              <w:rPr>
                <w:rFonts w:ascii="Arial" w:cs="Arial" w:eastAsia="Arial" w:hAnsi="Arial"/>
                <w:sz w:val="20"/>
                <w:szCs w:val="20"/>
                <w:color w:val="auto"/>
              </w:rPr>
            </w:pPr>
            <w:hyperlink w:anchor="page218">
              <w:r>
                <w:rPr>
                  <w:rFonts w:ascii="Arial" w:cs="Arial" w:eastAsia="Arial" w:hAnsi="Arial"/>
                  <w:sz w:val="20"/>
                  <w:szCs w:val="20"/>
                  <w:color w:val="auto"/>
                </w:rPr>
                <w:t>10.9</w:t>
              </w:r>
            </w:hyperlink>
          </w:p>
        </w:tc>
        <w:tc>
          <w:tcPr>
            <w:tcW w:w="9600" w:type="dxa"/>
            <w:vAlign w:val="bottom"/>
          </w:tcPr>
          <w:p>
            <w:pPr>
              <w:ind w:left="60"/>
              <w:spacing w:after="0"/>
              <w:rPr>
                <w:rFonts w:ascii="Arial" w:cs="Arial" w:eastAsia="Arial" w:hAnsi="Arial"/>
                <w:sz w:val="20"/>
                <w:szCs w:val="20"/>
                <w:color w:val="auto"/>
              </w:rPr>
            </w:pPr>
            <w:hyperlink w:anchor="page218">
              <w:r>
                <w:rPr>
                  <w:rFonts w:ascii="Arial" w:cs="Arial" w:eastAsia="Arial" w:hAnsi="Arial"/>
                  <w:sz w:val="20"/>
                  <w:szCs w:val="20"/>
                  <w:color w:val="auto"/>
                </w:rPr>
                <w:t>Interest Rate Limitation</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127</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10.10</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Counterparts; Electronic Execution of Assignments.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128</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10.11</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Severability</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128</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10.12</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Integration</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128</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10.13</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GOVERNING LAW</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128</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10.14</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Submission to Jurisdiction; Waivers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129</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10.15</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Acknowledgements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129</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10.16</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Releases of Guarantees and Liens.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130</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10.17</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Treatment of Certain Information; Confidentiality</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131</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10.18</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Automatic Debits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131</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10.19</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Judgment Currency</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132</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10.20</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Patriot Act</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132</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10.21</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Acknowledgement and Consent to Bail-In of Affected Financial Institutions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132</w:t>
              </w:r>
            </w:hyperlink>
          </w:p>
        </w:tc>
      </w:tr>
      <w:tr>
        <w:trPr>
          <w:trHeight w:val="243"/>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10.22</w:t>
              </w:r>
            </w:hyperlink>
          </w:p>
        </w:tc>
        <w:tc>
          <w:tcPr>
            <w:tcW w:w="9600" w:type="dxa"/>
            <w:vAlign w:val="bottom"/>
          </w:tcPr>
          <w:p>
            <w:pPr>
              <w:ind w:left="160"/>
              <w:spacing w:after="0"/>
              <w:rPr>
                <w:rFonts w:ascii="Arial" w:cs="Arial" w:eastAsia="Arial" w:hAnsi="Arial"/>
                <w:sz w:val="20"/>
                <w:szCs w:val="20"/>
                <w:color w:val="auto"/>
                <w:w w:val="94"/>
              </w:rPr>
            </w:pPr>
            <w:hyperlink w:anchor="page218">
              <w:r>
                <w:rPr>
                  <w:rFonts w:ascii="Arial" w:cs="Arial" w:eastAsia="Arial" w:hAnsi="Arial"/>
                  <w:sz w:val="20"/>
                  <w:szCs w:val="20"/>
                  <w:color w:val="auto"/>
                  <w:w w:val="94"/>
                </w:rPr>
                <w:t>Amendment and Restatement of Existing Credit Agreement; Acknowledgement of Prior Obligations; No Novation</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133</w:t>
              </w:r>
            </w:hyperlink>
          </w:p>
        </w:tc>
      </w:tr>
      <w:tr>
        <w:trPr>
          <w:trHeight w:val="250"/>
        </w:trPr>
        <w:tc>
          <w:tcPr>
            <w:tcW w:w="500" w:type="dxa"/>
            <w:vAlign w:val="bottom"/>
          </w:tcPr>
          <w:p>
            <w:pPr>
              <w:spacing w:after="0"/>
              <w:rPr>
                <w:rFonts w:ascii="Arial" w:cs="Arial" w:eastAsia="Arial" w:hAnsi="Arial"/>
                <w:sz w:val="20"/>
                <w:szCs w:val="20"/>
                <w:color w:val="auto"/>
                <w:w w:val="95"/>
              </w:rPr>
            </w:pPr>
            <w:hyperlink w:anchor="page218">
              <w:r>
                <w:rPr>
                  <w:rFonts w:ascii="Arial" w:cs="Arial" w:eastAsia="Arial" w:hAnsi="Arial"/>
                  <w:sz w:val="20"/>
                  <w:szCs w:val="20"/>
                  <w:color w:val="auto"/>
                  <w:w w:val="95"/>
                </w:rPr>
                <w:t>10.23</w:t>
              </w:r>
            </w:hyperlink>
          </w:p>
        </w:tc>
        <w:tc>
          <w:tcPr>
            <w:tcW w:w="9600" w:type="dxa"/>
            <w:vAlign w:val="bottom"/>
          </w:tcPr>
          <w:p>
            <w:pPr>
              <w:ind w:left="160"/>
              <w:spacing w:after="0"/>
              <w:rPr>
                <w:rFonts w:ascii="Arial" w:cs="Arial" w:eastAsia="Arial" w:hAnsi="Arial"/>
                <w:sz w:val="20"/>
                <w:szCs w:val="20"/>
                <w:color w:val="auto"/>
              </w:rPr>
            </w:pPr>
            <w:hyperlink w:anchor="page218">
              <w:r>
                <w:rPr>
                  <w:rFonts w:ascii="Arial" w:cs="Arial" w:eastAsia="Arial" w:hAnsi="Arial"/>
                  <w:sz w:val="20"/>
                  <w:szCs w:val="20"/>
                  <w:color w:val="auto"/>
                </w:rPr>
                <w:t>Acknowledgment Regarding Any Supported QFCs</w:t>
              </w:r>
            </w:hyperlink>
          </w:p>
        </w:tc>
        <w:tc>
          <w:tcPr>
            <w:tcW w:w="640" w:type="dxa"/>
            <w:vAlign w:val="bottom"/>
          </w:tcPr>
          <w:p>
            <w:pPr>
              <w:jc w:val="right"/>
              <w:spacing w:after="0"/>
              <w:rPr>
                <w:rFonts w:ascii="Arial" w:cs="Arial" w:eastAsia="Arial" w:hAnsi="Arial"/>
                <w:sz w:val="20"/>
                <w:szCs w:val="20"/>
                <w:color w:val="auto"/>
              </w:rPr>
            </w:pPr>
            <w:hyperlink w:anchor="page218">
              <w:r>
                <w:rPr>
                  <w:rFonts w:ascii="Arial" w:cs="Arial" w:eastAsia="Arial" w:hAnsi="Arial"/>
                  <w:sz w:val="20"/>
                  <w:szCs w:val="20"/>
                  <w:color w:val="auto"/>
                </w:rPr>
                <w:t>134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-v-</w:t>
      </w:r>
    </w:p>
    <w:p>
      <w:pPr>
        <w:sectPr>
          <w:pgSz w:w="11900" w:h="16838" w:orient="portrait"/>
          <w:cols w:equalWidth="0" w:num="1">
            <w:col w:w="11060"/>
          </w:cols>
          <w:pgMar w:left="400" w:top="84" w:right="439" w:bottom="1440" w:gutter="0" w:footer="0" w:header="0"/>
        </w:sectPr>
      </w:pPr>
    </w:p>
    <w:bookmarkStart w:id="217" w:name="page218"/>
    <w:bookmarkEnd w:id="217"/>
    <w:p>
      <w:pPr>
        <w:jc w:val="center"/>
        <w:ind w:right="-1100"/>
        <w:spacing w:after="0"/>
        <w:rPr>
          <w:sz w:val="20"/>
          <w:szCs w:val="20"/>
          <w:color w:val="auto"/>
        </w:rPr>
      </w:pPr>
      <w:r>
        <w:rPr>
          <w:rFonts w:ascii="Arial" w:cs="Arial" w:eastAsia="Arial" w:hAnsi="Arial"/>
          <w:sz w:val="16"/>
          <w:szCs w:val="16"/>
          <w:b w:val="1"/>
          <w:bCs w:val="1"/>
          <w:color w:val="auto"/>
        </w:rPr>
        <w:t>Table of Contents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SCHEDULES</w:t>
      </w:r>
    </w:p>
    <w:p>
      <w:pPr>
        <w:sectPr>
          <w:pgSz w:w="11900" w:h="16838" w:orient="portrait"/>
          <w:cols w:equalWidth="0" w:num="1">
            <w:col w:w="10139"/>
          </w:cols>
          <w:pgMar w:left="320" w:top="104" w:right="1440"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Schedule 1.1A: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Schedule 1.1B:</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4.4:</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4.6:</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4.15:</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4.17:</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Schedule 4.19(a):</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Schedule 7.2(d):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Schedule 7.3(f):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Schedule 7.8(e):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Commitments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Existing Letters of Credit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Governmental Approvals, Consents, Authorizations, Filings and Notices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Litigation</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Subsidiaries</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Environmental Matters</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20"/>
          <w:szCs w:val="20"/>
          <w:color w:val="auto"/>
        </w:rPr>
        <w:t>Financing Statements and Other Filings</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20"/>
          <w:szCs w:val="20"/>
          <w:color w:val="auto"/>
        </w:rPr>
        <w:t>Existing Indebtedness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Existing Liens</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Existing Investments</w:t>
      </w:r>
    </w:p>
    <w:p>
      <w:pPr>
        <w:spacing w:after="0" w:line="200" w:lineRule="exact"/>
        <w:rPr>
          <w:sz w:val="20"/>
          <w:szCs w:val="20"/>
          <w:color w:val="auto"/>
        </w:rPr>
      </w:pPr>
    </w:p>
    <w:p>
      <w:pPr>
        <w:sectPr>
          <w:pgSz w:w="11900" w:h="16838" w:orient="portrait"/>
          <w:cols w:equalWidth="0" w:num="2">
            <w:col w:w="1400" w:space="80"/>
            <w:col w:w="8659"/>
          </w:cols>
          <w:pgMar w:left="320" w:top="104" w:right="1440" w:bottom="1440" w:gutter="0" w:footer="0" w:header="0"/>
          <w:type w:val="continuous"/>
        </w:sectPr>
      </w:pPr>
    </w:p>
    <w:p>
      <w:pPr>
        <w:spacing w:after="0" w:line="178"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EXHIBITS</w:t>
      </w:r>
    </w:p>
    <w:p>
      <w:pPr>
        <w:spacing w:after="0" w:line="181"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[Reserved]</w:t>
      </w:r>
    </w:p>
    <w:p>
      <w:pPr>
        <w:spacing w:after="0" w:line="20"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Form of Compliance Certificate</w:t>
      </w:r>
    </w:p>
    <w:p>
      <w:pPr>
        <w:spacing w:after="0" w:line="1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Form of Secretary’s/Managing Member’s Certificate</w:t>
      </w:r>
    </w:p>
    <w:p>
      <w:pPr>
        <w:spacing w:after="0" w:line="1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8"/>
          <w:szCs w:val="18"/>
          <w:color w:val="auto"/>
        </w:rPr>
        <w:t>Form of Solvency Certificate</w:t>
      </w:r>
    </w:p>
    <w:p>
      <w:pPr>
        <w:spacing w:after="0" w:line="1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Form of Assignment and Assumption</w:t>
      </w:r>
    </w:p>
    <w:p>
      <w:pPr>
        <w:spacing w:after="0" w:line="13" w:lineRule="exact"/>
        <w:rPr>
          <w:sz w:val="20"/>
          <w:szCs w:val="20"/>
          <w:color w:val="auto"/>
        </w:rPr>
      </w:pPr>
    </w:p>
    <w:p>
      <w:pPr>
        <w:spacing w:after="0"/>
        <w:tabs>
          <w:tab w:leader="none" w:pos="1700" w:val="left"/>
        </w:tabs>
        <w:rPr>
          <w:sz w:val="20"/>
          <w:szCs w:val="20"/>
          <w:color w:val="auto"/>
        </w:rPr>
      </w:pPr>
      <w:r>
        <w:rPr>
          <w:rFonts w:ascii="Arial" w:cs="Arial" w:eastAsia="Arial" w:hAnsi="Arial"/>
          <w:sz w:val="20"/>
          <w:szCs w:val="20"/>
          <w:color w:val="auto"/>
        </w:rPr>
        <w:t>Exhibits F-1 – F-4:</w:t>
      </w:r>
      <w:r>
        <w:rPr>
          <w:sz w:val="20"/>
          <w:szCs w:val="20"/>
          <w:color w:val="auto"/>
        </w:rPr>
        <w:tab/>
      </w:r>
      <w:r>
        <w:rPr>
          <w:rFonts w:ascii="Arial" w:cs="Arial" w:eastAsia="Arial" w:hAnsi="Arial"/>
          <w:sz w:val="18"/>
          <w:szCs w:val="18"/>
          <w:color w:val="auto"/>
        </w:rPr>
        <w:t>Forms of U.S. Tax Compliance Certificate</w:t>
      </w:r>
    </w:p>
    <w:p>
      <w:pPr>
        <w:spacing w:after="0" w:line="1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6"/>
          <w:szCs w:val="16"/>
          <w:color w:val="auto"/>
        </w:rPr>
        <w:t>[Reserved]</w:t>
      </w:r>
    </w:p>
    <w:p>
      <w:pPr>
        <w:spacing w:after="0" w:line="13"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Exhibit H-1:</w:t>
      </w:r>
      <w:r>
        <w:rPr>
          <w:sz w:val="20"/>
          <w:szCs w:val="20"/>
          <w:color w:val="auto"/>
        </w:rPr>
        <w:tab/>
      </w:r>
      <w:r>
        <w:rPr>
          <w:rFonts w:ascii="Arial" w:cs="Arial" w:eastAsia="Arial" w:hAnsi="Arial"/>
          <w:sz w:val="18"/>
          <w:szCs w:val="18"/>
          <w:color w:val="auto"/>
        </w:rPr>
        <w:t>Form of Revolving Loan Note</w:t>
      </w:r>
    </w:p>
    <w:p>
      <w:pPr>
        <w:spacing w:after="0" w:line="13"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Exhibit H-2:</w:t>
      </w:r>
      <w:r>
        <w:rPr>
          <w:sz w:val="20"/>
          <w:szCs w:val="20"/>
          <w:color w:val="auto"/>
        </w:rPr>
        <w:tab/>
      </w:r>
      <w:r>
        <w:rPr>
          <w:rFonts w:ascii="Arial" w:cs="Arial" w:eastAsia="Arial" w:hAnsi="Arial"/>
          <w:sz w:val="18"/>
          <w:szCs w:val="18"/>
          <w:color w:val="auto"/>
        </w:rPr>
        <w:t>Form of Swingline Loan Note</w:t>
      </w:r>
    </w:p>
    <w:p>
      <w:pPr>
        <w:spacing w:after="0" w:line="1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Exhibit I:</w:t>
      </w:r>
      <w:r>
        <w:rPr>
          <w:sz w:val="20"/>
          <w:szCs w:val="20"/>
          <w:color w:val="auto"/>
        </w:rPr>
        <w:tab/>
      </w:r>
      <w:r>
        <w:rPr>
          <w:rFonts w:ascii="Arial" w:cs="Arial" w:eastAsia="Arial" w:hAnsi="Arial"/>
          <w:sz w:val="16"/>
          <w:szCs w:val="16"/>
          <w:color w:val="auto"/>
        </w:rPr>
        <w:t>[Reserved]</w:t>
      </w:r>
    </w:p>
    <w:p>
      <w:pPr>
        <w:spacing w:after="0" w:line="13"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Exhibit J:</w:t>
      </w:r>
      <w:r>
        <w:rPr>
          <w:sz w:val="20"/>
          <w:szCs w:val="20"/>
          <w:color w:val="auto"/>
        </w:rPr>
        <w:tab/>
      </w:r>
      <w:r>
        <w:rPr>
          <w:rFonts w:ascii="Arial" w:cs="Arial" w:eastAsia="Arial" w:hAnsi="Arial"/>
          <w:sz w:val="18"/>
          <w:szCs w:val="18"/>
          <w:color w:val="auto"/>
        </w:rPr>
        <w:t>Form of Collateral Information Certificate</w:t>
      </w:r>
    </w:p>
    <w:p>
      <w:pPr>
        <w:spacing w:after="0" w:line="13"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color w:val="auto"/>
        </w:rPr>
        <w:t>Exhibit K:</w:t>
      </w:r>
      <w:r>
        <w:rPr>
          <w:sz w:val="20"/>
          <w:szCs w:val="20"/>
          <w:color w:val="auto"/>
        </w:rPr>
        <w:tab/>
      </w:r>
      <w:r>
        <w:rPr>
          <w:rFonts w:ascii="Arial" w:cs="Arial" w:eastAsia="Arial" w:hAnsi="Arial"/>
          <w:sz w:val="18"/>
          <w:szCs w:val="18"/>
          <w:color w:val="auto"/>
        </w:rPr>
        <w:t>Form of Notice of Borrowing</w:t>
      </w:r>
    </w:p>
    <w:p>
      <w:pPr>
        <w:spacing w:after="0" w:line="13"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L:</w:t>
      </w:r>
      <w:r>
        <w:rPr>
          <w:sz w:val="20"/>
          <w:szCs w:val="20"/>
          <w:color w:val="auto"/>
        </w:rPr>
        <w:tab/>
      </w:r>
      <w:r>
        <w:rPr>
          <w:rFonts w:ascii="Arial" w:cs="Arial" w:eastAsia="Arial" w:hAnsi="Arial"/>
          <w:sz w:val="18"/>
          <w:szCs w:val="18"/>
          <w:color w:val="auto"/>
        </w:rPr>
        <w:t>Form of Notice of Conversion/Continuation</w:t>
      </w:r>
    </w:p>
    <w:p>
      <w:pPr>
        <w:sectPr>
          <w:pgSz w:w="11900" w:h="16838" w:orient="portrait"/>
          <w:cols w:equalWidth="0" w:num="1">
            <w:col w:w="10139"/>
          </w:cols>
          <w:pgMar w:left="320" w:top="10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-vi-</w:t>
      </w:r>
    </w:p>
    <w:p>
      <w:pPr>
        <w:sectPr>
          <w:pgSz w:w="11900" w:h="16838" w:orient="portrait"/>
          <w:cols w:equalWidth="0" w:num="1">
            <w:col w:w="10139"/>
          </w:cols>
          <w:pgMar w:left="320" w:top="104" w:right="1440" w:bottom="1440" w:gutter="0" w:footer="0" w:header="0"/>
          <w:type w:val="continuous"/>
        </w:sectPr>
      </w:pPr>
    </w:p>
    <w:bookmarkStart w:id="218" w:name="page219"/>
    <w:bookmarkEnd w:id="218"/>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175"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 xml:space="preserve">THIS AMENDED AND RESTATED CREDIT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January 4, 2021, is entered into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and among </w:t>
      </w:r>
      <w:r>
        <w:rPr>
          <w:rFonts w:ascii="Arial" w:cs="Arial" w:eastAsia="Arial" w:hAnsi="Arial"/>
          <w:sz w:val="20"/>
          <w:szCs w:val="20"/>
          <w:b w:val="1"/>
          <w:bCs w:val="1"/>
          <w:color w:val="auto"/>
        </w:rPr>
        <w:t>CROWDSTRIKE HOLDINGS,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Holdings</w:t>
      </w:r>
      <w:r>
        <w:rPr>
          <w:rFonts w:ascii="Arial" w:cs="Arial" w:eastAsia="Arial" w:hAnsi="Arial"/>
          <w:sz w:val="20"/>
          <w:szCs w:val="20"/>
          <w:color w:val="auto"/>
        </w:rPr>
        <w:t xml:space="preserve">”), </w:t>
      </w:r>
      <w:r>
        <w:rPr>
          <w:rFonts w:ascii="Arial" w:cs="Arial" w:eastAsia="Arial" w:hAnsi="Arial"/>
          <w:sz w:val="20"/>
          <w:szCs w:val="20"/>
          <w:b w:val="1"/>
          <w:bCs w:val="1"/>
          <w:color w:val="auto"/>
        </w:rPr>
        <w:t>CROWDSTRIKE, INC.</w:t>
      </w:r>
      <w:r>
        <w:rPr>
          <w:rFonts w:ascii="Arial" w:cs="Arial" w:eastAsia="Arial" w:hAnsi="Arial"/>
          <w:sz w:val="20"/>
          <w:szCs w:val="20"/>
          <w:color w:val="auto"/>
        </w:rPr>
        <w:t>, a Delaware corporation (“</w:t>
      </w:r>
      <w:r>
        <w:rPr>
          <w:rFonts w:ascii="Arial" w:cs="Arial" w:eastAsia="Arial" w:hAnsi="Arial"/>
          <w:sz w:val="20"/>
          <w:szCs w:val="20"/>
          <w:b w:val="1"/>
          <w:bCs w:val="1"/>
          <w:i w:val="1"/>
          <w:iCs w:val="1"/>
          <w:color w:val="auto"/>
        </w:rPr>
        <w:t>CrowdStrike</w:t>
      </w:r>
      <w:r>
        <w:rPr>
          <w:rFonts w:ascii="Arial" w:cs="Arial" w:eastAsia="Arial" w:hAnsi="Arial"/>
          <w:sz w:val="20"/>
          <w:szCs w:val="20"/>
          <w:color w:val="auto"/>
        </w:rPr>
        <w:t>” or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the several banks and other financial institutions or entities from time to time party to this Agreement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w:t>
      </w:r>
      <w:r>
        <w:rPr>
          <w:rFonts w:ascii="Arial" w:cs="Arial" w:eastAsia="Arial" w:hAnsi="Arial"/>
          <w:sz w:val="20"/>
          <w:szCs w:val="20"/>
          <w:b w:val="1"/>
          <w:bCs w:val="1"/>
          <w:color w:val="auto"/>
        </w:rPr>
        <w:t>SILICON VALLEY BANK</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SVB</w:t>
      </w:r>
      <w:r>
        <w:rPr>
          <w:rFonts w:ascii="Arial" w:cs="Arial" w:eastAsia="Arial" w:hAnsi="Arial"/>
          <w:sz w:val="20"/>
          <w:szCs w:val="20"/>
          <w:color w:val="auto"/>
        </w:rPr>
        <w:t xml:space="preserve">”), as the Issuing Lender and the Swingline Lender, and </w:t>
      </w:r>
      <w:r>
        <w:rPr>
          <w:rFonts w:ascii="Arial" w:cs="Arial" w:eastAsia="Arial" w:hAnsi="Arial"/>
          <w:sz w:val="20"/>
          <w:szCs w:val="20"/>
          <w:b w:val="1"/>
          <w:bCs w:val="1"/>
          <w:color w:val="auto"/>
        </w:rPr>
        <w:t>SVB</w:t>
      </w:r>
      <w:r>
        <w:rPr>
          <w:rFonts w:ascii="Arial" w:cs="Arial" w:eastAsia="Arial" w:hAnsi="Arial"/>
          <w:sz w:val="20"/>
          <w:szCs w:val="20"/>
          <w:color w:val="auto"/>
        </w:rPr>
        <w:t xml:space="preserve">, as administrative agent and collateral agent for the Lenders (in such capacities together with any successors and assigns in such capacities,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17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is a party to that certain Credit Agreement, originally dated as of April 19, 2019 (as amended, restated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modified prior to date hereof, the “</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 among Holdings, the Borrower, CrowdStrike Services, Inc., a Delaware corporation which has since merged with and into the Borrower, the lenders party thereto from time to time, SVB, as the administrative agent and collateral agent for the lenders, pursuant to which the lenders, the issuing lenders and the swingline lenders have made available certain extensions of credit;</w:t>
      </w:r>
    </w:p>
    <w:p>
      <w:pPr>
        <w:spacing w:after="0" w:line="150"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Holdings, the Borrower, the Lenders, the Departing Lenders (as hereafter defined) and the Administrative Agent have</w:t>
      </w:r>
      <w:r>
        <w:rPr>
          <w:rFonts w:ascii="Arial" w:cs="Arial" w:eastAsia="Arial" w:hAnsi="Arial"/>
          <w:sz w:val="19"/>
          <w:szCs w:val="19"/>
          <w:b w:val="1"/>
          <w:bCs w:val="1"/>
          <w:color w:val="auto"/>
        </w:rPr>
        <w:t xml:space="preserve"> </w:t>
      </w:r>
      <w:r>
        <w:rPr>
          <w:rFonts w:ascii="Arial" w:cs="Arial" w:eastAsia="Arial" w:hAnsi="Arial"/>
          <w:sz w:val="19"/>
          <w:szCs w:val="19"/>
          <w:color w:val="auto"/>
        </w:rPr>
        <w:t>agreed (a) to enter into this Agreement in order to (i) amend and restate the Existing Credit Agreement in its entirety and (ii) set forth the terms and conditions under which the Lenders will, from time to time, make loans and extend other financial accommodations to the Borrower, as set forth below, and (b) that each Departing Lender shall cease to be a party to the Existing Credit Agreement as evidenced by its execution and delivery of its Departing Lender Termination Letter (as hereinafter defined);</w:t>
      </w:r>
    </w:p>
    <w:p>
      <w:pPr>
        <w:spacing w:after="0" w:line="15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have agreed to extend a revolving credit facility to the Borrower, upon the terms and conditions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Agreement, in an aggregate principal amount not to exceed $750,000,000, including a letter of credit sub-facility in the aggregate availability amount of $100,000,000 (as a sublimit of the revolving loan facility), and a swingline sub-facility in the aggregate availability amount of $50,000,000 (as a sublimit of the revolving loan facility);</w:t>
      </w:r>
    </w:p>
    <w:p>
      <w:pPr>
        <w:spacing w:after="0" w:line="152"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has agreed to secure all of its Obligations by granting to the Administrative Agent, for the benefit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Secured Parties, a first priority lien (subject to Liens permitted by the Loan Documents) on substantially all of its assets; and</w:t>
      </w:r>
    </w:p>
    <w:p>
      <w:pPr>
        <w:spacing w:after="0" w:line="14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of the Guarantors has agreed to guarantee the Obligations of the Borrower and to secure its respective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respect of such guarantee by granting to the Administrative Agent, for the benefit of the Secured Parties, a first priority lien (subject to Liens permitted by the Loan Documents) on substantially all of its assets.</w:t>
      </w:r>
    </w:p>
    <w:p>
      <w:pPr>
        <w:spacing w:after="0" w:line="1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conditions and agreements set forth in this Agreement, and for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the parties hereto hereby agree that the Existing Credit Agreement shall be amended and restated in its entirety to read as follows (it being agreed that this Agreement shall not be deemed to evidence or result in a novation or repayment and reborrowing of the Obligations under, and as defined in,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99" w:right="339" w:bottom="1440" w:gutter="0" w:footer="0" w:header="0"/>
        </w:sectPr>
      </w:pPr>
    </w:p>
    <w:bookmarkStart w:id="219" w:name="page220"/>
    <w:bookmarkEnd w:id="219"/>
    <w:p>
      <w:pPr>
        <w:ind w:left="5260"/>
        <w:spacing w:after="0"/>
        <w:rPr>
          <w:sz w:val="20"/>
          <w:szCs w:val="20"/>
          <w:color w:val="auto"/>
        </w:rPr>
      </w:pPr>
      <w:r>
        <w:rPr>
          <w:rFonts w:ascii="Arial" w:cs="Arial" w:eastAsia="Arial" w:hAnsi="Arial"/>
          <w:sz w:val="20"/>
          <w:szCs w:val="20"/>
          <w:b w:val="1"/>
          <w:bCs w:val="1"/>
          <w:color w:val="auto"/>
        </w:rPr>
        <w:t>SECTION 1</w:t>
      </w:r>
    </w:p>
    <w:p>
      <w:pPr>
        <w:spacing w:after="0" w:line="156"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DEFINITIONS</w:t>
      </w:r>
    </w:p>
    <w:p>
      <w:pPr>
        <w:jc w:val="both"/>
        <w:ind w:right="20" w:firstLine="648"/>
        <w:spacing w:after="0" w:line="220" w:lineRule="auto"/>
        <w:rPr>
          <w:sz w:val="20"/>
          <w:szCs w:val="20"/>
          <w:color w:val="auto"/>
        </w:rPr>
      </w:pPr>
      <w:r>
        <w:rPr>
          <w:rFonts w:ascii="Arial" w:cs="Arial" w:eastAsia="Arial" w:hAnsi="Arial"/>
          <w:sz w:val="20"/>
          <w:szCs w:val="20"/>
          <w:b w:val="1"/>
          <w:bCs w:val="1"/>
          <w:color w:val="auto"/>
        </w:rPr>
        <w:t>1.1 Defined Terms</w:t>
      </w:r>
      <w:r>
        <w:rPr>
          <w:rFonts w:ascii="Arial" w:cs="Arial" w:eastAsia="Arial" w:hAnsi="Arial"/>
          <w:sz w:val="20"/>
          <w:szCs w:val="20"/>
          <w:color w:val="auto"/>
        </w:rPr>
        <w:t>. As used in this Agreement (including the recitals hereof), the terms listed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respective meanings set forth in this </w:t>
      </w:r>
      <w:r>
        <w:rPr>
          <w:rFonts w:ascii="Arial" w:cs="Arial" w:eastAsia="Arial" w:hAnsi="Arial"/>
          <w:sz w:val="20"/>
          <w:szCs w:val="20"/>
          <w:u w:val="single" w:color="auto"/>
          <w:color w:val="auto"/>
        </w:rPr>
        <w:t>Section 1.1</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w:t>
      </w:r>
      <w:r>
        <w:rPr>
          <w:rFonts w:ascii="Arial" w:cs="Arial" w:eastAsia="Arial" w:hAnsi="Arial"/>
          <w:sz w:val="20"/>
          <w:szCs w:val="20"/>
          <w:color w:val="auto"/>
        </w:rPr>
        <w:t xml:space="preserve">”: for any day, a rate per annum equal to the highest of (a) the Prime Rate in effect on such day, (b) the Federal Funds Effective Rate in effect on such day plus 0.50%, and (c) the Term SOFR for a one-month tenor in effect on such day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1.00%. Any change in the ABR due to a change in any of the Prime Rate, the Federal Funds Effective Rate, or the Term SOFR as the case may be, shall be effective as of the opening of business on the effective day of the change in such rates.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 Loans</w:t>
      </w:r>
      <w:r>
        <w:rPr>
          <w:rFonts w:ascii="Arial" w:cs="Arial" w:eastAsia="Arial" w:hAnsi="Arial"/>
          <w:sz w:val="20"/>
          <w:szCs w:val="20"/>
          <w:color w:val="auto"/>
        </w:rPr>
        <w:t>”: Loans, the rate of interest applicable to which is based upon the ABR.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ABR Term SOFR Determination Day</w:t>
      </w:r>
      <w:r>
        <w:rPr>
          <w:rFonts w:ascii="Arial" w:cs="Arial" w:eastAsia="Arial" w:hAnsi="Arial"/>
          <w:sz w:val="20"/>
          <w:szCs w:val="20"/>
          <w:color w:val="auto"/>
        </w:rPr>
        <w:t>”: as defined in the definition of “Term SOFR”.</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Account Debtor</w:t>
      </w:r>
      <w:r>
        <w:rPr>
          <w:rFonts w:ascii="Arial" w:cs="Arial" w:eastAsia="Arial" w:hAnsi="Arial"/>
          <w:sz w:val="20"/>
          <w:szCs w:val="20"/>
          <w:color w:val="auto"/>
        </w:rPr>
        <w:t>”: any Person who may become obligated to any Person under, with respect to, or on account of, an Account, chattel paper or general intangibles (including a payment intangible). Unless otherwise stated, the term “Account Debtor,” when used herein, shall mean an Account Debtor in respect of an Account of the Borrower.</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Accounts</w:t>
      </w:r>
      <w:r>
        <w:rPr>
          <w:rFonts w:ascii="Arial" w:cs="Arial" w:eastAsia="Arial" w:hAnsi="Arial"/>
          <w:sz w:val="18"/>
          <w:szCs w:val="18"/>
          <w:color w:val="auto"/>
        </w:rPr>
        <w:t>”: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representing any of the foregoing, and all collateral security and guaranties of any kind, now or hereafter in existence, given by any Person with respect to any of the foregoing. Unless otherwise stated, the term “Account,” when used herein, shall mean an Account of the Borrower.</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Term SOFR</w:t>
      </w:r>
      <w:r>
        <w:rPr>
          <w:rFonts w:ascii="Arial" w:cs="Arial" w:eastAsia="Arial" w:hAnsi="Arial"/>
          <w:sz w:val="20"/>
          <w:szCs w:val="20"/>
          <w:color w:val="auto"/>
        </w:rPr>
        <w:t>”: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Administrative Agent</w:t>
      </w:r>
      <w:r>
        <w:rPr>
          <w:rFonts w:ascii="Arial" w:cs="Arial" w:eastAsia="Arial" w:hAnsi="Arial"/>
          <w:sz w:val="20"/>
          <w:szCs w:val="20"/>
          <w:color w:val="auto"/>
        </w:rPr>
        <w:t>”: SVB, as the administrative agent under this Agreement and the other Loan Documents, together with any of its successors in such capacity.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Financial Institution</w:t>
      </w:r>
      <w:r>
        <w:rPr>
          <w:rFonts w:ascii="Arial" w:cs="Arial" w:eastAsia="Arial" w:hAnsi="Arial"/>
          <w:sz w:val="20"/>
          <w:szCs w:val="20"/>
          <w:color w:val="auto"/>
        </w:rPr>
        <w:t>”: (a) any EEA Financial Institution or (b) any UK Financial Institution.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Agent Parties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10.2(c)(ii)</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Exposure</w:t>
      </w:r>
      <w:r>
        <w:rPr>
          <w:rFonts w:ascii="Arial" w:cs="Arial" w:eastAsia="Arial" w:hAnsi="Arial"/>
          <w:sz w:val="20"/>
          <w:szCs w:val="20"/>
          <w:color w:val="auto"/>
        </w:rPr>
        <w:t>”: with respect to any Lender at any time, an amount equal to the sum of (a) the amount of such Lender’s Revolving Commitment then in effect or, if the Revolving Commitments have been terminated, the amount of such Lender’s Revolving Extensions of Credit then outstanding,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99" w:right="339" w:bottom="1440" w:gutter="0" w:footer="0" w:header="0"/>
        </w:sectPr>
      </w:pPr>
    </w:p>
    <w:bookmarkStart w:id="220" w:name="page221"/>
    <w:bookmarkEnd w:id="220"/>
    <w:p>
      <w:pPr>
        <w:ind w:firstLine="8"/>
        <w:spacing w:after="0" w:line="229" w:lineRule="auto"/>
        <w:tabs>
          <w:tab w:leader="none" w:pos="282" w:val="left"/>
        </w:tabs>
        <w:numPr>
          <w:ilvl w:val="0"/>
          <w:numId w:val="162"/>
        </w:numPr>
        <w:rPr>
          <w:rFonts w:ascii="Arial" w:cs="Arial" w:eastAsia="Arial" w:hAnsi="Arial"/>
          <w:sz w:val="20"/>
          <w:szCs w:val="20"/>
          <w:color w:val="auto"/>
        </w:rPr>
      </w:pPr>
      <w:r>
        <w:rPr>
          <w:rFonts w:ascii="Arial" w:cs="Arial" w:eastAsia="Arial" w:hAnsi="Arial"/>
          <w:sz w:val="20"/>
          <w:szCs w:val="20"/>
          <w:color w:val="auto"/>
        </w:rPr>
        <w:t>without duplication of clause (a), the L/C Commitment of such Lender then in effect (as a sublimit of the Revolving Commitment of such Lender).</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Aggregate Exposure Percentage</w:t>
      </w:r>
      <w:r>
        <w:rPr>
          <w:rFonts w:ascii="Arial" w:cs="Arial" w:eastAsia="Arial" w:hAnsi="Arial"/>
          <w:sz w:val="20"/>
          <w:szCs w:val="20"/>
          <w:color w:val="auto"/>
        </w:rPr>
        <w:t>”: with respect to any Lender at any time, the ratio (expressed as a percentage) of such Lender’s Aggregate Exposure at such time to the Aggregate Exposure of all Lenders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defined in the preamble hereto.</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Margin</w:t>
      </w:r>
      <w:r>
        <w:rPr>
          <w:rFonts w:ascii="Arial" w:cs="Arial" w:eastAsia="Arial" w:hAnsi="Arial"/>
          <w:sz w:val="20"/>
          <w:szCs w:val="20"/>
          <w:color w:val="auto"/>
        </w:rPr>
        <w:t xml:space="preserve">”: commencing on the first Business Day immediately following the date on which Holdings delivers a Compliance Certificate pursuant to </w:t>
      </w:r>
      <w:r>
        <w:rPr>
          <w:rFonts w:ascii="Arial" w:cs="Arial" w:eastAsia="Arial" w:hAnsi="Arial"/>
          <w:sz w:val="20"/>
          <w:szCs w:val="20"/>
          <w:u w:val="single" w:color="auto"/>
          <w:color w:val="auto"/>
        </w:rPr>
        <w:t>Section 6.2(b)</w:t>
      </w:r>
      <w:r>
        <w:rPr>
          <w:rFonts w:ascii="Arial" w:cs="Arial" w:eastAsia="Arial" w:hAnsi="Arial"/>
          <w:sz w:val="20"/>
          <w:szCs w:val="20"/>
          <w:color w:val="auto"/>
        </w:rPr>
        <w:t>, the rate per annum set forth under the relevant column heading below based upon the Consolidated Senior Secured Leverage Ratio in such Compliance Certificate:</w:t>
      </w:r>
    </w:p>
    <w:p>
      <w:pPr>
        <w:spacing w:after="0" w:line="194" w:lineRule="exact"/>
        <w:rPr>
          <w:sz w:val="20"/>
          <w:szCs w:val="20"/>
          <w:color w:val="auto"/>
        </w:rPr>
      </w:pPr>
    </w:p>
    <w:tbl>
      <w:tblPr>
        <w:tblLayout w:type="fixed"/>
        <w:tblInd w:w="430" w:type="dxa"/>
        <w:tblCellMar>
          <w:top w:w="0" w:type="dxa"/>
          <w:left w:w="0" w:type="dxa"/>
          <w:bottom w:w="0" w:type="dxa"/>
          <w:right w:w="0" w:type="dxa"/>
        </w:tblCellMar>
      </w:tblPr>
      <w:tr>
        <w:trPr>
          <w:trHeight w:val="531"/>
        </w:trPr>
        <w:tc>
          <w:tcPr>
            <w:tcW w:w="1260" w:type="dxa"/>
            <w:vAlign w:val="bottom"/>
            <w:tcBorders>
              <w:top w:val="single" w:sz="8" w:color="auto"/>
              <w:left w:val="single" w:sz="8" w:color="auto"/>
              <w:right w:val="single" w:sz="8" w:color="auto"/>
            </w:tcBorders>
          </w:tcPr>
          <w:p>
            <w:pPr>
              <w:spacing w:after="0"/>
              <w:rPr>
                <w:sz w:val="24"/>
                <w:szCs w:val="24"/>
                <w:color w:val="auto"/>
              </w:rPr>
            </w:pPr>
          </w:p>
        </w:tc>
        <w:tc>
          <w:tcPr>
            <w:tcW w:w="2680" w:type="dxa"/>
            <w:vAlign w:val="bottom"/>
            <w:tcBorders>
              <w:top w:val="single" w:sz="8" w:color="auto"/>
              <w:right w:val="single" w:sz="8" w:color="auto"/>
            </w:tcBorders>
            <w:gridSpan w:val="5"/>
          </w:tcPr>
          <w:p>
            <w:pPr>
              <w:jc w:val="center"/>
              <w:ind w:right="40"/>
              <w:spacing w:after="0"/>
              <w:rPr>
                <w:sz w:val="20"/>
                <w:szCs w:val="20"/>
                <w:color w:val="auto"/>
              </w:rPr>
            </w:pPr>
            <w:r>
              <w:rPr>
                <w:rFonts w:ascii="Arial" w:cs="Arial" w:eastAsia="Arial" w:hAnsi="Arial"/>
                <w:sz w:val="20"/>
                <w:szCs w:val="20"/>
                <w:b w:val="1"/>
                <w:bCs w:val="1"/>
                <w:color w:val="auto"/>
                <w:w w:val="87"/>
              </w:rPr>
              <w:t>Consolidated Senior Secured</w:t>
            </w: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Applicable Margin</w:t>
            </w:r>
          </w:p>
        </w:tc>
        <w:tc>
          <w:tcPr>
            <w:tcW w:w="2180" w:type="dxa"/>
            <w:vAlign w:val="bottom"/>
            <w:tcBorders>
              <w:top w:val="single" w:sz="8" w:color="auto"/>
              <w:right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7"/>
              </w:rPr>
              <w:t>Applicable Margin for</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 Fee Rate</w:t>
            </w:r>
          </w:p>
        </w:tc>
      </w:tr>
      <w:tr>
        <w:trPr>
          <w:trHeight w:val="256"/>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Level</w:t>
            </w:r>
          </w:p>
        </w:tc>
        <w:tc>
          <w:tcPr>
            <w:tcW w:w="26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20"/>
                <w:szCs w:val="20"/>
                <w:b w:val="1"/>
                <w:bCs w:val="1"/>
                <w:color w:val="auto"/>
                <w:w w:val="90"/>
              </w:rPr>
              <w:t>Leverage Ratio</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for SOFR Loans and</w:t>
            </w:r>
          </w:p>
        </w:tc>
        <w:tc>
          <w:tcPr>
            <w:tcW w:w="2180" w:type="dxa"/>
            <w:vAlign w:val="bottom"/>
            <w:tcBorders>
              <w:right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ABR Loans</w:t>
            </w:r>
          </w:p>
        </w:tc>
        <w:tc>
          <w:tcPr>
            <w:tcW w:w="2080" w:type="dxa"/>
            <w:vAlign w:val="bottom"/>
            <w:tcBorders>
              <w:right w:val="single" w:sz="8" w:color="auto"/>
            </w:tcBorders>
          </w:tcPr>
          <w:p>
            <w:pPr>
              <w:spacing w:after="0"/>
              <w:rPr>
                <w:sz w:val="22"/>
                <w:szCs w:val="22"/>
                <w:color w:val="auto"/>
              </w:rPr>
            </w:pPr>
          </w:p>
        </w:tc>
      </w:tr>
      <w:tr>
        <w:trPr>
          <w:trHeight w:val="256"/>
        </w:trPr>
        <w:tc>
          <w:tcPr>
            <w:tcW w:w="1260" w:type="dxa"/>
            <w:vAlign w:val="bottom"/>
            <w:tcBorders>
              <w:left w:val="single" w:sz="8" w:color="auto"/>
              <w:right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Letters of Credit</w:t>
            </w:r>
          </w:p>
        </w:tc>
        <w:tc>
          <w:tcPr>
            <w:tcW w:w="218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r>
      <w:tr>
        <w:trPr>
          <w:trHeight w:val="37"/>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r>
      <w:tr>
        <w:trPr>
          <w:trHeight w:val="223"/>
        </w:trPr>
        <w:tc>
          <w:tcPr>
            <w:tcW w:w="12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III</w:t>
            </w:r>
          </w:p>
        </w:tc>
        <w:tc>
          <w:tcPr>
            <w:tcW w:w="2680" w:type="dxa"/>
            <w:vAlign w:val="bottom"/>
            <w:tcBorders>
              <w:right w:val="single" w:sz="8" w:color="auto"/>
            </w:tcBorders>
            <w:gridSpan w:val="5"/>
          </w:tcPr>
          <w:p>
            <w:pPr>
              <w:jc w:val="center"/>
              <w:ind w:right="20"/>
              <w:spacing w:after="0" w:line="223" w:lineRule="exact"/>
              <w:rPr>
                <w:sz w:val="20"/>
                <w:szCs w:val="20"/>
                <w:color w:val="auto"/>
              </w:rPr>
            </w:pPr>
            <w:r>
              <w:rPr>
                <w:rFonts w:ascii="Arial" w:cs="Arial" w:eastAsia="Arial" w:hAnsi="Arial"/>
                <w:sz w:val="20"/>
                <w:szCs w:val="20"/>
                <w:color w:val="auto"/>
                <w:w w:val="89"/>
              </w:rPr>
              <w:t>&gt; 2.50:1.00</w:t>
            </w:r>
          </w:p>
        </w:tc>
        <w:tc>
          <w:tcPr>
            <w:tcW w:w="202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2.00%</w:t>
            </w:r>
          </w:p>
        </w:tc>
        <w:tc>
          <w:tcPr>
            <w:tcW w:w="2180" w:type="dxa"/>
            <w:vAlign w:val="bottom"/>
            <w:tcBorders>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0.25%</w:t>
            </w:r>
          </w:p>
        </w:tc>
        <w:tc>
          <w:tcPr>
            <w:tcW w:w="208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0.25%</w:t>
            </w:r>
          </w:p>
        </w:tc>
      </w:tr>
      <w:tr>
        <w:trPr>
          <w:trHeight w:val="61"/>
        </w:trPr>
        <w:tc>
          <w:tcPr>
            <w:tcW w:w="126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r>
      <w:tr>
        <w:trPr>
          <w:trHeight w:val="223"/>
        </w:trPr>
        <w:tc>
          <w:tcPr>
            <w:tcW w:w="12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II</w:t>
            </w:r>
          </w:p>
        </w:tc>
        <w:tc>
          <w:tcPr>
            <w:tcW w:w="2680" w:type="dxa"/>
            <w:vAlign w:val="bottom"/>
            <w:tcBorders>
              <w:right w:val="single" w:sz="8" w:color="auto"/>
            </w:tcBorders>
            <w:gridSpan w:val="5"/>
          </w:tcPr>
          <w:p>
            <w:pPr>
              <w:jc w:val="center"/>
              <w:ind w:right="20"/>
              <w:spacing w:after="0" w:line="223" w:lineRule="exact"/>
              <w:rPr>
                <w:sz w:val="20"/>
                <w:szCs w:val="20"/>
                <w:color w:val="auto"/>
              </w:rPr>
            </w:pPr>
            <w:r>
              <w:rPr>
                <w:rFonts w:ascii="Arial" w:cs="Arial" w:eastAsia="Arial" w:hAnsi="Arial"/>
                <w:sz w:val="20"/>
                <w:szCs w:val="20"/>
                <w:color w:val="auto"/>
                <w:w w:val="90"/>
              </w:rPr>
              <w:t>&lt; 2.50:1.00 but &gt; 1.00:1.00</w:t>
            </w:r>
          </w:p>
        </w:tc>
        <w:tc>
          <w:tcPr>
            <w:tcW w:w="202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1.75%</w:t>
            </w:r>
          </w:p>
        </w:tc>
        <w:tc>
          <w:tcPr>
            <w:tcW w:w="2180" w:type="dxa"/>
            <w:vAlign w:val="bottom"/>
            <w:tcBorders>
              <w:right w:val="single" w:sz="8" w:color="auto"/>
            </w:tcBorders>
          </w:tcPr>
          <w:p>
            <w:pPr>
              <w:jc w:val="right"/>
              <w:ind w:right="741"/>
              <w:spacing w:after="0" w:line="223" w:lineRule="exact"/>
              <w:rPr>
                <w:sz w:val="20"/>
                <w:szCs w:val="20"/>
                <w:color w:val="auto"/>
              </w:rPr>
            </w:pPr>
            <w:r>
              <w:rPr>
                <w:rFonts w:ascii="Arial" w:cs="Arial" w:eastAsia="Arial" w:hAnsi="Arial"/>
                <w:sz w:val="20"/>
                <w:szCs w:val="20"/>
                <w:color w:val="auto"/>
              </w:rPr>
              <w:t>0.00%</w:t>
            </w:r>
          </w:p>
        </w:tc>
        <w:tc>
          <w:tcPr>
            <w:tcW w:w="208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0.20%</w:t>
            </w:r>
          </w:p>
        </w:tc>
      </w:tr>
      <w:tr>
        <w:trPr>
          <w:trHeight w:val="61"/>
        </w:trPr>
        <w:tc>
          <w:tcPr>
            <w:tcW w:w="1260" w:type="dxa"/>
            <w:vAlign w:val="bottom"/>
            <w:tcBorders>
              <w:left w:val="single" w:sz="8" w:color="auto"/>
              <w:bottom w:val="single" w:sz="8" w:color="auto"/>
              <w:right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r>
      <w:tr>
        <w:trPr>
          <w:trHeight w:val="237"/>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2680" w:type="dxa"/>
            <w:vAlign w:val="bottom"/>
            <w:tcBorders>
              <w:bottom w:val="single" w:sz="8" w:color="auto"/>
              <w:right w:val="single" w:sz="8" w:color="auto"/>
            </w:tcBorders>
            <w:gridSpan w:val="5"/>
          </w:tcPr>
          <w:p>
            <w:pPr>
              <w:jc w:val="center"/>
              <w:ind w:right="20"/>
              <w:spacing w:after="0"/>
              <w:rPr>
                <w:sz w:val="20"/>
                <w:szCs w:val="20"/>
                <w:color w:val="auto"/>
              </w:rPr>
            </w:pPr>
            <w:r>
              <w:rPr>
                <w:rFonts w:ascii="Arial" w:cs="Arial" w:eastAsia="Arial" w:hAnsi="Arial"/>
                <w:sz w:val="20"/>
                <w:szCs w:val="20"/>
                <w:color w:val="auto"/>
                <w:w w:val="89"/>
              </w:rPr>
              <w:t>&lt; 1.00:1.00</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1.50%</w:t>
            </w:r>
          </w:p>
        </w:tc>
        <w:tc>
          <w:tcPr>
            <w:tcW w:w="2180" w:type="dxa"/>
            <w:vAlign w:val="bottom"/>
            <w:tcBorders>
              <w:bottom w:val="single" w:sz="8" w:color="auto"/>
              <w:right w:val="single" w:sz="8" w:color="auto"/>
            </w:tcBorders>
          </w:tcPr>
          <w:p>
            <w:pPr>
              <w:jc w:val="right"/>
              <w:ind w:right="681"/>
              <w:spacing w:after="0"/>
              <w:rPr>
                <w:sz w:val="20"/>
                <w:szCs w:val="20"/>
                <w:color w:val="auto"/>
              </w:rPr>
            </w:pPr>
            <w:r>
              <w:rPr>
                <w:rFonts w:ascii="Arial" w:cs="Arial" w:eastAsia="Arial" w:hAnsi="Arial"/>
                <w:sz w:val="20"/>
                <w:szCs w:val="20"/>
                <w:color w:val="auto"/>
              </w:rPr>
              <w:t>(0.25)%</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0.15%</w:t>
            </w:r>
          </w:p>
        </w:tc>
      </w:tr>
    </w:tbl>
    <w:p>
      <w:pPr>
        <w:spacing w:after="0" w:line="30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Notwithstanding the foregoing, (a) until the delivery of the first Compliance Certificate required to be delivered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6.2(b)</w:t>
      </w:r>
      <w:r>
        <w:rPr>
          <w:rFonts w:ascii="Arial" w:cs="Arial" w:eastAsia="Arial" w:hAnsi="Arial"/>
          <w:sz w:val="18"/>
          <w:szCs w:val="18"/>
          <w:color w:val="auto"/>
        </w:rPr>
        <w:t xml:space="preserve"> after the Closing Date, the Applicable Margin shall be the rates corresponding to Level I in the foregoing table, (b) if Holdings fails to deliver the financial statements required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the related Compliance Certificate required by </w:t>
      </w:r>
      <w:r>
        <w:rPr>
          <w:rFonts w:ascii="Arial" w:cs="Arial" w:eastAsia="Arial" w:hAnsi="Arial"/>
          <w:sz w:val="18"/>
          <w:szCs w:val="18"/>
          <w:u w:val="single" w:color="auto"/>
          <w:color w:val="auto"/>
        </w:rPr>
        <w:t>Section 6.2(b)</w:t>
      </w:r>
      <w:r>
        <w:rPr>
          <w:rFonts w:ascii="Arial" w:cs="Arial" w:eastAsia="Arial" w:hAnsi="Arial"/>
          <w:sz w:val="18"/>
          <w:szCs w:val="18"/>
          <w:color w:val="auto"/>
        </w:rPr>
        <w:t>, by the respective date required thereunder after the end of any related fiscal quarter of Holdings, the Applicable Margin shall be the rates corresponding to Level III in the foregoing table until such financial statements and Compliance Certificate are delivered, and (c) no reduction to the Applicable Margin shall become effective at any time when an Event of Default has occurred and is continuing.</w:t>
      </w:r>
    </w:p>
    <w:p>
      <w:pPr>
        <w:spacing w:after="0" w:line="155"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If, as a result of any restatement of or other adjustment to the financial statements of the Loan Parties or for any other reason, (x) the Consolidated Senior Secured Leverage Ratio as calculated by Holdings as of any applicable date was inaccurate and (y) a proper calculation of the Consolidated Senior Secured Leverage Ratio would have resulted in different pricing for any period, then (i) if the proper calculation of the Consolidated Senior Secured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and fees that should have been paid for such period over the amount of interest and fees actually paid for such period; and (ii) if the proper calculation of the Consolidated Senior Secured Leverage Ratio would have resulted in lower pricing for such period, neither the Administrative Agent nor any Lender shall have any obligation to repay any interest or fees to the Borrower.</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Application</w:t>
      </w:r>
      <w:r>
        <w:rPr>
          <w:rFonts w:ascii="Arial" w:cs="Arial" w:eastAsia="Arial" w:hAnsi="Arial"/>
          <w:sz w:val="20"/>
          <w:szCs w:val="20"/>
          <w:color w:val="auto"/>
        </w:rPr>
        <w:t>”: an application, in such form as the Issuing Lender may specify from time to time, requesting the Issuing Lender to issue a Letter of Credit.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Approved Fund</w:t>
      </w:r>
      <w:r>
        <w:rPr>
          <w:rFonts w:ascii="Arial" w:cs="Arial" w:eastAsia="Arial" w:hAnsi="Arial"/>
          <w:sz w:val="20"/>
          <w:szCs w:val="20"/>
          <w:color w:val="auto"/>
        </w:rPr>
        <w:t>”: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Assignment and Assumption</w:t>
      </w:r>
      <w:r>
        <w:rPr>
          <w:rFonts w:ascii="Arial" w:cs="Arial" w:eastAsia="Arial" w:hAnsi="Arial"/>
          <w:sz w:val="20"/>
          <w:szCs w:val="20"/>
          <w:color w:val="auto"/>
        </w:rPr>
        <w:t xml:space="preserve">”: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any other 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221" w:name="page222"/>
    <w:bookmarkEnd w:id="22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Amount</w:t>
      </w:r>
      <w:r>
        <w:rPr>
          <w:rFonts w:ascii="Arial" w:cs="Arial" w:eastAsia="Arial" w:hAnsi="Arial"/>
          <w:sz w:val="20"/>
          <w:szCs w:val="20"/>
          <w:color w:val="auto"/>
        </w:rPr>
        <w:t>”: as of any date of determination, a cumulative amount equal to the sum of (without duplication):</w:t>
      </w:r>
    </w:p>
    <w:p>
      <w:pPr>
        <w:spacing w:after="0" w:line="175" w:lineRule="exact"/>
        <w:rPr>
          <w:sz w:val="20"/>
          <w:szCs w:val="20"/>
          <w:color w:val="auto"/>
        </w:rPr>
      </w:pPr>
    </w:p>
    <w:p>
      <w:pPr>
        <w:ind w:left="1300" w:hanging="644"/>
        <w:spacing w:after="0"/>
        <w:tabs>
          <w:tab w:leader="none" w:pos="130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$50,000,000; </w:t>
      </w:r>
      <w:r>
        <w:rPr>
          <w:rFonts w:ascii="Arial" w:cs="Arial" w:eastAsia="Arial" w:hAnsi="Arial"/>
          <w:sz w:val="20"/>
          <w:szCs w:val="20"/>
          <w:u w:val="single" w:color="auto"/>
          <w:color w:val="auto"/>
        </w:rPr>
        <w:t>plus</w:t>
      </w:r>
    </w:p>
    <w:p>
      <w:pPr>
        <w:spacing w:after="0" w:line="175" w:lineRule="exact"/>
        <w:rPr>
          <w:rFonts w:ascii="Arial" w:cs="Arial" w:eastAsia="Arial" w:hAnsi="Arial"/>
          <w:sz w:val="20"/>
          <w:szCs w:val="20"/>
          <w:color w:val="auto"/>
        </w:rPr>
      </w:pPr>
    </w:p>
    <w:p>
      <w:pPr>
        <w:ind w:firstLine="656"/>
        <w:spacing w:after="0" w:line="229" w:lineRule="auto"/>
        <w:tabs>
          <w:tab w:leader="none" w:pos="1284"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to the extent greater than $0.00, 50% of the sum of Excess Cash Flow for each fiscal year of Holdings, commencing with the fiscal year ending January 31, 2022; </w:t>
      </w:r>
      <w:r>
        <w:rPr>
          <w:rFonts w:ascii="Arial" w:cs="Arial" w:eastAsia="Arial" w:hAnsi="Arial"/>
          <w:sz w:val="20"/>
          <w:szCs w:val="20"/>
          <w:u w:val="single" w:color="auto"/>
          <w:color w:val="auto"/>
        </w:rPr>
        <w:t>plus</w:t>
      </w:r>
    </w:p>
    <w:p>
      <w:pPr>
        <w:spacing w:after="0" w:line="155" w:lineRule="exact"/>
        <w:rPr>
          <w:rFonts w:ascii="Arial" w:cs="Arial" w:eastAsia="Arial" w:hAnsi="Arial"/>
          <w:sz w:val="20"/>
          <w:szCs w:val="20"/>
          <w:color w:val="auto"/>
        </w:rPr>
      </w:pPr>
    </w:p>
    <w:p>
      <w:pPr>
        <w:jc w:val="both"/>
        <w:ind w:firstLine="656"/>
        <w:spacing w:after="0" w:line="213" w:lineRule="auto"/>
        <w:tabs>
          <w:tab w:leader="none" w:pos="128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the amount of any capital contribution in respect of Capital Stock (other than Disqualified Stock) or the proceeds of any issuance of Capital Stock (other than Disqualified Stock), in each case, received in cash or Cash Equivalents by Holdings (other than any amounts received from any other Group Member), in each case, during the period from and including the day immediately following the Closing Date through and including such date; </w:t>
      </w:r>
      <w:r>
        <w:rPr>
          <w:rFonts w:ascii="Arial" w:cs="Arial" w:eastAsia="Arial" w:hAnsi="Arial"/>
          <w:sz w:val="20"/>
          <w:szCs w:val="20"/>
          <w:u w:val="single" w:color="auto"/>
          <w:color w:val="auto"/>
        </w:rPr>
        <w:t>plus</w:t>
      </w:r>
    </w:p>
    <w:p>
      <w:pPr>
        <w:spacing w:after="0" w:line="155" w:lineRule="exact"/>
        <w:rPr>
          <w:rFonts w:ascii="Arial" w:cs="Arial" w:eastAsia="Arial" w:hAnsi="Arial"/>
          <w:sz w:val="20"/>
          <w:szCs w:val="20"/>
          <w:color w:val="auto"/>
        </w:rPr>
      </w:pPr>
    </w:p>
    <w:p>
      <w:pPr>
        <w:jc w:val="both"/>
        <w:ind w:firstLine="656"/>
        <w:spacing w:after="0" w:line="244" w:lineRule="auto"/>
        <w:tabs>
          <w:tab w:leader="none" w:pos="128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any Indebtedness of any Group Member issued after the Closing Date (other than Indebtedness issued to a Group Member), which has been converted into or exchanged for Capital Stock (other than Disqualified Stock) of Holdings, during the period from and including the day immediately following the Closing Date through and including such date; </w:t>
      </w:r>
      <w:r>
        <w:rPr>
          <w:rFonts w:ascii="Arial" w:cs="Arial" w:eastAsia="Arial" w:hAnsi="Arial"/>
          <w:sz w:val="18"/>
          <w:szCs w:val="18"/>
          <w:u w:val="single" w:color="auto"/>
          <w:color w:val="auto"/>
        </w:rPr>
        <w:t>plus</w:t>
      </w:r>
    </w:p>
    <w:p>
      <w:pPr>
        <w:spacing w:after="0" w:line="151" w:lineRule="exact"/>
        <w:rPr>
          <w:rFonts w:ascii="Arial" w:cs="Arial" w:eastAsia="Arial" w:hAnsi="Arial"/>
          <w:sz w:val="18"/>
          <w:szCs w:val="18"/>
          <w:color w:val="auto"/>
        </w:rPr>
      </w:pPr>
    </w:p>
    <w:p>
      <w:pPr>
        <w:jc w:val="both"/>
        <w:ind w:firstLine="656"/>
        <w:spacing w:after="0" w:line="244" w:lineRule="auto"/>
        <w:tabs>
          <w:tab w:leader="none" w:pos="128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the cash net proceeds received by the Group Members during the period from and including the day immediately following the Closing Date through and including such date in connection with the Disposition to any Person (other than a Group Member) of any Investment made pursuant to </w:t>
      </w:r>
      <w:r>
        <w:rPr>
          <w:rFonts w:ascii="Arial" w:cs="Arial" w:eastAsia="Arial" w:hAnsi="Arial"/>
          <w:sz w:val="18"/>
          <w:szCs w:val="18"/>
          <w:u w:val="single" w:color="auto"/>
          <w:color w:val="auto"/>
        </w:rPr>
        <w:t>Section 7.8(n)</w:t>
      </w:r>
      <w:r>
        <w:rPr>
          <w:rFonts w:ascii="Arial" w:cs="Arial" w:eastAsia="Arial" w:hAnsi="Arial"/>
          <w:sz w:val="18"/>
          <w:szCs w:val="18"/>
          <w:color w:val="auto"/>
        </w:rPr>
        <w:t xml:space="preserve"> (in an amount not to exceed the original amount of such Investment); </w:t>
      </w:r>
      <w:r>
        <w:rPr>
          <w:rFonts w:ascii="Arial" w:cs="Arial" w:eastAsia="Arial" w:hAnsi="Arial"/>
          <w:sz w:val="18"/>
          <w:szCs w:val="18"/>
          <w:u w:val="single" w:color="auto"/>
          <w:color w:val="auto"/>
        </w:rPr>
        <w:t>minus</w:t>
      </w:r>
    </w:p>
    <w:p>
      <w:pPr>
        <w:spacing w:after="0" w:line="151" w:lineRule="exact"/>
        <w:rPr>
          <w:rFonts w:ascii="Arial" w:cs="Arial" w:eastAsia="Arial" w:hAnsi="Arial"/>
          <w:sz w:val="18"/>
          <w:szCs w:val="18"/>
          <w:color w:val="auto"/>
        </w:rPr>
      </w:pPr>
    </w:p>
    <w:p>
      <w:pPr>
        <w:ind w:firstLine="656"/>
        <w:spacing w:after="0" w:line="229" w:lineRule="auto"/>
        <w:tabs>
          <w:tab w:leader="none" w:pos="129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an amount equal to the sum of (i) Restricted Payments made pursuant to </w:t>
      </w:r>
      <w:r>
        <w:rPr>
          <w:rFonts w:ascii="Arial" w:cs="Arial" w:eastAsia="Arial" w:hAnsi="Arial"/>
          <w:sz w:val="20"/>
          <w:szCs w:val="20"/>
          <w:u w:val="single" w:color="auto"/>
          <w:color w:val="auto"/>
        </w:rPr>
        <w:t>Section 7.6(h)</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Investments made pursuant to </w:t>
      </w:r>
      <w:r>
        <w:rPr>
          <w:rFonts w:ascii="Arial" w:cs="Arial" w:eastAsia="Arial" w:hAnsi="Arial"/>
          <w:sz w:val="20"/>
          <w:szCs w:val="20"/>
          <w:u w:val="single" w:color="auto"/>
          <w:color w:val="auto"/>
        </w:rPr>
        <w:t>Section 7.8(n)</w:t>
      </w:r>
      <w:r>
        <w:rPr>
          <w:rFonts w:ascii="Arial" w:cs="Arial" w:eastAsia="Arial" w:hAnsi="Arial"/>
          <w:sz w:val="20"/>
          <w:szCs w:val="20"/>
          <w:color w:val="auto"/>
        </w:rPr>
        <w:t xml:space="preserve">, and (iii) payments of Subordinated Indebtedness made pursuant to </w:t>
      </w:r>
      <w:r>
        <w:rPr>
          <w:rFonts w:ascii="Arial" w:cs="Arial" w:eastAsia="Arial" w:hAnsi="Arial"/>
          <w:sz w:val="20"/>
          <w:szCs w:val="20"/>
          <w:u w:val="single" w:color="auto"/>
          <w:color w:val="auto"/>
        </w:rPr>
        <w:t>Section 7.22(b)</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Amount Certificate</w:t>
      </w:r>
      <w:r>
        <w:rPr>
          <w:rFonts w:ascii="Arial" w:cs="Arial" w:eastAsia="Arial" w:hAnsi="Arial"/>
          <w:sz w:val="20"/>
          <w:szCs w:val="20"/>
          <w:color w:val="auto"/>
        </w:rPr>
        <w:t>”: a certificate, reasonably satisfactory to the Administrative Agent, signed by a Responsible Officer of the Borrower, evidencing calculation of the Available Amount.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Available Revolving Commitment</w:t>
      </w:r>
      <w:r>
        <w:rPr>
          <w:rFonts w:ascii="Arial" w:cs="Arial" w:eastAsia="Arial" w:hAnsi="Arial"/>
          <w:sz w:val="20"/>
          <w:szCs w:val="20"/>
          <w:color w:val="auto"/>
        </w:rPr>
        <w:t xml:space="preserve">”: at any time, an amount equal to (a) the Total Revolving Commitments in effect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aggregate undrawn amount of all outstanding Letters of Credit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 the aggregate amount of all L/C Disbursements that have not yet been reimbursed or converted into Revolving Loans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(d) the aggregate principal balance of any Revolving Loans outstanding at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Revolving Increase Amount</w:t>
      </w:r>
      <w:r>
        <w:rPr>
          <w:rFonts w:ascii="Arial" w:cs="Arial" w:eastAsia="Arial" w:hAnsi="Arial"/>
          <w:sz w:val="18"/>
          <w:szCs w:val="18"/>
          <w:color w:val="auto"/>
        </w:rPr>
        <w:t xml:space="preserve">”: as of any date of determination, an amount equal to the result of (a) $250,000,000 </w:t>
      </w:r>
      <w:r>
        <w:rPr>
          <w:rFonts w:ascii="Arial" w:cs="Arial" w:eastAsia="Arial" w:hAnsi="Arial"/>
          <w:sz w:val="18"/>
          <w:szCs w:val="18"/>
          <w:u w:val="single" w:color="auto"/>
          <w:color w:val="auto"/>
        </w:rPr>
        <w:t>minus</w:t>
      </w:r>
    </w:p>
    <w:p>
      <w:pPr>
        <w:ind w:right="20" w:firstLine="8"/>
        <w:spacing w:after="0" w:line="220" w:lineRule="auto"/>
        <w:tabs>
          <w:tab w:leader="none" w:pos="293"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the aggregate principal amount of Increases to the Revolving Commitments previously made pursuant to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after the Closing Date.</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Available Tenor</w:t>
      </w:r>
      <w:r>
        <w:rPr>
          <w:rFonts w:ascii="Arial" w:cs="Arial" w:eastAsia="Arial" w:hAnsi="Arial"/>
          <w:sz w:val="19"/>
          <w:szCs w:val="19"/>
          <w:color w:val="auto"/>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Section 2.17(b)(iv)</w:t>
      </w:r>
      <w:r>
        <w:rPr>
          <w:rFonts w:ascii="Arial" w:cs="Arial" w:eastAsia="Arial" w:hAnsi="Arial"/>
          <w:sz w:val="19"/>
          <w:szCs w:val="19"/>
          <w:color w:val="auto"/>
        </w:rPr>
        <w:t>.</w:t>
      </w:r>
    </w:p>
    <w:p>
      <w:pPr>
        <w:spacing w:after="0" w:line="15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Bail-In Legislation</w:t>
      </w:r>
      <w:r>
        <w:rPr>
          <w:rFonts w:ascii="Arial" w:cs="Arial" w:eastAsia="Arial" w:hAnsi="Arial"/>
          <w:sz w:val="18"/>
          <w:szCs w:val="18"/>
          <w:color w:val="auto"/>
        </w:rPr>
        <w:t>”: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5" w:right="339" w:bottom="1440" w:gutter="0" w:footer="0" w:header="0"/>
        </w:sectPr>
      </w:pPr>
    </w:p>
    <w:bookmarkStart w:id="222" w:name="page223"/>
    <w:bookmarkEnd w:id="222"/>
    <w:p>
      <w:pPr>
        <w:jc w:val="both"/>
        <w:spacing w:after="0" w:line="218" w:lineRule="auto"/>
        <w:rPr>
          <w:sz w:val="20"/>
          <w:szCs w:val="20"/>
          <w:color w:val="auto"/>
        </w:rPr>
      </w:pPr>
      <w:r>
        <w:rPr>
          <w:rFonts w:ascii="Arial" w:cs="Arial" w:eastAsia="Arial" w:hAnsi="Arial"/>
          <w:sz w:val="20"/>
          <w:szCs w:val="20"/>
          <w:color w:val="auto"/>
        </w:rPr>
        <w:t>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Bankruptcy Code</w:t>
      </w:r>
      <w:r>
        <w:rPr>
          <w:rFonts w:ascii="Arial" w:cs="Arial" w:eastAsia="Arial" w:hAnsi="Arial"/>
          <w:sz w:val="20"/>
          <w:szCs w:val="20"/>
          <w:color w:val="auto"/>
        </w:rPr>
        <w:t>”: Title 11 of the United States Code entitled “Bankruptcy.”</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w:t>
      </w:r>
      <w:r>
        <w:rPr>
          <w:rFonts w:ascii="Arial" w:cs="Arial" w:eastAsia="Arial" w:hAnsi="Arial"/>
          <w:sz w:val="19"/>
          <w:szCs w:val="19"/>
          <w:color w:val="auto"/>
        </w:rPr>
        <w:t xml:space="preserve">”: initially, the Term SOFR Reference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19"/>
          <w:szCs w:val="19"/>
          <w:u w:val="single" w:color="auto"/>
          <w:color w:val="auto"/>
        </w:rPr>
        <w:t>Section 2.17(b)(i)</w:t>
      </w:r>
      <w:r>
        <w:rPr>
          <w:rFonts w:ascii="Arial" w:cs="Arial" w:eastAsia="Arial" w:hAnsi="Arial"/>
          <w:sz w:val="19"/>
          <w:szCs w:val="19"/>
          <w:color w:val="auto"/>
        </w:rPr>
        <w: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Replacement</w:t>
      </w:r>
      <w:r>
        <w:rPr>
          <w:rFonts w:ascii="Arial" w:cs="Arial" w:eastAsia="Arial" w:hAnsi="Arial"/>
          <w:sz w:val="20"/>
          <w:szCs w:val="20"/>
          <w:color w:val="auto"/>
        </w:rPr>
        <w:t>”: with respect to any Benchmark Transition Event, the first alternative set forth in the order below that can be determined by the Administrative Agent for the applicable Benchmark Replacement Date:</w:t>
      </w:r>
    </w:p>
    <w:p>
      <w:pPr>
        <w:spacing w:after="0" w:line="155" w:lineRule="exact"/>
        <w:rPr>
          <w:sz w:val="20"/>
          <w:szCs w:val="20"/>
          <w:color w:val="auto"/>
        </w:rPr>
      </w:pPr>
    </w:p>
    <w:p>
      <w:pPr>
        <w:ind w:left="920" w:hanging="264"/>
        <w:spacing w:after="0"/>
        <w:tabs>
          <w:tab w:leader="none" w:pos="92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 Daily Simple SOFR and (ii) the related Benchmark Replacement Adjustment; or</w:t>
      </w:r>
    </w:p>
    <w:p>
      <w:pPr>
        <w:spacing w:after="0" w:line="175" w:lineRule="exact"/>
        <w:rPr>
          <w:rFonts w:ascii="Arial" w:cs="Arial" w:eastAsia="Arial" w:hAnsi="Arial"/>
          <w:sz w:val="20"/>
          <w:szCs w:val="20"/>
          <w:color w:val="auto"/>
        </w:rPr>
      </w:pPr>
    </w:p>
    <w:p>
      <w:pPr>
        <w:jc w:val="both"/>
        <w:ind w:firstLine="656"/>
        <w:spacing w:after="0" w:line="236" w:lineRule="auto"/>
        <w:tabs>
          <w:tab w:leader="none" w:pos="9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58"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Benchmark Replacement Adjustment</w:t>
      </w:r>
      <w:r>
        <w:rPr>
          <w:rFonts w:ascii="Arial" w:cs="Arial" w:eastAsia="Arial" w:hAnsi="Arial"/>
          <w:sz w:val="18"/>
          <w:szCs w:val="18"/>
          <w:color w:val="auto"/>
        </w:rPr>
        <w:t>”: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187" w:lineRule="exact"/>
        <w:rPr>
          <w:sz w:val="20"/>
          <w:szCs w:val="20"/>
          <w:color w:val="auto"/>
        </w:rPr>
      </w:pPr>
    </w:p>
    <w:p>
      <w:pPr>
        <w:jc w:val="both"/>
        <w:ind w:left="980" w:hanging="324"/>
        <w:spacing w:after="0" w:line="213" w:lineRule="auto"/>
        <w:tabs>
          <w:tab w:leader="none" w:pos="1079"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47" w:lineRule="exact"/>
        <w:rPr>
          <w:rFonts w:ascii="Arial" w:cs="Arial" w:eastAsia="Arial" w:hAnsi="Arial"/>
          <w:sz w:val="20"/>
          <w:szCs w:val="20"/>
          <w:color w:val="auto"/>
        </w:rPr>
      </w:pPr>
    </w:p>
    <w:p>
      <w:pPr>
        <w:jc w:val="both"/>
        <w:ind w:left="980" w:hanging="324"/>
        <w:spacing w:after="0" w:line="231" w:lineRule="auto"/>
        <w:tabs>
          <w:tab w:leader="none" w:pos="115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non-compliant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05" w:right="339" w:bottom="1440" w:gutter="0" w:footer="0" w:header="0"/>
        </w:sectPr>
      </w:pPr>
    </w:p>
    <w:bookmarkStart w:id="223" w:name="page224"/>
    <w:bookmarkEnd w:id="223"/>
    <w:p>
      <w:pPr>
        <w:ind w:left="980" w:right="20"/>
        <w:spacing w:after="0" w:line="229" w:lineRule="auto"/>
        <w:rPr>
          <w:sz w:val="20"/>
          <w:szCs w:val="20"/>
          <w:color w:val="auto"/>
        </w:rPr>
      </w:pPr>
      <w:r>
        <w:rPr>
          <w:rFonts w:ascii="Arial" w:cs="Arial" w:eastAsia="Arial" w:hAnsi="Arial"/>
          <w:sz w:val="20"/>
          <w:szCs w:val="20"/>
          <w:color w:val="auto"/>
        </w:rPr>
        <w:t>clause (c) and even if any Available Tenor of such Benchmark (or such component thereof) continues to be provided on such date.</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Benchmark Transition Event</w:t>
      </w:r>
      <w:r>
        <w:rPr>
          <w:rFonts w:ascii="Arial" w:cs="Arial" w:eastAsia="Arial" w:hAnsi="Arial"/>
          <w:sz w:val="19"/>
          <w:szCs w:val="19"/>
          <w:color w:val="auto"/>
        </w:rPr>
        <w:t>”: the occurrence of one or more of the following events with respect to the then-current Benchmark:</w:t>
      </w:r>
    </w:p>
    <w:p>
      <w:pPr>
        <w:spacing w:after="0" w:line="187" w:lineRule="exact"/>
        <w:rPr>
          <w:sz w:val="20"/>
          <w:szCs w:val="20"/>
          <w:color w:val="auto"/>
        </w:rPr>
      </w:pPr>
    </w:p>
    <w:p>
      <w:pPr>
        <w:jc w:val="both"/>
        <w:ind w:left="1060" w:hanging="404"/>
        <w:spacing w:after="0" w:line="210" w:lineRule="auto"/>
        <w:tabs>
          <w:tab w:leader="none" w:pos="116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46" w:lineRule="exact"/>
        <w:rPr>
          <w:rFonts w:ascii="Arial" w:cs="Arial" w:eastAsia="Arial" w:hAnsi="Arial"/>
          <w:sz w:val="20"/>
          <w:szCs w:val="20"/>
          <w:color w:val="auto"/>
        </w:rPr>
      </w:pPr>
    </w:p>
    <w:p>
      <w:pPr>
        <w:jc w:val="both"/>
        <w:ind w:left="980" w:hanging="324"/>
        <w:spacing w:after="0" w:line="215" w:lineRule="auto"/>
        <w:tabs>
          <w:tab w:leader="none" w:pos="112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47" w:lineRule="exact"/>
        <w:rPr>
          <w:rFonts w:ascii="Arial" w:cs="Arial" w:eastAsia="Arial" w:hAnsi="Arial"/>
          <w:sz w:val="19"/>
          <w:szCs w:val="19"/>
          <w:color w:val="auto"/>
        </w:rPr>
      </w:pPr>
    </w:p>
    <w:p>
      <w:pPr>
        <w:jc w:val="both"/>
        <w:ind w:left="980" w:hanging="324"/>
        <w:spacing w:after="0" w:line="221" w:lineRule="auto"/>
        <w:tabs>
          <w:tab w:leader="none" w:pos="1165"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Benchmark Unavailability Period</w:t>
      </w:r>
      <w:r>
        <w:rPr>
          <w:rFonts w:ascii="Arial" w:cs="Arial" w:eastAsia="Arial" w:hAnsi="Arial"/>
          <w:sz w:val="20"/>
          <w:szCs w:val="20"/>
          <w:color w:val="auto"/>
        </w:rPr>
        <w:t xml:space="preserve">”: the period (if any) (x) beginning at the time that a Benchmark Replacement Date pursuant to clauses (a) or (b) of that definition has occurred if, at such time, no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2.17(b)</w:t>
      </w:r>
      <w:r>
        <w:rPr>
          <w:rFonts w:ascii="Arial" w:cs="Arial" w:eastAsia="Arial" w:hAnsi="Arial"/>
          <w:sz w:val="20"/>
          <w:szCs w:val="20"/>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2.17(b)</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Certification</w:t>
      </w:r>
      <w:r>
        <w:rPr>
          <w:rFonts w:ascii="Arial" w:cs="Arial" w:eastAsia="Arial" w:hAnsi="Arial"/>
          <w:sz w:val="20"/>
          <w:szCs w:val="20"/>
          <w:color w:val="auto"/>
        </w:rPr>
        <w:t>”: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Beneficial Ownership Regulation</w:t>
      </w:r>
      <w:r>
        <w:rPr>
          <w:rFonts w:ascii="Arial" w:cs="Arial" w:eastAsia="Arial" w:hAnsi="Arial"/>
          <w:sz w:val="20"/>
          <w:szCs w:val="20"/>
          <w:color w:val="auto"/>
        </w:rPr>
        <w:t>”: United States 31 C.F.R. § 1010.230.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5" w:right="339" w:bottom="1440" w:gutter="0" w:footer="0" w:header="0"/>
        </w:sectPr>
      </w:pPr>
    </w:p>
    <w:bookmarkStart w:id="224" w:name="page225"/>
    <w:bookmarkEnd w:id="224"/>
    <w:p>
      <w:pPr>
        <w:ind w:right="60"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 Plan</w:t>
      </w:r>
      <w:r>
        <w:rPr>
          <w:rFonts w:ascii="Arial" w:cs="Arial" w:eastAsia="Arial" w:hAnsi="Arial"/>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Benefitted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10.7(a)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7.23</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the Board of Governors of the Federal Reserve System of the United States (or any successor).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as defined in the preamble hereto.</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Borrowing Date</w:t>
      </w:r>
      <w:r>
        <w:rPr>
          <w:rFonts w:ascii="Arial" w:cs="Arial" w:eastAsia="Arial" w:hAnsi="Arial"/>
          <w:sz w:val="20"/>
          <w:szCs w:val="20"/>
          <w:color w:val="auto"/>
        </w:rPr>
        <w:t>”: any Business Day specified by the Borrower in a Notice of Borrowing as a date on which the Borrower requests the relevant Lenders to make Loans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4.17(b)</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Day</w:t>
      </w:r>
      <w:r>
        <w:rPr>
          <w:rFonts w:ascii="Arial" w:cs="Arial" w:eastAsia="Arial" w:hAnsi="Arial"/>
          <w:sz w:val="20"/>
          <w:szCs w:val="20"/>
          <w:color w:val="auto"/>
        </w:rPr>
        <w:t>”: a day other than a Saturday, Sunday or other day on which commercial banks in the State of New York or the State of California are authorized or required by law to close.</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Capital Lease Obligations</w:t>
      </w:r>
      <w:r>
        <w:rPr>
          <w:rFonts w:ascii="Arial" w:cs="Arial" w:eastAsia="Arial" w:hAnsi="Arial"/>
          <w:sz w:val="19"/>
          <w:szCs w:val="19"/>
          <w:color w:val="auto"/>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55"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Capital Stock</w:t>
      </w:r>
      <w:r>
        <w:rPr>
          <w:rFonts w:ascii="Arial" w:cs="Arial" w:eastAsia="Arial" w:hAnsi="Arial"/>
          <w:sz w:val="20"/>
          <w:szCs w:val="20"/>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provided, however, that any Indebtedness convertible or exchangeable into Capital Stock that is not Disqualified Stock shall not constitute Capital Stock.</w:t>
      </w:r>
    </w:p>
    <w:p>
      <w:pPr>
        <w:spacing w:after="0" w:line="156"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Collateralize</w:t>
      </w:r>
      <w:r>
        <w:rPr>
          <w:rFonts w:ascii="Arial" w:cs="Arial" w:eastAsia="Arial" w:hAnsi="Arial"/>
          <w:sz w:val="18"/>
          <w:szCs w:val="18"/>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credit support, in each case pursuant to documentation in form and substance satisfactory to the Administrative Agent and such Issuing Lender; (b)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satisfactory to the Administrative Agent and such Cash Management Bank; or (c) with respect to Obligations in respect of any Specified Swap Agreements, the applicable Qualified Counterparty, as Collateral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5" w:right="339" w:bottom="1440" w:gutter="0" w:footer="0" w:header="0"/>
        </w:sectPr>
      </w:pPr>
    </w:p>
    <w:bookmarkStart w:id="225" w:name="page226"/>
    <w:bookmarkEnd w:id="225"/>
    <w:p>
      <w:pPr>
        <w:jc w:val="both"/>
        <w:spacing w:after="0" w:line="230" w:lineRule="auto"/>
        <w:rPr>
          <w:sz w:val="20"/>
          <w:szCs w:val="20"/>
          <w:color w:val="auto"/>
        </w:rPr>
      </w:pPr>
      <w:r>
        <w:rPr>
          <w:rFonts w:ascii="Arial" w:cs="Arial" w:eastAsia="Arial" w:hAnsi="Arial"/>
          <w:sz w:val="19"/>
          <w:szCs w:val="19"/>
          <w:color w:val="auto"/>
        </w:rPr>
        <w:t>Obligations, cash or deposit account balances or, if such Qualified Counterparty shall agree in its sole discretion, other credit support, in each case pursuant to documentation in form and substance satisfactory to such Qualified Counterparty. “</w:t>
      </w:r>
      <w:r>
        <w:rPr>
          <w:rFonts w:ascii="Arial" w:cs="Arial" w:eastAsia="Arial" w:hAnsi="Arial"/>
          <w:sz w:val="19"/>
          <w:szCs w:val="19"/>
          <w:b w:val="1"/>
          <w:bCs w:val="1"/>
          <w:i w:val="1"/>
          <w:iCs w:val="1"/>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5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one year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(j) investments permitted by the Borrower’s board-approved investment policy.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Agreement</w:t>
      </w:r>
      <w:r>
        <w:rPr>
          <w:rFonts w:ascii="Arial" w:cs="Arial" w:eastAsia="Arial" w:hAnsi="Arial"/>
          <w:sz w:val="20"/>
          <w:szCs w:val="20"/>
          <w:color w:val="auto"/>
        </w:rPr>
        <w:t>”: as defined in the definition of “Cash Management Services.”</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Cash Management Bank</w:t>
      </w:r>
      <w:r>
        <w:rPr>
          <w:rFonts w:ascii="Arial" w:cs="Arial" w:eastAsia="Arial" w:hAnsi="Arial"/>
          <w:sz w:val="20"/>
          <w:szCs w:val="20"/>
          <w:color w:val="auto"/>
        </w:rPr>
        <w:t>”: any Person that, at the time it enters into a Cash Management Agreement, is a Lender or an Affiliate of a Lender, in its capacity as a party to such Cash Management Agreement.</w:t>
      </w:r>
    </w:p>
    <w:p>
      <w:pPr>
        <w:spacing w:after="0" w:line="155"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 Management Services</w:t>
      </w:r>
      <w:r>
        <w:rPr>
          <w:rFonts w:ascii="Arial" w:cs="Arial" w:eastAsia="Arial" w:hAnsi="Arial"/>
          <w:sz w:val="19"/>
          <w:szCs w:val="19"/>
          <w:color w:val="auto"/>
        </w:rPr>
        <w:t>”: cash management and other services provided to one or more of the Group Members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(each, a “</w:t>
      </w:r>
      <w:r>
        <w:rPr>
          <w:rFonts w:ascii="Arial" w:cs="Arial" w:eastAsia="Arial" w:hAnsi="Arial"/>
          <w:sz w:val="19"/>
          <w:szCs w:val="19"/>
          <w:b w:val="1"/>
          <w:bCs w:val="1"/>
          <w:i w:val="1"/>
          <w:iCs w:val="1"/>
          <w:color w:val="auto"/>
        </w:rPr>
        <w:t>Cash Management Agreement</w:t>
      </w:r>
      <w:r>
        <w:rPr>
          <w:rFonts w:ascii="Arial" w:cs="Arial" w:eastAsia="Arial" w:hAnsi="Arial"/>
          <w:sz w:val="19"/>
          <w:szCs w:val="19"/>
          <w:color w:val="auto"/>
        </w:rPr>
        <w:t>”).</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Casualty Event</w:t>
      </w:r>
      <w:r>
        <w:rPr>
          <w:rFonts w:ascii="Arial" w:cs="Arial" w:eastAsia="Arial" w:hAnsi="Arial"/>
          <w:sz w:val="20"/>
          <w:szCs w:val="20"/>
          <w:color w:val="auto"/>
        </w:rPr>
        <w:t>”: any damage to or any destruction of, or any condemnation or other taking by any Governmental Authority of any property of the Loan Parties.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Certificated Securities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4.19(a)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35% or more of the ordinary voting power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05" w:right="339" w:bottom="1440" w:gutter="0" w:footer="0" w:header="0"/>
        </w:sectPr>
      </w:pPr>
    </w:p>
    <w:bookmarkStart w:id="226" w:name="page227"/>
    <w:bookmarkEnd w:id="226"/>
    <w:p>
      <w:pPr>
        <w:jc w:val="both"/>
        <w:spacing w:after="0" w:line="218" w:lineRule="auto"/>
        <w:rPr>
          <w:sz w:val="20"/>
          <w:szCs w:val="20"/>
          <w:color w:val="auto"/>
        </w:rPr>
      </w:pPr>
      <w:r>
        <w:rPr>
          <w:rFonts w:ascii="Arial" w:cs="Arial" w:eastAsia="Arial" w:hAnsi="Arial"/>
          <w:sz w:val="20"/>
          <w:szCs w:val="20"/>
          <w:color w:val="auto"/>
        </w:rPr>
        <w:t xml:space="preserve">the election of directors of Holdings (determined on a fully diluted basis); or (b) except as permitted by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at any time, Holdings shall cease to own and control, of record and beneficially, directly or indirectly, 100% of each class of outstanding Capital Stock of each other Loan Party free and clear of all Liens other than Liens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Closing Date</w:t>
      </w:r>
      <w:r>
        <w:rPr>
          <w:rFonts w:ascii="Arial" w:cs="Arial" w:eastAsia="Arial" w:hAnsi="Arial"/>
          <w:sz w:val="20"/>
          <w:szCs w:val="20"/>
          <w:color w:val="auto"/>
        </w:rPr>
        <w:t xml:space="preserve">”: the date on which all of the conditions precedent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are satisfied or waived by the Administrative Agent and, as applicable, the Lenders or the Required Lenders.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the Internal Revenue Code of 1986, as amended from time to time.</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w:t>
      </w:r>
      <w:r>
        <w:rPr>
          <w:rFonts w:ascii="Arial" w:cs="Arial" w:eastAsia="Arial" w:hAnsi="Arial"/>
          <w:sz w:val="20"/>
          <w:szCs w:val="20"/>
          <w:color w:val="auto"/>
        </w:rPr>
        <w:t>”: all property of the Loan Parties, now owned or hereafter acquired, upon which a Lien is purported to be created by any Security Document. For the avoidance of doubt, no Excluded Asset shall constitute “Collateral.”</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Collateral Information Certificate</w:t>
      </w:r>
      <w:r>
        <w:rPr>
          <w:rFonts w:ascii="Arial" w:cs="Arial" w:eastAsia="Arial" w:hAnsi="Arial"/>
          <w:sz w:val="20"/>
          <w:szCs w:val="20"/>
          <w:color w:val="auto"/>
        </w:rPr>
        <w:t xml:space="preserve">”: the Collateral Information Certificate to be executed and delivered by Holdings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Collateral-Related Expenses</w:t>
      </w:r>
      <w:r>
        <w:rPr>
          <w:rFonts w:ascii="Arial" w:cs="Arial" w:eastAsia="Arial" w:hAnsi="Arial"/>
          <w:sz w:val="19"/>
          <w:szCs w:val="19"/>
          <w:color w:val="auto"/>
        </w:rPr>
        <w:t>”: all reasonable costs and expenses of the Administrative Agent paid or incurred in connection with any sale, collection or other realization on the Collateral, including reasonable compensation to the Administrative Agent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w:t>
      </w:r>
      <w:r>
        <w:rPr>
          <w:rFonts w:ascii="Arial" w:cs="Arial" w:eastAsia="Arial" w:hAnsi="Arial"/>
          <w:sz w:val="20"/>
          <w:szCs w:val="20"/>
          <w:color w:val="auto"/>
        </w:rPr>
        <w:t>”: as to any Lender, its Revolving Commitment.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2.9(b)</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Commitment Fee Rate</w:t>
      </w:r>
      <w:r>
        <w:rPr>
          <w:rFonts w:ascii="Arial" w:cs="Arial" w:eastAsia="Arial" w:hAnsi="Arial"/>
          <w:sz w:val="20"/>
          <w:szCs w:val="20"/>
          <w:color w:val="auto"/>
        </w:rPr>
        <w:t>”: the rate per annum set forth under the relevant column heading under the definition of “Applicable Margin.”</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Commodity Exchange Act</w:t>
      </w:r>
      <w:r>
        <w:rPr>
          <w:rFonts w:ascii="Arial" w:cs="Arial" w:eastAsia="Arial" w:hAnsi="Arial"/>
          <w:sz w:val="20"/>
          <w:szCs w:val="20"/>
          <w:color w:val="auto"/>
        </w:rPr>
        <w:t xml:space="preserve">”: the Commodity Exchange Act (7 U.S.C. Section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Communications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10.2(c)(ii)</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Compliance Certificate</w:t>
      </w:r>
      <w:r>
        <w:rPr>
          <w:rFonts w:ascii="Arial" w:cs="Arial" w:eastAsia="Arial" w:hAnsi="Arial"/>
          <w:sz w:val="18"/>
          <w:szCs w:val="18"/>
          <w:color w:val="auto"/>
        </w:rPr>
        <w:t xml:space="preserve">”: a certificate duly executed by a Responsible Officer of Holdings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9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Conforming Changes</w:t>
      </w:r>
      <w:r>
        <w:rPr>
          <w:rFonts w:ascii="Arial" w:cs="Arial" w:eastAsia="Arial" w:hAnsi="Arial"/>
          <w:sz w:val="18"/>
          <w:szCs w:val="18"/>
          <w:color w:val="auto"/>
        </w:rPr>
        <w:t>”: with respect to either the use or administration of any Benchmark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05" w:right="339" w:bottom="1440" w:gutter="0" w:footer="0" w:header="0"/>
        </w:sectPr>
      </w:pPr>
    </w:p>
    <w:bookmarkStart w:id="227" w:name="page228"/>
    <w:bookmarkEnd w:id="227"/>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Connection Income Taxes</w:t>
      </w:r>
      <w:r>
        <w:rPr>
          <w:rFonts w:ascii="Arial" w:cs="Arial" w:eastAsia="Arial" w:hAnsi="Arial"/>
          <w:sz w:val="20"/>
          <w:szCs w:val="20"/>
          <w:color w:val="auto"/>
        </w:rPr>
        <w:t>”: Other Connection Taxes that are imposed on or measured by net income (however denominated) or that are franchise Taxes or branch profits Taxes.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Capital Expenditures</w:t>
      </w:r>
      <w:r>
        <w:rPr>
          <w:rFonts w:ascii="Arial" w:cs="Arial" w:eastAsia="Arial" w:hAnsi="Arial"/>
          <w:sz w:val="19"/>
          <w:szCs w:val="19"/>
          <w:color w:val="auto"/>
        </w:rPr>
        <w:t xml:space="preserve">”: for any period, with respect to Holdings and its consolidated Subsidiaries, the aggregate amount of all expenditures (whether paid in cash or other consideration or accrued as a liability and including that portion of Capital Lease Obligations which is capitalized on the consolidated balance sheet of Holdings) by such Group Members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Holdings;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t>
      </w:r>
      <w:r>
        <w:rPr>
          <w:rFonts w:ascii="Arial" w:cs="Arial" w:eastAsia="Arial" w:hAnsi="Arial"/>
          <w:sz w:val="19"/>
          <w:szCs w:val="19"/>
          <w:b w:val="1"/>
          <w:bCs w:val="1"/>
          <w:i w:val="1"/>
          <w:iCs w:val="1"/>
          <w:color w:val="auto"/>
        </w:rPr>
        <w:t>Consolidated Capital Expenditures</w:t>
      </w:r>
      <w:r>
        <w:rPr>
          <w:rFonts w:ascii="Arial" w:cs="Arial" w:eastAsia="Arial" w:hAnsi="Arial"/>
          <w:sz w:val="19"/>
          <w:szCs w:val="19"/>
          <w:color w:val="auto"/>
        </w:rPr>
        <w:t>” shall not include expenditures (a) in respect of normal replacements and maintenance which are properly charged to current operations, (b)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or (c) made as a tenant as leasehold improvements during such period to the extent reimbursed by the landlord during such period.</w:t>
      </w:r>
    </w:p>
    <w:p>
      <w:pPr>
        <w:spacing w:after="0" w:line="162" w:lineRule="exact"/>
        <w:rPr>
          <w:sz w:val="20"/>
          <w:szCs w:val="20"/>
          <w:color w:val="auto"/>
        </w:rPr>
      </w:pPr>
    </w:p>
    <w:p>
      <w:pPr>
        <w:ind w:right="160" w:firstLine="324"/>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EBITDA</w:t>
      </w:r>
      <w:r>
        <w:rPr>
          <w:rFonts w:ascii="Arial" w:cs="Arial" w:eastAsia="Arial" w:hAnsi="Arial"/>
          <w:sz w:val="18"/>
          <w:szCs w:val="18"/>
          <w:color w:val="auto"/>
        </w:rPr>
        <w:t xml:space="preserve">”: for any period, with respect to Holdings and its consolidated Subsidiaries,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without duplication and to the extent deducted in determining Consolidated Net Income for such period, the sum of:</w:t>
      </w:r>
    </w:p>
    <w:p>
      <w:pPr>
        <w:spacing w:after="0" w:line="1" w:lineRule="exact"/>
        <w:rPr>
          <w:sz w:val="20"/>
          <w:szCs w:val="20"/>
          <w:color w:val="auto"/>
        </w:rPr>
      </w:pPr>
    </w:p>
    <w:p>
      <w:pPr>
        <w:ind w:left="1940" w:hanging="393"/>
        <w:spacing w:after="0"/>
        <w:tabs>
          <w:tab w:leader="none" w:pos="1940" w:val="left"/>
        </w:tabs>
        <w:numPr>
          <w:ilvl w:val="0"/>
          <w:numId w:val="168"/>
        </w:numPr>
        <w:rPr>
          <w:rFonts w:ascii="Arial" w:cs="Arial" w:eastAsia="Arial" w:hAnsi="Arial"/>
          <w:sz w:val="20"/>
          <w:szCs w:val="20"/>
          <w:color w:val="010000"/>
        </w:rPr>
      </w:pPr>
      <w:r>
        <w:rPr>
          <w:rFonts w:ascii="Arial" w:cs="Arial" w:eastAsia="Arial" w:hAnsi="Arial"/>
          <w:sz w:val="20"/>
          <w:szCs w:val="20"/>
          <w:color w:val="auto"/>
        </w:rPr>
        <w:t>Consolidated Interest Expense for such period;</w:t>
      </w:r>
    </w:p>
    <w:p>
      <w:pPr>
        <w:spacing w:after="0" w:line="159" w:lineRule="exact"/>
        <w:rPr>
          <w:rFonts w:ascii="Arial" w:cs="Arial" w:eastAsia="Arial" w:hAnsi="Arial"/>
          <w:sz w:val="20"/>
          <w:szCs w:val="20"/>
          <w:color w:val="010000"/>
        </w:rPr>
      </w:pPr>
    </w:p>
    <w:p>
      <w:pPr>
        <w:jc w:val="both"/>
        <w:ind w:left="660" w:firstLine="887"/>
        <w:spacing w:after="0" w:line="210" w:lineRule="auto"/>
        <w:tabs>
          <w:tab w:leader="none" w:pos="1955" w:val="left"/>
        </w:tabs>
        <w:numPr>
          <w:ilvl w:val="0"/>
          <w:numId w:val="168"/>
        </w:numPr>
        <w:rPr>
          <w:rFonts w:ascii="Arial" w:cs="Arial" w:eastAsia="Arial" w:hAnsi="Arial"/>
          <w:sz w:val="20"/>
          <w:szCs w:val="20"/>
          <w:color w:val="010000"/>
        </w:rPr>
      </w:pPr>
      <w:r>
        <w:rPr>
          <w:rFonts w:ascii="Arial" w:cs="Arial" w:eastAsia="Arial" w:hAnsi="Arial"/>
          <w:sz w:val="20"/>
          <w:szCs w:val="20"/>
          <w:color w:val="auto"/>
        </w:rPr>
        <w:t>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and interest related to such taxes or arising from tax examinations) and similar taxes of such Person paid or accrued during such period (including in respect of repatriated funds);</w:t>
      </w:r>
    </w:p>
    <w:p>
      <w:pPr>
        <w:spacing w:after="0" w:line="154" w:lineRule="exact"/>
        <w:rPr>
          <w:rFonts w:ascii="Arial" w:cs="Arial" w:eastAsia="Arial" w:hAnsi="Arial"/>
          <w:sz w:val="20"/>
          <w:szCs w:val="20"/>
          <w:color w:val="010000"/>
        </w:rPr>
      </w:pPr>
    </w:p>
    <w:p>
      <w:pPr>
        <w:ind w:left="1960" w:hanging="413"/>
        <w:spacing w:after="0"/>
        <w:tabs>
          <w:tab w:leader="none" w:pos="1960" w:val="left"/>
        </w:tabs>
        <w:numPr>
          <w:ilvl w:val="0"/>
          <w:numId w:val="168"/>
        </w:numPr>
        <w:rPr>
          <w:rFonts w:ascii="Arial" w:cs="Arial" w:eastAsia="Arial" w:hAnsi="Arial"/>
          <w:sz w:val="20"/>
          <w:szCs w:val="20"/>
          <w:color w:val="010000"/>
        </w:rPr>
      </w:pPr>
      <w:r>
        <w:rPr>
          <w:rFonts w:ascii="Arial" w:cs="Arial" w:eastAsia="Arial" w:hAnsi="Arial"/>
          <w:sz w:val="20"/>
          <w:szCs w:val="20"/>
          <w:color w:val="auto"/>
        </w:rPr>
        <w:t>all amounts attributable to depreciation and amortization expense for such period;</w:t>
      </w:r>
    </w:p>
    <w:p>
      <w:pPr>
        <w:spacing w:after="0" w:line="175" w:lineRule="exact"/>
        <w:rPr>
          <w:rFonts w:ascii="Arial" w:cs="Arial" w:eastAsia="Arial" w:hAnsi="Arial"/>
          <w:sz w:val="20"/>
          <w:szCs w:val="20"/>
          <w:color w:val="010000"/>
        </w:rPr>
      </w:pPr>
    </w:p>
    <w:p>
      <w:pPr>
        <w:ind w:left="1940" w:hanging="393"/>
        <w:spacing w:after="0"/>
        <w:tabs>
          <w:tab w:leader="none" w:pos="1940" w:val="left"/>
        </w:tabs>
        <w:numPr>
          <w:ilvl w:val="0"/>
          <w:numId w:val="168"/>
        </w:numPr>
        <w:rPr>
          <w:rFonts w:ascii="Arial" w:cs="Arial" w:eastAsia="Arial" w:hAnsi="Arial"/>
          <w:sz w:val="20"/>
          <w:szCs w:val="20"/>
          <w:color w:val="010000"/>
        </w:rPr>
      </w:pPr>
      <w:r>
        <w:rPr>
          <w:rFonts w:ascii="Arial" w:cs="Arial" w:eastAsia="Arial" w:hAnsi="Arial"/>
          <w:sz w:val="20"/>
          <w:szCs w:val="20"/>
          <w:color w:val="auto"/>
        </w:rPr>
        <w:t>any extraordinary non-cash charges for such period (but excluding any lost earnings);</w:t>
      </w:r>
    </w:p>
    <w:p>
      <w:pPr>
        <w:spacing w:after="0" w:line="175" w:lineRule="exact"/>
        <w:rPr>
          <w:rFonts w:ascii="Arial" w:cs="Arial" w:eastAsia="Arial" w:hAnsi="Arial"/>
          <w:sz w:val="20"/>
          <w:szCs w:val="20"/>
          <w:color w:val="010000"/>
        </w:rPr>
      </w:pPr>
    </w:p>
    <w:p>
      <w:pPr>
        <w:jc w:val="both"/>
        <w:ind w:left="660" w:right="20" w:firstLine="887"/>
        <w:spacing w:after="0" w:line="218" w:lineRule="auto"/>
        <w:tabs>
          <w:tab w:leader="none" w:pos="1944" w:val="left"/>
        </w:tabs>
        <w:numPr>
          <w:ilvl w:val="0"/>
          <w:numId w:val="168"/>
        </w:numPr>
        <w:rPr>
          <w:rFonts w:ascii="Arial" w:cs="Arial" w:eastAsia="Arial" w:hAnsi="Arial"/>
          <w:sz w:val="20"/>
          <w:szCs w:val="20"/>
          <w:color w:val="010000"/>
        </w:rPr>
      </w:pPr>
      <w:r>
        <w:rPr>
          <w:rFonts w:ascii="Arial" w:cs="Arial" w:eastAsia="Arial" w:hAnsi="Arial"/>
          <w:sz w:val="20"/>
          <w:szCs w:val="20"/>
          <w:color w:val="auto"/>
        </w:rPr>
        <w:t>any other non-cash charges for such period (but excluding any non-cash charge in respect of an item that was included in Consolidated Net Income in a prior period, any lost earnings and any non-cash charge that relates to the write-down or write-off of inventory in the ordinary course of business);</w:t>
      </w:r>
    </w:p>
    <w:p>
      <w:pPr>
        <w:spacing w:after="0" w:line="156" w:lineRule="exact"/>
        <w:rPr>
          <w:rFonts w:ascii="Arial" w:cs="Arial" w:eastAsia="Arial" w:hAnsi="Arial"/>
          <w:sz w:val="20"/>
          <w:szCs w:val="20"/>
          <w:color w:val="010000"/>
        </w:rPr>
      </w:pPr>
    </w:p>
    <w:p>
      <w:pPr>
        <w:ind w:left="1940" w:hanging="393"/>
        <w:spacing w:after="0"/>
        <w:tabs>
          <w:tab w:leader="none" w:pos="1940" w:val="left"/>
        </w:tabs>
        <w:numPr>
          <w:ilvl w:val="0"/>
          <w:numId w:val="168"/>
        </w:numPr>
        <w:rPr>
          <w:rFonts w:ascii="Arial" w:cs="Arial" w:eastAsia="Arial" w:hAnsi="Arial"/>
          <w:sz w:val="19"/>
          <w:szCs w:val="19"/>
          <w:color w:val="010000"/>
        </w:rPr>
      </w:pPr>
      <w:r>
        <w:rPr>
          <w:rFonts w:ascii="Arial" w:cs="Arial" w:eastAsia="Arial" w:hAnsi="Arial"/>
          <w:sz w:val="19"/>
          <w:szCs w:val="19"/>
          <w:color w:val="auto"/>
        </w:rPr>
        <w:t>the amount of any non-cash expense as a result of any grant of Capital Stock to employees, for such period;</w:t>
      </w:r>
    </w:p>
    <w:p>
      <w:pPr>
        <w:spacing w:after="0" w:line="186" w:lineRule="exact"/>
        <w:rPr>
          <w:rFonts w:ascii="Arial" w:cs="Arial" w:eastAsia="Arial" w:hAnsi="Arial"/>
          <w:sz w:val="19"/>
          <w:szCs w:val="19"/>
          <w:color w:val="010000"/>
        </w:rPr>
      </w:pPr>
    </w:p>
    <w:p>
      <w:pPr>
        <w:jc w:val="both"/>
        <w:ind w:left="660" w:firstLine="887"/>
        <w:spacing w:after="0" w:line="228" w:lineRule="auto"/>
        <w:tabs>
          <w:tab w:leader="none" w:pos="1945" w:val="left"/>
        </w:tabs>
        <w:numPr>
          <w:ilvl w:val="0"/>
          <w:numId w:val="168"/>
        </w:numPr>
        <w:rPr>
          <w:rFonts w:ascii="Arial" w:cs="Arial" w:eastAsia="Arial" w:hAnsi="Arial"/>
          <w:sz w:val="18"/>
          <w:szCs w:val="18"/>
          <w:color w:val="010000"/>
        </w:rPr>
      </w:pPr>
      <w:r>
        <w:rPr>
          <w:rFonts w:ascii="Arial" w:cs="Arial" w:eastAsia="Arial" w:hAnsi="Arial"/>
          <w:sz w:val="18"/>
          <w:szCs w:val="18"/>
          <w:color w:val="auto"/>
        </w:rPr>
        <w:t>any fees, costs, expenses or charges related to any actual, proposed or contemplated issuance of Capital Stock, Investment, acquisition, disposition outside of the ordinary course of business, recapitalization or the incurrence of Indebtedness permitted to be incurred hereunder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the Unsecured Notes, this Agreement, any other credit facilities and any Ratio Debt, and (ii) any amendment, waiver or other modification of the Unsecured Notes, this Agreement, any Ratio Debt, any other Indebtedness or any issuance of Capital Stock, in each case, whether or not consummated, to the extent deducted (and not added back) in computing Consolidated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05" w:right="339" w:bottom="1440" w:gutter="0" w:footer="0" w:header="0"/>
        </w:sectPr>
      </w:pPr>
    </w:p>
    <w:bookmarkStart w:id="228" w:name="page229"/>
    <w:bookmarkEnd w:id="228"/>
    <w:p>
      <w:pPr>
        <w:ind w:left="-460" w:firstLine="887"/>
        <w:spacing w:after="0" w:line="229" w:lineRule="auto"/>
        <w:tabs>
          <w:tab w:leader="none" w:pos="880" w:val="left"/>
        </w:tabs>
        <w:numPr>
          <w:ilvl w:val="0"/>
          <w:numId w:val="169"/>
        </w:numPr>
        <w:rPr>
          <w:rFonts w:ascii="Arial" w:cs="Arial" w:eastAsia="Arial" w:hAnsi="Arial"/>
          <w:sz w:val="20"/>
          <w:szCs w:val="20"/>
          <w:color w:val="010000"/>
        </w:rPr>
      </w:pPr>
      <w:r>
        <w:rPr>
          <w:rFonts w:ascii="Arial" w:cs="Arial" w:eastAsia="Arial" w:hAnsi="Arial"/>
          <w:sz w:val="20"/>
          <w:szCs w:val="20"/>
          <w:color w:val="auto"/>
        </w:rPr>
        <w:t>any losses realized upon a Disposition of property (including abandoned or discontinued operations or product lines and extraordinary losses) outside of the ordinary course of business for such period;</w:t>
      </w:r>
    </w:p>
    <w:p>
      <w:pPr>
        <w:spacing w:after="0" w:line="155" w:lineRule="exact"/>
        <w:rPr>
          <w:rFonts w:ascii="Arial" w:cs="Arial" w:eastAsia="Arial" w:hAnsi="Arial"/>
          <w:sz w:val="20"/>
          <w:szCs w:val="20"/>
          <w:color w:val="010000"/>
        </w:rPr>
      </w:pPr>
    </w:p>
    <w:p>
      <w:pPr>
        <w:jc w:val="both"/>
        <w:ind w:left="-460" w:firstLine="887"/>
        <w:spacing w:after="0" w:line="223" w:lineRule="auto"/>
        <w:tabs>
          <w:tab w:leader="none" w:pos="825"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the amount of pro forma “run rate”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attributable to operating improvements, strategic initiatives, synergies or other actions taken or expected to be taken (it is understood and agreed that “</w:t>
      </w:r>
      <w:r>
        <w:rPr>
          <w:rFonts w:ascii="Arial" w:cs="Arial" w:eastAsia="Arial" w:hAnsi="Arial"/>
          <w:sz w:val="18"/>
          <w:szCs w:val="18"/>
          <w:i w:val="1"/>
          <w:iCs w:val="1"/>
          <w:color w:val="auto"/>
        </w:rPr>
        <w:t>run rate</w:t>
      </w:r>
      <w:r>
        <w:rPr>
          <w:rFonts w:ascii="Arial" w:cs="Arial" w:eastAsia="Arial" w:hAnsi="Arial"/>
          <w:sz w:val="18"/>
          <w:szCs w:val="18"/>
          <w:color w:val="auto"/>
        </w:rPr>
        <w:t xml:space="preserve">” means the full recurring benefit for a period that is associated with any action taken, committed to be taken or expected to be taken, net of the amount of actual benefits realized during such period from such actions) that are projected by the Borrower in good faith to be realized within 24 months of the last day of such period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had been realized on the first day of such period, in each case, net of the amount of actual benefits realized prior to or during such period from such 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cost savings are reasonably identifiable and factually supportable (in the good faith determination of the Borrower);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the aggregate amount added back pursuant to this clause (ix) and clause (x) below shall not exceed for any period of four consecutive fiscal quarters, an amount equal to 20% of Consolidated EBITDA for such period (calculated prior to giving effect to any such adjustments) and (B) no such amounts added back pursuant to this clause (ix) shall be duplicative of any expense or charges otherwise added back to Consolidated EBITDA, whether through a pro forma adjustment or otherwise, for such period;</w:t>
      </w:r>
    </w:p>
    <w:p>
      <w:pPr>
        <w:spacing w:after="0" w:line="159" w:lineRule="exact"/>
        <w:rPr>
          <w:rFonts w:ascii="Arial" w:cs="Arial" w:eastAsia="Arial" w:hAnsi="Arial"/>
          <w:sz w:val="18"/>
          <w:szCs w:val="18"/>
          <w:color w:val="010000"/>
        </w:rPr>
      </w:pPr>
    </w:p>
    <w:p>
      <w:pPr>
        <w:jc w:val="both"/>
        <w:ind w:left="-460" w:firstLine="887"/>
        <w:spacing w:after="0" w:line="212" w:lineRule="auto"/>
        <w:tabs>
          <w:tab w:leader="none" w:pos="824"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 xml:space="preserve">the amount of any restructuring charge, accrual, reserve (and adjustments to existing reserves) or expense, integration cost, inventory optimization programs or other business optimization expense or cost (including charges directly related to the implementation of cost-savings initiatives and tax restructurings) that is deducted (and not added back) in such period in computing Consolidated Net Income, including any such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and fees, costs and expenses associated with acquisition related litigation and settlements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added back pursuant to this clause (x) and clause (ix) above shall not exceed for any period of four consecutive fiscal quarters, an amount equal to 20% of Consolidated EBITDA for such period (calculated prior to giving effect to any such adjustments);</w:t>
      </w:r>
    </w:p>
    <w:p>
      <w:pPr>
        <w:spacing w:after="0" w:line="156" w:lineRule="exact"/>
        <w:rPr>
          <w:rFonts w:ascii="Arial" w:cs="Arial" w:eastAsia="Arial" w:hAnsi="Arial"/>
          <w:sz w:val="19"/>
          <w:szCs w:val="19"/>
          <w:color w:val="010000"/>
        </w:rPr>
      </w:pPr>
    </w:p>
    <w:p>
      <w:pPr>
        <w:jc w:val="both"/>
        <w:ind w:left="-460" w:firstLine="887"/>
        <w:spacing w:after="0" w:line="218" w:lineRule="auto"/>
        <w:tabs>
          <w:tab w:leader="none" w:pos="825" w:val="left"/>
        </w:tabs>
        <w:numPr>
          <w:ilvl w:val="0"/>
          <w:numId w:val="169"/>
        </w:numPr>
        <w:rPr>
          <w:rFonts w:ascii="Arial" w:cs="Arial" w:eastAsia="Arial" w:hAnsi="Arial"/>
          <w:sz w:val="20"/>
          <w:szCs w:val="20"/>
          <w:color w:val="010000"/>
        </w:rPr>
      </w:pPr>
      <w:r>
        <w:rPr>
          <w:rFonts w:ascii="Arial" w:cs="Arial" w:eastAsia="Arial" w:hAnsi="Arial"/>
          <w:sz w:val="20"/>
          <w:szCs w:val="20"/>
          <w:color w:val="auto"/>
        </w:rPr>
        <w:t>proceeds from business interruption insurance received during such period (to the extent not reflected as revenue or income in Consolidated Net Income and to the extent that the related loss was deducted in the determination of Consolidated Net Income);</w:t>
      </w:r>
    </w:p>
    <w:p>
      <w:pPr>
        <w:spacing w:after="0" w:line="156" w:lineRule="exact"/>
        <w:rPr>
          <w:rFonts w:ascii="Arial" w:cs="Arial" w:eastAsia="Arial" w:hAnsi="Arial"/>
          <w:sz w:val="20"/>
          <w:szCs w:val="20"/>
          <w:color w:val="010000"/>
        </w:rPr>
      </w:pPr>
    </w:p>
    <w:p>
      <w:pPr>
        <w:ind w:left="820" w:hanging="393"/>
        <w:spacing w:after="0"/>
        <w:tabs>
          <w:tab w:leader="none" w:pos="820" w:val="left"/>
        </w:tabs>
        <w:numPr>
          <w:ilvl w:val="0"/>
          <w:numId w:val="169"/>
        </w:numPr>
        <w:rPr>
          <w:rFonts w:ascii="Arial" w:cs="Arial" w:eastAsia="Arial" w:hAnsi="Arial"/>
          <w:sz w:val="20"/>
          <w:szCs w:val="20"/>
          <w:color w:val="010000"/>
        </w:rPr>
      </w:pPr>
      <w:r>
        <w:rPr>
          <w:rFonts w:ascii="Arial" w:cs="Arial" w:eastAsia="Arial" w:hAnsi="Arial"/>
          <w:sz w:val="20"/>
          <w:szCs w:val="20"/>
          <w:color w:val="auto"/>
        </w:rPr>
        <w:t>unusual or non-recurring expenses for such period; and</w:t>
      </w:r>
    </w:p>
    <w:p>
      <w:pPr>
        <w:spacing w:after="0" w:line="175" w:lineRule="exact"/>
        <w:rPr>
          <w:rFonts w:ascii="Arial" w:cs="Arial" w:eastAsia="Arial" w:hAnsi="Arial"/>
          <w:sz w:val="20"/>
          <w:szCs w:val="20"/>
          <w:color w:val="010000"/>
        </w:rPr>
      </w:pPr>
    </w:p>
    <w:p>
      <w:pPr>
        <w:ind w:left="880" w:hanging="453"/>
        <w:spacing w:after="0"/>
        <w:tabs>
          <w:tab w:leader="none" w:pos="880" w:val="left"/>
        </w:tabs>
        <w:numPr>
          <w:ilvl w:val="0"/>
          <w:numId w:val="169"/>
        </w:numPr>
        <w:rPr>
          <w:rFonts w:ascii="Arial" w:cs="Arial" w:eastAsia="Arial" w:hAnsi="Arial"/>
          <w:sz w:val="20"/>
          <w:szCs w:val="20"/>
          <w:color w:val="010000"/>
        </w:rPr>
      </w:pPr>
      <w:r>
        <w:rPr>
          <w:rFonts w:ascii="Arial" w:cs="Arial" w:eastAsia="Arial" w:hAnsi="Arial"/>
          <w:sz w:val="20"/>
          <w:szCs w:val="20"/>
          <w:color w:val="auto"/>
        </w:rPr>
        <w:t>any Public Company Costs paid in cash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120"/>
          </w:cols>
          <w:pgMar w:left="1440" w:top="1405" w:right="339" w:bottom="1440" w:gutter="0" w:footer="0" w:header="0"/>
        </w:sectPr>
      </w:pPr>
    </w:p>
    <w:bookmarkStart w:id="229" w:name="page230"/>
    <w:bookmarkEnd w:id="229"/>
    <w:p>
      <w:pPr>
        <w:ind w:left="900"/>
        <w:spacing w:after="0"/>
        <w:rPr>
          <w:sz w:val="20"/>
          <w:szCs w:val="20"/>
          <w:color w:val="auto"/>
        </w:rPr>
      </w:pPr>
      <w:r>
        <w:rPr>
          <w:rFonts w:ascii="Arial" w:cs="Arial" w:eastAsia="Arial" w:hAnsi="Arial"/>
          <w:sz w:val="20"/>
          <w:szCs w:val="20"/>
          <w:i w:val="1"/>
          <w:iCs w:val="1"/>
          <w:u w:val="single" w:color="auto"/>
          <w:color w:val="auto"/>
        </w:rPr>
        <w:t>minus</w:t>
      </w:r>
      <w:r>
        <w:rPr>
          <w:rFonts w:ascii="Arial" w:cs="Arial" w:eastAsia="Arial" w:hAnsi="Arial"/>
          <w:sz w:val="20"/>
          <w:szCs w:val="20"/>
          <w:i w:val="1"/>
          <w:iCs w:val="1"/>
          <w:color w:val="auto"/>
        </w:rPr>
        <w:t xml:space="preserve"> </w:t>
      </w:r>
      <w:r>
        <w:rPr>
          <w:rFonts w:ascii="Arial" w:cs="Arial" w:eastAsia="Arial" w:hAnsi="Arial"/>
          <w:sz w:val="20"/>
          <w:szCs w:val="20"/>
          <w:color w:val="auto"/>
        </w:rPr>
        <w:t>(b) without duplication and to the extent included in Consolidated Net Income,</w:t>
      </w:r>
    </w:p>
    <w:p>
      <w:pPr>
        <w:ind w:left="1940" w:hanging="393"/>
        <w:spacing w:after="0"/>
        <w:tabs>
          <w:tab w:leader="none" w:pos="1940" w:val="left"/>
        </w:tabs>
        <w:numPr>
          <w:ilvl w:val="0"/>
          <w:numId w:val="170"/>
        </w:numPr>
        <w:rPr>
          <w:rFonts w:ascii="Arial" w:cs="Arial" w:eastAsia="Arial" w:hAnsi="Arial"/>
          <w:sz w:val="16"/>
          <w:szCs w:val="16"/>
          <w:color w:val="010000"/>
        </w:rPr>
      </w:pPr>
      <w:r>
        <w:rPr>
          <w:rFonts w:ascii="Arial" w:cs="Arial" w:eastAsia="Arial" w:hAnsi="Arial"/>
          <w:sz w:val="16"/>
          <w:szCs w:val="16"/>
          <w:color w:val="auto"/>
        </w:rPr>
        <w:t>any cash payments made during such period in respect of non-cash charges described in clause (a)(v) above taken in</w:t>
      </w:r>
    </w:p>
    <w:p>
      <w:pPr>
        <w:spacing w:after="0" w:line="5" w:lineRule="exact"/>
        <w:rPr>
          <w:rFonts w:ascii="Arial" w:cs="Arial" w:eastAsia="Arial" w:hAnsi="Arial"/>
          <w:sz w:val="16"/>
          <w:szCs w:val="16"/>
          <w:color w:val="010000"/>
        </w:rPr>
      </w:pPr>
    </w:p>
    <w:p>
      <w:pPr>
        <w:ind w:left="660"/>
        <w:spacing w:after="0"/>
        <w:rPr>
          <w:rFonts w:ascii="Arial" w:cs="Arial" w:eastAsia="Arial" w:hAnsi="Arial"/>
          <w:sz w:val="16"/>
          <w:szCs w:val="16"/>
          <w:color w:val="010000"/>
        </w:rPr>
      </w:pPr>
      <w:r>
        <w:rPr>
          <w:rFonts w:ascii="Arial" w:cs="Arial" w:eastAsia="Arial" w:hAnsi="Arial"/>
          <w:sz w:val="20"/>
          <w:szCs w:val="20"/>
          <w:color w:val="auto"/>
        </w:rPr>
        <w:t>a prior period;</w:t>
      </w:r>
    </w:p>
    <w:p>
      <w:pPr>
        <w:spacing w:after="0" w:line="159" w:lineRule="exact"/>
        <w:rPr>
          <w:rFonts w:ascii="Arial" w:cs="Arial" w:eastAsia="Arial" w:hAnsi="Arial"/>
          <w:sz w:val="16"/>
          <w:szCs w:val="16"/>
          <w:color w:val="010000"/>
        </w:rPr>
      </w:pPr>
    </w:p>
    <w:p>
      <w:pPr>
        <w:ind w:left="1960" w:hanging="413"/>
        <w:spacing w:after="0"/>
        <w:tabs>
          <w:tab w:leader="none" w:pos="1960" w:val="left"/>
        </w:tabs>
        <w:numPr>
          <w:ilvl w:val="0"/>
          <w:numId w:val="170"/>
        </w:numPr>
        <w:rPr>
          <w:rFonts w:ascii="Arial" w:cs="Arial" w:eastAsia="Arial" w:hAnsi="Arial"/>
          <w:sz w:val="20"/>
          <w:szCs w:val="20"/>
          <w:color w:val="010000"/>
        </w:rPr>
      </w:pPr>
      <w:r>
        <w:rPr>
          <w:rFonts w:ascii="Arial" w:cs="Arial" w:eastAsia="Arial" w:hAnsi="Arial"/>
          <w:sz w:val="20"/>
          <w:szCs w:val="20"/>
          <w:color w:val="auto"/>
        </w:rPr>
        <w:t>any extraordinary gains and any non-cash items of Consolidated Net Income for such period;</w:t>
      </w:r>
    </w:p>
    <w:p>
      <w:pPr>
        <w:spacing w:after="0" w:line="175" w:lineRule="exact"/>
        <w:rPr>
          <w:rFonts w:ascii="Arial" w:cs="Arial" w:eastAsia="Arial" w:hAnsi="Arial"/>
          <w:sz w:val="20"/>
          <w:szCs w:val="20"/>
          <w:color w:val="010000"/>
        </w:rPr>
      </w:pPr>
    </w:p>
    <w:p>
      <w:pPr>
        <w:ind w:left="1960" w:hanging="413"/>
        <w:spacing w:after="0"/>
        <w:tabs>
          <w:tab w:leader="none" w:pos="1960" w:val="left"/>
        </w:tabs>
        <w:numPr>
          <w:ilvl w:val="0"/>
          <w:numId w:val="170"/>
        </w:numPr>
        <w:rPr>
          <w:rFonts w:ascii="Arial" w:cs="Arial" w:eastAsia="Arial" w:hAnsi="Arial"/>
          <w:sz w:val="20"/>
          <w:szCs w:val="20"/>
          <w:color w:val="010000"/>
        </w:rPr>
      </w:pPr>
      <w:r>
        <w:rPr>
          <w:rFonts w:ascii="Arial" w:cs="Arial" w:eastAsia="Arial" w:hAnsi="Arial"/>
          <w:sz w:val="20"/>
          <w:szCs w:val="20"/>
          <w:color w:val="auto"/>
        </w:rPr>
        <w:t>interest income; and</w:t>
      </w:r>
    </w:p>
    <w:p>
      <w:pPr>
        <w:spacing w:after="0" w:line="175" w:lineRule="exact"/>
        <w:rPr>
          <w:rFonts w:ascii="Arial" w:cs="Arial" w:eastAsia="Arial" w:hAnsi="Arial"/>
          <w:sz w:val="20"/>
          <w:szCs w:val="20"/>
          <w:color w:val="010000"/>
        </w:rPr>
      </w:pPr>
    </w:p>
    <w:p>
      <w:pPr>
        <w:ind w:left="1940" w:hanging="393"/>
        <w:spacing w:after="0"/>
        <w:tabs>
          <w:tab w:leader="none" w:pos="1940" w:val="left"/>
        </w:tabs>
        <w:numPr>
          <w:ilvl w:val="0"/>
          <w:numId w:val="170"/>
        </w:numPr>
        <w:rPr>
          <w:rFonts w:ascii="Arial" w:cs="Arial" w:eastAsia="Arial" w:hAnsi="Arial"/>
          <w:sz w:val="20"/>
          <w:szCs w:val="20"/>
          <w:color w:val="010000"/>
        </w:rPr>
      </w:pPr>
      <w:r>
        <w:rPr>
          <w:rFonts w:ascii="Arial" w:cs="Arial" w:eastAsia="Arial" w:hAnsi="Arial"/>
          <w:sz w:val="20"/>
          <w:szCs w:val="20"/>
          <w:color w:val="auto"/>
        </w:rPr>
        <w:t>unusual or non-recurring gains for such period;</w:t>
      </w:r>
    </w:p>
    <w:p>
      <w:pPr>
        <w:spacing w:after="0" w:line="175" w:lineRule="exact"/>
        <w:rPr>
          <w:sz w:val="20"/>
          <w:szCs w:val="20"/>
          <w:color w:val="auto"/>
        </w:rPr>
      </w:pPr>
    </w:p>
    <w:p>
      <w:pPr>
        <w:jc w:val="both"/>
        <w:ind w:left="660"/>
        <w:spacing w:after="0" w:line="213" w:lineRule="auto"/>
        <w:rPr>
          <w:sz w:val="20"/>
          <w:szCs w:val="20"/>
          <w:color w:val="auto"/>
        </w:rPr>
      </w:pPr>
      <w:r>
        <w:rPr>
          <w:rFonts w:ascii="Arial" w:cs="Arial" w:eastAsia="Arial" w:hAnsi="Arial"/>
          <w:sz w:val="20"/>
          <w:szCs w:val="20"/>
          <w:i w:val="1"/>
          <w:iCs w:val="1"/>
          <w:color w:val="auto"/>
        </w:rPr>
        <w:t xml:space="preserve">minus </w:t>
      </w:r>
      <w:r>
        <w:rPr>
          <w:rFonts w:ascii="Arial" w:cs="Arial" w:eastAsia="Arial" w:hAnsi="Arial"/>
          <w:sz w:val="20"/>
          <w:szCs w:val="20"/>
          <w:color w:val="auto"/>
        </w:rPr>
        <w:t>(c), the aggregate of all expenditures (whether paid in cash or accrued as liabilities) by Holdings and its consolidated</w:t>
      </w:r>
      <w:r>
        <w:rPr>
          <w:rFonts w:ascii="Arial" w:cs="Arial" w:eastAsia="Arial" w:hAnsi="Arial"/>
          <w:sz w:val="20"/>
          <w:szCs w:val="20"/>
          <w:i w:val="1"/>
          <w:iCs w:val="1"/>
          <w:color w:val="auto"/>
        </w:rPr>
        <w:t xml:space="preserve"> </w:t>
      </w:r>
      <w:r>
        <w:rPr>
          <w:rFonts w:ascii="Arial" w:cs="Arial" w:eastAsia="Arial" w:hAnsi="Arial"/>
          <w:sz w:val="20"/>
          <w:szCs w:val="20"/>
          <w:color w:val="auto"/>
          <w:highlight w:val="white"/>
        </w:rPr>
        <w:t>Subsidiaries during such period in respect of purchased software or internally developed software and software enhancements that, in conformity with GAAP, are or are required to be reflected as capitalized costs on the consolidated balance sheet of Holdings and its consolidated Subsidiaries;</w:t>
      </w:r>
    </w:p>
    <w:p>
      <w:pPr>
        <w:spacing w:after="0" w:line="156"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i w:val="1"/>
          <w:iCs w:val="1"/>
          <w:u w:val="single" w:color="auto"/>
          <w:color w:val="auto"/>
        </w:rPr>
        <w:t>plus</w:t>
      </w:r>
      <w:r>
        <w:rPr>
          <w:rFonts w:ascii="Arial" w:cs="Arial" w:eastAsia="Arial" w:hAnsi="Arial"/>
          <w:sz w:val="20"/>
          <w:szCs w:val="20"/>
          <w:i w:val="1"/>
          <w:iCs w:val="1"/>
          <w:color w:val="auto"/>
        </w:rPr>
        <w:t xml:space="preserve"> </w:t>
      </w:r>
      <w:r>
        <w:rPr>
          <w:rFonts w:ascii="Arial" w:cs="Arial" w:eastAsia="Arial" w:hAnsi="Arial"/>
          <w:sz w:val="20"/>
          <w:szCs w:val="20"/>
          <w:color w:val="auto"/>
        </w:rPr>
        <w:t>(d), any net positive change (or</w:t>
      </w:r>
      <w:r>
        <w:rPr>
          <w:rFonts w:ascii="Arial" w:cs="Arial" w:eastAsia="Arial" w:hAnsi="Arial"/>
          <w:sz w:val="20"/>
          <w:szCs w:val="20"/>
          <w:i w:val="1"/>
          <w:iCs w:val="1"/>
          <w:color w:val="auto"/>
        </w:rPr>
        <w:t xml:space="preserve"> minus </w:t>
      </w:r>
      <w:r>
        <w:rPr>
          <w:rFonts w:ascii="Arial" w:cs="Arial" w:eastAsia="Arial" w:hAnsi="Arial"/>
          <w:sz w:val="20"/>
          <w:szCs w:val="20"/>
          <w:color w:val="auto"/>
        </w:rPr>
        <w:t>any net negative change) in the deferred revenue for any period, as measured against the</w:t>
      </w:r>
      <w:r>
        <w:rPr>
          <w:rFonts w:ascii="Arial" w:cs="Arial" w:eastAsia="Arial" w:hAnsi="Arial"/>
          <w:sz w:val="20"/>
          <w:szCs w:val="20"/>
          <w:i w:val="1"/>
          <w:iCs w:val="1"/>
          <w:color w:val="auto"/>
        </w:rPr>
        <w:t xml:space="preserve"> </w:t>
      </w:r>
      <w:r>
        <w:rPr>
          <w:rFonts w:ascii="Arial" w:cs="Arial" w:eastAsia="Arial" w:hAnsi="Arial"/>
          <w:sz w:val="20"/>
          <w:szCs w:val="20"/>
          <w:color w:val="auto"/>
        </w:rPr>
        <w:t>same period for the prior fiscal year; and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i w:val="1"/>
          <w:iCs w:val="1"/>
          <w:u w:val="single" w:color="auto"/>
          <w:color w:val="auto"/>
        </w:rPr>
        <w:t>minus</w:t>
      </w:r>
      <w:r>
        <w:rPr>
          <w:rFonts w:ascii="Arial" w:cs="Arial" w:eastAsia="Arial" w:hAnsi="Arial"/>
          <w:sz w:val="20"/>
          <w:szCs w:val="20"/>
          <w:i w:val="1"/>
          <w:iCs w:val="1"/>
          <w:color w:val="auto"/>
        </w:rPr>
        <w:t xml:space="preserve"> </w:t>
      </w:r>
      <w:r>
        <w:rPr>
          <w:rFonts w:ascii="Arial" w:cs="Arial" w:eastAsia="Arial" w:hAnsi="Arial"/>
          <w:sz w:val="20"/>
          <w:szCs w:val="20"/>
          <w:color w:val="auto"/>
        </w:rPr>
        <w:t>(e), capitalized deferred contract acquisition costs for any period.</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Intangible Assets</w:t>
      </w:r>
      <w:r>
        <w:rPr>
          <w:rFonts w:ascii="Arial" w:cs="Arial" w:eastAsia="Arial" w:hAnsi="Arial"/>
          <w:sz w:val="20"/>
          <w:szCs w:val="20"/>
          <w:color w:val="auto"/>
        </w:rPr>
        <w:t>”: on any date, the consolidated intangible assets of Holdings and its consolidated Subsidiaries, as such amounts would appear on a consolidated balance sheet of Holdings prepared in accordance with GAAP. As used herein, “intangible assets” means the value (net of any applicable reserves) as shown on such balance sheet of (i) all Intellectual Property and (ii) all other intangible assets.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Interest Coverage Ratio</w:t>
      </w:r>
      <w:r>
        <w:rPr>
          <w:rFonts w:ascii="Arial" w:cs="Arial" w:eastAsia="Arial" w:hAnsi="Arial"/>
          <w:sz w:val="20"/>
          <w:szCs w:val="20"/>
          <w:color w:val="auto"/>
        </w:rPr>
        <w:t>”: as of the last day of any trailing four fiscal quarter period of Holdings, the ratio of (a) Consolidated EBITDA for such period to (b) Consolidated Interest Expense for such period.</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Interest Expense</w:t>
      </w:r>
      <w:r>
        <w:rPr>
          <w:rFonts w:ascii="Arial" w:cs="Arial" w:eastAsia="Arial" w:hAnsi="Arial"/>
          <w:sz w:val="18"/>
          <w:szCs w:val="18"/>
          <w:color w:val="auto"/>
        </w:rPr>
        <w:t>”: for any period, total interest expense (including that attributable to Capital Lease Obligations) of Holdings and its consolidated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5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Income</w:t>
      </w:r>
      <w:r>
        <w:rPr>
          <w:rFonts w:ascii="Arial" w:cs="Arial" w:eastAsia="Arial" w:hAnsi="Arial"/>
          <w:sz w:val="18"/>
          <w:szCs w:val="18"/>
          <w:color w:val="auto"/>
        </w:rPr>
        <w:t xml:space="preserve">”: for any period, the consolidated net income (or loss) of Holdings and its consolidated Subsidiaries,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from the calculation of “Consolidated Net Income” (a) the income (or deficit) of any such Person accrued prior to the date it becomes a Subsidiary of Holdings or is merged into or consolidated with Holdings or one of its Subsidiaries (except to the extent required for any calculation of Consolidated EBITDA on a Pro Forma Basis), (b) the income (or deficit) of any such Person (other than a Subsidiary of Holdings in which Holdings or one of its Subsidiaries has an ownership interest), except to the extent that any such income is actually received by Holdings or such Subsidiary in the form of dividends or similar distributions, and (c) the undistributed earnings (or loss to the extent that Holdings or any wholly-owned Subsidiary thereof is not required to directly or indirectly fund such loss) of any Subsidiary of Holdings to the extent that the declaration or payment of dividends or similar distributions (or loans constituting Subordinated Indebtedness in lieu of a distribution) by such Subsidiary is not at the time permitted by the terms of any Contractual Obligation (other than under any Loan Document), any applicable Operating Document or Requirement of Law applicable to such Subsidiary.</w:t>
      </w:r>
    </w:p>
    <w:p>
      <w:pPr>
        <w:spacing w:after="0" w:line="16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Senior Secured Leverage Ratio</w:t>
      </w:r>
      <w:r>
        <w:rPr>
          <w:rFonts w:ascii="Arial" w:cs="Arial" w:eastAsia="Arial" w:hAnsi="Arial"/>
          <w:sz w:val="20"/>
          <w:szCs w:val="20"/>
          <w:color w:val="auto"/>
        </w:rPr>
        <w:t>”: as of the last day of any trailing four fiscal quarter period of Holdings, the ratio of (a) Secured Consolidated Debt other than Subordinated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380" w:right="339" w:bottom="1440" w:gutter="0" w:footer="0" w:header="0"/>
        </w:sectPr>
      </w:pPr>
    </w:p>
    <w:bookmarkStart w:id="230" w:name="page231"/>
    <w:bookmarkEnd w:id="230"/>
    <w:p>
      <w:pPr>
        <w:jc w:val="both"/>
        <w:ind w:right="20"/>
        <w:spacing w:after="0" w:line="229" w:lineRule="auto"/>
        <w:rPr>
          <w:sz w:val="20"/>
          <w:szCs w:val="20"/>
          <w:color w:val="auto"/>
        </w:rPr>
      </w:pPr>
      <w:r>
        <w:rPr>
          <w:rFonts w:ascii="Arial" w:cs="Arial" w:eastAsia="Arial" w:hAnsi="Arial"/>
          <w:sz w:val="20"/>
          <w:szCs w:val="20"/>
          <w:color w:val="auto"/>
        </w:rPr>
        <w:t>Indebtedness, minus Unrestricted Cash (as defined below) not to exceed $100,000,000 to (b) Consolidated EBITDA for such trailing four fiscal quarter period.</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Tangible Assets</w:t>
      </w:r>
      <w:r>
        <w:rPr>
          <w:rFonts w:ascii="Arial" w:cs="Arial" w:eastAsia="Arial" w:hAnsi="Arial"/>
          <w:sz w:val="20"/>
          <w:szCs w:val="20"/>
          <w:color w:val="auto"/>
        </w:rPr>
        <w:t>”: on any date, the excess of Consolidated Total Assets over the sum of (a) the Group Member’s cash and Cash Equivalents and (b) Consolidated Intangible Assets.</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Consolidated Total Assets</w:t>
      </w:r>
      <w:r>
        <w:rPr>
          <w:rFonts w:ascii="Arial" w:cs="Arial" w:eastAsia="Arial" w:hAnsi="Arial"/>
          <w:sz w:val="19"/>
          <w:szCs w:val="19"/>
          <w:color w:val="auto"/>
        </w:rPr>
        <w:t>”: on any date, the consolidated total assets of Holdings and its consolidated Subsidiaries, as such amounts would appear on a consolidated balance sheet of Holdings prepared as of such date in accordance with GAAP.</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Debt</w:t>
      </w:r>
      <w:r>
        <w:rPr>
          <w:rFonts w:ascii="Arial" w:cs="Arial" w:eastAsia="Arial" w:hAnsi="Arial"/>
          <w:sz w:val="20"/>
          <w:szCs w:val="20"/>
          <w:color w:val="auto"/>
        </w:rPr>
        <w:t>”: Indebtedness for borrowed money, Capital Lease Obligations and purchase money debt as reflected on the consolidated balance sheet of Holdings and its Subsidiaries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Consolidated Total Leverage Ratio</w:t>
      </w:r>
      <w:r>
        <w:rPr>
          <w:rFonts w:ascii="Arial" w:cs="Arial" w:eastAsia="Arial" w:hAnsi="Arial"/>
          <w:sz w:val="20"/>
          <w:szCs w:val="20"/>
          <w:color w:val="auto"/>
        </w:rPr>
        <w:t>”: as of the last day of any trailing four fiscal quarter period of Holdings, the ratio of (a) Consolidated Total Debt minus Unrestricted Cash (as defined below) not to exceed $100,000,000 to (b) Consolidated EBITDA for such trailing four fiscal quarter period.</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Control</w:t>
      </w:r>
      <w:r>
        <w:rPr>
          <w:rFonts w:ascii="Arial" w:cs="Arial" w:eastAsia="Arial" w:hAnsi="Arial"/>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b w:val="1"/>
          <w:bCs w:val="1"/>
          <w:i w:val="1"/>
          <w:i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have meanings correlative thereto.</w:t>
      </w:r>
    </w:p>
    <w:p>
      <w:pPr>
        <w:spacing w:after="0" w:line="15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i w:val="1"/>
          <w:iCs w:val="1"/>
          <w:color w:val="auto"/>
        </w:rPr>
        <w:t>Daily Simple SOFR</w:t>
      </w:r>
      <w:r>
        <w:rPr>
          <w:rFonts w:ascii="Arial" w:cs="Arial" w:eastAsia="Arial" w:hAnsi="Arial"/>
          <w:sz w:val="18"/>
          <w:szCs w:val="18"/>
          <w:color w:val="auto"/>
        </w:rPr>
        <w:t>”: for any day (a “</w:t>
      </w:r>
      <w:r>
        <w:rPr>
          <w:rFonts w:ascii="Arial" w:cs="Arial" w:eastAsia="Arial" w:hAnsi="Arial"/>
          <w:sz w:val="18"/>
          <w:szCs w:val="18"/>
          <w:b w:val="1"/>
          <w:bCs w:val="1"/>
          <w:i w:val="1"/>
          <w:iCs w:val="1"/>
          <w:color w:val="auto"/>
        </w:rPr>
        <w:t>SOFR Rate Day</w:t>
      </w:r>
      <w:r>
        <w:rPr>
          <w:rFonts w:ascii="Arial" w:cs="Arial" w:eastAsia="Arial" w:hAnsi="Arial"/>
          <w:sz w:val="18"/>
          <w:szCs w:val="18"/>
          <w:color w:val="auto"/>
        </w:rPr>
        <w:t>”), a rate per annum equal to the greater of (a) SOFR for the day (such 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w:t>
      </w:r>
      <w:r>
        <w:rPr>
          <w:rFonts w:ascii="Arial" w:cs="Arial" w:eastAsia="Arial" w:hAnsi="Arial"/>
          <w:sz w:val="18"/>
          <w:szCs w:val="18"/>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w:t>
      </w:r>
      <w:r>
        <w:rPr>
          <w:rFonts w:ascii="Arial" w:cs="Arial" w:eastAsia="Arial" w:hAnsi="Arial"/>
          <w:sz w:val="23"/>
          <w:szCs w:val="23"/>
          <w:color w:val="auto"/>
          <w:vertAlign w:val="superscript"/>
        </w:rPr>
        <w:t>nd</w:t>
      </w:r>
      <w:r>
        <w:rPr>
          <w:rFonts w:ascii="Arial" w:cs="Arial" w:eastAsia="Arial" w:hAnsi="Arial"/>
          <w:sz w:val="18"/>
          <w:szCs w:val="18"/>
          <w:color w:val="auto"/>
        </w:rPr>
        <w:t>) U.S. Government Securities Business Day immediately following any day “</w:t>
      </w:r>
      <w:r>
        <w:rPr>
          <w:rFonts w:ascii="Arial" w:cs="Arial" w:eastAsia="Arial" w:hAnsi="Arial"/>
          <w:sz w:val="18"/>
          <w:szCs w:val="18"/>
          <w:i w:val="1"/>
          <w:iCs w:val="1"/>
          <w:color w:val="auto"/>
        </w:rPr>
        <w:t>i</w:t>
      </w:r>
      <w:r>
        <w:rPr>
          <w:rFonts w:ascii="Arial" w:cs="Arial" w:eastAsia="Arial" w:hAnsi="Arial"/>
          <w:sz w:val="18"/>
          <w:szCs w:val="18"/>
          <w:color w:val="auto"/>
        </w:rPr>
        <w:t>”, the SOFR in respect of such day “</w:t>
      </w:r>
      <w:r>
        <w:rPr>
          <w:rFonts w:ascii="Arial" w:cs="Arial" w:eastAsia="Arial" w:hAnsi="Arial"/>
          <w:sz w:val="18"/>
          <w:szCs w:val="18"/>
          <w:i w:val="1"/>
          <w:iCs w:val="1"/>
          <w:color w:val="auto"/>
        </w:rPr>
        <w:t>i</w:t>
      </w:r>
      <w:r>
        <w:rPr>
          <w:rFonts w:ascii="Arial" w:cs="Arial" w:eastAsia="Arial" w:hAnsi="Arial"/>
          <w:sz w:val="18"/>
          <w:szCs w:val="18"/>
          <w:color w:val="auto"/>
        </w:rPr>
        <w:t>” has not been published on the SOFR Administrator’s Website and a Benchmark Replacement Date with respect to the Daily Simple SOFR has not occurred, then the SOFR for such day “</w:t>
      </w:r>
      <w:r>
        <w:rPr>
          <w:rFonts w:ascii="Arial" w:cs="Arial" w:eastAsia="Arial" w:hAnsi="Arial"/>
          <w:sz w:val="18"/>
          <w:szCs w:val="18"/>
          <w:i w:val="1"/>
          <w:iCs w:val="1"/>
          <w:color w:val="auto"/>
        </w:rPr>
        <w:t>i</w:t>
      </w:r>
      <w:r>
        <w:rPr>
          <w:rFonts w:ascii="Arial" w:cs="Arial" w:eastAsia="Arial" w:hAnsi="Arial"/>
          <w:sz w:val="18"/>
          <w:szCs w:val="18"/>
          <w:color w:val="auto"/>
        </w:rPr>
        <w:t xml:space="preserve">” will be the SOFR as published in respect of the first preceding U.S. Government Securities Business Day for which such SOFR was published on the SOFR Administrator’s Website;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CrowdStrike</w:t>
      </w:r>
      <w:r>
        <w:rPr>
          <w:rFonts w:ascii="Arial" w:cs="Arial" w:eastAsia="Arial" w:hAnsi="Arial"/>
          <w:sz w:val="20"/>
          <w:szCs w:val="20"/>
          <w:color w:val="auto"/>
        </w:rPr>
        <w:t>”: as defined in the preamble hereto.</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Debtor Relief Laws</w:t>
      </w:r>
      <w:r>
        <w:rPr>
          <w:rFonts w:ascii="Arial" w:cs="Arial" w:eastAsia="Arial" w:hAnsi="Arial"/>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whether or not any requirement for the giving of notice, the lapse of time, or both, has been satisfied.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Defaulting Lender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any Lender that (a) has failed to (i) fund all or any portion of its Loans within two</w:t>
      </w:r>
    </w:p>
    <w:p>
      <w:pPr>
        <w:ind w:firstLine="8"/>
        <w:spacing w:after="0" w:line="250" w:lineRule="auto"/>
        <w:tabs>
          <w:tab w:leader="none" w:pos="28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Business Days of the date such Loans were required to be funded hereunder unless such Lender notifies the Administrative Agent and the Borrower in writing that such failure is the result of such Lender’s reasonable determination that one or more conditions precedent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05" w:right="339" w:bottom="1440" w:gutter="0" w:footer="0" w:header="0"/>
        </w:sectPr>
      </w:pPr>
    </w:p>
    <w:bookmarkStart w:id="231" w:name="page232"/>
    <w:bookmarkEnd w:id="231"/>
    <w:p>
      <w:pPr>
        <w:jc w:val="both"/>
        <w:spacing w:after="0" w:line="221" w:lineRule="auto"/>
        <w:rPr>
          <w:sz w:val="20"/>
          <w:szCs w:val="20"/>
          <w:color w:val="auto"/>
        </w:rPr>
      </w:pPr>
      <w:r>
        <w:rPr>
          <w:rFonts w:ascii="Arial" w:cs="Arial" w:eastAsia="Arial" w:hAnsi="Arial"/>
          <w:sz w:val="18"/>
          <w:szCs w:val="18"/>
          <w:color w:val="auto"/>
        </w:rPr>
        <w:t>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w:t>
      </w:r>
    </w:p>
    <w:p>
      <w:pPr>
        <w:jc w:val="both"/>
        <w:ind w:firstLine="8"/>
        <w:spacing w:after="0" w:line="223" w:lineRule="auto"/>
        <w:tabs>
          <w:tab w:leader="none" w:pos="28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2.24(b)</w:t>
      </w:r>
      <w:r>
        <w:rPr>
          <w:rFonts w:ascii="Arial" w:cs="Arial" w:eastAsia="Arial" w:hAnsi="Arial"/>
          <w:sz w:val="18"/>
          <w:szCs w:val="18"/>
          <w:color w:val="auto"/>
        </w:rPr>
        <w:t>) upon delivery of written notice of such determination to the Borrower, the Issuing Lender, the Swingline Lender and each Lender.</w:t>
      </w:r>
    </w:p>
    <w:p>
      <w:pPr>
        <w:spacing w:after="0" w:line="16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Departing Lender</w:t>
      </w:r>
      <w:r>
        <w:rPr>
          <w:rFonts w:ascii="Arial" w:cs="Arial" w:eastAsia="Arial" w:hAnsi="Arial"/>
          <w:sz w:val="20"/>
          <w:szCs w:val="20"/>
          <w:color w:val="auto"/>
        </w:rPr>
        <w:t>”: each lender under the Existing Credit Agreement on the Closing Date that will no longer be a Lender immediately after the Closing Date.</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Departing Lender Termination Letter</w:t>
      </w:r>
      <w:r>
        <w:rPr>
          <w:rFonts w:ascii="Arial" w:cs="Arial" w:eastAsia="Arial" w:hAnsi="Arial"/>
          <w:sz w:val="18"/>
          <w:szCs w:val="18"/>
          <w:color w:val="auto"/>
        </w:rPr>
        <w:t>”: each letter agreement between the Borrower, the Administrative Agent and each Departing Lender confirming that the applicable Departing Lender shall no longer be party to this Agreement immediately after the Closing Date.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Deposit Account</w:t>
      </w:r>
      <w:r>
        <w:rPr>
          <w:rFonts w:ascii="Arial" w:cs="Arial" w:eastAsia="Arial" w:hAnsi="Arial"/>
          <w:sz w:val="19"/>
          <w:szCs w:val="19"/>
          <w:color w:val="auto"/>
        </w:rPr>
        <w:t>”: any “deposit account” as defined in the UCC with such additions to such term as may hereafter be made.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Jurisdiction</w:t>
      </w:r>
      <w:r>
        <w:rPr>
          <w:rFonts w:ascii="Arial" w:cs="Arial" w:eastAsia="Arial" w:hAnsi="Arial"/>
          <w:sz w:val="18"/>
          <w:szCs w:val="18"/>
          <w:color w:val="auto"/>
        </w:rPr>
        <w:t>”: any country or territory to the extent that such country or territory itself is the subject of any Sanction.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 as defined in the definition of “Pro Forma Basis”.</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Discharge of Obligations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10.8</w:t>
      </w:r>
      <w:r>
        <w:rPr>
          <w:rFonts w:ascii="Arial" w:cs="Arial" w:eastAsia="Arial" w:hAnsi="Arial"/>
          <w:sz w:val="18"/>
          <w:szCs w:val="18"/>
          <w:color w:val="auto"/>
        </w:rPr>
        <w:t>, the satisfaction of the Obligations (including all such Obligations relating to Cash Management Services) by the payment in full, in cash (or, as applicable, Cash Collateralization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Letter of Credit shall be outstanding (or, as applicable, each outstanding and undrawn Letter of Credit has been Cash Collateralized in accordance with the terms hereof), (d)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05" w:right="339" w:bottom="1440" w:gutter="0" w:footer="0" w:header="0"/>
        </w:sectPr>
      </w:pPr>
    </w:p>
    <w:bookmarkStart w:id="232" w:name="page233"/>
    <w:bookmarkEnd w:id="232"/>
    <w:p>
      <w:pPr>
        <w:jc w:val="both"/>
        <w:spacing w:after="0" w:line="218" w:lineRule="auto"/>
        <w:rPr>
          <w:sz w:val="20"/>
          <w:szCs w:val="20"/>
          <w:color w:val="auto"/>
        </w:rPr>
      </w:pPr>
      <w:r>
        <w:rPr>
          <w:rFonts w:ascii="Arial" w:cs="Arial" w:eastAsia="Arial" w:hAnsi="Arial"/>
          <w:sz w:val="20"/>
          <w:szCs w:val="20"/>
          <w:color w:val="auto"/>
        </w:rPr>
        <w:t>Obligations in respect of any Cash Management Services are outstanding (or, as applicable, all such outstanding Obligations in respect of Cash Management Services have been Cash Collateralized in accordance with the terms hereof), and (e) the aggregate Commitments of the Lenders are terminated.</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Disclosure Letter</w:t>
      </w:r>
      <w:r>
        <w:rPr>
          <w:rFonts w:ascii="Arial" w:cs="Arial" w:eastAsia="Arial" w:hAnsi="Arial"/>
          <w:sz w:val="20"/>
          <w:szCs w:val="20"/>
          <w:color w:val="auto"/>
        </w:rPr>
        <w:t>”: the disclosure letter, dated as of the date hereof, delivered by each Loan Party to Administrative Agent for the benefit of the Lenders.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Disposition</w:t>
      </w:r>
      <w:r>
        <w:rPr>
          <w:rFonts w:ascii="Arial" w:cs="Arial" w:eastAsia="Arial" w:hAnsi="Arial"/>
          <w:sz w:val="20"/>
          <w:szCs w:val="20"/>
          <w:color w:val="auto"/>
        </w:rPr>
        <w:t>”: with respect to any property (including, without limitation, Capital Stock of any Subsidiary of Holdings), any sale, lease, Sale Leaseback Transaction, assignment, conveyance, transfer, encumbrance or other disposition thereof (in one transaction or in a series of transactions and whether effected pursuant to a Division or otherwise) and any issuance of Capital Stock of any of Holdings’ Subsidiaries. The terms “</w:t>
      </w:r>
      <w:r>
        <w:rPr>
          <w:rFonts w:ascii="Arial" w:cs="Arial" w:eastAsia="Arial" w:hAnsi="Arial"/>
          <w:sz w:val="20"/>
          <w:szCs w:val="20"/>
          <w:b w:val="1"/>
          <w:bCs w:val="1"/>
          <w:i w:val="1"/>
          <w:iCs w:val="1"/>
          <w:color w:val="auto"/>
        </w:rPr>
        <w:t>Dispose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Disposed of</w:t>
      </w:r>
      <w:r>
        <w:rPr>
          <w:rFonts w:ascii="Arial" w:cs="Arial" w:eastAsia="Arial" w:hAnsi="Arial"/>
          <w:sz w:val="20"/>
          <w:szCs w:val="20"/>
          <w:color w:val="auto"/>
        </w:rPr>
        <w:t>” shall have correlative meanings.</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Disqualified Stock</w:t>
      </w:r>
      <w:r>
        <w:rPr>
          <w:rFonts w:ascii="Arial" w:cs="Arial" w:eastAsia="Arial" w:hAnsi="Arial"/>
          <w:sz w:val="18"/>
          <w:szCs w:val="18"/>
          <w:color w:val="auto"/>
        </w:rPr>
        <w:t xml:space="preserve">”: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 that Holdings and its Subsidiaries may become obligated to pay upon maturity of, or pursuant to any mandatory redemption provisions of, such Disqualified Stock or portion thereof, plus accrued dividends. Notwithstanding the preceding sentence, (i)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in accordance with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hereof and (ii) if such Capital Stock is issued pursuant to a plan or agreement for the benefit of the Borrower’s or its Subsidiaries’ employees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spacing w:after="0" w:line="15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Division</w:t>
      </w:r>
      <w:r>
        <w:rPr>
          <w:rFonts w:ascii="Arial" w:cs="Arial" w:eastAsia="Arial" w:hAnsi="Arial"/>
          <w:sz w:val="20"/>
          <w:szCs w:val="20"/>
          <w:color w:val="auto"/>
        </w:rPr>
        <w:t>”: the division of the assets, liability and/or obligations of a Person (the “Dividing Person”) among two or more Persons (whether pursuant to a “plan or division” or similar arrangement), which may or may not include the Dividing Person and pursuant to which the Dividing Person may or may not survive.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Dollars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w:t>
      </w:r>
      <w:r>
        <w:rPr>
          <w:rFonts w:ascii="Arial" w:cs="Arial" w:eastAsia="Arial" w:hAnsi="Arial"/>
          <w:sz w:val="20"/>
          <w:szCs w:val="20"/>
          <w:color w:val="auto"/>
        </w:rPr>
        <w:t>”: dollars in lawful currency of the United States.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Domestic Subsidiary</w:t>
      </w:r>
      <w:r>
        <w:rPr>
          <w:rFonts w:ascii="Arial" w:cs="Arial" w:eastAsia="Arial" w:hAnsi="Arial"/>
          <w:sz w:val="19"/>
          <w:szCs w:val="19"/>
          <w:color w:val="auto"/>
        </w:rPr>
        <w:t>”: any Subsidiary of Holdings organized under the laws of any jurisdiction within the United States.</w:t>
      </w:r>
    </w:p>
    <w:p>
      <w:pPr>
        <w:spacing w:after="0" w:line="18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Financial Institution</w:t>
      </w:r>
      <w:r>
        <w:rPr>
          <w:rFonts w:ascii="Arial" w:cs="Arial" w:eastAsia="Arial" w:hAnsi="Arial"/>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EEA Member Country</w:t>
      </w:r>
      <w:r>
        <w:rPr>
          <w:rFonts w:ascii="Arial" w:cs="Arial" w:eastAsia="Arial" w:hAnsi="Arial"/>
          <w:sz w:val="20"/>
          <w:szCs w:val="20"/>
          <w:color w:val="auto"/>
        </w:rPr>
        <w:t>”: any of the member states of the European Union, Iceland, Liechtenstein, and Norway.</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EEA Resolution Authority</w:t>
      </w:r>
      <w:r>
        <w:rPr>
          <w:rFonts w:ascii="Arial" w:cs="Arial" w:eastAsia="Arial" w:hAnsi="Arial"/>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05" w:right="339" w:bottom="1440" w:gutter="0" w:footer="0" w:header="0"/>
        </w:sectPr>
      </w:pPr>
    </w:p>
    <w:bookmarkStart w:id="233" w:name="page234"/>
    <w:bookmarkEnd w:id="233"/>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Eligible Assignee</w:t>
      </w:r>
      <w:r>
        <w:rPr>
          <w:rFonts w:ascii="Arial" w:cs="Arial" w:eastAsia="Arial" w:hAnsi="Arial"/>
          <w:sz w:val="20"/>
          <w:szCs w:val="20"/>
          <w:color w:val="auto"/>
        </w:rPr>
        <w:t xml:space="preserve">”: any Person that meets the requirements to be an assignee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10.6(b)(iii)</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Environmental Laws</w:t>
      </w:r>
      <w:r>
        <w:rPr>
          <w:rFonts w:ascii="Arial" w:cs="Arial" w:eastAsia="Arial" w:hAnsi="Arial"/>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as it pertains to hazardous or toxic substances or the environment, as now or may at any time hereafter be in effect.</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Environmental Liability</w:t>
      </w:r>
      <w:r>
        <w:rPr>
          <w:rFonts w:ascii="Arial" w:cs="Arial" w:eastAsia="Arial" w:hAnsi="Arial"/>
          <w:sz w:val="19"/>
          <w:szCs w:val="19"/>
          <w:color w:val="auto"/>
        </w:rPr>
        <w:t>”: any liability, contingent or otherwise (including any liability for damages, costs of environmental remediation, fines, penalties or indemnities), of the Borrower, any other Loan Party or any of their respective Subsidiaries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5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w:t>
      </w:r>
      <w:r>
        <w:rPr>
          <w:rFonts w:ascii="Arial" w:cs="Arial" w:eastAsia="Arial" w:hAnsi="Arial"/>
          <w:sz w:val="20"/>
          <w:szCs w:val="20"/>
          <w:color w:val="auto"/>
        </w:rPr>
        <w:t>”: the Employee Retirement Income Security Act of 1974, as amended, including (unless the context otherwise requires) any rules or regulations promulgated thereunder.</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ERISA Affiliate</w:t>
      </w:r>
      <w:r>
        <w:rPr>
          <w:rFonts w:ascii="Arial" w:cs="Arial" w:eastAsia="Arial" w:hAnsi="Arial"/>
          <w:sz w:val="19"/>
          <w:szCs w:val="19"/>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spacing w:after="0" w:line="15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Event</w:t>
      </w:r>
      <w:r>
        <w:rPr>
          <w:rFonts w:ascii="Arial" w:cs="Arial" w:eastAsia="Arial" w:hAnsi="Arial"/>
          <w:sz w:val="18"/>
          <w:szCs w:val="18"/>
          <w:color w:val="auto"/>
        </w:rPr>
        <w:t>”: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05" w:right="339" w:bottom="1440" w:gutter="0" w:footer="0" w:header="0"/>
        </w:sectPr>
      </w:pPr>
    </w:p>
    <w:bookmarkStart w:id="234" w:name="page235"/>
    <w:bookmarkEnd w:id="234"/>
    <w:p>
      <w:pPr>
        <w:jc w:val="both"/>
        <w:spacing w:after="0" w:line="224" w:lineRule="auto"/>
        <w:rPr>
          <w:sz w:val="20"/>
          <w:szCs w:val="20"/>
          <w:color w:val="auto"/>
        </w:rPr>
      </w:pPr>
      <w:r>
        <w:rPr>
          <w:rFonts w:ascii="Arial" w:cs="Arial" w:eastAsia="Arial" w:hAnsi="Arial"/>
          <w:sz w:val="18"/>
          <w:szCs w:val="18"/>
          <w:color w:val="auto"/>
        </w:rPr>
        <w:t>transaction under Sections 406 or 407 of ERISA for which any Loan Party or any Subsidiary thereof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Loan Party or any Subsidiary thereof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or (r) the establishment or amendment by any Loan Party or any Subsidiary thereof of any “welfare plan” as such term is defined in Section 3(1) of ERISA, that provides post-employment welfare benefits in a manner that could be reasonably likely to result in material liability of any Loan Party.</w:t>
      </w:r>
    </w:p>
    <w:p>
      <w:pPr>
        <w:spacing w:after="0" w:line="16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ERISA Funding Rules</w:t>
      </w:r>
      <w:r>
        <w:rPr>
          <w:rFonts w:ascii="Arial" w:cs="Arial" w:eastAsia="Arial" w:hAnsi="Arial"/>
          <w:sz w:val="20"/>
          <w:szCs w:val="20"/>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9.14(a)</w:t>
      </w:r>
      <w:r>
        <w:rPr>
          <w:rFonts w:ascii="Arial" w:cs="Arial" w:eastAsia="Arial" w:hAnsi="Arial"/>
          <w:sz w:val="20"/>
          <w:szCs w:val="20"/>
          <w:color w:val="auto"/>
        </w:rPr>
        <w: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Deficiency Assignment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9.14(d)</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Impacted Class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9.14(d)</w:t>
      </w:r>
      <w:r>
        <w:rPr>
          <w:rFonts w:ascii="Arial" w:cs="Arial" w:eastAsia="Arial" w:hAnsi="Arial"/>
          <w:sz w:val="20"/>
          <w:szCs w:val="20"/>
          <w:color w:val="auto"/>
        </w:rPr>
        <w: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Return Deficiency</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9.14(d)</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Erroneous Payment Subrogation Rights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9.14(d)</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5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Excess Cash Flow</w:t>
      </w:r>
      <w:r>
        <w:rPr>
          <w:rFonts w:ascii="Arial" w:cs="Arial" w:eastAsia="Arial" w:hAnsi="Arial"/>
          <w:sz w:val="20"/>
          <w:szCs w:val="20"/>
          <w:color w:val="auto"/>
        </w:rPr>
        <w:t>”: for any fiscal year (or other period) of Holdings, the excess, if any, of:</w:t>
      </w:r>
    </w:p>
    <w:p>
      <w:pPr>
        <w:spacing w:after="0" w:line="175"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sum of (without duplication):</w:t>
      </w:r>
    </w:p>
    <w:p>
      <w:pPr>
        <w:spacing w:after="0" w:line="175" w:lineRule="exact"/>
        <w:rPr>
          <w:rFonts w:ascii="Arial" w:cs="Arial" w:eastAsia="Arial" w:hAnsi="Arial"/>
          <w:sz w:val="20"/>
          <w:szCs w:val="20"/>
          <w:color w:val="auto"/>
        </w:rPr>
      </w:pPr>
    </w:p>
    <w:p>
      <w:pPr>
        <w:ind w:left="1680" w:hanging="376"/>
        <w:spacing w:after="0"/>
        <w:tabs>
          <w:tab w:leader="none" w:pos="168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 xml:space="preserve">Consolidated EBITDA for such fiscal year, </w:t>
      </w:r>
      <w:r>
        <w:rPr>
          <w:rFonts w:ascii="Arial" w:cs="Arial" w:eastAsia="Arial" w:hAnsi="Arial"/>
          <w:sz w:val="20"/>
          <w:szCs w:val="20"/>
          <w:u w:val="single" w:color="auto"/>
          <w:color w:val="auto"/>
        </w:rPr>
        <w:t>plus</w:t>
      </w:r>
    </w:p>
    <w:p>
      <w:pPr>
        <w:spacing w:after="0" w:line="175" w:lineRule="exact"/>
        <w:rPr>
          <w:rFonts w:ascii="Arial" w:cs="Arial" w:eastAsia="Arial" w:hAnsi="Arial"/>
          <w:sz w:val="20"/>
          <w:szCs w:val="20"/>
          <w:color w:val="auto"/>
        </w:rPr>
      </w:pPr>
    </w:p>
    <w:p>
      <w:pPr>
        <w:jc w:val="both"/>
        <w:ind w:left="1300" w:firstLine="4"/>
        <w:spacing w:after="0" w:line="218" w:lineRule="auto"/>
        <w:tabs>
          <w:tab w:leader="none" w:pos="1882" w:val="left"/>
        </w:tabs>
        <w:numPr>
          <w:ilvl w:val="1"/>
          <w:numId w:val="173"/>
        </w:numPr>
        <w:rPr>
          <w:rFonts w:ascii="Arial" w:cs="Arial" w:eastAsia="Arial" w:hAnsi="Arial"/>
          <w:sz w:val="20"/>
          <w:szCs w:val="20"/>
          <w:color w:val="auto"/>
        </w:rPr>
      </w:pPr>
      <w:r>
        <w:rPr>
          <w:rFonts w:ascii="Arial" w:cs="Arial" w:eastAsia="Arial" w:hAnsi="Arial"/>
          <w:sz w:val="20"/>
          <w:szCs w:val="20"/>
          <w:color w:val="auto"/>
        </w:rPr>
        <w:t xml:space="preserve">without duplication of any other amounts included in the calculation of Consolidated EBITDA, any decrease in Working Capital (excluding the portion of such change in Working Capital resulting from changes in deferred revenue for the same period in the prior fiscal year), </w:t>
      </w:r>
      <w:r>
        <w:rPr>
          <w:rFonts w:ascii="Arial" w:cs="Arial" w:eastAsia="Arial" w:hAnsi="Arial"/>
          <w:sz w:val="20"/>
          <w:szCs w:val="20"/>
          <w:u w:val="single" w:color="auto"/>
          <w:color w:val="auto"/>
        </w:rPr>
        <w:t>minus</w:t>
      </w:r>
    </w:p>
    <w:p>
      <w:pPr>
        <w:spacing w:after="0" w:line="156" w:lineRule="exact"/>
        <w:rPr>
          <w:rFonts w:ascii="Arial" w:cs="Arial" w:eastAsia="Arial" w:hAnsi="Arial"/>
          <w:sz w:val="20"/>
          <w:szCs w:val="20"/>
          <w:color w:val="auto"/>
        </w:rPr>
      </w:pPr>
    </w:p>
    <w:p>
      <w:pPr>
        <w:ind w:left="1080" w:hanging="424"/>
        <w:spacing w:after="0"/>
        <w:tabs>
          <w:tab w:leader="none" w:pos="108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sum of (without duplication):</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 xml:space="preserve">any taxes paid in cash on a consolidated basis during such period by the Group Members, </w:t>
      </w:r>
      <w:r>
        <w:rPr>
          <w:rFonts w:ascii="Arial" w:cs="Arial" w:eastAsia="Arial" w:hAnsi="Arial"/>
          <w:sz w:val="20"/>
          <w:szCs w:val="20"/>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05" w:right="339" w:bottom="1440" w:gutter="0" w:footer="0" w:header="0"/>
        </w:sectPr>
      </w:pPr>
    </w:p>
    <w:bookmarkStart w:id="235" w:name="page236"/>
    <w:bookmarkEnd w:id="235"/>
    <w:p>
      <w:pPr>
        <w:jc w:val="both"/>
        <w:ind w:firstLine="1304"/>
        <w:spacing w:after="0" w:line="210" w:lineRule="auto"/>
        <w:tabs>
          <w:tab w:leader="none" w:pos="194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the aggregate amount actually paid by the Group Members in cash during such fiscal year (or other period) on account of (x) Consolidated Capital Expenditures (other than to the extent funded with Indebtedness or proceeds from the issuance or sale of Capital Stock to any Person (other than a Group Member) in any Group Member) and (y) Investments permitted hereunder (excluding intercompany Investments and excluding Investments deducted from the Available Amount pursuant to clause (f) of the definition thereof), </w:t>
      </w:r>
      <w:r>
        <w:rPr>
          <w:rFonts w:ascii="Arial" w:cs="Arial" w:eastAsia="Arial" w:hAnsi="Arial"/>
          <w:sz w:val="20"/>
          <w:szCs w:val="20"/>
          <w:u w:val="single" w:color="auto"/>
          <w:color w:val="auto"/>
        </w:rPr>
        <w:t>plus</w:t>
      </w:r>
    </w:p>
    <w:p>
      <w:pPr>
        <w:spacing w:after="0" w:line="154"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the aggregate amount of all regularly principal payments of all Indebtedness of Group Members made in cash during such period (other than in respect of any revolving credit facility to the extent there is not an equivalent permanent reduction in commitments thereunder and other than payments deducted from the Available Amount pursuant to clause (f) of the definition thereof), </w:t>
      </w:r>
      <w:r>
        <w:rPr>
          <w:rFonts w:ascii="Arial" w:cs="Arial" w:eastAsia="Arial" w:hAnsi="Arial"/>
          <w:sz w:val="18"/>
          <w:szCs w:val="18"/>
          <w:u w:val="single" w:color="auto"/>
          <w:color w:val="auto"/>
        </w:rPr>
        <w:t>plus</w:t>
      </w:r>
    </w:p>
    <w:p>
      <w:pPr>
        <w:spacing w:after="0" w:line="151" w:lineRule="exact"/>
        <w:rPr>
          <w:rFonts w:ascii="Arial" w:cs="Arial" w:eastAsia="Arial" w:hAnsi="Arial"/>
          <w:sz w:val="18"/>
          <w:szCs w:val="18"/>
          <w:color w:val="auto"/>
        </w:rPr>
      </w:pPr>
    </w:p>
    <w:p>
      <w:pPr>
        <w:jc w:val="both"/>
        <w:ind w:firstLine="1304"/>
        <w:spacing w:after="0" w:line="218" w:lineRule="auto"/>
        <w:tabs>
          <w:tab w:leader="none" w:pos="193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without duplication of any other amounts included in the calculation of Consolidated EBITDA, increases in Working Capital (excluding the portion of such change in Working Capital resulting from changes in deferred revenue for the same period in the prior fiscal year), </w:t>
      </w:r>
      <w:r>
        <w:rPr>
          <w:rFonts w:ascii="Arial" w:cs="Arial" w:eastAsia="Arial" w:hAnsi="Arial"/>
          <w:sz w:val="20"/>
          <w:szCs w:val="20"/>
          <w:u w:val="single" w:color="auto"/>
          <w:color w:val="auto"/>
        </w:rPr>
        <w:t>plus</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Consolidated Interest Expense actually paid in cash, </w:t>
      </w:r>
      <w:r>
        <w:rPr>
          <w:rFonts w:ascii="Arial" w:cs="Arial" w:eastAsia="Arial" w:hAnsi="Arial"/>
          <w:sz w:val="20"/>
          <w:szCs w:val="20"/>
          <w:u w:val="single" w:color="auto"/>
          <w:color w:val="auto"/>
        </w:rPr>
        <w:t>plus</w:t>
      </w:r>
    </w:p>
    <w:p>
      <w:pPr>
        <w:spacing w:after="0" w:line="175" w:lineRule="exact"/>
        <w:rPr>
          <w:rFonts w:ascii="Arial" w:cs="Arial" w:eastAsia="Arial" w:hAnsi="Arial"/>
          <w:sz w:val="20"/>
          <w:szCs w:val="20"/>
          <w:color w:val="auto"/>
        </w:rPr>
      </w:pPr>
    </w:p>
    <w:p>
      <w:pPr>
        <w:jc w:val="both"/>
        <w:ind w:firstLine="1304"/>
        <w:spacing w:after="0" w:line="213" w:lineRule="auto"/>
        <w:tabs>
          <w:tab w:leader="none" w:pos="193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cash payments constituting the purchase price, net working capital or purchase price adjustments, earn-outs, deferred purchase price payments and similar obligations paid by the Group Members in respect of any permitted Investments (other than to the extent funded with Indebtedness or proceeds from the issuance or sale of Capital Stock to any Person (other than a Group Member) in any Group Member), </w:t>
      </w:r>
      <w:r>
        <w:rPr>
          <w:rFonts w:ascii="Arial" w:cs="Arial" w:eastAsia="Arial" w:hAnsi="Arial"/>
          <w:sz w:val="20"/>
          <w:szCs w:val="20"/>
          <w:u w:val="single" w:color="auto"/>
          <w:color w:val="auto"/>
        </w:rPr>
        <w:t>plus</w:t>
      </w:r>
    </w:p>
    <w:p>
      <w:pPr>
        <w:spacing w:after="0" w:line="155" w:lineRule="exact"/>
        <w:rPr>
          <w:rFonts w:ascii="Arial" w:cs="Arial" w:eastAsia="Arial" w:hAnsi="Arial"/>
          <w:sz w:val="20"/>
          <w:szCs w:val="20"/>
          <w:color w:val="auto"/>
        </w:rPr>
      </w:pPr>
    </w:p>
    <w:p>
      <w:pPr>
        <w:ind w:firstLine="1304"/>
        <w:spacing w:after="0" w:line="229" w:lineRule="auto"/>
        <w:tabs>
          <w:tab w:leader="none" w:pos="1933"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other items paid in cash during such period, in each case, to the extent included as an “add-back” in the calculation of Consolidated EBITDA, </w:t>
      </w:r>
      <w:r>
        <w:rPr>
          <w:rFonts w:ascii="Arial" w:cs="Arial" w:eastAsia="Arial" w:hAnsi="Arial"/>
          <w:sz w:val="20"/>
          <w:szCs w:val="20"/>
          <w:u w:val="single" w:color="auto"/>
          <w:color w:val="auto"/>
        </w:rPr>
        <w:t>plus</w:t>
      </w:r>
    </w:p>
    <w:p>
      <w:pPr>
        <w:spacing w:after="0" w:line="155" w:lineRule="exact"/>
        <w:rPr>
          <w:rFonts w:ascii="Arial" w:cs="Arial" w:eastAsia="Arial" w:hAnsi="Arial"/>
          <w:sz w:val="20"/>
          <w:szCs w:val="20"/>
          <w:color w:val="auto"/>
        </w:rPr>
      </w:pPr>
    </w:p>
    <w:p>
      <w:pPr>
        <w:ind w:firstLine="1304"/>
        <w:spacing w:after="0" w:line="229" w:lineRule="auto"/>
        <w:tabs>
          <w:tab w:leader="none" w:pos="193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Restricted Payments paid in cash (excluding Restricted Payments to another Group Member and excluding Restricted Payments deducted from the Available Amount pursuant to clause (f) of the definition thereof).</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the Securities Exchange Act of 1934, as amended from time to time and any successor statute.</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Excluded Assets</w:t>
      </w:r>
      <w:r>
        <w:rPr>
          <w:rFonts w:ascii="Arial" w:cs="Arial" w:eastAsia="Arial" w:hAnsi="Arial"/>
          <w:sz w:val="20"/>
          <w:szCs w:val="20"/>
          <w:color w:val="auto"/>
        </w:rPr>
        <w:t xml:space="preserve">”: as defined in the Guarantee and Collateral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herein or in any other Loan Document, there shall be no control, lockbox or similar requirements nor any control agreements relating to Holdings’ and its Subsidiaries’ bank accounts (including deposit, securities or commodities accounts).</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Excluded Subsidiary</w:t>
      </w:r>
      <w:r>
        <w:rPr>
          <w:rFonts w:ascii="Arial" w:cs="Arial" w:eastAsia="Arial" w:hAnsi="Arial"/>
          <w:sz w:val="19"/>
          <w:szCs w:val="19"/>
          <w:color w:val="auto"/>
        </w:rPr>
        <w:t>”: any Subsidiary that is (a) not a Domestic Subsidiary of Holdings or another Loan Party, (b) a Foreign Subsidiary Holding Company, (c) an Immaterial Subsidiary or (d) each Domestic Subsidiary that is not a wholly-owned Subsidiary of Holdings (for so long as such Subsidiary remains a non-wholly-owned Subsidiary of Holdings)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Guarantor shall be released from its obligations under the Loan Documents solely because it is no longer a wholly-owned Subsidiary of Holdings unless it ceases to be a wholly-owned Subsidiary of Holdings as a result of a bona fide transaction permitted under this Agreement and not undertaken for the primary purpose of obtaining the release of such Guarantor from its obligations under the Loan Documents).</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Swap Obligations</w:t>
      </w:r>
      <w:r>
        <w:rPr>
          <w:rFonts w:ascii="Arial" w:cs="Arial" w:eastAsia="Arial" w:hAnsi="Arial"/>
          <w:sz w:val="18"/>
          <w:szCs w:val="18"/>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05" w:right="339" w:bottom="1440" w:gutter="0" w:footer="0" w:header="0"/>
        </w:sectPr>
      </w:pPr>
    </w:p>
    <w:bookmarkStart w:id="236" w:name="page237"/>
    <w:bookmarkEnd w:id="236"/>
    <w:p>
      <w:pPr>
        <w:jc w:val="both"/>
        <w:spacing w:after="0" w:line="229" w:lineRule="auto"/>
        <w:rPr>
          <w:sz w:val="20"/>
          <w:szCs w:val="20"/>
          <w:color w:val="auto"/>
        </w:rPr>
      </w:pPr>
      <w:r>
        <w:rPr>
          <w:rFonts w:ascii="Arial" w:cs="Arial" w:eastAsia="Arial" w:hAnsi="Arial"/>
          <w:sz w:val="20"/>
          <w:szCs w:val="20"/>
          <w:color w:val="auto"/>
        </w:rPr>
        <w:t>of such Swap Obligation that is attributable to swaps for which such Guarantee Obligation or Lien is or becomes excluded in accordance with the first sentence of this definition.</w:t>
      </w:r>
    </w:p>
    <w:p>
      <w:pPr>
        <w:spacing w:after="0" w:line="1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Taxes</w:t>
      </w:r>
      <w:r>
        <w:rPr>
          <w:rFonts w:ascii="Arial" w:cs="Arial" w:eastAsia="Arial" w:hAnsi="Arial"/>
          <w:sz w:val="18"/>
          <w:szCs w:val="18"/>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 2.23</w:t>
      </w:r>
      <w:r>
        <w:rPr>
          <w:rFonts w:ascii="Arial" w:cs="Arial" w:eastAsia="Arial" w:hAnsi="Arial"/>
          <w:sz w:val="18"/>
          <w:szCs w:val="18"/>
          <w:color w:val="auto"/>
        </w:rPr>
        <w:t>) or</w:t>
      </w:r>
    </w:p>
    <w:p>
      <w:pPr>
        <w:spacing w:after="0" w:line="5" w:lineRule="exact"/>
        <w:rPr>
          <w:sz w:val="20"/>
          <w:szCs w:val="20"/>
          <w:color w:val="auto"/>
        </w:rPr>
      </w:pPr>
    </w:p>
    <w:p>
      <w:pPr>
        <w:jc w:val="both"/>
        <w:ind w:firstLine="8"/>
        <w:spacing w:after="0" w:line="209" w:lineRule="auto"/>
        <w:tabs>
          <w:tab w:leader="none" w:pos="31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2.20(f)</w:t>
      </w:r>
      <w:r>
        <w:rPr>
          <w:rFonts w:ascii="Arial" w:cs="Arial" w:eastAsia="Arial" w:hAnsi="Arial"/>
          <w:sz w:val="20"/>
          <w:szCs w:val="20"/>
          <w:color w:val="auto"/>
        </w:rPr>
        <w:t xml:space="preserve"> and (d) any withholding Taxes imposed under FATCA.</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Credit Agreement</w:t>
      </w:r>
      <w:r>
        <w:rPr>
          <w:rFonts w:ascii="Arial" w:cs="Arial" w:eastAsia="Arial" w:hAnsi="Arial"/>
          <w:sz w:val="20"/>
          <w:szCs w:val="20"/>
          <w:color w:val="auto"/>
        </w:rPr>
        <w:t>”: as defined in the recitals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Existing Letters of Credit</w:t>
      </w:r>
      <w:r>
        <w:rPr>
          <w:rFonts w:ascii="Arial" w:cs="Arial" w:eastAsia="Arial" w:hAnsi="Arial"/>
          <w:sz w:val="20"/>
          <w:szCs w:val="20"/>
          <w:color w:val="auto"/>
        </w:rPr>
        <w:t xml:space="preserve">”: the letters of credit described on </w:t>
      </w:r>
      <w:r>
        <w:rPr>
          <w:rFonts w:ascii="Arial" w:cs="Arial" w:eastAsia="Arial" w:hAnsi="Arial"/>
          <w:sz w:val="20"/>
          <w:szCs w:val="20"/>
          <w:u w:val="single" w:color="auto"/>
          <w:color w:val="auto"/>
        </w:rPr>
        <w:t>Schedule 1.1B</w:t>
      </w:r>
      <w:r>
        <w:rPr>
          <w:rFonts w:ascii="Arial" w:cs="Arial" w:eastAsia="Arial" w:hAnsi="Arial"/>
          <w:sz w:val="20"/>
          <w:szCs w:val="20"/>
          <w:color w:val="auto"/>
        </w:rPr>
        <w:t xml:space="preserve"> to the Disclosure Letter.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Existing Revolving Loans</w:t>
      </w:r>
      <w:r>
        <w:rPr>
          <w:rFonts w:ascii="Arial" w:cs="Arial" w:eastAsia="Arial" w:hAnsi="Arial"/>
          <w:sz w:val="19"/>
          <w:szCs w:val="19"/>
          <w:color w:val="auto"/>
        </w:rPr>
        <w:t>”: the outstanding “Revolving Loans” under, and as defined in, the Existing Credit Agreement.</w:t>
      </w:r>
    </w:p>
    <w:p>
      <w:pPr>
        <w:spacing w:after="0" w:line="18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Facility</w:t>
      </w:r>
      <w:r>
        <w:rPr>
          <w:rFonts w:ascii="Arial" w:cs="Arial" w:eastAsia="Arial" w:hAnsi="Arial"/>
          <w:sz w:val="20"/>
          <w:szCs w:val="20"/>
          <w:color w:val="auto"/>
        </w:rPr>
        <w:t>”: each of (a) the L/C Facility (which is a sub-facility of the Revolving Facility), (b) the Revolving Facility and (c) the Swingline Facility (which is a sub-facility of the Revolving Facility).</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FATCA</w:t>
      </w:r>
      <w:r>
        <w:rPr>
          <w:rFonts w:ascii="Arial" w:cs="Arial" w:eastAsia="Arial" w:hAnsi="Arial"/>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Federal Funds Effective Rate</w:t>
      </w:r>
      <w:r>
        <w:rPr>
          <w:rFonts w:ascii="Arial" w:cs="Arial" w:eastAsia="Arial" w:hAnsi="Arial"/>
          <w:sz w:val="19"/>
          <w:szCs w:val="19"/>
          <w:color w:val="auto"/>
        </w:rPr>
        <w:t>”: for any day, the greater of (a) 0.00% and (b)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the letter agreement dated December 8, 2020, among the Borrower, Holdings, SVB and JPMorgan Chase Bank, N.A.</w:t>
      </w:r>
    </w:p>
    <w:p>
      <w:pPr>
        <w:spacing w:after="0" w:line="19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First Amendment</w:t>
      </w:r>
      <w:r>
        <w:rPr>
          <w:rFonts w:ascii="Arial" w:cs="Arial" w:eastAsia="Arial" w:hAnsi="Arial"/>
          <w:sz w:val="20"/>
          <w:szCs w:val="20"/>
          <w:color w:val="auto"/>
        </w:rPr>
        <w:t>” means that certain First Amendment to Amended and Restated Credit Agreement dated as of January 6, 2022 by and among Holdings, the Borrower, the lenders party thereto and the Administrative Agent.</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Flood Laws</w:t>
      </w:r>
      <w:r>
        <w:rPr>
          <w:rFonts w:ascii="Arial" w:cs="Arial" w:eastAsia="Arial" w:hAnsi="Arial"/>
          <w:sz w:val="20"/>
          <w:szCs w:val="20"/>
          <w:color w:val="auto"/>
        </w:rPr>
        <w:t>”: the National Flood Insurance Reform Act of 1994 and related legislation (including the regulations of the Board of Governors of the Federal Reserve System).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Floor</w:t>
      </w:r>
      <w:r>
        <w:rPr>
          <w:rFonts w:ascii="Arial" w:cs="Arial" w:eastAsia="Arial" w:hAnsi="Arial"/>
          <w:sz w:val="20"/>
          <w:szCs w:val="20"/>
          <w:color w:val="auto"/>
        </w:rPr>
        <w:t>”: a rate of interest equal to 0.00%.</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Lender</w:t>
      </w:r>
      <w:r>
        <w:rPr>
          <w:rFonts w:ascii="Arial" w:cs="Arial" w:eastAsia="Arial" w:hAnsi="Arial"/>
          <w:sz w:val="20"/>
          <w:szCs w:val="20"/>
          <w:color w:val="auto"/>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05" w:right="339" w:bottom="1440" w:gutter="0" w:footer="0" w:header="0"/>
        </w:sectPr>
      </w:pPr>
    </w:p>
    <w:bookmarkStart w:id="237" w:name="page238"/>
    <w:bookmarkEnd w:id="23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w:t>
      </w:r>
      <w:r>
        <w:rPr>
          <w:rFonts w:ascii="Arial" w:cs="Arial" w:eastAsia="Arial" w:hAnsi="Arial"/>
          <w:sz w:val="20"/>
          <w:szCs w:val="20"/>
          <w:color w:val="auto"/>
        </w:rPr>
        <w:t>”: any Subsidiary of Holdings that is not a Domestic Subsidiary.</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Foreign Subsidiary Holding Company</w:t>
      </w:r>
      <w:r>
        <w:rPr>
          <w:rFonts w:ascii="Arial" w:cs="Arial" w:eastAsia="Arial" w:hAnsi="Arial"/>
          <w:sz w:val="20"/>
          <w:szCs w:val="20"/>
          <w:color w:val="auto"/>
        </w:rPr>
        <w:t>”: any direct or indirect Domestic Subsidiary of Holdings, substantially all of the assets of which consist of the Capital Stock (or Capital Stock and other securities) of one or more controlled foreign corporations (within the meaning of Section 957 of the Code) or other Foreign Subsidiary Holding Companies.</w:t>
      </w:r>
    </w:p>
    <w:p>
      <w:pPr>
        <w:spacing w:after="0" w:line="15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Fronting Exposure</w:t>
      </w:r>
      <w:r>
        <w:rPr>
          <w:rFonts w:ascii="Arial" w:cs="Arial" w:eastAsia="Arial" w:hAnsi="Arial"/>
          <w:sz w:val="18"/>
          <w:szCs w:val="18"/>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w:t>
      </w:r>
      <w:r>
        <w:rPr>
          <w:rFonts w:ascii="Arial" w:cs="Arial" w:eastAsia="Arial" w:hAnsi="Arial"/>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Funding Office</w:t>
      </w:r>
      <w:r>
        <w:rPr>
          <w:rFonts w:ascii="Arial" w:cs="Arial" w:eastAsia="Arial" w:hAnsi="Arial"/>
          <w:sz w:val="20"/>
          <w:szCs w:val="20"/>
          <w:color w:val="auto"/>
        </w:rPr>
        <w:t>”: the Revolving Loan Funding Office.</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GAAP</w:t>
      </w:r>
      <w:r>
        <w:rPr>
          <w:rFonts w:ascii="Arial" w:cs="Arial" w:eastAsia="Arial" w:hAnsi="Arial"/>
          <w:sz w:val="19"/>
          <w:szCs w:val="19"/>
          <w:color w:val="auto"/>
        </w:rPr>
        <w:t xml:space="preserve">”: generally accepted accounting principles in the United States as in effect from time to time, except that for purposes of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GAAP shall be determined on the basis of such principles in effect on the date hereof and consistent with those used in the preparation of the most recent audited financial statements referred to in </w:t>
      </w:r>
      <w:r>
        <w:rPr>
          <w:rFonts w:ascii="Arial" w:cs="Arial" w:eastAsia="Arial" w:hAnsi="Arial"/>
          <w:sz w:val="19"/>
          <w:szCs w:val="19"/>
          <w:u w:val="single" w:color="auto"/>
          <w:color w:val="auto"/>
        </w:rPr>
        <w:t>Section 4.1(b)</w:t>
      </w:r>
      <w:r>
        <w:rPr>
          <w:rFonts w:ascii="Arial" w:cs="Arial" w:eastAsia="Arial" w:hAnsi="Arial"/>
          <w:sz w:val="19"/>
          <w:szCs w:val="19"/>
          <w:color w:val="auto"/>
        </w:rPr>
        <w:t>. In the event that any “</w:t>
      </w:r>
      <w:r>
        <w:rPr>
          <w:rFonts w:ascii="Arial" w:cs="Arial" w:eastAsia="Arial" w:hAnsi="Arial"/>
          <w:sz w:val="19"/>
          <w:szCs w:val="19"/>
          <w:b w:val="1"/>
          <w:bCs w:val="1"/>
          <w:i w:val="1"/>
          <w:iCs w:val="1"/>
          <w:color w:val="auto"/>
        </w:rPr>
        <w:t>Accounting Change</w:t>
      </w:r>
      <w:r>
        <w:rPr>
          <w:rFonts w:ascii="Arial" w:cs="Arial" w:eastAsia="Arial" w:hAnsi="Arial"/>
          <w:sz w:val="19"/>
          <w:szCs w:val="19"/>
          <w:color w:val="auto"/>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Arial" w:cs="Arial" w:eastAsia="Arial" w:hAnsi="Arial"/>
          <w:sz w:val="19"/>
          <w:szCs w:val="19"/>
          <w:b w:val="1"/>
          <w:bCs w:val="1"/>
          <w:i w:val="1"/>
          <w:i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Changes</w:t>
      </w:r>
      <w:r>
        <w:rPr>
          <w:rFonts w:ascii="Arial" w:cs="Arial" w:eastAsia="Arial" w:hAnsi="Arial"/>
          <w:sz w:val="19"/>
          <w:szCs w:val="19"/>
          <w:color w:val="auto"/>
        </w:rPr>
        <w:t>” refers to changes in accounting principles required by the promulgation of any rule, regulation, pronouncement or opinion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Accounting Standards Board of the American Institute of Certified Public Accountants or, if applicable, the SEC, or the adoption of IFRS.</w:t>
      </w:r>
    </w:p>
    <w:p>
      <w:pPr>
        <w:spacing w:after="0" w:line="15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Governmental Approval</w:t>
      </w:r>
      <w:r>
        <w:rPr>
          <w:rFonts w:ascii="Arial" w:cs="Arial" w:eastAsia="Arial" w:hAnsi="Arial"/>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Group Members</w:t>
      </w:r>
      <w:r>
        <w:rPr>
          <w:rFonts w:ascii="Arial" w:cs="Arial" w:eastAsia="Arial" w:hAnsi="Arial"/>
          <w:sz w:val="20"/>
          <w:szCs w:val="20"/>
          <w:color w:val="auto"/>
        </w:rPr>
        <w:t>”: the collective reference to Holdings and its Subsidiaries.</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 and Collateral Agreement</w:t>
      </w:r>
      <w:r>
        <w:rPr>
          <w:rFonts w:ascii="Arial" w:cs="Arial" w:eastAsia="Arial" w:hAnsi="Arial"/>
          <w:sz w:val="20"/>
          <w:szCs w:val="20"/>
          <w:color w:val="auto"/>
        </w:rPr>
        <w:t>”: the Amended and Restated Guarantee and Collateral Agreement dated as of the Closing Date by and among the Loan Parties and the Administrative Agent.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Guarantee Obligation</w:t>
      </w:r>
      <w:r>
        <w:rPr>
          <w:rFonts w:ascii="Arial" w:cs="Arial" w:eastAsia="Arial" w:hAnsi="Arial"/>
          <w:sz w:val="20"/>
          <w:szCs w:val="20"/>
          <w:color w:val="auto"/>
        </w:rPr>
        <w:t>”: as to any Person (the “</w:t>
      </w:r>
      <w:r>
        <w:rPr>
          <w:rFonts w:ascii="Arial" w:cs="Arial" w:eastAsia="Arial" w:hAnsi="Arial"/>
          <w:sz w:val="20"/>
          <w:szCs w:val="20"/>
          <w:b w:val="1"/>
          <w:bCs w:val="1"/>
          <w:i w:val="1"/>
          <w:iCs w:val="1"/>
          <w:color w:val="auto"/>
        </w:rPr>
        <w:t>guaranteeing person</w:t>
      </w:r>
      <w:r>
        <w:rPr>
          <w:rFonts w:ascii="Arial" w:cs="Arial" w:eastAsia="Arial" w:hAnsi="Arial"/>
          <w:sz w:val="20"/>
          <w:szCs w:val="20"/>
          <w:color w:val="auto"/>
        </w:rPr>
        <w:t>”), any obligation, including a reimbursement, counterindemnity or similar obligation, of the guaranteeing person that guarantees or in effect guarantees, or which is given to induce the creation of a separate obligation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05" w:right="339" w:bottom="1440" w:gutter="0" w:footer="0" w:header="0"/>
        </w:sectPr>
      </w:pPr>
    </w:p>
    <w:bookmarkStart w:id="238" w:name="page239"/>
    <w:bookmarkEnd w:id="238"/>
    <w:p>
      <w:pPr>
        <w:jc w:val="both"/>
        <w:spacing w:after="0" w:line="224" w:lineRule="auto"/>
        <w:rPr>
          <w:sz w:val="20"/>
          <w:szCs w:val="20"/>
          <w:color w:val="auto"/>
        </w:rPr>
      </w:pPr>
      <w:r>
        <w:rPr>
          <w:rFonts w:ascii="Arial" w:cs="Arial" w:eastAsia="Arial" w:hAnsi="Arial"/>
          <w:sz w:val="18"/>
          <w:szCs w:val="18"/>
          <w:color w:val="auto"/>
        </w:rPr>
        <w:t>another Person (including any bank under any letter of credit) that guarantees or in effect guarantees, any Indebtedness, leases, dividends or other obligations (the “</w:t>
      </w:r>
      <w:r>
        <w:rPr>
          <w:rFonts w:ascii="Arial" w:cs="Arial" w:eastAsia="Arial" w:hAnsi="Arial"/>
          <w:sz w:val="18"/>
          <w:szCs w:val="18"/>
          <w:b w:val="1"/>
          <w:bCs w:val="1"/>
          <w:i w:val="1"/>
          <w:iCs w:val="1"/>
          <w:color w:val="auto"/>
        </w:rPr>
        <w:t>primary obligations</w:t>
      </w:r>
      <w:r>
        <w:rPr>
          <w:rFonts w:ascii="Arial" w:cs="Arial" w:eastAsia="Arial" w:hAnsi="Arial"/>
          <w:sz w:val="18"/>
          <w:szCs w:val="18"/>
          <w:color w:val="auto"/>
        </w:rPr>
        <w:t>”) of any other third Person (the “</w:t>
      </w:r>
      <w:r>
        <w:rPr>
          <w:rFonts w:ascii="Arial" w:cs="Arial" w:eastAsia="Arial" w:hAnsi="Arial"/>
          <w:sz w:val="18"/>
          <w:szCs w:val="18"/>
          <w:b w:val="1"/>
          <w:bCs w:val="1"/>
          <w:i w:val="1"/>
          <w:iCs w:val="1"/>
          <w:color w:val="auto"/>
        </w:rPr>
        <w:t>primary obligor</w:t>
      </w:r>
      <w:r>
        <w:rPr>
          <w:rFonts w:ascii="Arial" w:cs="Arial" w:eastAsia="Arial" w:hAnsi="Arial"/>
          <w:sz w:val="18"/>
          <w:szCs w:val="18"/>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57"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xml:space="preserve">”: a collective reference to Holdings and each Subsidiary of Holdings which has become a Guarantor pursuant to the requirements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 and the Guarantee and Collateral Agreement. Notwithstanding the foregoing or any contrary provision herein or in any other Loan Document, no Excluded Subsidiary shall be required to be a Guarantor, and no Subsidiary shall be required to become a Guarantor if, in the reasonable judgment of the Administrative Agent and the Borrower, the burden or cost of providing a guarantee shall be excessive in view of the benefits to be obtained by the Secured Parties therefrom.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Holdings</w:t>
      </w:r>
      <w:r>
        <w:rPr>
          <w:rFonts w:ascii="Arial" w:cs="Arial" w:eastAsia="Arial" w:hAnsi="Arial"/>
          <w:sz w:val="20"/>
          <w:szCs w:val="20"/>
          <w:color w:val="auto"/>
        </w:rPr>
        <w:t>”: has the meaning in the preamble hereto.</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IFRS</w:t>
      </w:r>
      <w:r>
        <w:rPr>
          <w:rFonts w:ascii="Arial" w:cs="Arial" w:eastAsia="Arial" w:hAnsi="Arial"/>
          <w:sz w:val="20"/>
          <w:szCs w:val="20"/>
          <w:color w:val="auto"/>
        </w:rPr>
        <w:t>”: international accounting standards within the meaning of IAS Regulation 1606/2002 to the extent applicable to the relevant financial statements delivered under or referred to herein.</w:t>
      </w:r>
    </w:p>
    <w:p>
      <w:pPr>
        <w:spacing w:after="0" w:line="155"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Immaterial Subsidiary</w:t>
      </w:r>
      <w:r>
        <w:rPr>
          <w:rFonts w:ascii="Arial" w:cs="Arial" w:eastAsia="Arial" w:hAnsi="Arial"/>
          <w:sz w:val="20"/>
          <w:szCs w:val="20"/>
          <w:color w:val="auto"/>
        </w:rPr>
        <w:t xml:space="preserve">”: as of the last day of each fiscal quarter and at any other date of determination, any Subsidiary of any Loan Party (other than a Borrower or a Guarantor) designated as such by the Borrower in writing and which as of such date (a) holds assets representing 10% or less of Holdings’ consolidated total assets as of such date (determined in accordance with GAAP), (b) has generated less than 10% of Holdings’ consolidated total revenues determined in accordance with GAAP for the four fiscal quarter period ending on the last day of the most recent period for which financial statements have been delivered after the Closing Date pursuant to </w:t>
      </w:r>
      <w:r>
        <w:rPr>
          <w:rFonts w:ascii="Arial" w:cs="Arial" w:eastAsia="Arial" w:hAnsi="Arial"/>
          <w:sz w:val="20"/>
          <w:szCs w:val="20"/>
          <w:u w:val="single" w:color="auto"/>
          <w:color w:val="auto"/>
        </w:rPr>
        <w:t>Section 6.1(b)</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Subsidiaries that are individually </w:t>
      </w:r>
      <w:r>
        <w:rPr>
          <w:rFonts w:ascii="Arial" w:cs="Arial" w:eastAsia="Arial" w:hAnsi="Arial"/>
          <w:sz w:val="20"/>
          <w:szCs w:val="20"/>
          <w:b w:val="1"/>
          <w:bCs w:val="1"/>
          <w:i w:val="1"/>
          <w:iCs w:val="1"/>
          <w:color w:val="auto"/>
        </w:rPr>
        <w:t>“Immaterial Subsidiaries”</w:t>
      </w:r>
      <w:r>
        <w:rPr>
          <w:rFonts w:ascii="Arial" w:cs="Arial" w:eastAsia="Arial" w:hAnsi="Arial"/>
          <w:sz w:val="20"/>
          <w:szCs w:val="20"/>
          <w:color w:val="auto"/>
        </w:rPr>
        <w:t xml:space="preserve"> shall not have aggregate consolidated total assets that would represent 20% or more of Holdings’ consolidated total assets as of such date or have generated 20% or more of Holdings’ consolidated total revenues for such four fiscal quarter period, in each case determined in accordance with GAAP, and (c) owns no material Intellectual Property.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Increase Joinder</w:t>
      </w:r>
      <w:r>
        <w:rPr>
          <w:rFonts w:ascii="Arial" w:cs="Arial" w:eastAsia="Arial" w:hAnsi="Arial"/>
          <w:sz w:val="20"/>
          <w:szCs w:val="20"/>
          <w:color w:val="auto"/>
        </w:rPr>
        <w:t xml:space="preserve">”: an instrument, in form and substance reasonably satisfactory to the Administrative Agent, by which a Lender becomes a party to this Agreement pursuant to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as defined in the definition of “Pro Forma Basis”.</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Indebtedness</w:t>
      </w:r>
      <w:r>
        <w:rPr>
          <w:rFonts w:ascii="Arial" w:cs="Arial" w:eastAsia="Arial" w:hAnsi="Arial"/>
          <w:sz w:val="20"/>
          <w:szCs w:val="20"/>
          <w:color w:val="auto"/>
        </w:rPr>
        <w:t>”: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if such obligation is not paid after becoming due and payable or such obligation is reflected on the balance sheet in accordance with GAAP and (iii) accruals for payroll and other liabilities, including deferred compensation arrangements, in each case, accrued in the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05" w:right="339" w:bottom="1440" w:gutter="0" w:footer="0" w:header="0"/>
        </w:sectPr>
      </w:pPr>
    </w:p>
    <w:bookmarkStart w:id="239" w:name="page240"/>
    <w:bookmarkEnd w:id="239"/>
    <w:p>
      <w:pPr>
        <w:jc w:val="both"/>
        <w:spacing w:after="0" w:line="248" w:lineRule="auto"/>
        <w:rPr>
          <w:sz w:val="20"/>
          <w:szCs w:val="20"/>
          <w:color w:val="auto"/>
        </w:rPr>
      </w:pPr>
      <w:r>
        <w:rPr>
          <w:rFonts w:ascii="Arial" w:cs="Arial" w:eastAsia="Arial" w:hAnsi="Arial"/>
          <w:sz w:val="16"/>
          <w:szCs w:val="16"/>
          <w:color w:val="auto"/>
        </w:rPr>
        <w:t>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with respect to Disqualified Stock,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w:t>
      </w:r>
    </w:p>
    <w:p>
      <w:pPr>
        <w:spacing w:after="0" w:line="6" w:lineRule="exact"/>
        <w:rPr>
          <w:sz w:val="20"/>
          <w:szCs w:val="20"/>
          <w:color w:val="auto"/>
        </w:rPr>
      </w:pPr>
    </w:p>
    <w:p>
      <w:pPr>
        <w:jc w:val="both"/>
        <w:ind w:firstLine="8"/>
        <w:spacing w:after="0" w:line="209" w:lineRule="auto"/>
        <w:tabs>
          <w:tab w:leader="none" w:pos="24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Taxes</w:t>
      </w:r>
      <w:r>
        <w:rPr>
          <w:rFonts w:ascii="Arial" w:cs="Arial" w:eastAsia="Arial" w:hAnsi="Arial"/>
          <w:sz w:val="18"/>
          <w:szCs w:val="18"/>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10.5(b)</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Insolvency Proceeding</w:t>
      </w:r>
      <w:r>
        <w:rPr>
          <w:rFonts w:ascii="Arial" w:cs="Arial" w:eastAsia="Arial" w:hAnsi="Arial"/>
          <w:sz w:val="20"/>
          <w:szCs w:val="20"/>
          <w:color w:val="auto"/>
        </w:rPr>
        <w:t>”: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Intellectual Property</w:t>
      </w:r>
      <w:r>
        <w:rPr>
          <w:rFonts w:ascii="Arial" w:cs="Arial" w:eastAsia="Arial" w:hAnsi="Arial"/>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Security Agreement</w:t>
      </w:r>
      <w:r>
        <w:rPr>
          <w:rFonts w:ascii="Arial" w:cs="Arial" w:eastAsia="Arial" w:hAnsi="Arial"/>
          <w:sz w:val="18"/>
          <w:szCs w:val="18"/>
          <w:color w:val="auto"/>
        </w:rPr>
        <w:t xml:space="preserve">”: an intellectual property security agreement entered into between a Loan Party and the Administrative Agent for filing at the USPTO or USCRO pursuant to the terms of the Guarantee and Collateral Agreement in form and substance satisfactory to the Administrative Agent, together with each other intellectual property security agreement and supplement thereto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in each case as amended, restated, supplemented or otherwise modified from time to time.</w:t>
      </w:r>
    </w:p>
    <w:p>
      <w:pPr>
        <w:spacing w:after="0" w:line="158"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Payment Date</w:t>
      </w:r>
      <w:r>
        <w:rPr>
          <w:rFonts w:ascii="Arial" w:cs="Arial" w:eastAsia="Arial" w:hAnsi="Arial"/>
          <w:sz w:val="19"/>
          <w:szCs w:val="19"/>
          <w:color w:val="auto"/>
        </w:rPr>
        <w:t>”: (a) as to any ABR Loan (including any Swingline Loan), the first Business Day of each calendar month to occur while such Loan is outstanding and the final maturity date of such Loan, (b) as to any SOFR Loan having an Interest Period of three (3) months or less, the last Business Day of such Interest Period and the final maturity date of such Loan, (c) as to any SOFR Loan having an Interest Period longer than three (3) months, each day that is three (3) months (or, if such date is not a Business Day, the Business Day next succeeding such date) after the first day of such Interest Period and the last Business Day of such Interest Period and the final maturity date of such Loan, and (d) as to any Loan (other than any Revolving Loan that is an ABR Loan and any Swingline Loan), the date of any repayment or prepayment made in respect thereof.</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as to any SOFR Loan, (a) initially, the period commencing on the borrowing or conversion date, as the case may be, with respect to such SOFR Loan and ending on the numerically corresponding day in the month that is one (1), three (3) or six (6) months thereafter, as selected by the Borrower in its Notice of Borrowing or Notice of Conversion/Continuation, as the case may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05" w:right="339" w:bottom="1440" w:gutter="0" w:footer="0" w:header="0"/>
        </w:sectPr>
      </w:pPr>
    </w:p>
    <w:bookmarkStart w:id="240" w:name="page241"/>
    <w:bookmarkEnd w:id="240"/>
    <w:p>
      <w:pPr>
        <w:jc w:val="both"/>
        <w:spacing w:after="0" w:line="233" w:lineRule="auto"/>
        <w:rPr>
          <w:sz w:val="20"/>
          <w:szCs w:val="20"/>
          <w:color w:val="auto"/>
        </w:rPr>
      </w:pPr>
      <w:r>
        <w:rPr>
          <w:rFonts w:ascii="Arial" w:cs="Arial" w:eastAsia="Arial" w:hAnsi="Arial"/>
          <w:sz w:val="18"/>
          <w:szCs w:val="18"/>
          <w:color w:val="auto"/>
        </w:rPr>
        <w:t xml:space="preserve">with respect thereto; and (b) thereafter, each period commencing on the last day of the next preceding Interest Period applicable to such SOFR Loan and ending on the numerically corresponding day in the month that is one (1), three (3) or six (6) months thereafter, as selected by the Borrower by irrevocable notice delivered to the Administrative Agent in a Notice of Conversion/Continuation not later than 12:00 P.M. on the date that is three (3) U.S. Government Securities Business Days prior to the last day of the then current Interest Period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foregoing provisions relating to Interest Periods are subject to the following:</w:t>
      </w:r>
    </w:p>
    <w:p>
      <w:pPr>
        <w:spacing w:after="0" w:line="156" w:lineRule="exact"/>
        <w:rPr>
          <w:sz w:val="20"/>
          <w:szCs w:val="20"/>
          <w:color w:val="auto"/>
        </w:rPr>
      </w:pPr>
    </w:p>
    <w:p>
      <w:pPr>
        <w:jc w:val="both"/>
        <w:ind w:firstLine="1952"/>
        <w:spacing w:after="0" w:line="230" w:lineRule="auto"/>
        <w:tabs>
          <w:tab w:leader="none" w:pos="259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41" w:lineRule="exact"/>
        <w:rPr>
          <w:rFonts w:ascii="Arial" w:cs="Arial" w:eastAsia="Arial" w:hAnsi="Arial"/>
          <w:sz w:val="19"/>
          <w:szCs w:val="19"/>
          <w:color w:val="auto"/>
        </w:rPr>
      </w:pPr>
    </w:p>
    <w:p>
      <w:pPr>
        <w:ind w:left="2600" w:hanging="648"/>
        <w:spacing w:after="0"/>
        <w:tabs>
          <w:tab w:leader="none" w:pos="26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Borrower may not select an Interest Period under a particular Facility that would extend beyond the</w:t>
      </w:r>
    </w:p>
    <w:p>
      <w:pPr>
        <w:spacing w:after="0"/>
        <w:rPr>
          <w:rFonts w:ascii="Arial" w:cs="Arial" w:eastAsia="Arial" w:hAnsi="Arial"/>
          <w:sz w:val="19"/>
          <w:szCs w:val="19"/>
          <w:color w:val="auto"/>
        </w:rPr>
      </w:pPr>
      <w:r>
        <w:rPr>
          <w:rFonts w:ascii="Arial" w:cs="Arial" w:eastAsia="Arial" w:hAnsi="Arial"/>
          <w:sz w:val="20"/>
          <w:szCs w:val="20"/>
          <w:color w:val="auto"/>
        </w:rPr>
        <w:t>Revolving Termination Date;</w:t>
      </w:r>
    </w:p>
    <w:p>
      <w:pPr>
        <w:spacing w:after="0" w:line="159" w:lineRule="exact"/>
        <w:rPr>
          <w:rFonts w:ascii="Arial" w:cs="Arial" w:eastAsia="Arial" w:hAnsi="Arial"/>
          <w:sz w:val="19"/>
          <w:szCs w:val="19"/>
          <w:color w:val="auto"/>
        </w:rPr>
      </w:pPr>
    </w:p>
    <w:p>
      <w:pPr>
        <w:jc w:val="both"/>
        <w:ind w:firstLine="1952"/>
        <w:spacing w:after="0" w:line="218" w:lineRule="auto"/>
        <w:tabs>
          <w:tab w:leader="none" w:pos="259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 and</w:t>
      </w:r>
    </w:p>
    <w:p>
      <w:pPr>
        <w:spacing w:after="0" w:line="156" w:lineRule="exact"/>
        <w:rPr>
          <w:rFonts w:ascii="Arial" w:cs="Arial" w:eastAsia="Arial" w:hAnsi="Arial"/>
          <w:sz w:val="20"/>
          <w:szCs w:val="20"/>
          <w:color w:val="auto"/>
        </w:rPr>
      </w:pPr>
    </w:p>
    <w:p>
      <w:pPr>
        <w:ind w:firstLine="1952"/>
        <w:spacing w:after="0" w:line="229" w:lineRule="auto"/>
        <w:tabs>
          <w:tab w:leader="none" w:pos="258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no tenor that has been removed from this definition pursuant to </w:t>
      </w:r>
      <w:r>
        <w:rPr>
          <w:rFonts w:ascii="Arial" w:cs="Arial" w:eastAsia="Arial" w:hAnsi="Arial"/>
          <w:sz w:val="20"/>
          <w:szCs w:val="20"/>
          <w:u w:val="single" w:color="auto"/>
          <w:color w:val="auto"/>
        </w:rPr>
        <w:t>Section 2.17(b)</w:t>
      </w:r>
      <w:r>
        <w:rPr>
          <w:rFonts w:ascii="Arial" w:cs="Arial" w:eastAsia="Arial" w:hAnsi="Arial"/>
          <w:sz w:val="20"/>
          <w:szCs w:val="20"/>
          <w:color w:val="auto"/>
        </w:rPr>
        <w:t xml:space="preserve"> shall be available for specification in any Notice of Borrower or Notice of Conversion/Continuation.</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Interest Rate Agreement</w:t>
      </w:r>
      <w:r>
        <w:rPr>
          <w:rFonts w:ascii="Arial" w:cs="Arial" w:eastAsia="Arial" w:hAnsi="Arial"/>
          <w:sz w:val="19"/>
          <w:szCs w:val="19"/>
          <w:color w:val="auto"/>
        </w:rPr>
        <w:t>”: any interest rate swap agreement, interest rate cap agreement, interest rate collar agreement, interest rate hedging agreement or other similar agreement or arrangement, each of which is (a) for the purpose of hedging the interest rate exposure associated with Holdings’ and its Subsidiaries’ operations, and (b) not for speculative purposes.</w:t>
      </w:r>
    </w:p>
    <w:p>
      <w:pPr>
        <w:spacing w:after="0" w:line="1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Inventory</w:t>
      </w:r>
      <w:r>
        <w:rPr>
          <w:rFonts w:ascii="Arial" w:cs="Arial" w:eastAsia="Arial" w:hAnsi="Arial"/>
          <w:sz w:val="16"/>
          <w:szCs w:val="16"/>
          <w:color w:val="auto"/>
        </w:rPr>
        <w:t>”: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Investments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7.8</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IRS</w:t>
      </w:r>
      <w:r>
        <w:rPr>
          <w:rFonts w:ascii="Arial" w:cs="Arial" w:eastAsia="Arial" w:hAnsi="Arial"/>
          <w:sz w:val="20"/>
          <w:szCs w:val="20"/>
          <w:color w:val="auto"/>
        </w:rPr>
        <w:t>”: the Internal Revenue Service, or any successor thereto.</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ISP</w:t>
      </w:r>
      <w:r>
        <w:rPr>
          <w:rFonts w:ascii="Arial" w:cs="Arial" w:eastAsia="Arial" w:hAnsi="Arial"/>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5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xml:space="preserve">”: as the context may require, (a) SVB or any Affiliate thereof, in its capacity as issuer of any Letter of Credit (including, without limitation, each Existing Letter of Credit), and (b) any other Lender or an Affiliate thereof that may become an Issuing Lender pursuant to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3.12</w:t>
      </w:r>
      <w:r>
        <w:rPr>
          <w:rFonts w:ascii="Arial" w:cs="Arial" w:eastAsia="Arial" w:hAnsi="Arial"/>
          <w:sz w:val="18"/>
          <w:szCs w:val="18"/>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Issuing Lender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05" w:right="339" w:bottom="1440" w:gutter="0" w:footer="0" w:header="0"/>
        </w:sectPr>
      </w:pPr>
    </w:p>
    <w:bookmarkStart w:id="241" w:name="page242"/>
    <w:bookmarkEnd w:id="24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Election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LCA Test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Advance</w:t>
      </w:r>
      <w:r>
        <w:rPr>
          <w:rFonts w:ascii="Arial" w:cs="Arial" w:eastAsia="Arial" w:hAnsi="Arial"/>
          <w:sz w:val="20"/>
          <w:szCs w:val="20"/>
          <w:color w:val="auto"/>
        </w:rPr>
        <w:t>”: each L/C Lender’s funding of its participation in any L/C Disbursement in accordance with its L/C Percentage of the L/C Commitment.</w:t>
      </w:r>
    </w:p>
    <w:p>
      <w:pPr>
        <w:spacing w:after="0" w:line="15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Commitment</w:t>
      </w:r>
      <w:r>
        <w:rPr>
          <w:rFonts w:ascii="Arial" w:cs="Arial" w:eastAsia="Arial" w:hAnsi="Arial"/>
          <w:sz w:val="20"/>
          <w:szCs w:val="20"/>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Arial" w:cs="Arial" w:eastAsia="Arial" w:hAnsi="Arial"/>
          <w:sz w:val="20"/>
          <w:szCs w:val="20"/>
          <w:u w:val="single" w:color="auto"/>
          <w:color w:val="auto"/>
        </w:rPr>
        <w:t>Section 3.5(b)</w:t>
      </w:r>
      <w:r>
        <w:rPr>
          <w:rFonts w:ascii="Arial" w:cs="Arial" w:eastAsia="Arial" w:hAnsi="Arial"/>
          <w:sz w:val="20"/>
          <w:szCs w:val="20"/>
          <w:color w:val="auto"/>
        </w:rPr>
        <w:t xml:space="preserve">) in an aggregate principal amount not to exceed the amount set forth under the heading “L/C Commitment” opposite such L/C Lender’s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or in the Assignment and Assumption or Increase Joinder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Disbursements</w:t>
      </w:r>
      <w:r>
        <w:rPr>
          <w:rFonts w:ascii="Arial" w:cs="Arial" w:eastAsia="Arial" w:hAnsi="Arial"/>
          <w:sz w:val="20"/>
          <w:szCs w:val="20"/>
          <w:color w:val="auto"/>
        </w:rPr>
        <w:t>”: a payment or disbursement made by the Issuing Lender pursuant to a Letter of Credit.</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L/C Exposure</w:t>
      </w:r>
      <w:r>
        <w:rPr>
          <w:rFonts w:ascii="Arial" w:cs="Arial" w:eastAsia="Arial" w:hAnsi="Arial"/>
          <w:sz w:val="19"/>
          <w:szCs w:val="19"/>
          <w:color w:val="auto"/>
        </w:rPr>
        <w:t>”: at any time, the sum of (a) the aggregate undrawn amount of all outstanding Letters of Credit at such time, and (b) the aggregate amount of all L/C Disbursements that have not yet been reimbursed or converted into Revolving Loans at such time. The L/C Exposure of any L/C Lender at any time shall equal its L/C Percentage of the aggregate L/C Exposure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Facility</w:t>
      </w:r>
      <w:r>
        <w:rPr>
          <w:rFonts w:ascii="Arial" w:cs="Arial" w:eastAsia="Arial" w:hAnsi="Arial"/>
          <w:sz w:val="20"/>
          <w:szCs w:val="20"/>
          <w:color w:val="auto"/>
        </w:rPr>
        <w:t>”: the L/C Commitments and the extensions of credit made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Fee Payment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Lender</w:t>
      </w:r>
      <w:r>
        <w:rPr>
          <w:rFonts w:ascii="Arial" w:cs="Arial" w:eastAsia="Arial" w:hAnsi="Arial"/>
          <w:sz w:val="20"/>
          <w:szCs w:val="20"/>
          <w:color w:val="auto"/>
        </w:rPr>
        <w:t>”: a Lender with an L/C Commitment.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 Percentage</w:t>
      </w:r>
      <w:r>
        <w:rPr>
          <w:rFonts w:ascii="Arial" w:cs="Arial" w:eastAsia="Arial" w:hAnsi="Arial"/>
          <w:sz w:val="20"/>
          <w:szCs w:val="20"/>
          <w:color w:val="auto"/>
        </w:rPr>
        <w:t xml:space="preserve">”: as to any L/C Lender at any time, the percentage of the Total L/C Commitments represented by such L/C Lender’s L/C Commitment, as such percentage may be adjusted as provided in </w:t>
      </w:r>
      <w:r>
        <w:rPr>
          <w:rFonts w:ascii="Arial" w:cs="Arial" w:eastAsia="Arial" w:hAnsi="Arial"/>
          <w:sz w:val="20"/>
          <w:szCs w:val="20"/>
          <w:u w:val="single" w:color="auto"/>
          <w:color w:val="auto"/>
        </w:rPr>
        <w:t>Section 2.24</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L/C-Related Documents</w:t>
      </w:r>
      <w:r>
        <w:rPr>
          <w:rFonts w:ascii="Arial" w:cs="Arial" w:eastAsia="Arial" w:hAnsi="Arial"/>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 xml:space="preserve">”: as defined in the preamble 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the context otherwise requires, each reference herein to the Lenders shall be deemed to include the Issuing Lender and the Swingline Lender. For the avoidance of doubt, the term “Lenders” excludes the Departing Lenders.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3.1(a)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term shall include each Existing Letter of Credit.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Letter of Credit Availability Period</w:t>
      </w:r>
      <w:r>
        <w:rPr>
          <w:rFonts w:ascii="Arial" w:cs="Arial" w:eastAsia="Arial" w:hAnsi="Arial"/>
          <w:sz w:val="18"/>
          <w:szCs w:val="18"/>
          <w:color w:val="auto"/>
        </w:rPr>
        <w:t>”: the period from and including the Closing Date to but excluding the Letter of Credit Maturity</w:t>
      </w:r>
    </w:p>
    <w:p>
      <w:pPr>
        <w:spacing w:after="0"/>
        <w:rPr>
          <w:sz w:val="20"/>
          <w:szCs w:val="20"/>
          <w:color w:val="auto"/>
        </w:rPr>
      </w:pPr>
      <w:r>
        <w:rPr>
          <w:rFonts w:ascii="Arial" w:cs="Arial" w:eastAsia="Arial" w:hAnsi="Arial"/>
          <w:sz w:val="20"/>
          <w:szCs w:val="20"/>
          <w:color w:val="auto"/>
        </w:rPr>
        <w:t>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Fronting Fees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Letter of Credit Maturity Date</w:t>
      </w:r>
      <w:r>
        <w:rPr>
          <w:rFonts w:ascii="Arial" w:cs="Arial" w:eastAsia="Arial" w:hAnsi="Arial"/>
          <w:sz w:val="20"/>
          <w:szCs w:val="20"/>
          <w:color w:val="auto"/>
        </w:rPr>
        <w:t>”: the date occurring 15 days prior to the Revolving Termination Date then in effect (or, if such day is not a Business Day, the next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05" w:right="339" w:bottom="1440" w:gutter="0" w:footer="0" w:header="0"/>
        </w:sectPr>
      </w:pPr>
    </w:p>
    <w:bookmarkStart w:id="242" w:name="page243"/>
    <w:bookmarkEnd w:id="242"/>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Lien</w:t>
      </w:r>
      <w:r>
        <w:rPr>
          <w:rFonts w:ascii="Arial" w:cs="Arial" w:eastAsia="Arial" w:hAnsi="Arial"/>
          <w:sz w:val="20"/>
          <w:szCs w:val="20"/>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Acquisition</w:t>
      </w:r>
      <w:r>
        <w:rPr>
          <w:rFonts w:ascii="Arial" w:cs="Arial" w:eastAsia="Arial" w:hAnsi="Arial"/>
          <w:sz w:val="20"/>
          <w:szCs w:val="20"/>
          <w:color w:val="auto"/>
        </w:rPr>
        <w:t xml:space="preserve">”: any Acquisition, the consummation of which is not conditioned on the availability of, or on obtaining, third party financing; </w:t>
      </w:r>
      <w:r>
        <w:rPr>
          <w:rFonts w:ascii="Arial" w:cs="Arial" w:eastAsia="Arial" w:hAnsi="Arial"/>
          <w:sz w:val="20"/>
          <w:szCs w:val="20"/>
          <w:i w:val="1"/>
          <w:iCs w:val="1"/>
          <w:color w:val="auto"/>
        </w:rPr>
        <w:t>provided</w:t>
      </w:r>
      <w:r>
        <w:rPr>
          <w:rFonts w:ascii="Arial" w:cs="Arial" w:eastAsia="Arial" w:hAnsi="Arial"/>
          <w:sz w:val="20"/>
          <w:szCs w:val="20"/>
          <w:color w:val="auto"/>
        </w:rPr>
        <w:t>, that, in the event the consummation of any such Acquisition shall not have occurred on or prior to the date that is 120 days following the signing of the applicable Limited Condition Acquisition Agreement, such Acquisition shall no longer constitute a Limited Condition Acquisition for any purpose.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Limited Condition Acquisition Agreement</w:t>
      </w:r>
      <w:r>
        <w:rPr>
          <w:rFonts w:ascii="Arial" w:cs="Arial" w:eastAsia="Arial" w:hAnsi="Arial"/>
          <w:sz w:val="20"/>
          <w:szCs w:val="20"/>
          <w:color w:val="auto"/>
        </w:rPr>
        <w:t>”: any agreement providing for a Limited Condition Acquisition.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w:t>
      </w:r>
      <w:r>
        <w:rPr>
          <w:rFonts w:ascii="Arial" w:cs="Arial" w:eastAsia="Arial" w:hAnsi="Arial"/>
          <w:sz w:val="20"/>
          <w:szCs w:val="20"/>
          <w:color w:val="auto"/>
        </w:rPr>
        <w:t>”: any loan made or maintained by any Lender pursuant to this Agreement.</w:t>
      </w:r>
    </w:p>
    <w:p>
      <w:pPr>
        <w:spacing w:after="0" w:line="17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Loan Documents</w:t>
      </w:r>
      <w:r>
        <w:rPr>
          <w:rFonts w:ascii="Arial" w:cs="Arial" w:eastAsia="Arial" w:hAnsi="Arial"/>
          <w:sz w:val="19"/>
          <w:szCs w:val="19"/>
          <w:color w:val="auto"/>
        </w:rPr>
        <w:t xml:space="preserve">”: this Agreement, each Security Document, each Note, the Fee Letter, the each Assignment and Assumption, each Compliance Certificate, each Increase Joinder, each Notice of Borrowing, each Notice of Conversion/Continuation, the Solvency Certificate, the Collateral Information Certificate, each L/C-Related Document, the First Amendment, each subordination or intercreditor agreement and any agreement creating or perfecting rights in cash collateral pursuant to the provisions of </w:t>
      </w:r>
      <w:r>
        <w:rPr>
          <w:rFonts w:ascii="Arial" w:cs="Arial" w:eastAsia="Arial" w:hAnsi="Arial"/>
          <w:sz w:val="19"/>
          <w:szCs w:val="19"/>
          <w:u w:val="single" w:color="auto"/>
          <w:color w:val="auto"/>
        </w:rPr>
        <w:t>Section 3.10</w:t>
      </w:r>
      <w:r>
        <w:rPr>
          <w:rFonts w:ascii="Arial" w:cs="Arial" w:eastAsia="Arial" w:hAnsi="Arial"/>
          <w:sz w:val="19"/>
          <w:szCs w:val="19"/>
          <w:color w:val="auto"/>
        </w:rPr>
        <w:t>, or otherwise, and any amendment, waiver, supplement or other modification to any of the foregoing.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Loan Parties</w:t>
      </w:r>
      <w:r>
        <w:rPr>
          <w:rFonts w:ascii="Arial" w:cs="Arial" w:eastAsia="Arial" w:hAnsi="Arial"/>
          <w:sz w:val="20"/>
          <w:szCs w:val="20"/>
          <w:color w:val="auto"/>
        </w:rPr>
        <w:t>”: each Group Member that is a party to a Loan Document, as a Borrower or a Guarantor.</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Adverse Effect</w:t>
      </w:r>
      <w:r>
        <w:rPr>
          <w:rFonts w:ascii="Arial" w:cs="Arial" w:eastAsia="Arial" w:hAnsi="Arial"/>
          <w:sz w:val="20"/>
          <w:szCs w:val="20"/>
          <w:color w:val="auto"/>
        </w:rPr>
        <w:t>”: a material adverse effect on (a) the rights and remedies of the Administrative Agent under the Loan Documents, taken as a whole, including the legality, validity, binding effect or enforceability of the Loan Documents; (b) the business, operations, or financial condition of the Group Members, taken as a whole; or (c) the ability of the Loan Parties (taken as a whole) to perform their payment obligations under any Loan Document.</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Materials of Environmental Concern</w:t>
      </w:r>
      <w:r>
        <w:rPr>
          <w:rFonts w:ascii="Arial" w:cs="Arial" w:eastAsia="Arial" w:hAnsi="Arial"/>
          <w:sz w:val="19"/>
          <w:szCs w:val="19"/>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10.1(b)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Moody’s</w:t>
      </w:r>
      <w:r>
        <w:rPr>
          <w:rFonts w:ascii="Arial" w:cs="Arial" w:eastAsia="Arial" w:hAnsi="Arial"/>
          <w:sz w:val="20"/>
          <w:szCs w:val="20"/>
          <w:color w:val="auto"/>
        </w:rPr>
        <w:t>”: Moody’s Investors Service, Inc.</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Mortgaged Properties</w:t>
      </w:r>
      <w:r>
        <w:rPr>
          <w:rFonts w:ascii="Arial" w:cs="Arial" w:eastAsia="Arial" w:hAnsi="Arial"/>
          <w:sz w:val="20"/>
          <w:szCs w:val="20"/>
          <w:color w:val="auto"/>
        </w:rPr>
        <w:t xml:space="preserve">”: the real properties as to which, pursuant to </w:t>
      </w:r>
      <w:r>
        <w:rPr>
          <w:rFonts w:ascii="Arial" w:cs="Arial" w:eastAsia="Arial" w:hAnsi="Arial"/>
          <w:sz w:val="20"/>
          <w:szCs w:val="20"/>
          <w:u w:val="single" w:color="auto"/>
          <w:color w:val="auto"/>
        </w:rPr>
        <w:t>Section 6.12(b)</w:t>
      </w:r>
      <w:r>
        <w:rPr>
          <w:rFonts w:ascii="Arial" w:cs="Arial" w:eastAsia="Arial" w:hAnsi="Arial"/>
          <w:sz w:val="20"/>
          <w:szCs w:val="20"/>
          <w:color w:val="auto"/>
        </w:rPr>
        <w:t xml:space="preserve"> or otherwise, the Administrative Agent, for the benefit of the Secured Parties, shall be granted a Lien pursuant to the Mortgages.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Mortgages</w:t>
      </w:r>
      <w:r>
        <w:rPr>
          <w:rFonts w:ascii="Arial" w:cs="Arial" w:eastAsia="Arial" w:hAnsi="Arial"/>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Multiemployer Plan</w:t>
      </w:r>
      <w:r>
        <w:rPr>
          <w:rFonts w:ascii="Arial" w:cs="Arial" w:eastAsia="Arial" w:hAnsi="Arial"/>
          <w:sz w:val="20"/>
          <w:szCs w:val="20"/>
          <w:color w:val="auto"/>
        </w:rPr>
        <w:t>”: a “multiemployer plan” (within the meaning of Section 3(37) of ERISA) to which any Loan Party or any ERISA Affiliate thereof makes, is making, or is obligated or has ever been obligated to make,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05" w:right="339" w:bottom="1440" w:gutter="0" w:footer="0" w:header="0"/>
        </w:sectPr>
      </w:pPr>
    </w:p>
    <w:bookmarkStart w:id="243" w:name="page244"/>
    <w:bookmarkEnd w:id="243"/>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Non-Consenting Lender</w:t>
      </w:r>
      <w:r>
        <w:rPr>
          <w:rFonts w:ascii="Arial" w:cs="Arial" w:eastAsia="Arial" w:hAnsi="Arial"/>
          <w:sz w:val="19"/>
          <w:szCs w:val="19"/>
          <w:color w:val="auto"/>
        </w:rPr>
        <w:t xml:space="preserve">”: any Lender that does not approve any consent, waiver or amendment that (a) requires the approval of all affected Lenders in accordance with the terms of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(b) has been approved by the Required Lenders.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Non-Defaulting Lender</w:t>
      </w:r>
      <w:r>
        <w:rPr>
          <w:rFonts w:ascii="Arial" w:cs="Arial" w:eastAsia="Arial" w:hAnsi="Arial"/>
          <w:sz w:val="20"/>
          <w:szCs w:val="20"/>
          <w:color w:val="auto"/>
        </w:rPr>
        <w:t>”: at any time, each Lender that is not a Defaulting Lender at such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Note</w:t>
      </w:r>
      <w:r>
        <w:rPr>
          <w:rFonts w:ascii="Arial" w:cs="Arial" w:eastAsia="Arial" w:hAnsi="Arial"/>
          <w:sz w:val="20"/>
          <w:szCs w:val="20"/>
          <w:color w:val="auto"/>
        </w:rPr>
        <w:t>”: a Revolving Loan Note or a Swingline Loan Note.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Borrowing</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of Conversion/Continuation</w:t>
      </w:r>
      <w:r>
        <w:rPr>
          <w:rFonts w:ascii="Arial" w:cs="Arial" w:eastAsia="Arial" w:hAnsi="Arial"/>
          <w:sz w:val="20"/>
          <w:szCs w:val="20"/>
          <w:color w:val="auto"/>
        </w:rPr>
        <w:t xml:space="preserve">”: a notice substantially in the form of </w:t>
      </w:r>
      <w:r>
        <w:rPr>
          <w:rFonts w:ascii="Arial" w:cs="Arial" w:eastAsia="Arial" w:hAnsi="Arial"/>
          <w:sz w:val="20"/>
          <w:szCs w:val="20"/>
          <w:u w:val="single" w:color="auto"/>
          <w:color w:val="auto"/>
        </w:rPr>
        <w:t>Exhibit L</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Obligations</w:t>
      </w:r>
      <w:r>
        <w:rPr>
          <w:rFonts w:ascii="Arial" w:cs="Arial" w:eastAsia="Arial" w:hAnsi="Arial"/>
          <w:sz w:val="18"/>
          <w:szCs w:val="18"/>
          <w:color w:val="auto"/>
        </w:rPr>
        <w:t>”: (a)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case of obligations in respect of Cash Management Services and Specified Swap Agreement)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 with, this Agreement, any other Loan Document,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and (b) Erroneous Payment Subrogation Rights. For the avoidance of doubt, the Obligations shall not include (1) any obligations arising under any warrants or other equity instruments issued by any Loan Party to any Lender, or (2) solely with respect to any Guarantor that is not a Qualified ECP Guarantor, any Excluded Swap Obligations of such Guarantor.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OFAC</w:t>
      </w:r>
      <w:r>
        <w:rPr>
          <w:rFonts w:ascii="Arial" w:cs="Arial" w:eastAsia="Arial" w:hAnsi="Arial"/>
          <w:sz w:val="19"/>
          <w:szCs w:val="19"/>
          <w:color w:val="auto"/>
        </w:rPr>
        <w:t>”: the Office of Foreign Assets Control of the United States Department of the Treasury and any successor thereto.</w:t>
      </w:r>
    </w:p>
    <w:p>
      <w:pPr>
        <w:spacing w:after="0" w:line="187"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Operating Documents</w:t>
      </w:r>
      <w:r>
        <w:rPr>
          <w:rFonts w:ascii="Arial" w:cs="Arial" w:eastAsia="Arial" w:hAnsi="Arial"/>
          <w:sz w:val="20"/>
          <w:szCs w:val="20"/>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Original Loan Documents</w:t>
      </w:r>
      <w:r>
        <w:rPr>
          <w:rFonts w:ascii="Arial" w:cs="Arial" w:eastAsia="Arial" w:hAnsi="Arial"/>
          <w:sz w:val="20"/>
          <w:szCs w:val="20"/>
          <w:color w:val="auto"/>
        </w:rPr>
        <w:t xml:space="preserve">”: as define in </w:t>
      </w:r>
      <w:r>
        <w:rPr>
          <w:rFonts w:ascii="Arial" w:cs="Arial" w:eastAsia="Arial" w:hAnsi="Arial"/>
          <w:sz w:val="20"/>
          <w:szCs w:val="20"/>
          <w:u w:val="single" w:color="auto"/>
          <w:color w:val="auto"/>
        </w:rPr>
        <w:t>Section 10.22</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Connection Taxes</w:t>
      </w:r>
      <w:r>
        <w:rPr>
          <w:rFonts w:ascii="Arial" w:cs="Arial" w:eastAsia="Arial" w:hAnsi="Arial"/>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Other Taxes</w:t>
      </w:r>
      <w:r>
        <w:rPr>
          <w:rFonts w:ascii="Arial" w:cs="Arial" w:eastAsia="Arial" w:hAnsi="Arial"/>
          <w:sz w:val="20"/>
          <w:szCs w:val="20"/>
          <w:color w:val="auto"/>
        </w:rPr>
        <w:t>”: all present or future stamp, court or documentary, intangible, recording, filing or similar Taxes that arise from any payment made under, from the execution, delivery,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05" w:right="339" w:bottom="1440" w:gutter="0" w:footer="0" w:header="0"/>
        </w:sectPr>
      </w:pPr>
    </w:p>
    <w:bookmarkStart w:id="244" w:name="page245"/>
    <w:bookmarkEnd w:id="244"/>
    <w:p>
      <w:pPr>
        <w:jc w:val="both"/>
        <w:spacing w:after="0" w:line="218" w:lineRule="auto"/>
        <w:rPr>
          <w:sz w:val="20"/>
          <w:szCs w:val="20"/>
          <w:color w:val="auto"/>
        </w:rPr>
      </w:pPr>
      <w:r>
        <w:rPr>
          <w:rFonts w:ascii="Arial" w:cs="Arial" w:eastAsia="Arial" w:hAnsi="Arial"/>
          <w:sz w:val="20"/>
          <w:szCs w:val="20"/>
          <w:color w:val="auto"/>
        </w:rPr>
        <w:t xml:space="preserve">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Overadvance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Payment Conditions</w:t>
      </w:r>
      <w:r>
        <w:rPr>
          <w:rFonts w:ascii="Arial" w:cs="Arial" w:eastAsia="Arial" w:hAnsi="Arial"/>
          <w:sz w:val="18"/>
          <w:szCs w:val="18"/>
          <w:color w:val="auto"/>
        </w:rPr>
        <w:t xml:space="preserve">”: (a) immediately before and immediately after giving effect to the applicable payment or transaction, no Event of Default shall have occurred and be continuing (other than in connection with a Limited Condition Acquisition, in which case there shall be no Event of Default as of the LCA Test Date and no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as of the date of such payment or transaction), (b) subject to Section 1.4, immediately after giving effect to the applicable payment or transaction, (i) the Borrower is in pro forma compliance with the Consolidated Interest Coverage Ratio covenant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if such payment or transaction is made or consummated prior to the date that financial statements for the fiscal year ending January 31, 2021 have been delivered, the same covenant levels applicable to the trailing four quarter period ending on January 31, 2021 shall be tested as of October 31, 2020) and (ii) the pro forma Consolidated Total Leverage Ratio does not exceed 3.50:1.00 as of the last day of the most recent fiscal quarter of Holdings for which financial statements have been delivered hereunder (or October 31, 2020, as applicable) and (c) the Administrative Agent shall have received, five (5) Business Days (or such shorter period as is acceptable to the Administrative Agent), prior to the applicable payment or transaction, a certificate signed by a Responsible Officer of the Borrower certifying the conditions specified in the foregoing clauses (a) and (b) have been satisfied and containing all information and calculations necessary for determining compliance with the foregoing clause (b).</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 Recipient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9.14(a)</w:t>
      </w:r>
      <w:r>
        <w:rPr>
          <w:rFonts w:ascii="Arial" w:cs="Arial" w:eastAsia="Arial" w:hAnsi="Arial"/>
          <w:sz w:val="20"/>
          <w:szCs w:val="20"/>
          <w:color w:val="auto"/>
        </w:rPr>
        <w: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 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10.6(d)</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Patriot Act</w:t>
      </w:r>
      <w:r>
        <w:rPr>
          <w:rFonts w:ascii="Arial" w:cs="Arial" w:eastAsia="Arial" w:hAnsi="Arial"/>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PBGC</w:t>
      </w:r>
      <w:r>
        <w:rPr>
          <w:rFonts w:ascii="Arial" w:cs="Arial" w:eastAsia="Arial" w:hAnsi="Arial"/>
          <w:sz w:val="20"/>
          <w:szCs w:val="20"/>
          <w:color w:val="auto"/>
        </w:rPr>
        <w:t>”: the Pension Benefit Guaranty Corporation, or any successor thereto.</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Pension Plan</w:t>
      </w:r>
      <w:r>
        <w:rPr>
          <w:rFonts w:ascii="Arial" w:cs="Arial" w:eastAsia="Arial" w:hAnsi="Arial"/>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to make, contributions, and (b) that is or was subject to Section 412 of the Code, Section 302 of ERISA or Title IV of ERISA.</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Periodic Term SOFR Determination Day”</w:t>
      </w:r>
      <w:r>
        <w:rPr>
          <w:rFonts w:ascii="Arial" w:cs="Arial" w:eastAsia="Arial" w:hAnsi="Arial"/>
          <w:sz w:val="20"/>
          <w:szCs w:val="20"/>
          <w:color w:val="auto"/>
        </w:rPr>
        <w:t>: as defined in the definition of “Term SOFR”.</w:t>
      </w:r>
    </w:p>
    <w:p>
      <w:pPr>
        <w:spacing w:after="0" w:line="17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Refinancing</w:t>
      </w:r>
      <w:r>
        <w:rPr>
          <w:rFonts w:ascii="Arial" w:cs="Arial" w:eastAsia="Arial" w:hAnsi="Arial"/>
          <w:sz w:val="18"/>
          <w:szCs w:val="18"/>
          <w:color w:val="auto"/>
        </w:rPr>
        <w:t>”: Indebtedness (“</w:t>
      </w:r>
      <w:r>
        <w:rPr>
          <w:rFonts w:ascii="Arial" w:cs="Arial" w:eastAsia="Arial" w:hAnsi="Arial"/>
          <w:sz w:val="18"/>
          <w:szCs w:val="18"/>
          <w:u w:val="single" w:color="auto"/>
          <w:color w:val="auto"/>
        </w:rPr>
        <w:t>Refinance Indebtedness</w:t>
      </w:r>
      <w:r>
        <w:rPr>
          <w:rFonts w:ascii="Arial" w:cs="Arial" w:eastAsia="Arial" w:hAnsi="Arial"/>
          <w:sz w:val="18"/>
          <w:szCs w:val="18"/>
          <w:color w:val="auto"/>
        </w:rPr>
        <w:t xml:space="preserve">”) which represents an extension, renewal, refinancing or replacement of any Indebtedness permitted hereunder (such Indebtedness being referred to herein as the “Original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Refinance Indebtedness does not increase the principal amount (other than for accrued interest, reasonable fees, premiums and penalties thereon) of the Original Indebtedness, (ii) any Liens securing such Refinance Indebtedness are not extended to any additional property of any Group Member, (iii) no Group Member that is not originally obligated with respect to repayment of such Original Indebtedness becomes obligated with respect to such Refinance Indebtedness, (iv) such Refinance Indebtedness does not result in a shortening of the average weighted maturity of such Original Indebtedness or the final maturity of such Original Indebtedness, (v) the terms of such Refinance Indebtedness other than fees and interest are not, taken as a whole, less favorable to the obligor thereunder than the original terms of such Original Indebtedness and (vi) if such Original Indebtedness was subordinated in right of payment or security to the Obligations, then the terms and conditions of such Refinance Indebtedness must include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05" w:right="339" w:bottom="1440" w:gutter="0" w:footer="0" w:header="0"/>
        </w:sectPr>
      </w:pPr>
    </w:p>
    <w:bookmarkStart w:id="245" w:name="page246"/>
    <w:bookmarkEnd w:id="245"/>
    <w:p>
      <w:pPr>
        <w:jc w:val="both"/>
        <w:ind w:right="20"/>
        <w:spacing w:after="0" w:line="229" w:lineRule="auto"/>
        <w:rPr>
          <w:sz w:val="20"/>
          <w:szCs w:val="20"/>
          <w:color w:val="auto"/>
        </w:rPr>
      </w:pPr>
      <w:r>
        <w:rPr>
          <w:rFonts w:ascii="Arial" w:cs="Arial" w:eastAsia="Arial" w:hAnsi="Arial"/>
          <w:sz w:val="20"/>
          <w:szCs w:val="20"/>
          <w:color w:val="auto"/>
        </w:rPr>
        <w:t>terms and conditions that are at least as favorable to the Administrative Agent and the Lenders as those that were applicable to such Original Indebtedness.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 an employee benefit plan (as defined in Section 3(3) of ERISA) other than a Multiemployer Plan which is or was at any time maintained or sponsored by any Loan Party or any Subsidiary thereof or to which any Loan Party or any Subsidiary thereof has ever made, or was obligated to make, contributions, (b) a Pension Plan, or (c) a Qualified Plan.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Plan Asset Regulations</w:t>
      </w:r>
      <w:r>
        <w:rPr>
          <w:rFonts w:ascii="Arial" w:cs="Arial" w:eastAsia="Arial" w:hAnsi="Arial"/>
          <w:sz w:val="19"/>
          <w:szCs w:val="19"/>
          <w:color w:val="auto"/>
        </w:rPr>
        <w:t>”: 29 CFR § 2510.3-101, as modified by Section 3(42) of ERISA, as amended from time to time.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Platform</w:t>
      </w:r>
      <w:r>
        <w:rPr>
          <w:rFonts w:ascii="Arial" w:cs="Arial" w:eastAsia="Arial" w:hAnsi="Arial"/>
          <w:sz w:val="20"/>
          <w:szCs w:val="20"/>
          <w:color w:val="auto"/>
        </w:rPr>
        <w:t>”: is any of Debt Domain, Intralinks, Syndtrak, Debtx or a substantially similar electronic transmission system.</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Prime Rate</w:t>
      </w:r>
      <w:r>
        <w:rPr>
          <w:rFonts w:ascii="Arial" w:cs="Arial" w:eastAsia="Arial" w:hAnsi="Arial"/>
          <w:sz w:val="20"/>
          <w:szCs w:val="20"/>
          <w:color w:val="auto"/>
        </w:rPr>
        <w:t xml:space="preserve">”: the rate of interest per annum published in the money rates section of the Wall Street Journal or any successor publication thereto as the “prime rate”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in the State of California (such announced Prime Rate not being intended to be the lowest rate of interest charged by the Administrative Agent in connection with extensions of credit to debtors).</w:t>
      </w:r>
    </w:p>
    <w:p>
      <w:pPr>
        <w:spacing w:after="0" w:line="16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 Forma Basis</w:t>
      </w:r>
      <w:r>
        <w:rPr>
          <w:rFonts w:ascii="Arial" w:cs="Arial" w:eastAsia="Arial" w:hAnsi="Arial"/>
          <w:sz w:val="20"/>
          <w:szCs w:val="20"/>
          <w:color w:val="auto"/>
        </w:rPr>
        <w:t>”: with respect to any calculation or determination for any period, in making such calculation or determination on the specified date of determination (the “</w:t>
      </w:r>
      <w:r>
        <w:rPr>
          <w:rFonts w:ascii="Arial" w:cs="Arial" w:eastAsia="Arial" w:hAnsi="Arial"/>
          <w:sz w:val="20"/>
          <w:szCs w:val="20"/>
          <w:b w:val="1"/>
          <w:bCs w:val="1"/>
          <w:i w:val="1"/>
          <w:iCs w:val="1"/>
          <w:color w:val="auto"/>
        </w:rPr>
        <w:t>Determination Date</w:t>
      </w:r>
      <w:r>
        <w:rPr>
          <w:rFonts w:ascii="Arial" w:cs="Arial" w:eastAsia="Arial" w:hAnsi="Arial"/>
          <w:sz w:val="20"/>
          <w:szCs w:val="20"/>
          <w:color w:val="auto"/>
        </w:rPr>
        <w:t>”):</w:t>
      </w:r>
    </w:p>
    <w:p>
      <w:pPr>
        <w:spacing w:after="0" w:line="155" w:lineRule="exact"/>
        <w:rPr>
          <w:sz w:val="20"/>
          <w:szCs w:val="20"/>
          <w:color w:val="auto"/>
        </w:rPr>
      </w:pPr>
    </w:p>
    <w:p>
      <w:pPr>
        <w:jc w:val="both"/>
        <w:ind w:firstLine="1304"/>
        <w:spacing w:after="0" w:line="213" w:lineRule="auto"/>
        <w:tabs>
          <w:tab w:leader="none" w:pos="193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pro forma effect will be given to any Indebtedness incurred by Holdings or any of its Subsidiaries (including by assumption of then outstanding Indebtedness or by a Person becoming a Subsidiary) (“</w:t>
      </w:r>
      <w:r>
        <w:rPr>
          <w:rFonts w:ascii="Arial" w:cs="Arial" w:eastAsia="Arial" w:hAnsi="Arial"/>
          <w:sz w:val="20"/>
          <w:szCs w:val="20"/>
          <w:b w:val="1"/>
          <w:bCs w:val="1"/>
          <w:i w:val="1"/>
          <w:iCs w:val="1"/>
          <w:color w:val="auto"/>
        </w:rPr>
        <w:t>Incurred</w:t>
      </w:r>
      <w:r>
        <w:rPr>
          <w:rFonts w:ascii="Arial" w:cs="Arial" w:eastAsia="Arial" w:hAnsi="Arial"/>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 and</w:t>
      </w:r>
    </w:p>
    <w:p>
      <w:pPr>
        <w:spacing w:after="0" w:line="156" w:lineRule="exact"/>
        <w:rPr>
          <w:rFonts w:ascii="Arial" w:cs="Arial" w:eastAsia="Arial" w:hAnsi="Arial"/>
          <w:sz w:val="20"/>
          <w:szCs w:val="20"/>
          <w:color w:val="auto"/>
        </w:rPr>
      </w:pPr>
    </w:p>
    <w:p>
      <w:pPr>
        <w:jc w:val="both"/>
        <w:ind w:firstLine="1304"/>
        <w:spacing w:after="0" w:line="224" w:lineRule="auto"/>
        <w:tabs>
          <w:tab w:leader="none" w:pos="193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Consolidated Interest Expense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day of such period;</w:t>
      </w:r>
    </w:p>
    <w:p>
      <w:pPr>
        <w:spacing w:after="0" w:line="156" w:lineRule="exact"/>
        <w:rPr>
          <w:rFonts w:ascii="Arial" w:cs="Arial" w:eastAsia="Arial" w:hAnsi="Arial"/>
          <w:sz w:val="19"/>
          <w:szCs w:val="19"/>
          <w:color w:val="auto"/>
        </w:rPr>
      </w:pPr>
    </w:p>
    <w:p>
      <w:pPr>
        <w:jc w:val="both"/>
        <w:ind w:firstLine="1304"/>
        <w:spacing w:after="0" w:line="228" w:lineRule="auto"/>
        <w:tabs>
          <w:tab w:leader="none" w:pos="19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 forma effect will be given to: (A) the acquisition or disposition of companies, divisions or lines of businesses by Holdings and its Subsidiaries, including any acquisition or disposition of a company, division or line of business since the beginning of the reference period by a Person that became a Subsidiary after the beginning of the applicable period; and (B) the discontinuation of any discontinued operations;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Holdings in accordance with Regulation S-X under the Securities Act based upon the most recent four full fiscal quarters for which the relevant financial information is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05" w:right="339" w:bottom="1440" w:gutter="0" w:footer="0" w:header="0"/>
        </w:sectPr>
      </w:pPr>
    </w:p>
    <w:bookmarkStart w:id="246" w:name="page247"/>
    <w:bookmarkEnd w:id="246"/>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Projected Pro Forma Financial Statements</w:t>
      </w:r>
      <w:r>
        <w:rPr>
          <w:rFonts w:ascii="Arial" w:cs="Arial" w:eastAsia="Arial" w:hAnsi="Arial"/>
          <w:sz w:val="19"/>
          <w:szCs w:val="19"/>
          <w:color w:val="auto"/>
        </w:rPr>
        <w:t>”: projected balance sheets, income statements and cash flow statements prepared by Holdings and its consolidated Subsidiaries that give effect to (a) the Loans to be made on the Closing Date and the use of proceeds thereof and (b) the payment of fees and expenses in connection with the foregoing, in each case prepared on a quarterly basis through the through the fiscal year ending January 31, 2024 and annually thereafter through the Revolving Termination Date.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Properties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4.17(a)</w:t>
      </w:r>
      <w:r>
        <w:rPr>
          <w:rFonts w:ascii="Arial" w:cs="Arial" w:eastAsia="Arial" w:hAnsi="Arial"/>
          <w:sz w:val="20"/>
          <w:szCs w:val="20"/>
          <w:color w:val="auto"/>
        </w:rPr>
        <w:t>.</w:t>
      </w:r>
    </w:p>
    <w:p>
      <w:pPr>
        <w:spacing w:after="0" w:line="175" w:lineRule="exact"/>
        <w:rPr>
          <w:sz w:val="20"/>
          <w:szCs w:val="20"/>
          <w:color w:val="auto"/>
        </w:rPr>
      </w:pPr>
    </w:p>
    <w:p>
      <w:pPr>
        <w:ind w:right="2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PTE</w:t>
      </w:r>
      <w:r>
        <w:rPr>
          <w:rFonts w:ascii="Arial" w:cs="Arial" w:eastAsia="Arial" w:hAnsi="Arial"/>
          <w:sz w:val="20"/>
          <w:szCs w:val="20"/>
          <w:color w:val="auto"/>
        </w:rPr>
        <w:t>”: a prohibited transaction class exemption issued by the U.S. Department of Labor, as any such exemption may be amended from time to time.</w:t>
      </w:r>
    </w:p>
    <w:p>
      <w:pPr>
        <w:spacing w:after="0" w:line="182"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Public Company Costs</w:t>
      </w:r>
      <w:r>
        <w:rPr>
          <w:rFonts w:ascii="Arial" w:cs="Arial" w:eastAsia="Arial" w:hAnsi="Arial"/>
          <w:sz w:val="19"/>
          <w:szCs w:val="19"/>
          <w:color w:val="auto"/>
        </w:rPr>
        <w:t>”: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(as amended, and the rules and regulations of the SEC promulgated thereunder, as amended) and the Securities Exchange Act of 1934 (as amended, and the rules and regulations of the SEC promulgated thereunder, as amended)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Acquisition</w:t>
      </w:r>
      <w:r>
        <w:rPr>
          <w:rFonts w:ascii="Arial" w:cs="Arial" w:eastAsia="Arial" w:hAnsi="Arial"/>
          <w:sz w:val="20"/>
          <w:szCs w:val="20"/>
          <w:color w:val="auto"/>
        </w:rPr>
        <w:t>”: an Acquisition for consideration in excess of $150,000,000, substantially all of which is financed with Indebtedness.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Counterparty</w:t>
      </w:r>
      <w:r>
        <w:rPr>
          <w:rFonts w:ascii="Arial" w:cs="Arial" w:eastAsia="Arial" w:hAnsi="Arial"/>
          <w:sz w:val="20"/>
          <w:szCs w:val="20"/>
          <w:color w:val="auto"/>
        </w:rPr>
        <w:t>”: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Qualified ECP Guarantor</w:t>
      </w:r>
      <w:r>
        <w:rPr>
          <w:rFonts w:ascii="Arial" w:cs="Arial" w:eastAsia="Arial" w:hAnsi="Arial"/>
          <w:sz w:val="18"/>
          <w:szCs w:val="18"/>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w:t>
      </w:r>
    </w:p>
    <w:p>
      <w:pPr>
        <w:spacing w:after="0" w:line="1" w:lineRule="exact"/>
        <w:rPr>
          <w:sz w:val="20"/>
          <w:szCs w:val="20"/>
          <w:color w:val="auto"/>
        </w:rPr>
      </w:pPr>
    </w:p>
    <w:p>
      <w:pPr>
        <w:jc w:val="both"/>
        <w:ind w:firstLine="8"/>
        <w:spacing w:after="0" w:line="209" w:lineRule="auto"/>
        <w:tabs>
          <w:tab w:leader="none" w:pos="25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Qualified Plan</w:t>
      </w:r>
      <w:r>
        <w:rPr>
          <w:rFonts w:ascii="Arial" w:cs="Arial" w:eastAsia="Arial" w:hAnsi="Arial"/>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w:t>
      </w:r>
    </w:p>
    <w:p>
      <w:pPr>
        <w:spacing w:after="0" w:line="156"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Ratio Debt</w:t>
      </w:r>
      <w:r>
        <w:rPr>
          <w:rFonts w:ascii="Arial" w:cs="Arial" w:eastAsia="Arial" w:hAnsi="Arial"/>
          <w:sz w:val="20"/>
          <w:szCs w:val="20"/>
          <w:color w:val="auto"/>
        </w:rPr>
        <w:t xml:space="preserve">”: unsecured Indebtedness of one or more Loan Parties;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Indebtedness shall not (a) mature prior to the date that is at least 180 days after the Revolving Termination Date (other than with respect to customary bridge loans that are convertible or exchangeable into notes or other permanent financing), (b) have amortization that is greater than 10% per annum (other than a bullet payment at maturity), (c) have mandatory prepayments (other than (x) in connection with a change of control or asset sale offers, (y) with respect to customary bridge loans that are payable with the proceeds of permanent refinancing and (z) with respect to conversion or settlement of convertible debt on customary terms), or (d) have financial maintenance covenants that are more restrictive than those applicable to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05" w:right="339" w:bottom="1440" w:gutter="0" w:footer="0" w:header="0"/>
        </w:sectPr>
      </w:pPr>
    </w:p>
    <w:bookmarkStart w:id="247" w:name="page248"/>
    <w:bookmarkEnd w:id="24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Recipient</w:t>
      </w:r>
      <w:r>
        <w:rPr>
          <w:rFonts w:ascii="Arial" w:cs="Arial" w:eastAsia="Arial" w:hAnsi="Arial"/>
          <w:sz w:val="20"/>
          <w:szCs w:val="20"/>
          <w:color w:val="auto"/>
        </w:rPr>
        <w:t>”: the (a) Administrative Agent, (b) any Lender or (c) the Issuing Lender, as applicable.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Refunded 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Register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T</w:t>
      </w:r>
      <w:r>
        <w:rPr>
          <w:rFonts w:ascii="Arial" w:cs="Arial" w:eastAsia="Arial" w:hAnsi="Arial"/>
          <w:sz w:val="20"/>
          <w:szCs w:val="20"/>
          <w:color w:val="auto"/>
        </w:rPr>
        <w:t>”: Regulation T of the Board as in effect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U</w:t>
      </w:r>
      <w:r>
        <w:rPr>
          <w:rFonts w:ascii="Arial" w:cs="Arial" w:eastAsia="Arial" w:hAnsi="Arial"/>
          <w:sz w:val="20"/>
          <w:szCs w:val="20"/>
          <w:color w:val="auto"/>
        </w:rPr>
        <w:t>”: Regulation U of the Board as in effect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Regulation X</w:t>
      </w:r>
      <w:r>
        <w:rPr>
          <w:rFonts w:ascii="Arial" w:cs="Arial" w:eastAsia="Arial" w:hAnsi="Arial"/>
          <w:sz w:val="20"/>
          <w:szCs w:val="20"/>
          <w:color w:val="auto"/>
        </w:rPr>
        <w:t>”: Regulation X of the Board as in effect from time to time.</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Related Parties</w:t>
      </w:r>
      <w:r>
        <w:rPr>
          <w:rFonts w:ascii="Arial" w:cs="Arial" w:eastAsia="Arial" w:hAnsi="Arial"/>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Relevant Governmental Body</w:t>
      </w:r>
      <w:r>
        <w:rPr>
          <w:rFonts w:ascii="Arial" w:cs="Arial" w:eastAsia="Arial" w:hAnsi="Arial"/>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Replacement Lender</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2.23</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Required Lenders</w:t>
      </w:r>
      <w:r>
        <w:rPr>
          <w:rFonts w:ascii="Arial" w:cs="Arial" w:eastAsia="Arial" w:hAnsi="Arial"/>
          <w:sz w:val="20"/>
          <w:szCs w:val="20"/>
          <w:color w:val="auto"/>
        </w:rPr>
        <w:t xml:space="preserve">”: at any time, (a) if only one Lender holds the Total Revolving Commitments, such Lender; and (b) if more than one Lender holds the Total Revolving Commitments, then at least two Lenders who together hold more than 50% of the Total Revolving Commitments (including, without duplication, the L/C Commitments) then in effect or, if the Revolving Commitments have been terminated, the Total Revolving Extensions of Credit then outstanding;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purposes of this clause (b), the Revolving Commitments of, and the portion of the Revolving Loans and participations in L/C Exposure and Swingline Loans held or deemed held by, any Defaulting Lender shall be excluded for purposes of making a determination of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further that a Lender and its Affiliates shall be deemed one Lender.</w:t>
      </w:r>
    </w:p>
    <w:p>
      <w:pPr>
        <w:spacing w:after="0" w:line="15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Requirement of Law</w:t>
      </w:r>
      <w:r>
        <w:rPr>
          <w:rFonts w:ascii="Arial" w:cs="Arial" w:eastAsia="Arial" w:hAnsi="Arial"/>
          <w:sz w:val="20"/>
          <w:szCs w:val="20"/>
          <w:color w:val="auto"/>
        </w:rPr>
        <w:t>”: as to any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Authority</w:t>
      </w:r>
      <w:r>
        <w:rPr>
          <w:rFonts w:ascii="Arial" w:cs="Arial" w:eastAsia="Arial" w:hAnsi="Arial"/>
          <w:sz w:val="18"/>
          <w:szCs w:val="18"/>
          <w:color w:val="auto"/>
        </w:rPr>
        <w:t>”: an EEA Resolution Authority or, with respect to any UK Financial Institution, a UK Resolution Authority.</w:t>
      </w:r>
    </w:p>
    <w:p>
      <w:pPr>
        <w:spacing w:after="0" w:line="19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Responsible Officer</w:t>
      </w:r>
      <w:r>
        <w:rPr>
          <w:rFonts w:ascii="Arial" w:cs="Arial" w:eastAsia="Arial" w:hAnsi="Arial"/>
          <w:sz w:val="19"/>
          <w:szCs w:val="19"/>
          <w:color w:val="auto"/>
        </w:rPr>
        <w:t>”: with respect to any Person, the chief executive officer, president, vice president, chief financial officer, treasurer, controller, vice president of strategic finance or comptroller of such Person, but in any event, with respect to financial matters, the chief financial officer, treasurer, controller, vice president of strategic finance or comptroller of such Person.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Payments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Commitment</w:t>
      </w:r>
      <w:r>
        <w:rPr>
          <w:rFonts w:ascii="Arial" w:cs="Arial" w:eastAsia="Arial" w:hAnsi="Arial"/>
          <w:sz w:val="20"/>
          <w:szCs w:val="20"/>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or in the Assignment and Assumption or Increase Joinder pursuant to which such Lender became a party hereto, as the same may be changed from time to time pursuant to the terms hereof (including in connection with assignments and Increases permitted hereunder).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05" w:right="339" w:bottom="1440" w:gutter="0" w:footer="0" w:header="0"/>
        </w:sectPr>
      </w:pPr>
    </w:p>
    <w:bookmarkStart w:id="248" w:name="page249"/>
    <w:bookmarkEnd w:id="248"/>
    <w:p>
      <w:pPr>
        <w:jc w:val="both"/>
        <w:spacing w:after="0" w:line="229" w:lineRule="auto"/>
        <w:rPr>
          <w:sz w:val="20"/>
          <w:szCs w:val="20"/>
          <w:color w:val="auto"/>
        </w:rPr>
      </w:pPr>
      <w:r>
        <w:rPr>
          <w:rFonts w:ascii="Arial" w:cs="Arial" w:eastAsia="Arial" w:hAnsi="Arial"/>
          <w:sz w:val="20"/>
          <w:szCs w:val="20"/>
          <w:color w:val="auto"/>
        </w:rPr>
        <w:t>of the Total Revolving Commitments as of the Closing Date is $750,000,000. The L/C Commitment and the Swingline Commitment are each sublimits of the Total Revolving Commitments.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Commitment Period</w:t>
      </w:r>
      <w:r>
        <w:rPr>
          <w:rFonts w:ascii="Arial" w:cs="Arial" w:eastAsia="Arial" w:hAnsi="Arial"/>
          <w:sz w:val="20"/>
          <w:szCs w:val="20"/>
          <w:color w:val="auto"/>
        </w:rPr>
        <w:t>”: the period from and including the Closing Date to the Revolving Termination Date.</w:t>
      </w:r>
    </w:p>
    <w:p>
      <w:pPr>
        <w:spacing w:after="0" w:line="17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Revolving Extensions of Credit</w:t>
      </w:r>
      <w:r>
        <w:rPr>
          <w:rFonts w:ascii="Arial" w:cs="Arial" w:eastAsia="Arial" w:hAnsi="Arial"/>
          <w:sz w:val="16"/>
          <w:szCs w:val="16"/>
          <w:color w:val="auto"/>
        </w:rPr>
        <w:t xml:space="preserve">”: as to any Revolving Lender at any time, an amount equal to the </w:t>
      </w:r>
      <w:r>
        <w:rPr>
          <w:rFonts w:ascii="Arial" w:cs="Arial" w:eastAsia="Arial" w:hAnsi="Arial"/>
          <w:sz w:val="16"/>
          <w:szCs w:val="16"/>
          <w:u w:val="single" w:color="auto"/>
          <w:color w:val="auto"/>
        </w:rPr>
        <w:t>sum</w:t>
      </w:r>
      <w:r>
        <w:rPr>
          <w:rFonts w:ascii="Arial" w:cs="Arial" w:eastAsia="Arial" w:hAnsi="Arial"/>
          <w:sz w:val="16"/>
          <w:szCs w:val="16"/>
          <w:color w:val="auto"/>
        </w:rPr>
        <w:t xml:space="preserve"> of (a) the aggregate principal amount of all Revolving Loans held by such Lender then outstanding,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Lender’s L/C Percentage of the aggregate undrawn amount of all outstanding Letters of Credit (including the Existing Letter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such Lender’s L/C Percentage of the aggregate amount of all L/C Disbursements that have not yet been reimbursed or converted into Revolving Loans at such time, </w:t>
      </w:r>
      <w:r>
        <w:rPr>
          <w:rFonts w:ascii="Arial" w:cs="Arial" w:eastAsia="Arial" w:hAnsi="Arial"/>
          <w:sz w:val="16"/>
          <w:szCs w:val="16"/>
          <w:u w:val="single" w:color="auto"/>
          <w:color w:val="auto"/>
        </w:rPr>
        <w:t>plus</w:t>
      </w:r>
    </w:p>
    <w:p>
      <w:pPr>
        <w:spacing w:after="0" w:line="2" w:lineRule="exact"/>
        <w:rPr>
          <w:sz w:val="20"/>
          <w:szCs w:val="20"/>
          <w:color w:val="auto"/>
        </w:rPr>
      </w:pPr>
    </w:p>
    <w:p>
      <w:pPr>
        <w:ind w:left="660" w:right="2320" w:hanging="652"/>
        <w:spacing w:after="0" w:line="418" w:lineRule="auto"/>
        <w:tabs>
          <w:tab w:leader="none" w:pos="29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such Lender’s Revolving Percentage of the aggregate principal amount of Swingline Loans then outstanding. “</w:t>
      </w:r>
      <w:r>
        <w:rPr>
          <w:rFonts w:ascii="Arial" w:cs="Arial" w:eastAsia="Arial" w:hAnsi="Arial"/>
          <w:sz w:val="20"/>
          <w:szCs w:val="20"/>
          <w:b w:val="1"/>
          <w:bCs w:val="1"/>
          <w:i w:val="1"/>
          <w:iCs w:val="1"/>
          <w:color w:val="auto"/>
        </w:rPr>
        <w:t>Revolving Facility</w:t>
      </w:r>
      <w:r>
        <w:rPr>
          <w:rFonts w:ascii="Arial" w:cs="Arial" w:eastAsia="Arial" w:hAnsi="Arial"/>
          <w:sz w:val="20"/>
          <w:szCs w:val="20"/>
          <w:color w:val="auto"/>
        </w:rPr>
        <w:t>”: the Revolving Commitments and the extensions of credit made thereunder. “</w:t>
      </w:r>
      <w:r>
        <w:rPr>
          <w:rFonts w:ascii="Arial" w:cs="Arial" w:eastAsia="Arial" w:hAnsi="Arial"/>
          <w:sz w:val="20"/>
          <w:szCs w:val="20"/>
          <w:b w:val="1"/>
          <w:bCs w:val="1"/>
          <w:i w:val="1"/>
          <w:iCs w:val="1"/>
          <w:color w:val="auto"/>
        </w:rPr>
        <w:t>Revolving Lender</w:t>
      </w:r>
      <w:r>
        <w:rPr>
          <w:rFonts w:ascii="Arial" w:cs="Arial" w:eastAsia="Arial" w:hAnsi="Arial"/>
          <w:sz w:val="20"/>
          <w:szCs w:val="20"/>
          <w:color w:val="auto"/>
        </w:rPr>
        <w:t>”: each Lender that has a Revolving Commitment or that holds Revolving Loans. “</w:t>
      </w:r>
      <w:r>
        <w:rPr>
          <w:rFonts w:ascii="Arial" w:cs="Arial" w:eastAsia="Arial" w:hAnsi="Arial"/>
          <w:sz w:val="20"/>
          <w:szCs w:val="20"/>
          <w:b w:val="1"/>
          <w:bCs w:val="1"/>
          <w:i w:val="1"/>
          <w:iCs w:val="1"/>
          <w:color w:val="auto"/>
        </w:rPr>
        <w:t>Revolving Loan Conversion</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3.5(b)</w:t>
      </w:r>
      <w:r>
        <w:rPr>
          <w:rFonts w:ascii="Arial" w:cs="Arial" w:eastAsia="Arial" w:hAnsi="Arial"/>
          <w:sz w:val="20"/>
          <w:szCs w:val="20"/>
          <w:color w:val="auto"/>
        </w:rPr>
        <w:t>.</w:t>
      </w:r>
    </w:p>
    <w:p>
      <w:pPr>
        <w:spacing w:after="0" w:line="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Revolving Loan Funding Office</w:t>
      </w:r>
      <w:r>
        <w:rPr>
          <w:rFonts w:ascii="Arial" w:cs="Arial" w:eastAsia="Arial" w:hAnsi="Arial"/>
          <w:sz w:val="19"/>
          <w:szCs w:val="19"/>
          <w:color w:val="auto"/>
        </w:rPr>
        <w:t xml:space="preserve">”: the office of the Administrative Agent specified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or such other office as may be specified from time to time by the Administrative Agent as its funding office by written notice to the Borrower and the Lenders.</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as it may be amended,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2.4(a)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Percentage</w:t>
      </w:r>
      <w:r>
        <w:rPr>
          <w:rFonts w:ascii="Arial" w:cs="Arial" w:eastAsia="Arial" w:hAnsi="Arial"/>
          <w:sz w:val="18"/>
          <w:szCs w:val="18"/>
          <w:color w:val="auto"/>
        </w:rPr>
        <w:t xml:space="preserve">”: as to any Revolving Lender at any time, the percentage which such Lender’s Revolving Commitment then constitutes of the Total Revolving Commitments or, at any time after the Revolving Commitments of all Lenders shall have expired or terminated, the percentage which the aggregate principal amount of such Lender’s Revolving Loans then outstanding constitutes of the aggregate principal amount of all Revolving Loans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Revolving Termination Date</w:t>
      </w:r>
      <w:r>
        <w:rPr>
          <w:rFonts w:ascii="Arial" w:cs="Arial" w:eastAsia="Arial" w:hAnsi="Arial"/>
          <w:sz w:val="20"/>
          <w:szCs w:val="20"/>
          <w:color w:val="auto"/>
        </w:rPr>
        <w:t>”: January 2, 2026.</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S&amp;P</w:t>
      </w:r>
      <w:r>
        <w:rPr>
          <w:rFonts w:ascii="Arial" w:cs="Arial" w:eastAsia="Arial" w:hAnsi="Arial"/>
          <w:sz w:val="20"/>
          <w:szCs w:val="20"/>
          <w:color w:val="auto"/>
        </w:rPr>
        <w:t>”: Standard &amp; Poor’s Ratings Services.</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Sale Leaseback Transaction</w:t>
      </w:r>
      <w:r>
        <w:rPr>
          <w:rFonts w:ascii="Arial" w:cs="Arial" w:eastAsia="Arial" w:hAnsi="Arial"/>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5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any international economic sanction administered or enforced by the United States Government (including OFAC), the United Nations Security Council, the European Union, Her Majesty’s Treasury or other relevant sanctions authority.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05" w:right="339" w:bottom="1440" w:gutter="0" w:footer="0" w:header="0"/>
        </w:sectPr>
      </w:pPr>
    </w:p>
    <w:bookmarkStart w:id="249" w:name="page250"/>
    <w:bookmarkEnd w:id="249"/>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Consolidated Debt</w:t>
      </w:r>
      <w:r>
        <w:rPr>
          <w:rFonts w:ascii="Arial" w:cs="Arial" w:eastAsia="Arial" w:hAnsi="Arial"/>
          <w:sz w:val="20"/>
          <w:szCs w:val="20"/>
          <w:color w:val="auto"/>
        </w:rPr>
        <w:t>”: secured Indebtedness for borrowed money, Capital Lease Obligations and purchase money debt as reflected on the consolidated balance sheet of Holdings and its Subsidiaries.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Secured Parties</w:t>
      </w:r>
      <w:r>
        <w:rPr>
          <w:rFonts w:ascii="Arial" w:cs="Arial" w:eastAsia="Arial" w:hAnsi="Arial"/>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Account</w:t>
      </w:r>
      <w:r>
        <w:rPr>
          <w:rFonts w:ascii="Arial" w:cs="Arial" w:eastAsia="Arial" w:hAnsi="Arial"/>
          <w:sz w:val="18"/>
          <w:szCs w:val="18"/>
          <w:color w:val="auto"/>
        </w:rPr>
        <w:t>”: any “securities account” as defined in the UCC with such additions to such term as may hereafter be made.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Securities Act</w:t>
      </w:r>
      <w:r>
        <w:rPr>
          <w:rFonts w:ascii="Arial" w:cs="Arial" w:eastAsia="Arial" w:hAnsi="Arial"/>
          <w:sz w:val="20"/>
          <w:szCs w:val="20"/>
          <w:color w:val="auto"/>
        </w:rPr>
        <w:t>”: the Securities Act of 1933, as amended from time to time and any successor statute.</w:t>
      </w:r>
    </w:p>
    <w:p>
      <w:pPr>
        <w:spacing w:after="0" w:line="17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Security Documents</w:t>
      </w:r>
      <w:r>
        <w:rPr>
          <w:rFonts w:ascii="Arial" w:cs="Arial" w:eastAsia="Arial" w:hAnsi="Arial"/>
          <w:sz w:val="18"/>
          <w:szCs w:val="18"/>
          <w:color w:val="auto"/>
        </w:rPr>
        <w:t>”: the collective reference to (a) the Guarantee and Collateral Agreement, (b) the Mortgages (if any), (c) each Intellectual Property Security Agreement, (d) all other security documents hereafter delivered to the Administrative Agent granting a Lien on any property of any Person to secure the Obligations of any Loan Party arising under any Loan Document, (e) each Pledge Supplement,</w:t>
      </w:r>
    </w:p>
    <w:p>
      <w:pPr>
        <w:spacing w:after="0" w:line="1" w:lineRule="exact"/>
        <w:rPr>
          <w:sz w:val="20"/>
          <w:szCs w:val="20"/>
          <w:color w:val="auto"/>
        </w:rPr>
      </w:pPr>
    </w:p>
    <w:p>
      <w:pPr>
        <w:ind w:firstLine="8"/>
        <w:spacing w:after="0" w:line="220" w:lineRule="auto"/>
        <w:tabs>
          <w:tab w:leader="none" w:pos="248" w:val="left"/>
        </w:tabs>
        <w:numPr>
          <w:ilvl w:val="0"/>
          <w:numId w:val="181"/>
        </w:numPr>
        <w:rPr>
          <w:rFonts w:ascii="Arial" w:cs="Arial" w:eastAsia="Arial" w:hAnsi="Arial"/>
          <w:sz w:val="20"/>
          <w:szCs w:val="20"/>
          <w:color w:val="auto"/>
        </w:rPr>
      </w:pPr>
      <w:r>
        <w:rPr>
          <w:rFonts w:ascii="Arial" w:cs="Arial" w:eastAsia="Arial" w:hAnsi="Arial"/>
          <w:sz w:val="20"/>
          <w:szCs w:val="20"/>
          <w:color w:val="auto"/>
        </w:rPr>
        <w:t>each Assumption Agreement, and (g) all financing statements, fixture filings, assignments, acknowledgments and other filings, documents and agreements made or delivered pursuant to any of the foregoing.</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Similar Business</w:t>
      </w:r>
      <w:r>
        <w:rPr>
          <w:rFonts w:ascii="Arial" w:cs="Arial" w:eastAsia="Arial" w:hAnsi="Arial"/>
          <w:sz w:val="20"/>
          <w:szCs w:val="20"/>
          <w:color w:val="auto"/>
        </w:rPr>
        <w:t>”: any Person the majority of the revenues of which are derived from a business that would be permitted by Section 7.17.</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w:t>
      </w:r>
      <w:r>
        <w:rPr>
          <w:rFonts w:ascii="Arial" w:cs="Arial" w:eastAsia="Arial" w:hAnsi="Arial"/>
          <w:sz w:val="20"/>
          <w:szCs w:val="20"/>
          <w:color w:val="auto"/>
        </w:rPr>
        <w:t>”: a rate equal to the secured overnight financing rate as administered by the SOFR Administrator.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 Administrator</w:t>
      </w:r>
      <w:r>
        <w:rPr>
          <w:rFonts w:ascii="Arial" w:cs="Arial" w:eastAsia="Arial" w:hAnsi="Arial"/>
          <w:sz w:val="18"/>
          <w:szCs w:val="18"/>
          <w:color w:val="auto"/>
        </w:rPr>
        <w:t>”: the Federal Reserve Bank of New York (or a successor administrator of the secured overnight financing</w:t>
      </w:r>
    </w:p>
    <w:p>
      <w:pPr>
        <w:spacing w:after="0"/>
        <w:rPr>
          <w:sz w:val="20"/>
          <w:szCs w:val="20"/>
          <w:color w:val="auto"/>
        </w:rPr>
      </w:pPr>
      <w:r>
        <w:rPr>
          <w:rFonts w:ascii="Arial" w:cs="Arial" w:eastAsia="Arial" w:hAnsi="Arial"/>
          <w:sz w:val="20"/>
          <w:szCs w:val="20"/>
          <w:color w:val="auto"/>
        </w:rPr>
        <w:t>rate).</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 Administrator’s Website</w:t>
      </w:r>
      <w:r>
        <w:rPr>
          <w:rFonts w:ascii="Arial" w:cs="Arial" w:eastAsia="Arial" w:hAnsi="Arial"/>
          <w:sz w:val="18"/>
          <w:szCs w:val="18"/>
          <w:color w:val="auto"/>
        </w:rPr>
        <w:t>”: the website of the Federal Reserve Bank of New York, currently at http://www.newyorkfed.org, or any successor source for the secured overnight financing rate identified as such by the SOFR Administrator from time to time.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Borrowing</w:t>
      </w:r>
      <w:r>
        <w:rPr>
          <w:rFonts w:ascii="Arial" w:cs="Arial" w:eastAsia="Arial" w:hAnsi="Arial"/>
          <w:sz w:val="20"/>
          <w:szCs w:val="20"/>
          <w:color w:val="auto"/>
        </w:rPr>
        <w:t>”: as to any Borrowing, the SOFR Loans comprising such Borrowing.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Loan</w:t>
      </w:r>
      <w:r>
        <w:rPr>
          <w:rFonts w:ascii="Arial" w:cs="Arial" w:eastAsia="Arial" w:hAnsi="Arial"/>
          <w:sz w:val="20"/>
          <w:szCs w:val="20"/>
          <w:color w:val="auto"/>
        </w:rPr>
        <w:t>”: a Loan that bears interest at a rate based on Adjusted Term SOFR.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Rate Day</w:t>
      </w:r>
      <w:r>
        <w:rPr>
          <w:rFonts w:ascii="Arial" w:cs="Arial" w:eastAsia="Arial" w:hAnsi="Arial"/>
          <w:sz w:val="20"/>
          <w:szCs w:val="20"/>
          <w:color w:val="auto"/>
        </w:rPr>
        <w:t>”: as defined in the definition of “Daily Simple SOFR”.</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SOFR Tranche”</w:t>
      </w:r>
      <w:r>
        <w:rPr>
          <w:rFonts w:ascii="Arial" w:cs="Arial" w:eastAsia="Arial" w:hAnsi="Arial"/>
          <w:sz w:val="20"/>
          <w:szCs w:val="20"/>
          <w:color w:val="auto"/>
        </w:rPr>
        <w:t>: the collective reference to SOFR Loans under a particular Facility (other than the L/C Facility), the then current Interest Periods with respect to which begin on the same date and end on the same later date (whether or not such Loans shall originally have been made on the same day).</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Solvency Certificate</w:t>
      </w:r>
      <w:r>
        <w:rPr>
          <w:rFonts w:ascii="Arial" w:cs="Arial" w:eastAsia="Arial" w:hAnsi="Arial"/>
          <w:sz w:val="20"/>
          <w:szCs w:val="20"/>
          <w:color w:val="auto"/>
        </w:rPr>
        <w:t xml:space="preserve">”: the Solvency Certificate, dated the Closing Date, delivered to the Administrative Agent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5.1(p)</w:t>
      </w:r>
      <w:r>
        <w:rPr>
          <w:rFonts w:ascii="Arial" w:cs="Arial" w:eastAsia="Arial" w:hAnsi="Arial"/>
          <w:sz w:val="20"/>
          <w:szCs w:val="20"/>
          <w:color w:val="auto"/>
        </w:rPr>
        <w:t xml:space="preserve">, which Solvency Certificate shall be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Solvent</w:t>
      </w:r>
      <w:r>
        <w:rPr>
          <w:rFonts w:ascii="Arial" w:cs="Arial" w:eastAsia="Arial" w:hAnsi="Arial"/>
          <w:sz w:val="20"/>
          <w:szCs w:val="20"/>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05" w:right="339" w:bottom="1440" w:gutter="0" w:footer="0" w:header="0"/>
        </w:sectPr>
      </w:pPr>
    </w:p>
    <w:bookmarkStart w:id="250" w:name="page251"/>
    <w:bookmarkEnd w:id="250"/>
    <w:p>
      <w:pPr>
        <w:jc w:val="both"/>
        <w:spacing w:after="0" w:line="231" w:lineRule="auto"/>
        <w:rPr>
          <w:sz w:val="20"/>
          <w:szCs w:val="20"/>
          <w:color w:val="auto"/>
        </w:rPr>
      </w:pPr>
      <w:r>
        <w:rPr>
          <w:rFonts w:ascii="Arial" w:cs="Arial" w:eastAsia="Arial" w:hAnsi="Arial"/>
          <w:sz w:val="18"/>
          <w:szCs w:val="18"/>
          <w:color w:val="auto"/>
        </w:rPr>
        <w:t>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Specified Acquisition Agreement Representations</w:t>
      </w:r>
      <w:r>
        <w:rPr>
          <w:rFonts w:ascii="Arial" w:cs="Arial" w:eastAsia="Arial" w:hAnsi="Arial"/>
          <w:sz w:val="20"/>
          <w:szCs w:val="20"/>
          <w:color w:val="auto"/>
        </w:rPr>
        <w:t>”: such of the representations and warranties made by the sellers and their Affiliates in the Limited Condition Acquisition Agreement as are material to the interests of the Lenders, but only to the extent that Holdings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Specified Representations</w:t>
      </w:r>
      <w:r>
        <w:rPr>
          <w:rFonts w:ascii="Arial" w:cs="Arial" w:eastAsia="Arial" w:hAnsi="Arial"/>
          <w:sz w:val="19"/>
          <w:szCs w:val="19"/>
          <w:color w:val="auto"/>
        </w:rPr>
        <w:t xml:space="preserve">”: those representations and warranties made in </w:t>
      </w:r>
      <w:r>
        <w:rPr>
          <w:rFonts w:ascii="Arial" w:cs="Arial" w:eastAsia="Arial" w:hAnsi="Arial"/>
          <w:sz w:val="19"/>
          <w:szCs w:val="19"/>
          <w:u w:val="single" w:color="auto"/>
          <w:color w:val="auto"/>
        </w:rPr>
        <w:t>Sections 4.3(a)</w:t>
      </w:r>
      <w:r>
        <w:rPr>
          <w:rFonts w:ascii="Arial" w:cs="Arial" w:eastAsia="Arial" w:hAnsi="Arial"/>
          <w:sz w:val="19"/>
          <w:szCs w:val="19"/>
          <w:color w:val="auto"/>
        </w:rPr>
        <w:t xml:space="preserve"> (with respect to the organizational existence of the Loan Parties only after giving effect to the Limited Condition Acquisition), </w:t>
      </w:r>
      <w:r>
        <w:rPr>
          <w:rFonts w:ascii="Arial" w:cs="Arial" w:eastAsia="Arial" w:hAnsi="Arial"/>
          <w:sz w:val="19"/>
          <w:szCs w:val="19"/>
          <w:u w:val="single" w:color="auto"/>
          <w:color w:val="auto"/>
        </w:rPr>
        <w:t>4.4</w:t>
      </w:r>
      <w:r>
        <w:rPr>
          <w:rFonts w:ascii="Arial" w:cs="Arial" w:eastAsia="Arial" w:hAnsi="Arial"/>
          <w:sz w:val="19"/>
          <w:szCs w:val="19"/>
          <w:color w:val="auto"/>
        </w:rPr>
        <w:t xml:space="preserve"> (excluding the third sentence thereof), </w:t>
      </w:r>
      <w:r>
        <w:rPr>
          <w:rFonts w:ascii="Arial" w:cs="Arial" w:eastAsia="Arial" w:hAnsi="Arial"/>
          <w:sz w:val="19"/>
          <w:szCs w:val="19"/>
          <w:u w:val="single" w:color="auto"/>
          <w:color w:val="auto"/>
        </w:rPr>
        <w:t>4.5</w:t>
      </w:r>
      <w:r>
        <w:rPr>
          <w:rFonts w:ascii="Arial" w:cs="Arial" w:eastAsia="Arial" w:hAnsi="Arial"/>
          <w:sz w:val="19"/>
          <w:szCs w:val="19"/>
          <w:color w:val="auto"/>
        </w:rPr>
        <w:t xml:space="preserve"> (solely with respect to the first sentence and with respect to Operating Documents), </w:t>
      </w:r>
      <w:r>
        <w:rPr>
          <w:rFonts w:ascii="Arial" w:cs="Arial" w:eastAsia="Arial" w:hAnsi="Arial"/>
          <w:sz w:val="19"/>
          <w:szCs w:val="19"/>
          <w:u w:val="single" w:color="auto"/>
          <w:color w:val="auto"/>
        </w:rPr>
        <w:t>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4.14</w:t>
      </w:r>
      <w:r>
        <w:rPr>
          <w:rFonts w:ascii="Arial" w:cs="Arial" w:eastAsia="Arial" w:hAnsi="Arial"/>
          <w:sz w:val="19"/>
          <w:szCs w:val="19"/>
          <w:color w:val="auto"/>
        </w:rPr>
        <w:t xml:space="preserve">, </w:t>
      </w:r>
      <w:r>
        <w:rPr>
          <w:rFonts w:ascii="Arial" w:cs="Arial" w:eastAsia="Arial" w:hAnsi="Arial"/>
          <w:sz w:val="19"/>
          <w:szCs w:val="19"/>
          <w:u w:val="single" w:color="auto"/>
          <w:color w:val="auto"/>
        </w:rPr>
        <w:t>4.19</w:t>
      </w:r>
      <w:r>
        <w:rPr>
          <w:rFonts w:ascii="Arial" w:cs="Arial" w:eastAsia="Arial" w:hAnsi="Arial"/>
          <w:sz w:val="19"/>
          <w:szCs w:val="19"/>
          <w:color w:val="auto"/>
        </w:rPr>
        <w:t xml:space="preserve">, </w:t>
      </w:r>
      <w:r>
        <w:rPr>
          <w:rFonts w:ascii="Arial" w:cs="Arial" w:eastAsia="Arial" w:hAnsi="Arial"/>
          <w:sz w:val="19"/>
          <w:szCs w:val="19"/>
          <w:u w:val="single" w:color="auto"/>
          <w:color w:val="auto"/>
        </w:rPr>
        <w:t>4.20</w:t>
      </w:r>
      <w:r>
        <w:rPr>
          <w:rFonts w:ascii="Arial" w:cs="Arial" w:eastAsia="Arial" w:hAnsi="Arial"/>
          <w:sz w:val="19"/>
          <w:szCs w:val="19"/>
          <w:color w:val="auto"/>
        </w:rPr>
        <w:t xml:space="preserve"> (giving effect to the Limited Condition Acquisition and the incurrence of the Increase loans in connection therewith), 4.28 and 4.29 (solely to the effect that the use of proceeds of any Increase loans in connection with the Limited Condition Acquisition on the date of the acquisition will not violate the Foreign Corrupt Practices Act, the USA PATRIOT Act or sanctions administered by OFAC).</w:t>
      </w:r>
    </w:p>
    <w:p>
      <w:pPr>
        <w:spacing w:after="0" w:line="159"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Specified Swap Agreement</w:t>
      </w:r>
      <w:r>
        <w:rPr>
          <w:rFonts w:ascii="Arial" w:cs="Arial" w:eastAsia="Arial" w:hAnsi="Arial"/>
          <w:sz w:val="19"/>
          <w:szCs w:val="19"/>
          <w:color w:val="auto"/>
        </w:rPr>
        <w:t>”: any Swap Agreement entered into by any Group Member and any Qualified Counterparty (or any Person who was a Qualified Counterparty as of the Closing Date or as of the date such Swap Agreement was entered into).</w:t>
      </w:r>
    </w:p>
    <w:p>
      <w:pPr>
        <w:spacing w:after="0" w:line="153"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Debt Document</w:t>
      </w:r>
      <w:r>
        <w:rPr>
          <w:rFonts w:ascii="Arial" w:cs="Arial" w:eastAsia="Arial" w:hAnsi="Arial"/>
          <w:sz w:val="20"/>
          <w:szCs w:val="20"/>
          <w:color w:val="auto"/>
        </w:rPr>
        <w:t>”: any agreement, certificate, document or instrument executed or delivered by any Group Member and evidencing Indebtedness of such Group Member which is subordinated to the payment of the Obligations or the Liens securing such Indebtedness is subordinated to the Administrative Agent’s Lien, in each case, in a manner approved in writing by the Administrative Agent, and any renewals, modifications, or amendments thereof which are not prohibited by this Agreement or are approved in writing by the Administrative Agent.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Subordinated Indebtedness</w:t>
      </w:r>
      <w:r>
        <w:rPr>
          <w:rFonts w:ascii="Arial" w:cs="Arial" w:eastAsia="Arial" w:hAnsi="Arial"/>
          <w:sz w:val="20"/>
          <w:szCs w:val="20"/>
          <w:color w:val="auto"/>
        </w:rPr>
        <w:t>”: Indebtedness of one or more Loan Parties (and no other Group Members) subordinated to the Obligations pursuant to subordination terms (including payment, lien and remedies subordination terms, as applicable) reasonably acceptable to the Administrative Agent.</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or to “</w:t>
      </w:r>
      <w:r>
        <w:rPr>
          <w:rFonts w:ascii="Arial" w:cs="Arial" w:eastAsia="Arial" w:hAnsi="Arial"/>
          <w:sz w:val="20"/>
          <w:szCs w:val="20"/>
          <w:b w:val="1"/>
          <w:bCs w:val="1"/>
          <w:i w:val="1"/>
          <w:iCs w:val="1"/>
          <w:color w:val="auto"/>
        </w:rPr>
        <w:t>Subsidiaries</w:t>
      </w:r>
      <w:r>
        <w:rPr>
          <w:rFonts w:ascii="Arial" w:cs="Arial" w:eastAsia="Arial" w:hAnsi="Arial"/>
          <w:sz w:val="20"/>
          <w:szCs w:val="20"/>
          <w:color w:val="auto"/>
        </w:rPr>
        <w:t>” in this Agreement shall refer to a Subsidiary or Subsidiaries of Holdings.</w:t>
      </w:r>
    </w:p>
    <w:p>
      <w:pPr>
        <w:spacing w:after="0" w:line="160"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Surety Indebtedness</w:t>
      </w:r>
      <w:r>
        <w:rPr>
          <w:rFonts w:ascii="Arial" w:cs="Arial" w:eastAsia="Arial" w:hAnsi="Arial"/>
          <w:sz w:val="19"/>
          <w:szCs w:val="19"/>
          <w:color w:val="auto"/>
        </w:rPr>
        <w:t>”: as of any date of determination, indebtedness (contingent or otherwise) owing to sureties arising from surety bonds issued on behalf of any Loan Party or its respective Subsidiaries as support for, among other things, their contracts with customers, whether such indebtedness is owing directly or indirectly by such Loan Party or any such Subsidiary.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SVB</w:t>
      </w:r>
      <w:r>
        <w:rPr>
          <w:rFonts w:ascii="Arial" w:cs="Arial" w:eastAsia="Arial" w:hAnsi="Arial"/>
          <w:sz w:val="20"/>
          <w:szCs w:val="20"/>
          <w:color w:val="auto"/>
        </w:rPr>
        <w:t>”: as defined in the preamble hereto.</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Agreement</w:t>
      </w:r>
      <w:r>
        <w:rPr>
          <w:rFonts w:ascii="Arial" w:cs="Arial" w:eastAsia="Arial" w:hAnsi="Arial"/>
          <w:sz w:val="20"/>
          <w:szCs w:val="20"/>
          <w:color w:val="auto"/>
        </w:rPr>
        <w:t>”: any agreement with respect to any swap, hedge, forward, future or derivative transaction or option or similar agreement (including without limitation, any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05" w:right="339" w:bottom="1440" w:gutter="0" w:footer="0" w:header="0"/>
        </w:sectPr>
      </w:pPr>
    </w:p>
    <w:bookmarkStart w:id="251" w:name="page252"/>
    <w:bookmarkEnd w:id="251"/>
    <w:p>
      <w:pPr>
        <w:jc w:val="both"/>
        <w:spacing w:after="0" w:line="228" w:lineRule="auto"/>
        <w:rPr>
          <w:sz w:val="20"/>
          <w:szCs w:val="20"/>
          <w:color w:val="auto"/>
        </w:rPr>
      </w:pPr>
      <w:r>
        <w:rPr>
          <w:rFonts w:ascii="Arial" w:cs="Arial" w:eastAsia="Arial" w:hAnsi="Arial"/>
          <w:sz w:val="18"/>
          <w:szCs w:val="18"/>
          <w:color w:val="auto"/>
        </w:rPr>
        <w:t>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the following shall not constitute “Swap Agreements”: (a) any phantom stock or similar plan providing for payments only on account of services provided by current or former directors, officers, employees or consultants of the Borrower and its Subsidiaries, (b) any stock option or warrant agreement for the purchase of Capital Stock of the Borrower, (c) the purchase of Capital Stock or Indebtedness (including securities convertible into Capital Stock) of the Borrower pursuant to delayed delivery contracts, accelerated stock repurchase agreements, forward contracts or other similar agreements and (d) any of the items specified in the foregoing clauses (a) through (c), to the extent the same constitutes a derivative embedded in a convertible security issued by the Borrower.</w:t>
      </w:r>
    </w:p>
    <w:p>
      <w:pPr>
        <w:spacing w:after="0" w:line="15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Swap Obligation</w:t>
      </w:r>
      <w:r>
        <w:rPr>
          <w:rFonts w:ascii="Arial" w:cs="Arial" w:eastAsia="Arial" w:hAnsi="Arial"/>
          <w:sz w:val="19"/>
          <w:szCs w:val="19"/>
          <w:color w:val="auto"/>
        </w:rPr>
        <w:t>”: with respect to any Guarantor, any obligation of such Guarantor to pay or perform under any agreement, contract or transaction that constitutes a “swap” within the meaning of Section 1a(47) of the Commodity Exchange Act.</w:t>
      </w:r>
    </w:p>
    <w:p>
      <w:pPr>
        <w:spacing w:after="0" w:line="153"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Swap Termination Value</w:t>
      </w:r>
      <w:r>
        <w:rPr>
          <w:rFonts w:ascii="Arial" w:cs="Arial" w:eastAsia="Arial" w:hAnsi="Arial"/>
          <w:sz w:val="20"/>
          <w:szCs w:val="20"/>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6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Commitment</w:t>
      </w:r>
      <w:r>
        <w:rPr>
          <w:rFonts w:ascii="Arial" w:cs="Arial" w:eastAsia="Arial" w:hAnsi="Arial"/>
          <w:sz w:val="20"/>
          <w:szCs w:val="20"/>
          <w:color w:val="auto"/>
        </w:rPr>
        <w:t xml:space="preserve">”: the obligation of the Swingline Lender to make Swingline Loans pursuant to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in an aggregate principal amount at any one time outstanding not to exceed $50,000,000.</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Facility</w:t>
      </w:r>
      <w:r>
        <w:rPr>
          <w:rFonts w:ascii="Arial" w:cs="Arial" w:eastAsia="Arial" w:hAnsi="Arial"/>
          <w:sz w:val="20"/>
          <w:szCs w:val="20"/>
          <w:color w:val="auto"/>
        </w:rPr>
        <w:t>”: the Swingline Commitments and the Swingline Loans.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Swingline Lender</w:t>
      </w:r>
      <w:r>
        <w:rPr>
          <w:rFonts w:ascii="Arial" w:cs="Arial" w:eastAsia="Arial" w:hAnsi="Arial"/>
          <w:sz w:val="18"/>
          <w:szCs w:val="18"/>
          <w:color w:val="auto"/>
        </w:rPr>
        <w:t xml:space="preserve">”: SVB, in its capacity as the lender of Swingline Loans or such other Lender as the Borrower may from time to time select as the Swingline Lender hereunder pursuant to </w:t>
      </w:r>
      <w:r>
        <w:rPr>
          <w:rFonts w:ascii="Arial" w:cs="Arial" w:eastAsia="Arial" w:hAnsi="Arial"/>
          <w:sz w:val="18"/>
          <w:szCs w:val="18"/>
          <w:u w:val="single" w:color="auto"/>
          <w:color w:val="auto"/>
        </w:rPr>
        <w:t>Section 2.7(f)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has agreed to be a Swingline Lender.</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 Note</w:t>
      </w:r>
      <w:r>
        <w:rPr>
          <w:rFonts w:ascii="Arial" w:cs="Arial" w:eastAsia="Arial" w:hAnsi="Arial"/>
          <w:sz w:val="20"/>
          <w:szCs w:val="20"/>
          <w:color w:val="auto"/>
        </w:rPr>
        <w:t xml:space="preserve">”: a promissory note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as it may be amended,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Loans</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2.6</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Swingline Participation Amount</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2.7(c)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Synthetic Lease Obligation</w:t>
      </w:r>
      <w:r>
        <w:rPr>
          <w:rFonts w:ascii="Arial" w:cs="Arial" w:eastAsia="Arial" w:hAnsi="Arial"/>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w:t>
      </w:r>
      <w:r>
        <w:rPr>
          <w:rFonts w:ascii="Arial" w:cs="Arial" w:eastAsia="Arial" w:hAnsi="Arial"/>
          <w:sz w:val="20"/>
          <w:szCs w:val="20"/>
          <w:color w:val="auto"/>
        </w:rPr>
        <w:t>”:</w:t>
      </w:r>
    </w:p>
    <w:p>
      <w:pPr>
        <w:spacing w:after="0" w:line="175" w:lineRule="exact"/>
        <w:rPr>
          <w:sz w:val="20"/>
          <w:szCs w:val="20"/>
          <w:color w:val="auto"/>
        </w:rPr>
      </w:pPr>
    </w:p>
    <w:p>
      <w:pPr>
        <w:jc w:val="both"/>
        <w:ind w:firstLine="1304"/>
        <w:spacing w:after="0" w:line="213" w:lineRule="auto"/>
        <w:tabs>
          <w:tab w:leader="none" w:pos="18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for any calculation with respect to a SOFR Loan, the Term SOFR Reference Rate for a tenor comparable to the applicable Interest Period on the day (such day, the “</w:t>
      </w:r>
      <w:r>
        <w:rPr>
          <w:rFonts w:ascii="Arial" w:cs="Arial" w:eastAsia="Arial" w:hAnsi="Arial"/>
          <w:sz w:val="20"/>
          <w:szCs w:val="20"/>
          <w:b w:val="1"/>
          <w:bCs w:val="1"/>
          <w:i w:val="1"/>
          <w:iCs w:val="1"/>
          <w:color w:val="auto"/>
        </w:rPr>
        <w:t>Periodic Term SOFR Determination Day</w:t>
      </w:r>
      <w:r>
        <w:rPr>
          <w:rFonts w:ascii="Arial" w:cs="Arial" w:eastAsia="Arial" w:hAnsi="Arial"/>
          <w:sz w:val="20"/>
          <w:szCs w:val="20"/>
          <w:color w:val="auto"/>
        </w:rPr>
        <w:t>”) that is two (2) U.S. Government Securities Business Days prior to the first day of such Interest Period, as such rate is published by the Term SOFR Administrator;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05" w:right="339" w:bottom="1440" w:gutter="0" w:footer="0" w:header="0"/>
        </w:sectPr>
      </w:pPr>
    </w:p>
    <w:bookmarkStart w:id="252" w:name="page253"/>
    <w:bookmarkEnd w:id="252"/>
    <w:p>
      <w:pPr>
        <w:jc w:val="both"/>
        <w:spacing w:after="0" w:line="231" w:lineRule="auto"/>
        <w:rPr>
          <w:sz w:val="20"/>
          <w:szCs w:val="20"/>
          <w:color w:val="auto"/>
        </w:rPr>
      </w:pPr>
      <w:r>
        <w:rPr>
          <w:rFonts w:ascii="Arial" w:cs="Arial" w:eastAsia="Arial" w:hAnsi="Arial"/>
          <w:sz w:val="18"/>
          <w:szCs w:val="18"/>
          <w:color w:val="auto"/>
        </w:rPr>
        <w:t>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55" w:lineRule="exact"/>
        <w:rPr>
          <w:sz w:val="20"/>
          <w:szCs w:val="20"/>
          <w:color w:val="auto"/>
        </w:rPr>
      </w:pPr>
    </w:p>
    <w:p>
      <w:pPr>
        <w:jc w:val="both"/>
        <w:ind w:firstLine="1304"/>
        <w:spacing w:after="0" w:line="215" w:lineRule="auto"/>
        <w:tabs>
          <w:tab w:leader="none" w:pos="174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for any calculation with respect to an ABR Loan on any day, the Term SOFR Reference Rate for a tenor of one month on the day (such day, the “</w:t>
      </w:r>
      <w:r>
        <w:rPr>
          <w:rFonts w:ascii="Arial" w:cs="Arial" w:eastAsia="Arial" w:hAnsi="Arial"/>
          <w:sz w:val="19"/>
          <w:szCs w:val="19"/>
          <w:b w:val="1"/>
          <w:bCs w:val="1"/>
          <w:i w:val="1"/>
          <w:iCs w:val="1"/>
          <w:color w:val="auto"/>
        </w:rPr>
        <w:t>ABR Term SOFR Determination Day</w:t>
      </w:r>
      <w:r>
        <w:rPr>
          <w:rFonts w:ascii="Arial" w:cs="Arial" w:eastAsia="Arial" w:hAnsi="Arial"/>
          <w:sz w:val="19"/>
          <w:szCs w:val="19"/>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55" w:lineRule="exact"/>
        <w:rPr>
          <w:sz w:val="20"/>
          <w:szCs w:val="20"/>
          <w:color w:val="auto"/>
        </w:rPr>
      </w:pPr>
    </w:p>
    <w:p>
      <w:pPr>
        <w:ind w:right="440" w:firstLine="648"/>
        <w:spacing w:after="0" w:line="229"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Term SOFR Adjustment</w:t>
      </w:r>
      <w:r>
        <w:rPr>
          <w:rFonts w:ascii="Arial" w:cs="Arial" w:eastAsia="Arial" w:hAnsi="Arial"/>
          <w:sz w:val="20"/>
          <w:szCs w:val="20"/>
          <w:i w:val="1"/>
          <w:iCs w:val="1"/>
          <w:color w:val="auto"/>
        </w:rPr>
        <w:t>”</w:t>
      </w:r>
      <w:r>
        <w:rPr>
          <w:rFonts w:ascii="Arial" w:cs="Arial" w:eastAsia="Arial" w:hAnsi="Arial"/>
          <w:sz w:val="20"/>
          <w:szCs w:val="20"/>
          <w:color w:val="auto"/>
        </w:rPr>
        <w:t>: for any calculation with respect to a SOFR Loan, a percentage per annum as set forth below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Type of such Loan and (if applicable) Interest Period therefor:</w:t>
      </w:r>
    </w:p>
    <w:p>
      <w:pPr>
        <w:spacing w:after="0" w:line="200" w:lineRule="exact"/>
        <w:rPr>
          <w:sz w:val="20"/>
          <w:szCs w:val="20"/>
          <w:color w:val="auto"/>
        </w:rPr>
      </w:pPr>
    </w:p>
    <w:p>
      <w:pPr>
        <w:spacing w:after="0" w:line="20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SOFR Loans:</w:t>
      </w:r>
    </w:p>
    <w:p>
      <w:pPr>
        <w:spacing w:after="0" w:line="23" w:lineRule="exact"/>
        <w:rPr>
          <w:sz w:val="20"/>
          <w:szCs w:val="20"/>
          <w:color w:val="auto"/>
        </w:rPr>
      </w:pPr>
    </w:p>
    <w:tbl>
      <w:tblPr>
        <w:tblLayout w:type="fixed"/>
        <w:tblInd w:w="1230" w:type="dxa"/>
        <w:tblCellMar>
          <w:top w:w="0" w:type="dxa"/>
          <w:left w:w="0" w:type="dxa"/>
          <w:bottom w:w="0" w:type="dxa"/>
          <w:right w:w="0" w:type="dxa"/>
        </w:tblCellMar>
      </w:tblPr>
      <w:tr>
        <w:trPr>
          <w:trHeight w:val="183"/>
        </w:trPr>
        <w:tc>
          <w:tcPr>
            <w:tcW w:w="3380" w:type="dxa"/>
            <w:vAlign w:val="bottom"/>
            <w:tcBorders>
              <w:top w:val="single" w:sz="8" w:color="auto"/>
              <w:left w:val="single" w:sz="8" w:color="auto"/>
              <w:right w:val="single" w:sz="8" w:color="auto"/>
            </w:tcBorders>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1"/>
              </w:rPr>
              <w:t>Interest Period</w:t>
            </w:r>
          </w:p>
        </w:tc>
        <w:tc>
          <w:tcPr>
            <w:tcW w:w="3480" w:type="dxa"/>
            <w:vAlign w:val="bottom"/>
            <w:tcBorders>
              <w:top w:val="single" w:sz="8" w:color="auto"/>
              <w:right w:val="single" w:sz="8" w:color="auto"/>
            </w:tcBorders>
            <w:gridSpan w:val="3"/>
          </w:tcPr>
          <w:p>
            <w:pPr>
              <w:ind w:left="1300"/>
              <w:spacing w:after="0" w:line="182" w:lineRule="exact"/>
              <w:rPr>
                <w:sz w:val="20"/>
                <w:szCs w:val="20"/>
                <w:color w:val="auto"/>
              </w:rPr>
            </w:pPr>
            <w:r>
              <w:rPr>
                <w:rFonts w:ascii="Arial" w:cs="Arial" w:eastAsia="Arial" w:hAnsi="Arial"/>
                <w:sz w:val="18"/>
                <w:szCs w:val="18"/>
                <w:b w:val="1"/>
                <w:bCs w:val="1"/>
                <w:color w:val="auto"/>
              </w:rPr>
              <w:t>Percentage</w:t>
            </w:r>
          </w:p>
        </w:tc>
      </w:tr>
      <w:tr>
        <w:trPr>
          <w:trHeight w:val="20"/>
        </w:trPr>
        <w:tc>
          <w:tcPr>
            <w:tcW w:w="11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89"/>
              </w:rPr>
              <w:t>One month</w:t>
            </w:r>
          </w:p>
        </w:tc>
        <w:tc>
          <w:tcPr>
            <w:tcW w:w="2140" w:type="dxa"/>
            <w:vAlign w:val="bottom"/>
            <w:tcBorders>
              <w:bottom w:val="single" w:sz="8" w:color="auto"/>
            </w:tcBorders>
            <w:gridSpan w:val="2"/>
          </w:tcPr>
          <w:p>
            <w:pPr>
              <w:jc w:val="center"/>
              <w:ind w:left="1190"/>
              <w:spacing w:after="0"/>
              <w:rPr>
                <w:sz w:val="20"/>
                <w:szCs w:val="20"/>
                <w:color w:val="auto"/>
              </w:rPr>
            </w:pPr>
            <w:r>
              <w:rPr>
                <w:rFonts w:ascii="Arial" w:cs="Arial" w:eastAsia="Arial" w:hAnsi="Arial"/>
                <w:sz w:val="18"/>
                <w:szCs w:val="18"/>
                <w:color w:val="auto"/>
                <w:w w:val="90"/>
              </w:rPr>
              <w:t>0.11448 %</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90"/>
              </w:rPr>
              <w:t>Three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Arial" w:cs="Arial" w:eastAsia="Arial" w:hAnsi="Arial"/>
                <w:sz w:val="18"/>
                <w:szCs w:val="18"/>
                <w:color w:val="auto"/>
                <w:w w:val="91"/>
              </w:rPr>
              <w:t>0.26161%</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20"/>
              <w:spacing w:after="0"/>
              <w:rPr>
                <w:sz w:val="20"/>
                <w:szCs w:val="20"/>
                <w:color w:val="auto"/>
              </w:rPr>
            </w:pPr>
            <w:r>
              <w:rPr>
                <w:rFonts w:ascii="Arial" w:cs="Arial" w:eastAsia="Arial" w:hAnsi="Arial"/>
                <w:sz w:val="18"/>
                <w:szCs w:val="18"/>
                <w:color w:val="auto"/>
                <w:w w:val="89"/>
              </w:rPr>
              <w:t>Six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Arial" w:cs="Arial" w:eastAsia="Arial" w:hAnsi="Arial"/>
                <w:sz w:val="18"/>
                <w:szCs w:val="18"/>
                <w:color w:val="auto"/>
                <w:w w:val="91"/>
              </w:rPr>
              <w:t>0.42826%</w:t>
            </w:r>
          </w:p>
        </w:tc>
        <w:tc>
          <w:tcPr>
            <w:tcW w:w="13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23"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Administrator</w:t>
      </w:r>
      <w:r>
        <w:rPr>
          <w:rFonts w:ascii="Arial" w:cs="Arial" w:eastAsia="Arial" w:hAnsi="Arial"/>
          <w:sz w:val="20"/>
          <w:szCs w:val="20"/>
          <w:color w:val="auto"/>
        </w:rPr>
        <w:t>”: the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Reference Rate</w:t>
      </w:r>
      <w:r>
        <w:rPr>
          <w:rFonts w:ascii="Arial" w:cs="Arial" w:eastAsia="Arial" w:hAnsi="Arial"/>
          <w:sz w:val="20"/>
          <w:szCs w:val="20"/>
          <w:color w:val="auto"/>
        </w:rPr>
        <w:t>”: the forward-looking term rate based on SOFR.</w:t>
      </w:r>
    </w:p>
    <w:p>
      <w:pPr>
        <w:spacing w:after="0" w:line="175" w:lineRule="exact"/>
        <w:rPr>
          <w:sz w:val="20"/>
          <w:szCs w:val="20"/>
          <w:color w:val="auto"/>
        </w:rPr>
      </w:pPr>
    </w:p>
    <w:p>
      <w:pPr>
        <w:ind w:right="8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 SOFR Borrowing</w:t>
      </w:r>
      <w:r>
        <w:rPr>
          <w:rFonts w:ascii="Arial" w:cs="Arial" w:eastAsia="Arial" w:hAnsi="Arial"/>
          <w:sz w:val="20"/>
          <w:szCs w:val="20"/>
          <w:color w:val="auto"/>
        </w:rPr>
        <w:t>”: as to any Borrowing, the Loans bearing interest at a rate based on Adjusted Term SOFR comprising such Borrowing.</w:t>
      </w:r>
    </w:p>
    <w:p>
      <w:pPr>
        <w:spacing w:after="0" w:line="155" w:lineRule="exact"/>
        <w:rPr>
          <w:sz w:val="20"/>
          <w:szCs w:val="20"/>
          <w:color w:val="auto"/>
        </w:rPr>
      </w:pPr>
    </w:p>
    <w:p>
      <w:pPr>
        <w:ind w:right="2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Credit Exposure</w:t>
      </w:r>
      <w:r>
        <w:rPr>
          <w:rFonts w:ascii="Arial" w:cs="Arial" w:eastAsia="Arial" w:hAnsi="Arial"/>
          <w:sz w:val="20"/>
          <w:szCs w:val="20"/>
          <w:color w:val="auto"/>
        </w:rPr>
        <w:t>”: as to any Lender at any time, the unused Commitments and Revolving Extensions of Credit of such Lender at such time.</w:t>
      </w:r>
    </w:p>
    <w:p>
      <w:pPr>
        <w:spacing w:after="0" w:line="155"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L/C Commitments</w:t>
      </w:r>
      <w:r>
        <w:rPr>
          <w:rFonts w:ascii="Arial" w:cs="Arial" w:eastAsia="Arial" w:hAnsi="Arial"/>
          <w:sz w:val="19"/>
          <w:szCs w:val="19"/>
          <w:color w:val="auto"/>
        </w:rPr>
        <w:t xml:space="preserve">”: at any time, the sum of all L/C Commitments at such time, as the same may be reduced from time to time pursuant to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3.5(b)</w:t>
      </w:r>
      <w:r>
        <w:rPr>
          <w:rFonts w:ascii="Arial" w:cs="Arial" w:eastAsia="Arial" w:hAnsi="Arial"/>
          <w:sz w:val="19"/>
          <w:szCs w:val="19"/>
          <w:color w:val="auto"/>
        </w:rPr>
        <w:t>. The initial amount of the Total L/C Commitments on the Closing Date is $100,000,000.</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Commitments</w:t>
      </w:r>
      <w:r>
        <w:rPr>
          <w:rFonts w:ascii="Arial" w:cs="Arial" w:eastAsia="Arial" w:hAnsi="Arial"/>
          <w:sz w:val="20"/>
          <w:szCs w:val="20"/>
          <w:color w:val="auto"/>
        </w:rPr>
        <w:t>”: at any time, the aggregate amount of the Revolving Commitments then in effect.</w:t>
      </w:r>
    </w:p>
    <w:p>
      <w:pPr>
        <w:spacing w:after="0" w:line="17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Total Revolving Extensions of Credit</w:t>
      </w:r>
      <w:r>
        <w:rPr>
          <w:rFonts w:ascii="Arial" w:cs="Arial" w:eastAsia="Arial" w:hAnsi="Arial"/>
          <w:sz w:val="20"/>
          <w:szCs w:val="20"/>
          <w:color w:val="auto"/>
        </w:rPr>
        <w:t>”: at any time, the aggregate amount of the Revolving Extensions of Credit outstanding at such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10.6(b)(i)(B)</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05" w:right="339" w:bottom="1440" w:gutter="0" w:footer="0" w:header="0"/>
        </w:sectPr>
      </w:pPr>
    </w:p>
    <w:bookmarkStart w:id="253" w:name="page254"/>
    <w:bookmarkEnd w:id="25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Transferee</w:t>
      </w:r>
      <w:r>
        <w:rPr>
          <w:rFonts w:ascii="Arial" w:cs="Arial" w:eastAsia="Arial" w:hAnsi="Arial"/>
          <w:sz w:val="20"/>
          <w:szCs w:val="20"/>
          <w:color w:val="auto"/>
        </w:rPr>
        <w:t>”: any Eligible Assignee or Participant.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Type</w:t>
      </w:r>
      <w:r>
        <w:rPr>
          <w:rFonts w:ascii="Arial" w:cs="Arial" w:eastAsia="Arial" w:hAnsi="Arial"/>
          <w:sz w:val="20"/>
          <w:szCs w:val="20"/>
          <w:color w:val="auto"/>
        </w:rPr>
        <w:t>”: as to any Loan, its nature as an ABR Loan or a SOFR Loan.</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Financial Institution</w:t>
      </w:r>
      <w:r>
        <w:rPr>
          <w:rFonts w:ascii="Arial" w:cs="Arial" w:eastAsia="Arial" w:hAnsi="Arial"/>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5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Unfriendly Acquisition</w:t>
      </w:r>
      <w:r>
        <w:rPr>
          <w:rFonts w:ascii="Arial" w:cs="Arial" w:eastAsia="Arial" w:hAnsi="Arial"/>
          <w:sz w:val="18"/>
          <w:szCs w:val="18"/>
          <w:color w:val="auto"/>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5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Uniform Commercial Code</w:t>
      </w:r>
      <w:r>
        <w:rPr>
          <w:rFonts w:ascii="Arial" w:cs="Arial" w:eastAsia="Arial" w:hAnsi="Arial"/>
          <w:sz w:val="20"/>
          <w:szCs w:val="20"/>
          <w:color w:val="auto"/>
        </w:rPr>
        <w:t>” or “</w:t>
      </w:r>
      <w:r>
        <w:rPr>
          <w:rFonts w:ascii="Arial" w:cs="Arial" w:eastAsia="Arial" w:hAnsi="Arial"/>
          <w:sz w:val="20"/>
          <w:szCs w:val="20"/>
          <w:b w:val="1"/>
          <w:bCs w:val="1"/>
          <w:i w:val="1"/>
          <w:iCs w:val="1"/>
          <w:color w:val="auto"/>
        </w:rPr>
        <w:t>UCC</w:t>
      </w:r>
      <w:r>
        <w:rPr>
          <w:rFonts w:ascii="Arial" w:cs="Arial" w:eastAsia="Arial" w:hAnsi="Arial"/>
          <w:sz w:val="20"/>
          <w:szCs w:val="20"/>
          <w:color w:val="auto"/>
        </w:rPr>
        <w:t>”: the Uniform Commercial Code (or any similar or equivalent legislation) as in effect from time to time in the State of New York, or as the context may require, any other applicable jurisdiction.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United States</w:t>
      </w:r>
      <w:r>
        <w:rPr>
          <w:rFonts w:ascii="Arial" w:cs="Arial" w:eastAsia="Arial" w:hAnsi="Arial"/>
          <w:sz w:val="20"/>
          <w:szCs w:val="20"/>
          <w:color w:val="auto"/>
        </w:rPr>
        <w:t>” and “</w:t>
      </w:r>
      <w:r>
        <w:rPr>
          <w:rFonts w:ascii="Arial" w:cs="Arial" w:eastAsia="Arial" w:hAnsi="Arial"/>
          <w:sz w:val="20"/>
          <w:szCs w:val="20"/>
          <w:b w:val="1"/>
          <w:bCs w:val="1"/>
          <w:i w:val="1"/>
          <w:iCs w:val="1"/>
          <w:color w:val="auto"/>
        </w:rPr>
        <w:t>U.S.</w:t>
      </w:r>
      <w:r>
        <w:rPr>
          <w:rFonts w:ascii="Arial" w:cs="Arial" w:eastAsia="Arial" w:hAnsi="Arial"/>
          <w:sz w:val="20"/>
          <w:szCs w:val="20"/>
          <w:color w:val="auto"/>
        </w:rPr>
        <w:t>”: the United States of America.</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Unrestricted Cash</w:t>
      </w:r>
      <w:r>
        <w:rPr>
          <w:rFonts w:ascii="Arial" w:cs="Arial" w:eastAsia="Arial" w:hAnsi="Arial"/>
          <w:sz w:val="19"/>
          <w:szCs w:val="19"/>
          <w:color w:val="auto"/>
        </w:rPr>
        <w:t>”: cash and Cash Equivalents of the Loan Parties that would not appear as “restricted” on a consolidated balance sheet of the Group Members (other than as are restricted in favor of the Administrative Agent to secure the Obligations).</w:t>
      </w:r>
    </w:p>
    <w:p>
      <w:pPr>
        <w:spacing w:after="0" w:line="15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Unsecured Notes</w:t>
      </w:r>
      <w:r>
        <w:rPr>
          <w:rFonts w:ascii="Arial" w:cs="Arial" w:eastAsia="Arial" w:hAnsi="Arial"/>
          <w:sz w:val="19"/>
          <w:szCs w:val="19"/>
          <w:color w:val="auto"/>
        </w:rPr>
        <w:t>”: up to $750,000,000 of principal amount of senior unsecured notes of the Loan Parties with a maturity date that is at least 180 days after the Revolving Termination Date; provided that such indebtedness shall not (a) have any financial covenants, (b) amortize or require mandatory prepayments (other than in connection with a change of control or asset sale offers) prior to such maturity date, or (c) be the direct or contingent obligation of any Subsidiary of Holdings that is not a Loan Party.</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Government Securities Business Day</w:t>
      </w:r>
      <w:r>
        <w:rPr>
          <w:rFonts w:ascii="Arial" w:cs="Arial" w:eastAsia="Arial" w:hAnsi="Arial"/>
          <w:sz w:val="20"/>
          <w:szCs w:val="20"/>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USCRO</w:t>
      </w:r>
      <w:r>
        <w:rPr>
          <w:rFonts w:ascii="Arial" w:cs="Arial" w:eastAsia="Arial" w:hAnsi="Arial"/>
          <w:sz w:val="20"/>
          <w:szCs w:val="20"/>
          <w:color w:val="auto"/>
        </w:rPr>
        <w:t>”: the U.S. Copyright Office.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USPTO</w:t>
      </w:r>
      <w:r>
        <w:rPr>
          <w:rFonts w:ascii="Arial" w:cs="Arial" w:eastAsia="Arial" w:hAnsi="Arial"/>
          <w:sz w:val="20"/>
          <w:szCs w:val="20"/>
          <w:color w:val="auto"/>
        </w:rPr>
        <w:t>”: the U.S. Patent and Trademark Office.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Person</w:t>
      </w:r>
      <w:r>
        <w:rPr>
          <w:rFonts w:ascii="Arial" w:cs="Arial" w:eastAsia="Arial" w:hAnsi="Arial"/>
          <w:sz w:val="20"/>
          <w:szCs w:val="20"/>
          <w:color w:val="auto"/>
        </w:rPr>
        <w:t>”: any Person that is a “United States Person” as defined in Section 7701(a)(30) of the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U.S. Tax Compliance Certificate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2.20(f)</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Withholding Agent</w:t>
      </w:r>
      <w:r>
        <w:rPr>
          <w:rFonts w:ascii="Arial" w:cs="Arial" w:eastAsia="Arial" w:hAnsi="Arial"/>
          <w:sz w:val="18"/>
          <w:szCs w:val="18"/>
          <w:color w:val="auto"/>
        </w:rPr>
        <w:t>”: as applicable, any of any applicable Loan Party and the Administrative Agent,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05" w:right="339" w:bottom="1440" w:gutter="0" w:footer="0" w:header="0"/>
        </w:sectPr>
      </w:pPr>
    </w:p>
    <w:bookmarkStart w:id="254" w:name="page255"/>
    <w:bookmarkEnd w:id="254"/>
    <w:p>
      <w:pPr>
        <w:jc w:val="both"/>
        <w:ind w:firstLine="648"/>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Working Capital</w:t>
      </w:r>
      <w:r>
        <w:rPr>
          <w:rFonts w:ascii="Arial" w:cs="Arial" w:eastAsia="Arial" w:hAnsi="Arial"/>
          <w:sz w:val="20"/>
          <w:szCs w:val="20"/>
          <w:color w:val="auto"/>
        </w:rPr>
        <w:t>”: with respect to the Group Members, consolidated current assets (which shall exclude any cash or Cash Equivalents) minus consolidated current liabilities (which shall exclude any amount outstanding under the Revolving Facility and the current portion of any Indebtedness, in each case, to the extent included in “consolidated current liabilities”), in each case, determined in accordance with GAAP.</w:t>
      </w:r>
    </w:p>
    <w:p>
      <w:pPr>
        <w:spacing w:after="0" w:line="15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Write-Down and Conversion Powers</w:t>
      </w:r>
      <w:r>
        <w:rPr>
          <w:rFonts w:ascii="Arial" w:cs="Arial" w:eastAsia="Arial" w:hAnsi="Arial"/>
          <w:sz w:val="19"/>
          <w:szCs w:val="19"/>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Other Definitional Provisions.</w:t>
      </w:r>
    </w:p>
    <w:p>
      <w:pPr>
        <w:spacing w:after="0" w:line="181" w:lineRule="exact"/>
        <w:rPr>
          <w:sz w:val="20"/>
          <w:szCs w:val="20"/>
          <w:color w:val="auto"/>
        </w:rPr>
      </w:pPr>
    </w:p>
    <w:p>
      <w:pPr>
        <w:ind w:firstLine="1304"/>
        <w:spacing w:after="0" w:line="229" w:lineRule="auto"/>
        <w:tabs>
          <w:tab w:leader="none" w:pos="1934" w:val="left"/>
        </w:tabs>
        <w:numPr>
          <w:ilvl w:val="1"/>
          <w:numId w:val="184"/>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55" w:lineRule="exact"/>
        <w:rPr>
          <w:rFonts w:ascii="Arial" w:cs="Arial" w:eastAsia="Arial" w:hAnsi="Arial"/>
          <w:sz w:val="20"/>
          <w:szCs w:val="20"/>
          <w:color w:val="auto"/>
        </w:rPr>
      </w:pPr>
    </w:p>
    <w:p>
      <w:pPr>
        <w:jc w:val="both"/>
        <w:ind w:firstLine="1304"/>
        <w:spacing w:after="0" w:line="221" w:lineRule="auto"/>
        <w:tabs>
          <w:tab w:leader="none" w:pos="1932"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As used herein and in the other Loan Documents, and in any certificate or other document made or delivered pursuant hereto or thereto, (i) accounting terms relating to any Group Member not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accounting terms partly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4" w:lineRule="exact"/>
        <w:rPr>
          <w:rFonts w:ascii="Arial" w:cs="Arial" w:eastAsia="Arial" w:hAnsi="Arial"/>
          <w:sz w:val="18"/>
          <w:szCs w:val="18"/>
          <w:color w:val="auto"/>
        </w:rPr>
      </w:pPr>
    </w:p>
    <w:p>
      <w:pPr>
        <w:jc w:val="both"/>
        <w:ind w:firstLine="8"/>
        <w:spacing w:after="0" w:line="236" w:lineRule="auto"/>
        <w:tabs>
          <w:tab w:leader="none" w:pos="2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156" w:lineRule="exact"/>
        <w:rPr>
          <w:rFonts w:ascii="Arial" w:cs="Arial" w:eastAsia="Arial" w:hAnsi="Arial"/>
          <w:sz w:val="18"/>
          <w:szCs w:val="18"/>
          <w:color w:val="auto"/>
        </w:rPr>
      </w:pPr>
    </w:p>
    <w:p>
      <w:pPr>
        <w:jc w:val="both"/>
        <w:ind w:firstLine="1304"/>
        <w:spacing w:after="0" w:line="206" w:lineRule="auto"/>
        <w:tabs>
          <w:tab w:leader="none" w:pos="1934"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words “</w:t>
      </w:r>
      <w:r>
        <w:rPr>
          <w:rFonts w:ascii="Arial" w:cs="Arial" w:eastAsia="Arial" w:hAnsi="Arial"/>
          <w:sz w:val="20"/>
          <w:szCs w:val="20"/>
          <w:b w:val="1"/>
          <w:bCs w:val="1"/>
          <w:i w:val="1"/>
          <w:iCs w:val="1"/>
          <w:color w:val="auto"/>
        </w:rPr>
        <w:t>hereof</w:t>
      </w:r>
      <w:r>
        <w:rPr>
          <w:rFonts w:ascii="Arial" w:cs="Arial" w:eastAsia="Arial" w:hAnsi="Arial"/>
          <w:sz w:val="20"/>
          <w:szCs w:val="20"/>
          <w:color w:val="auto"/>
        </w:rPr>
        <w:t>,” “</w:t>
      </w:r>
      <w:r>
        <w:rPr>
          <w:rFonts w:ascii="Arial" w:cs="Arial" w:eastAsia="Arial" w:hAnsi="Arial"/>
          <w:sz w:val="20"/>
          <w:szCs w:val="20"/>
          <w:b w:val="1"/>
          <w:bCs w:val="1"/>
          <w:i w:val="1"/>
          <w:iCs w:val="1"/>
          <w:color w:val="auto"/>
        </w:rPr>
        <w:t>herein</w:t>
      </w:r>
      <w:r>
        <w:rPr>
          <w:rFonts w:ascii="Arial" w:cs="Arial" w:eastAsia="Arial" w:hAnsi="Arial"/>
          <w:sz w:val="20"/>
          <w:szCs w:val="20"/>
          <w:color w:val="auto"/>
        </w:rPr>
        <w:t>” and “</w:t>
      </w:r>
      <w:r>
        <w:rPr>
          <w:rFonts w:ascii="Arial" w:cs="Arial" w:eastAsia="Arial" w:hAnsi="Arial"/>
          <w:sz w:val="20"/>
          <w:szCs w:val="20"/>
          <w:b w:val="1"/>
          <w:bCs w:val="1"/>
          <w:i w:val="1"/>
          <w:iCs w:val="1"/>
          <w:color w:val="auto"/>
        </w:rPr>
        <w:t>hereunder</w:t>
      </w:r>
      <w:r>
        <w:rPr>
          <w:rFonts w:ascii="Arial" w:cs="Arial" w:eastAsia="Arial" w:hAnsi="Arial"/>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57" w:lineRule="exact"/>
        <w:rPr>
          <w:rFonts w:ascii="Arial" w:cs="Arial" w:eastAsia="Arial" w:hAnsi="Arial"/>
          <w:sz w:val="20"/>
          <w:szCs w:val="20"/>
          <w:color w:val="auto"/>
        </w:rPr>
      </w:pPr>
    </w:p>
    <w:p>
      <w:pPr>
        <w:ind w:firstLine="1304"/>
        <w:spacing w:after="0" w:line="242" w:lineRule="auto"/>
        <w:tabs>
          <w:tab w:leader="none" w:pos="1932"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53" w:lineRule="exact"/>
        <w:rPr>
          <w:rFonts w:ascii="Arial" w:cs="Arial" w:eastAsia="Arial" w:hAnsi="Arial"/>
          <w:sz w:val="19"/>
          <w:szCs w:val="19"/>
          <w:color w:val="auto"/>
        </w:rPr>
      </w:pPr>
    </w:p>
    <w:p>
      <w:pPr>
        <w:jc w:val="both"/>
        <w:ind w:firstLine="1304"/>
        <w:spacing w:after="0" w:line="224" w:lineRule="auto"/>
        <w:tabs>
          <w:tab w:leader="none" w:pos="1934" w:val="left"/>
        </w:tabs>
        <w:numPr>
          <w:ilvl w:val="1"/>
          <w:numId w:val="185"/>
        </w:numPr>
        <w:rPr>
          <w:rFonts w:ascii="Arial" w:cs="Arial" w:eastAsia="Arial" w:hAnsi="Arial"/>
          <w:sz w:val="19"/>
          <w:szCs w:val="19"/>
          <w:color w:val="auto"/>
        </w:rPr>
      </w:pPr>
      <w:r>
        <w:rPr>
          <w:rFonts w:ascii="Arial" w:cs="Arial" w:eastAsia="Arial" w:hAnsi="Arial"/>
          <w:sz w:val="19"/>
          <w:szCs w:val="19"/>
          <w:color w:val="auto"/>
        </w:rPr>
        <w:t>For all purposes under the Loan Documents, in connection with any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05" w:right="339" w:bottom="1440" w:gutter="0" w:footer="0" w:header="0"/>
        </w:sectPr>
      </w:pPr>
    </w:p>
    <w:bookmarkStart w:id="255" w:name="page256"/>
    <w:bookmarkEnd w:id="255"/>
    <w:p>
      <w:pPr>
        <w:jc w:val="both"/>
        <w:ind w:firstLine="648"/>
        <w:spacing w:after="0" w:line="247" w:lineRule="auto"/>
        <w:rPr>
          <w:sz w:val="20"/>
          <w:szCs w:val="20"/>
          <w:color w:val="auto"/>
        </w:rPr>
      </w:pPr>
      <w:r>
        <w:rPr>
          <w:rFonts w:ascii="Arial" w:cs="Arial" w:eastAsia="Arial" w:hAnsi="Arial"/>
          <w:sz w:val="18"/>
          <w:szCs w:val="18"/>
          <w:b w:val="1"/>
          <w:bCs w:val="1"/>
          <w:color w:val="auto"/>
        </w:rPr>
        <w:t xml:space="preserve">1.3 Rounding. </w:t>
      </w:r>
      <w:r>
        <w:rPr>
          <w:rFonts w:ascii="Arial" w:cs="Arial" w:eastAsia="Arial" w:hAnsi="Arial"/>
          <w:sz w:val="18"/>
          <w:szCs w:val="18"/>
          <w:color w:val="auto"/>
        </w:rPr>
        <w:t>Any financial ratios required to be maintained by the Borrower pursuant to this Agreement shall be calculated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 xml:space="preserve">1.4 Limited Condition Acquisitions. </w:t>
      </w:r>
      <w:r>
        <w:rPr>
          <w:rFonts w:ascii="Arial" w:cs="Arial" w:eastAsia="Arial" w:hAnsi="Arial"/>
          <w:sz w:val="18"/>
          <w:szCs w:val="18"/>
          <w:color w:val="auto"/>
        </w:rPr>
        <w:t>In connection with any action being taken in connection with a Limited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for purposes of determining compliance with any provision of this Agreement which requires the calculation of the Consolidated Senior Secured Leverage Ratio, the Consolidated Total Leverage Ratio, the Consolidated Interest Coverage Ratio or any other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Arial" w:cs="Arial" w:eastAsia="Arial" w:hAnsi="Arial"/>
          <w:sz w:val="18"/>
          <w:szCs w:val="18"/>
          <w:b w:val="1"/>
          <w:bCs w:val="1"/>
          <w:i w:val="1"/>
          <w:iCs w:val="1"/>
          <w:color w:val="auto"/>
        </w:rPr>
        <w:t>LCA Election</w:t>
      </w:r>
      <w:r>
        <w:rPr>
          <w:rFonts w:ascii="Arial" w:cs="Arial" w:eastAsia="Arial" w:hAnsi="Arial"/>
          <w:sz w:val="18"/>
          <w:szCs w:val="18"/>
          <w:color w:val="auto"/>
        </w:rPr>
        <w:t>”), then notwithstanding anything else to the contrary contained in this Agreement, the date of determination of whether any such action is permitted hereunder, shall be deemed to be the date the definitive agreements for such Limited Condition Acquisition are entered into (the “</w:t>
      </w:r>
      <w:r>
        <w:rPr>
          <w:rFonts w:ascii="Arial" w:cs="Arial" w:eastAsia="Arial" w:hAnsi="Arial"/>
          <w:sz w:val="18"/>
          <w:szCs w:val="18"/>
          <w:b w:val="1"/>
          <w:bCs w:val="1"/>
          <w:i w:val="1"/>
          <w:iCs w:val="1"/>
          <w:color w:val="auto"/>
        </w:rPr>
        <w:t>LCA Test Date</w:t>
      </w:r>
      <w:r>
        <w:rPr>
          <w:rFonts w:ascii="Arial" w:cs="Arial" w:eastAsia="Arial" w:hAnsi="Arial"/>
          <w:sz w:val="18"/>
          <w:szCs w:val="18"/>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Holdings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Loan Party or any Subsidiary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8"/>
          <w:szCs w:val="18"/>
          <w:b w:val="1"/>
          <w:bCs w:val="1"/>
          <w:color w:val="auto"/>
        </w:rPr>
        <w:t>Rates</w:t>
      </w:r>
      <w:r>
        <w:rPr>
          <w:rFonts w:ascii="Arial" w:cs="Arial" w:eastAsia="Arial" w:hAnsi="Arial"/>
          <w:sz w:val="18"/>
          <w:szCs w:val="18"/>
          <w:color w:val="auto"/>
        </w:rPr>
        <w:t>. The Administrative Agent does not warrant or accept responsibility for, and shall</w:t>
      </w:r>
    </w:p>
    <w:p>
      <w:pPr>
        <w:jc w:val="both"/>
        <w:spacing w:after="0" w:line="223" w:lineRule="auto"/>
        <w:rPr>
          <w:sz w:val="20"/>
          <w:szCs w:val="20"/>
          <w:color w:val="auto"/>
        </w:rPr>
      </w:pPr>
      <w:r>
        <w:rPr>
          <w:rFonts w:ascii="Arial" w:cs="Arial" w:eastAsia="Arial" w:hAnsi="Arial"/>
          <w:sz w:val="18"/>
          <w:szCs w:val="18"/>
          <w:color w:val="auto"/>
        </w:rPr>
        <w:t>not have any liability with respect to, (a) the continuation of, administration of, submission of, calculation of or any other matter related to ABR, the Benchmark, Adjusted Term SOFR,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Adjusted Term SOFR, the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ABR, the Benchmark,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Adjusted Term SOFR or the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b w:val="1"/>
          <w:bCs w:val="1"/>
          <w:color w:val="auto"/>
        </w:rPr>
        <w:t>1.6 Re-Classification and Incurrence Testing</w:t>
      </w:r>
      <w:r>
        <w:rPr>
          <w:rFonts w:ascii="Arial" w:cs="Arial" w:eastAsia="Arial" w:hAnsi="Arial"/>
          <w:sz w:val="18"/>
          <w:szCs w:val="18"/>
          <w:color w:val="auto"/>
        </w:rPr>
        <w:t>. Notwithstanding anything to the contrary herein, (a) if any incurrence-based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ratios or tests (“</w:t>
      </w:r>
      <w:r>
        <w:rPr>
          <w:rFonts w:ascii="Arial" w:cs="Arial" w:eastAsia="Arial" w:hAnsi="Arial"/>
          <w:sz w:val="18"/>
          <w:szCs w:val="18"/>
          <w:b w:val="1"/>
          <w:bCs w:val="1"/>
          <w:i w:val="1"/>
          <w:iCs w:val="1"/>
          <w:color w:val="auto"/>
        </w:rPr>
        <w:t>Financial Incurrence Tests</w:t>
      </w:r>
      <w:r>
        <w:rPr>
          <w:rFonts w:ascii="Arial" w:cs="Arial" w:eastAsia="Arial" w:hAnsi="Arial"/>
          <w:sz w:val="18"/>
          <w:szCs w:val="18"/>
          <w:color w:val="auto"/>
        </w:rPr>
        <w:t>”) would be satisfied in any subsequent fiscal quarter following the utilization of either</w:t>
      </w:r>
    </w:p>
    <w:p>
      <w:pPr>
        <w:spacing w:after="0" w:line="2" w:lineRule="exact"/>
        <w:rPr>
          <w:sz w:val="20"/>
          <w:szCs w:val="20"/>
          <w:color w:val="auto"/>
        </w:rPr>
      </w:pPr>
    </w:p>
    <w:p>
      <w:pPr>
        <w:ind w:left="240" w:hanging="232"/>
        <w:spacing w:after="0"/>
        <w:tabs>
          <w:tab w:leader="none" w:pos="2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fixed baskets, exceptions or thresholds (including any related builder or grower component) that do not require compliance with 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5520"/>
        <w:spacing w:after="0"/>
        <w:rPr>
          <w:rFonts w:ascii="Arial" w:cs="Arial" w:eastAsia="Arial" w:hAnsi="Arial"/>
          <w:sz w:val="19"/>
          <w:szCs w:val="19"/>
          <w:color w:val="auto"/>
        </w:rPr>
      </w:pPr>
      <w:r>
        <w:rPr>
          <w:rFonts w:ascii="Arial" w:cs="Arial" w:eastAsia="Arial" w:hAnsi="Arial"/>
          <w:sz w:val="20"/>
          <w:szCs w:val="20"/>
          <w:color w:val="auto"/>
        </w:rPr>
        <w:t>38</w:t>
      </w:r>
    </w:p>
    <w:p>
      <w:pPr>
        <w:sectPr>
          <w:pgSz w:w="11900" w:h="16838" w:orient="portrait"/>
          <w:cols w:equalWidth="0" w:num="1">
            <w:col w:w="11240"/>
          </w:cols>
          <w:pgMar w:left="320" w:top="1399" w:right="339" w:bottom="1440" w:gutter="0" w:footer="0" w:header="0"/>
        </w:sectPr>
      </w:pPr>
    </w:p>
    <w:bookmarkStart w:id="256" w:name="page257"/>
    <w:bookmarkEnd w:id="256"/>
    <w:p>
      <w:pPr>
        <w:jc w:val="both"/>
        <w:spacing w:after="0" w:line="224" w:lineRule="auto"/>
        <w:rPr>
          <w:sz w:val="20"/>
          <w:szCs w:val="20"/>
          <w:color w:val="auto"/>
        </w:rPr>
      </w:pPr>
      <w:r>
        <w:rPr>
          <w:rFonts w:ascii="Arial" w:cs="Arial" w:eastAsia="Arial" w:hAnsi="Arial"/>
          <w:sz w:val="18"/>
          <w:szCs w:val="18"/>
          <w:color w:val="auto"/>
        </w:rPr>
        <w:t>financial ratio or test (“</w:t>
      </w:r>
      <w:r>
        <w:rPr>
          <w:rFonts w:ascii="Arial" w:cs="Arial" w:eastAsia="Arial" w:hAnsi="Arial"/>
          <w:sz w:val="18"/>
          <w:szCs w:val="18"/>
          <w:b w:val="1"/>
          <w:bCs w:val="1"/>
          <w:i w:val="1"/>
          <w:iCs w:val="1"/>
          <w:color w:val="auto"/>
        </w:rPr>
        <w:t>Fixed Amounts</w:t>
      </w:r>
      <w:r>
        <w:rPr>
          <w:rFonts w:ascii="Arial" w:cs="Arial" w:eastAsia="Arial" w:hAnsi="Arial"/>
          <w:sz w:val="18"/>
          <w:szCs w:val="18"/>
          <w:color w:val="auto"/>
        </w:rPr>
        <w:t>”) (it being understood that any provision of this Agreement that is expressly limited by a fixed-dollar limitation (including any related builder or grower component) and that includes, as a condition to utilization thereof or to entering into or consummating applicable amounts or transactions in reliance on such provision limited by a fixed-dollar limitation, a requirement of compliance with a Financial Incurrence Test, shall constitute a “Fixed Amount” hereunder) or (ii) baskets, exceptions and thresholds that require compliance with a financial ratio or test (any such amounts, “</w:t>
      </w:r>
      <w:r>
        <w:rPr>
          <w:rFonts w:ascii="Arial" w:cs="Arial" w:eastAsia="Arial" w:hAnsi="Arial"/>
          <w:sz w:val="18"/>
          <w:szCs w:val="18"/>
          <w:b w:val="1"/>
          <w:bCs w:val="1"/>
          <w:i w:val="1"/>
          <w:iCs w:val="1"/>
          <w:color w:val="auto"/>
        </w:rPr>
        <w:t>Incurrence Based Amounts</w:t>
      </w:r>
      <w:r>
        <w:rPr>
          <w:rFonts w:ascii="Arial" w:cs="Arial" w:eastAsia="Arial" w:hAnsi="Arial"/>
          <w:sz w:val="18"/>
          <w:szCs w:val="18"/>
          <w:color w:val="auto"/>
        </w:rPr>
        <w:t>”), then the reclassification of actions or transactions (or portions thereof), including the reclassification of utilization of any Fixed Amounts as incurred under any available Incurrence Based Amounts, shall be deemed to have automatically occurred even if not elected by the Borrower (unless the Borrower otherwise notifies the Administrative Agent) and (b) in calculating any Incurrence Based Amounts (including any Financial Incurrence Tests), any amounts incurred, or transactions entered into or consummated, in reliance on a Fixed Amount in a concurrent transaction, a single transaction or a series of related transactions with the amount incurred, or transaction entered into or consummated, under the applicable Incurrence Based Amount, shall not be given effect in calculating the applicable Incurrence Based Amount (but shall be calculated on a Pro Forma Basis to give effect to all applicable and related transactions (including the use of proceeds of all Indebtedness (but without netting the cash proceeds of any such Indebtedness) to be incurred and any repayments, repurchases and redemptions of Indebtedness)).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2</w:t>
      </w:r>
    </w:p>
    <w:p>
      <w:pPr>
        <w:jc w:val="center"/>
        <w:spacing w:after="0"/>
        <w:rPr>
          <w:sz w:val="20"/>
          <w:szCs w:val="20"/>
          <w:color w:val="auto"/>
        </w:rPr>
      </w:pPr>
      <w:r>
        <w:rPr>
          <w:rFonts w:ascii="Arial" w:cs="Arial" w:eastAsia="Arial" w:hAnsi="Arial"/>
          <w:sz w:val="20"/>
          <w:szCs w:val="20"/>
          <w:b w:val="1"/>
          <w:bCs w:val="1"/>
          <w:color w:val="auto"/>
        </w:rPr>
        <w:t>AMOUNT AND TERMS OF COMMITMENTS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6"/>
          <w:szCs w:val="16"/>
          <w:b w:val="1"/>
          <w:bCs w:val="1"/>
          <w:color w:val="auto"/>
        </w:rPr>
        <w:t>Revolving Commitments.</w:t>
      </w:r>
    </w:p>
    <w:p>
      <w:pPr>
        <w:spacing w:after="0" w:line="181" w:lineRule="exact"/>
        <w:rPr>
          <w:sz w:val="20"/>
          <w:szCs w:val="20"/>
          <w:color w:val="auto"/>
        </w:rPr>
      </w:pPr>
    </w:p>
    <w:p>
      <w:pPr>
        <w:jc w:val="both"/>
        <w:ind w:firstLine="1304"/>
        <w:spacing w:after="0" w:line="224" w:lineRule="auto"/>
        <w:tabs>
          <w:tab w:leader="none" w:pos="193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Prior to the Closing Date, Existing Revolving Loans were made to the Borrower under the Existing Credit Agreement which remain outstanding as of the date of this Agreement. Subject to the terms and conditions set forth in this Agreement, the Borrower and each of the Lenders agree that on the Closing Date but subject to the reallocation and other transactions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10.22</w:t>
      </w:r>
      <w:r>
        <w:rPr>
          <w:rFonts w:ascii="Arial" w:cs="Arial" w:eastAsia="Arial" w:hAnsi="Arial"/>
          <w:sz w:val="18"/>
          <w:szCs w:val="18"/>
          <w:color w:val="auto"/>
        </w:rPr>
        <w:t>, the Existing Revolving Loans shall be reevidenced as Loans under this Agreement and the terms of the Existing Revolving Loans shall be restated in their entirety and shall be evidenced by this Agreement. Subject to the terms and conditions hereof, each Revolving Lender severally agrees to make revolving credit loans in Dollars (each, a “</w:t>
      </w:r>
      <w:r>
        <w:rPr>
          <w:rFonts w:ascii="Arial" w:cs="Arial" w:eastAsia="Arial" w:hAnsi="Arial"/>
          <w:sz w:val="18"/>
          <w:szCs w:val="18"/>
          <w:b w:val="1"/>
          <w:bCs w:val="1"/>
          <w:i w:val="1"/>
          <w:iCs w:val="1"/>
          <w:color w:val="auto"/>
        </w:rPr>
        <w:t>Revolving Loan</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Revolving Loans</w:t>
      </w:r>
      <w:r>
        <w:rPr>
          <w:rFonts w:ascii="Arial" w:cs="Arial" w:eastAsia="Arial" w:hAnsi="Arial"/>
          <w:sz w:val="18"/>
          <w:szCs w:val="18"/>
          <w:color w:val="auto"/>
        </w:rPr>
        <w:t xml:space="preserve">”) to the Borrower from time to time during the Revolving Commitment Period in an aggregate principal amount at any one time outstanding which, when added to the aggregate outstanding amount of the Swingline Loans, the aggregate undrawn amount of all outstanding Letters of Credit, and the aggregate amount of all L/C Disbursements that have not yet been reimbursed or converted into Revolving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2.13</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Borrower shall repay all outstanding Revolving Loans (including all Overadvances) on the Revolving</w:t>
      </w:r>
    </w:p>
    <w:p>
      <w:pPr>
        <w:spacing w:after="0"/>
        <w:rPr>
          <w:rFonts w:ascii="Arial" w:cs="Arial" w:eastAsia="Arial" w:hAnsi="Arial"/>
          <w:sz w:val="20"/>
          <w:szCs w:val="20"/>
          <w:color w:val="auto"/>
        </w:rPr>
      </w:pPr>
      <w:r>
        <w:rPr>
          <w:rFonts w:ascii="Arial" w:cs="Arial" w:eastAsia="Arial" w:hAnsi="Arial"/>
          <w:sz w:val="20"/>
          <w:szCs w:val="20"/>
          <w:color w:val="auto"/>
        </w:rPr>
        <w:t>Termination Date.</w:t>
      </w:r>
    </w:p>
    <w:p>
      <w:pPr>
        <w:spacing w:after="0" w:line="15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b w:val="1"/>
          <w:bCs w:val="1"/>
          <w:color w:val="auto"/>
        </w:rPr>
        <w:t>2.5 Procedure for Revolving Loan Borrowing</w:t>
      </w:r>
      <w:r>
        <w:rPr>
          <w:rFonts w:ascii="Arial" w:cs="Arial" w:eastAsia="Arial" w:hAnsi="Arial"/>
          <w:sz w:val="19"/>
          <w:szCs w:val="19"/>
          <w:color w:val="auto"/>
        </w:rPr>
        <w:t>. The Borrower may borrow under the Revolving Commitments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Revolving Commitment Period on any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give the Administrative Agent an irrevocable Notice of Borrowing (which must be received by the Administrative Agent prior to 12:00 P.M. (a) three (3)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05" w:right="339" w:bottom="1440" w:gutter="0" w:footer="0" w:header="0"/>
        </w:sectPr>
      </w:pPr>
    </w:p>
    <w:bookmarkStart w:id="257" w:name="page258"/>
    <w:bookmarkEnd w:id="257"/>
    <w:p>
      <w:pPr>
        <w:jc w:val="both"/>
        <w:spacing w:after="0" w:line="223" w:lineRule="auto"/>
        <w:rPr>
          <w:sz w:val="20"/>
          <w:szCs w:val="20"/>
          <w:color w:val="auto"/>
        </w:rPr>
      </w:pPr>
      <w:r>
        <w:rPr>
          <w:rFonts w:ascii="Arial" w:cs="Arial" w:eastAsia="Arial" w:hAnsi="Arial"/>
          <w:sz w:val="18"/>
          <w:szCs w:val="18"/>
          <w:color w:val="auto"/>
        </w:rPr>
        <w:t>Business Days prior to the requested Borrowing Date, in the case of SOFR Loans, or (b) one (1) Business Day prior to the requested Borrowing Date, in the case of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of Borrowing of ABR Loans under the Revolving Facility to finance payments under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may be given not later than 12:00 P.M. on the date of the proposed borrowing), in each such case specifying (i) the amount and Type of Revolving Loans to be borrowed, (ii) the requested Borrowing Date, (iii) in the case of SOFR Loans, the respective lengths of the initial Interest Period therefor, and (iv) instructions for remittance of the proceeds of the applicable Loans to be borrowed. If no Interest Period is specified with respect to any requested SOFR Loan, the Borrower shall be deemed to have selected an Interest Period of one month’s duration. Unless otherwise agreed by the Administrative Agent in its sole discretion, no Revolving Loan may be made as, converted into or continued as a SOFR Loan having an Interest Period in excess of one month prior to the date that is 30 days after the Closing Date. Each borrowing under the Revolving Commitments shall be in an amount equal to in the case of ABR Loans, $1,000,000 or a whole multiple of $100,000 in excess thereof (or, if the then aggregate Available Revolving Commitments are less than $1,000,000, such lesser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Swingline Lender may request, on behalf of the Borrower, borrowings under the Revolving Commitments that are ABR Loans in other amounts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Upon receipt of any such Notice of Borrowing from the Borrower, the Administrative Agent shall promptly notify each Revolving Lender thereof. Each Revolving Lender will make the amount of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each such borrowing available to the Administrative Agent for the account of the Borrower at the Revolving Loan Funding Office prior to 12:00 P.M.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15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2.6 Swingline Commitment</w:t>
      </w:r>
      <w:r>
        <w:rPr>
          <w:rFonts w:ascii="Arial" w:cs="Arial" w:eastAsia="Arial" w:hAnsi="Arial"/>
          <w:sz w:val="18"/>
          <w:szCs w:val="18"/>
          <w:color w:val="auto"/>
        </w:rPr>
        <w:t>. Subject to the terms and conditions hereof, the Swingline Lender agrees to make available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credit accommodations otherwise available to the Borrower under the Revolving Commitments from time to time during the Revolving Commitment Period by making swing line loans in Dollars (each a “</w:t>
      </w:r>
      <w:r>
        <w:rPr>
          <w:rFonts w:ascii="Arial" w:cs="Arial" w:eastAsia="Arial" w:hAnsi="Arial"/>
          <w:sz w:val="18"/>
          <w:szCs w:val="18"/>
          <w:b w:val="1"/>
          <w:bCs w:val="1"/>
          <w:i w:val="1"/>
          <w:iCs w:val="1"/>
          <w:color w:val="auto"/>
        </w:rPr>
        <w:t>Swingline Loan</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Swingline Loans</w:t>
      </w:r>
      <w:r>
        <w:rPr>
          <w:rFonts w:ascii="Arial" w:cs="Arial" w:eastAsia="Arial" w:hAnsi="Arial"/>
          <w:sz w:val="18"/>
          <w:szCs w:val="18"/>
          <w:color w:val="auto"/>
        </w:rPr>
        <w:t xml:space="preserv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aggregate amount of the Available Revolving Commitments would be less than zero, and</w:t>
      </w:r>
    </w:p>
    <w:p>
      <w:pPr>
        <w:spacing w:after="0" w:line="2" w:lineRule="exact"/>
        <w:rPr>
          <w:sz w:val="20"/>
          <w:szCs w:val="20"/>
          <w:color w:val="auto"/>
        </w:rPr>
      </w:pPr>
    </w:p>
    <w:p>
      <w:pPr>
        <w:jc w:val="both"/>
        <w:ind w:firstLine="8"/>
        <w:spacing w:after="0" w:line="226" w:lineRule="auto"/>
        <w:tabs>
          <w:tab w:leader="none" w:pos="27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Borrower shall not use the proceeds of any Swingline 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5.2(d)</w:t>
      </w:r>
      <w:r>
        <w:rPr>
          <w:rFonts w:ascii="Arial" w:cs="Arial" w:eastAsia="Arial" w:hAnsi="Arial"/>
          <w:sz w:val="18"/>
          <w:szCs w:val="18"/>
          <w:color w:val="auto"/>
        </w:rPr>
        <w:t>) is not then satisfied and has had a reasonable opportunity to react to such notice and ending when such conditions are satisfied or duly waived.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16"/>
          <w:szCs w:val="16"/>
          <w:b w:val="1"/>
          <w:bCs w:val="1"/>
          <w:color w:val="auto"/>
        </w:rPr>
        <w:t>Procedure for Swingline Borrowing; Refunding of Swingline Loans.</w:t>
      </w:r>
    </w:p>
    <w:p>
      <w:pPr>
        <w:spacing w:after="0" w:line="181" w:lineRule="exact"/>
        <w:rPr>
          <w:sz w:val="20"/>
          <w:szCs w:val="20"/>
          <w:color w:val="auto"/>
        </w:rPr>
      </w:pPr>
    </w:p>
    <w:p>
      <w:pPr>
        <w:jc w:val="both"/>
        <w:ind w:firstLine="1304"/>
        <w:spacing w:after="0" w:line="204" w:lineRule="auto"/>
        <w:tabs>
          <w:tab w:leader="none" w:pos="193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$500,000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05" w:right="339" w:bottom="1440" w:gutter="0" w:footer="0" w:header="0"/>
        </w:sectPr>
      </w:pPr>
    </w:p>
    <w:bookmarkStart w:id="258" w:name="page259"/>
    <w:bookmarkEnd w:id="258"/>
    <w:p>
      <w:pPr>
        <w:spacing w:after="0" w:line="229" w:lineRule="auto"/>
        <w:rPr>
          <w:sz w:val="20"/>
          <w:szCs w:val="20"/>
          <w:color w:val="auto"/>
        </w:rPr>
      </w:pPr>
      <w:r>
        <w:rPr>
          <w:rFonts w:ascii="Arial" w:cs="Arial" w:eastAsia="Arial" w:hAnsi="Arial"/>
          <w:sz w:val="20"/>
          <w:szCs w:val="20"/>
          <w:color w:val="auto"/>
        </w:rPr>
        <w:t xml:space="preserve">refinanced by the advance of a Revolving Loan pursuant to </w:t>
      </w:r>
      <w:r>
        <w:rPr>
          <w:rFonts w:ascii="Arial" w:cs="Arial" w:eastAsia="Arial" w:hAnsi="Arial"/>
          <w:sz w:val="20"/>
          <w:szCs w:val="20"/>
          <w:u w:val="single" w:color="auto"/>
          <w:color w:val="auto"/>
        </w:rPr>
        <w:t>Section 2.7(b)</w:t>
      </w:r>
      <w:r>
        <w:rPr>
          <w:rFonts w:ascii="Arial" w:cs="Arial" w:eastAsia="Arial" w:hAnsi="Arial"/>
          <w:sz w:val="20"/>
          <w:szCs w:val="20"/>
          <w:color w:val="auto"/>
        </w:rPr>
        <w:t>, such Swingline Loan shall be repaid by the Borrower no later than five (5) Business Days after the advance of such Swingline Loan.</w:t>
      </w:r>
    </w:p>
    <w:p>
      <w:pPr>
        <w:spacing w:after="0" w:line="155" w:lineRule="exact"/>
        <w:rPr>
          <w:sz w:val="20"/>
          <w:szCs w:val="20"/>
          <w:color w:val="auto"/>
        </w:rPr>
      </w:pPr>
    </w:p>
    <w:p>
      <w:pPr>
        <w:jc w:val="both"/>
        <w:ind w:firstLine="1304"/>
        <w:spacing w:after="0" w:line="213" w:lineRule="auto"/>
        <w:tabs>
          <w:tab w:leader="none" w:pos="193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Arial" w:cs="Arial" w:eastAsia="Arial" w:hAnsi="Arial"/>
          <w:sz w:val="19"/>
          <w:szCs w:val="19"/>
          <w:b w:val="1"/>
          <w:bCs w:val="1"/>
          <w:i w:val="1"/>
          <w:iCs w:val="1"/>
          <w:color w:val="auto"/>
        </w:rPr>
        <w:t>Refunded Swingline Loan</w:t>
      </w:r>
      <w:r>
        <w:rPr>
          <w:rFonts w:ascii="Arial" w:cs="Arial" w:eastAsia="Arial" w:hAnsi="Arial"/>
          <w:sz w:val="19"/>
          <w:szCs w:val="19"/>
          <w:color w:val="auto"/>
        </w:rPr>
        <w:t>”) outstanding on the date of such notice, to repay the Swingline Lender. Each Revolving Lender shall make the amount of such Revolving Loan available to the Administrative Agent at the Revolving Loan Funding Office in immediately available funds, not later than 12:00 P.M.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57" w:lineRule="exact"/>
        <w:rPr>
          <w:rFonts w:ascii="Arial" w:cs="Arial" w:eastAsia="Arial" w:hAnsi="Arial"/>
          <w:sz w:val="19"/>
          <w:szCs w:val="19"/>
          <w:color w:val="auto"/>
        </w:rPr>
      </w:pPr>
    </w:p>
    <w:p>
      <w:pPr>
        <w:jc w:val="both"/>
        <w:ind w:firstLine="1304"/>
        <w:spacing w:after="0" w:line="216" w:lineRule="auto"/>
        <w:tabs>
          <w:tab w:leader="none" w:pos="1934"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If prior to the time that the Borrower has repaid the Swingline Loans pursuant to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a Revolving Loan has been made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one of the events described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shall have occurred or if for any other reason, as determined by the Swingline Lender in its sole discretion, Revolving Loans may not be made as contemplated by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each Revolving Lender shall, on the date such Revolving Loan was to have been made pursuant to the notice referred to in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Arial" w:cs="Arial" w:eastAsia="Arial" w:hAnsi="Arial"/>
          <w:sz w:val="19"/>
          <w:szCs w:val="19"/>
          <w:b w:val="1"/>
          <w:bCs w:val="1"/>
          <w:i w:val="1"/>
          <w:iCs w:val="1"/>
          <w:color w:val="auto"/>
        </w:rPr>
        <w:t>Swingline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Participation Amount</w:t>
      </w:r>
      <w:r>
        <w:rPr>
          <w:rFonts w:ascii="Arial" w:cs="Arial" w:eastAsia="Arial" w:hAnsi="Arial"/>
          <w:sz w:val="19"/>
          <w:szCs w:val="19"/>
          <w:color w:val="auto"/>
        </w:rPr>
        <w:t>”) equal to (i) such Revolving Lender’s Revolving Percentage</w:t>
      </w:r>
      <w:r>
        <w:rPr>
          <w:rFonts w:ascii="Arial" w:cs="Arial" w:eastAsia="Arial" w:hAnsi="Arial"/>
          <w:sz w:val="19"/>
          <w:szCs w:val="19"/>
          <w:b w:val="1"/>
          <w:bCs w:val="1"/>
          <w:i w:val="1"/>
          <w:iCs w:val="1"/>
          <w:color w:val="auto"/>
        </w:rPr>
        <w:t xml:space="preserve"> </w:t>
      </w:r>
      <w:r>
        <w:rPr>
          <w:rFonts w:ascii="Arial" w:cs="Arial" w:eastAsia="Arial" w:hAnsi="Arial"/>
          <w:sz w:val="19"/>
          <w:szCs w:val="19"/>
          <w:u w:val="single" w:color="auto"/>
          <w:color w:val="auto"/>
        </w:rPr>
        <w:t>times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(ii) the sum of the aggregate principal amount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outstanding Swingline Loans that were to have been repaid with such Revolving Loans.</w:t>
      </w:r>
    </w:p>
    <w:p>
      <w:pPr>
        <w:spacing w:after="0" w:line="154" w:lineRule="exact"/>
        <w:rPr>
          <w:rFonts w:ascii="Arial" w:cs="Arial" w:eastAsia="Arial" w:hAnsi="Arial"/>
          <w:sz w:val="19"/>
          <w:szCs w:val="19"/>
          <w:color w:val="auto"/>
        </w:rPr>
      </w:pPr>
    </w:p>
    <w:p>
      <w:pPr>
        <w:jc w:val="both"/>
        <w:ind w:firstLine="1304"/>
        <w:spacing w:after="0" w:line="229" w:lineRule="auto"/>
        <w:tabs>
          <w:tab w:leader="none" w:pos="193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156" w:lineRule="exact"/>
        <w:rPr>
          <w:rFonts w:ascii="Arial" w:cs="Arial" w:eastAsia="Arial" w:hAnsi="Arial"/>
          <w:sz w:val="18"/>
          <w:szCs w:val="18"/>
          <w:color w:val="auto"/>
        </w:rPr>
      </w:pPr>
    </w:p>
    <w:p>
      <w:pPr>
        <w:jc w:val="both"/>
        <w:ind w:firstLine="1304"/>
        <w:spacing w:after="0" w:line="229" w:lineRule="auto"/>
        <w:tabs>
          <w:tab w:leader="none" w:pos="193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the Loans referred to in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and to purchase participating interests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Arial" w:cs="Arial" w:eastAsia="Arial" w:hAnsi="Arial"/>
          <w:sz w:val="18"/>
          <w:szCs w:val="18"/>
          <w:u w:val="single" w:color="auto"/>
          <w:color w:val="auto"/>
        </w:rPr>
        <w:t>Section 5</w:t>
      </w:r>
      <w:r>
        <w:rPr>
          <w:rFonts w:ascii="Arial" w:cs="Arial" w:eastAsia="Arial" w:hAnsi="Arial"/>
          <w:sz w:val="18"/>
          <w:szCs w:val="18"/>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56" w:lineRule="exact"/>
        <w:rPr>
          <w:rFonts w:ascii="Arial" w:cs="Arial" w:eastAsia="Arial" w:hAnsi="Arial"/>
          <w:sz w:val="18"/>
          <w:szCs w:val="18"/>
          <w:color w:val="auto"/>
        </w:rPr>
      </w:pPr>
    </w:p>
    <w:p>
      <w:pPr>
        <w:jc w:val="both"/>
        <w:ind w:firstLine="1304"/>
        <w:spacing w:after="0" w:line="224" w:lineRule="auto"/>
        <w:tabs>
          <w:tab w:leader="none" w:pos="1939" w:val="left"/>
        </w:tabs>
        <w:numPr>
          <w:ilvl w:val="0"/>
          <w:numId w:val="190"/>
        </w:numPr>
        <w:rPr>
          <w:rFonts w:ascii="Arial" w:cs="Arial" w:eastAsia="Arial" w:hAnsi="Arial"/>
          <w:sz w:val="19"/>
          <w:szCs w:val="19"/>
          <w:color w:val="auto"/>
        </w:rPr>
      </w:pPr>
      <w:r>
        <w:rPr>
          <w:rFonts w:ascii="Arial" w:cs="Arial" w:eastAsia="Arial" w:hAnsi="Arial"/>
          <w:sz w:val="19"/>
          <w:szCs w:val="19"/>
          <w:color w:val="auto"/>
        </w:rPr>
        <w:t>The Swingline Lender may resign at any time by giving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05" w:right="339" w:bottom="1440" w:gutter="0" w:footer="0" w:header="0"/>
        </w:sectPr>
      </w:pPr>
    </w:p>
    <w:bookmarkStart w:id="259" w:name="page260"/>
    <w:bookmarkEnd w:id="259"/>
    <w:p>
      <w:pPr>
        <w:jc w:val="both"/>
        <w:spacing w:after="0" w:line="218" w:lineRule="auto"/>
        <w:rPr>
          <w:sz w:val="20"/>
          <w:szCs w:val="20"/>
          <w:color w:val="auto"/>
        </w:rPr>
      </w:pPr>
      <w:r>
        <w:rPr>
          <w:rFonts w:ascii="Arial" w:cs="Arial" w:eastAsia="Arial" w:hAnsi="Arial"/>
          <w:sz w:val="20"/>
          <w:szCs w:val="20"/>
          <w:color w:val="auto"/>
        </w:rPr>
        <w:t>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Overadvances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17" w:lineRule="auto"/>
        <w:tabs>
          <w:tab w:leader="none" w:pos="1934" w:val="left"/>
        </w:tabs>
        <w:numPr>
          <w:ilvl w:val="0"/>
          <w:numId w:val="191"/>
        </w:numPr>
        <w:rPr>
          <w:rFonts w:ascii="Arial" w:cs="Arial" w:eastAsia="Arial" w:hAnsi="Arial"/>
          <w:sz w:val="19"/>
          <w:szCs w:val="19"/>
          <w:color w:val="auto"/>
        </w:rPr>
      </w:pPr>
      <w:r>
        <w:rPr>
          <w:rFonts w:ascii="Arial" w:cs="Arial" w:eastAsia="Arial" w:hAnsi="Arial"/>
          <w:sz w:val="19"/>
          <w:szCs w:val="19"/>
          <w:color w:val="auto"/>
        </w:rPr>
        <w:t>If at any time or for any reason the aggregate amount of the Total Revolving Extensions of Credit exceeds the amount of the Total Revolving Commitments then in effect (any such excess, an “</w:t>
      </w:r>
      <w:r>
        <w:rPr>
          <w:rFonts w:ascii="Arial" w:cs="Arial" w:eastAsia="Arial" w:hAnsi="Arial"/>
          <w:sz w:val="19"/>
          <w:szCs w:val="19"/>
          <w:b w:val="1"/>
          <w:bCs w:val="1"/>
          <w:i w:val="1"/>
          <w:iCs w:val="1"/>
          <w:color w:val="auto"/>
        </w:rPr>
        <w:t>Overadvance</w:t>
      </w:r>
      <w:r>
        <w:rPr>
          <w:rFonts w:ascii="Arial" w:cs="Arial" w:eastAsia="Arial" w:hAnsi="Arial"/>
          <w:sz w:val="19"/>
          <w:szCs w:val="19"/>
          <w:color w:val="auto"/>
        </w:rPr>
        <w:t xml:space="preserve">”), the Borrower shall, if the amount of such Overadvance is (a) equal or greater than $500,000, immediately pay the full amount of such Overadvance to the Administrative Agent, without notice or demand, or (b) less than $500,000, within one (1) Business Day after the receipt of a request by the Administrative Agent therefore, pay the full amount of such Overadvance to the Administrative Agent, in each case, for application against the Revolving Extensions of Credit in accordance with the terms hereof. Any prepayment of any Revolving Loan that is a SOFR Loan hereunder shall be subject to Borrower’s obligation to pay any amounts owing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16"/>
          <w:szCs w:val="16"/>
          <w:b w:val="1"/>
          <w:bCs w:val="1"/>
          <w:color w:val="auto"/>
        </w:rPr>
        <w:t>Fees.</w:t>
      </w:r>
    </w:p>
    <w:p>
      <w:pPr>
        <w:spacing w:after="0" w:line="181" w:lineRule="exact"/>
        <w:rPr>
          <w:sz w:val="20"/>
          <w:szCs w:val="20"/>
          <w:color w:val="auto"/>
        </w:rPr>
      </w:pPr>
    </w:p>
    <w:p>
      <w:pPr>
        <w:ind w:firstLine="1304"/>
        <w:spacing w:after="0" w:line="229" w:lineRule="auto"/>
        <w:tabs>
          <w:tab w:leader="none" w:pos="1934"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Fee Letter</w:t>
      </w:r>
      <w:r>
        <w:rPr>
          <w:rFonts w:ascii="Arial" w:cs="Arial" w:eastAsia="Arial" w:hAnsi="Arial"/>
          <w:sz w:val="20"/>
          <w:szCs w:val="20"/>
          <w:color w:val="auto"/>
        </w:rPr>
        <w:t>. The Borrower agrees to pay to the Administrative Agent the fees in the amounts and on the dates as set forth in the Fee Letter and to perform any other obligations contained therein.</w:t>
      </w:r>
    </w:p>
    <w:p>
      <w:pPr>
        <w:spacing w:after="0" w:line="155" w:lineRule="exact"/>
        <w:rPr>
          <w:rFonts w:ascii="Arial" w:cs="Arial" w:eastAsia="Arial" w:hAnsi="Arial"/>
          <w:sz w:val="20"/>
          <w:szCs w:val="20"/>
          <w:color w:val="auto"/>
        </w:rPr>
      </w:pPr>
    </w:p>
    <w:p>
      <w:pPr>
        <w:jc w:val="both"/>
        <w:ind w:firstLine="1304"/>
        <w:spacing w:after="0" w:line="228" w:lineRule="auto"/>
        <w:tabs>
          <w:tab w:leader="none" w:pos="1932"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As additional compensation for the Revolving Commitments, the Borrower shall pay to the Administrative Agent for the account of the Lenders, in arrears, on the first day of each calendar quarter of the Borrower prior to the Revolving Termination Date and on the Revolving Termination Date, a fee (the “</w:t>
      </w:r>
      <w:r>
        <w:rPr>
          <w:rFonts w:ascii="Arial" w:cs="Arial" w:eastAsia="Arial" w:hAnsi="Arial"/>
          <w:sz w:val="18"/>
          <w:szCs w:val="18"/>
          <w:b w:val="1"/>
          <w:bCs w:val="1"/>
          <w:i w:val="1"/>
          <w:iCs w:val="1"/>
          <w:color w:val="auto"/>
        </w:rPr>
        <w:t>Commitment Fee</w:t>
      </w:r>
      <w:r>
        <w:rPr>
          <w:rFonts w:ascii="Arial" w:cs="Arial" w:eastAsia="Arial" w:hAnsi="Arial"/>
          <w:sz w:val="18"/>
          <w:szCs w:val="18"/>
          <w:color w:val="auto"/>
        </w:rPr>
        <w:t xml:space="preserve">”) for the Borrower’s non-use of available funds in an amount equal to the Commitment Fee Rate per annum multiplied by the </w:t>
      </w:r>
      <w:r>
        <w:rPr>
          <w:rFonts w:ascii="Arial" w:cs="Arial" w:eastAsia="Arial" w:hAnsi="Arial"/>
          <w:sz w:val="18"/>
          <w:szCs w:val="18"/>
          <w:u w:val="single" w:color="auto"/>
          <w:color w:val="auto"/>
        </w:rPr>
        <w:t>difference</w:t>
      </w:r>
      <w:r>
        <w:rPr>
          <w:rFonts w:ascii="Arial" w:cs="Arial" w:eastAsia="Arial" w:hAnsi="Arial"/>
          <w:sz w:val="18"/>
          <w:szCs w:val="18"/>
          <w:color w:val="auto"/>
        </w:rPr>
        <w:t xml:space="preserve"> between (x) the Total Revolving Commitments (as they may be reduced or increased from time to time) and (y) the sum of (A) the average for the period of the daily closing balance of the Revolving Loans outstanding,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at such time.</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Fees Nonrefundable</w:t>
      </w:r>
      <w:r>
        <w:rPr>
          <w:rFonts w:ascii="Arial" w:cs="Arial" w:eastAsia="Arial" w:hAnsi="Arial"/>
          <w:sz w:val="20"/>
          <w:szCs w:val="20"/>
          <w:color w:val="auto"/>
        </w:rPr>
        <w:t xml:space="preserve">. All fees payable under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shall be fully earned on the date paid and</w:t>
      </w:r>
    </w:p>
    <w:p>
      <w:pPr>
        <w:spacing w:after="0"/>
        <w:rPr>
          <w:rFonts w:ascii="Arial" w:cs="Arial" w:eastAsia="Arial" w:hAnsi="Arial"/>
          <w:sz w:val="20"/>
          <w:szCs w:val="20"/>
          <w:color w:val="auto"/>
        </w:rPr>
      </w:pPr>
      <w:r>
        <w:rPr>
          <w:rFonts w:ascii="Arial" w:cs="Arial" w:eastAsia="Arial" w:hAnsi="Arial"/>
          <w:sz w:val="20"/>
          <w:szCs w:val="20"/>
          <w:color w:val="auto"/>
        </w:rPr>
        <w:t>nonrefundable.</w:t>
      </w:r>
    </w:p>
    <w:p>
      <w:pPr>
        <w:spacing w:after="0" w:line="159" w:lineRule="exact"/>
        <w:rPr>
          <w:rFonts w:ascii="Arial" w:cs="Arial" w:eastAsia="Arial" w:hAnsi="Arial"/>
          <w:sz w:val="20"/>
          <w:szCs w:val="20"/>
          <w:color w:val="auto"/>
        </w:rPr>
      </w:pPr>
    </w:p>
    <w:p>
      <w:pPr>
        <w:ind w:firstLine="1304"/>
        <w:spacing w:after="0" w:line="229" w:lineRule="auto"/>
        <w:tabs>
          <w:tab w:leader="none" w:pos="1932"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Increase in Fees</w:t>
      </w:r>
      <w:r>
        <w:rPr>
          <w:rFonts w:ascii="Arial" w:cs="Arial" w:eastAsia="Arial" w:hAnsi="Arial"/>
          <w:sz w:val="20"/>
          <w:szCs w:val="20"/>
          <w:color w:val="auto"/>
        </w:rPr>
        <w:t>. At any time that an Event of Default exists, upon the request of the Required Lenders, the amount of any of the foregoing fees due under subsection (b) shall be increased by adding 2.0% per annum thereto.</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2.10</w:t>
      </w:r>
      <w:r>
        <w:rPr>
          <w:sz w:val="20"/>
          <w:szCs w:val="20"/>
          <w:color w:val="auto"/>
        </w:rPr>
        <w:tab/>
      </w:r>
      <w:r>
        <w:rPr>
          <w:rFonts w:ascii="Arial" w:cs="Arial" w:eastAsia="Arial" w:hAnsi="Arial"/>
          <w:sz w:val="16"/>
          <w:szCs w:val="16"/>
          <w:b w:val="1"/>
          <w:bCs w:val="1"/>
          <w:color w:val="auto"/>
        </w:rPr>
        <w:t>Termination or Reduction of Revolving Commitments; Prepayments.</w:t>
      </w:r>
    </w:p>
    <w:p>
      <w:pPr>
        <w:spacing w:after="0" w:line="181"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19"/>
          <w:szCs w:val="19"/>
          <w:color w:val="auto"/>
        </w:rPr>
        <w:t xml:space="preserve">The Borrower shall have the right, without penalty or premium, upon not less than three (3) Business Days’ notice to the Administrative Agent, to terminate the Revolving Commitments or, from time to time, to reduce the amount of the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or reduction of the Revolving Commitments shall be permitted if, after giving effect thereto and to any prepayments of the Revolving Loans and Swingline Loans made on the effective date thereof (which prepayments may be made without penalty or premium other than any amounts owing (if any)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the Total Revolving Extensions of Credit then outstanding would exceed the Total Revolving Commitments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indicates that such termination or reduction is conditioned on the occurrence of a transaction it may be revoked if such transaction is not consummated. Any such reduction shall be in an amount equal to $1,000,000, or a whole multiple thereof (or, if the then Total Revolving Commitments are less than $1,000,000, such lesser amount), and shall reduce permanently the Revolving Commitments then in effect; </w:t>
      </w:r>
      <w:r>
        <w:rPr>
          <w:rFonts w:ascii="Arial" w:cs="Arial" w:eastAsia="Arial" w:hAnsi="Arial"/>
          <w:sz w:val="19"/>
          <w:szCs w:val="19"/>
          <w:u w:val="single" w:color="auto"/>
          <w:color w:val="auto"/>
        </w:rPr>
        <w:t>provided further</w:t>
      </w:r>
      <w:r>
        <w:rPr>
          <w:rFonts w:ascii="Arial" w:cs="Arial" w:eastAsia="Arial" w:hAnsi="Arial"/>
          <w:sz w:val="19"/>
          <w:szCs w:val="19"/>
          <w:color w:val="auto"/>
        </w:rPr>
        <w:t>, if in connection with any such reduction or termination of the Revolving Commitments a SOFR Loan is prepaid on any day other than the last day of the Interest Period applicable thereto, the Borrower shall also pay any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05" w:right="339" w:bottom="1440" w:gutter="0" w:footer="0" w:header="0"/>
        </w:sectPr>
      </w:pPr>
    </w:p>
    <w:bookmarkStart w:id="260" w:name="page261"/>
    <w:bookmarkEnd w:id="260"/>
    <w:p>
      <w:pPr>
        <w:jc w:val="both"/>
        <w:spacing w:after="0" w:line="203" w:lineRule="auto"/>
        <w:rPr>
          <w:sz w:val="20"/>
          <w:szCs w:val="20"/>
          <w:color w:val="auto"/>
        </w:rPr>
      </w:pPr>
      <w:r>
        <w:rPr>
          <w:rFonts w:ascii="Arial" w:cs="Arial" w:eastAsia="Arial" w:hAnsi="Arial"/>
          <w:sz w:val="20"/>
          <w:szCs w:val="20"/>
          <w:color w:val="auto"/>
        </w:rPr>
        <w:t xml:space="preserve">owing (if any)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The Borrower shall have the right, without penalty or premium, upon not less than three (3) Business Days’ notice to the Administrative Agent, to terminate the L/C Commitments or, from time to time, to reduce the amount of the L/C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L/C Commitments are less than $1,000,000, such lesser amount), and shall reduce permanently the L/C Commitments then in effect. The Borrower shall have the right, without penalty or premium other than any amounts owing (if any)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at any time and from time to time to prepay any Loan in whole or in part, upon not less than three (3) Business Days’ notice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notice indicates that such prepayment is conditioned on the occurrence of a transaction it may be revoked if such transaction is not consummated. Upon receipt of any such notice, the Administrative Agent shall promptly notify each relevant Lender thereof.</w:t>
      </w:r>
    </w:p>
    <w:p>
      <w:pPr>
        <w:spacing w:after="0" w:line="14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2.13</w:t>
      </w:r>
      <w:r>
        <w:rPr>
          <w:sz w:val="20"/>
          <w:szCs w:val="20"/>
          <w:color w:val="auto"/>
        </w:rPr>
        <w:tab/>
      </w:r>
      <w:r>
        <w:rPr>
          <w:rFonts w:ascii="Arial" w:cs="Arial" w:eastAsia="Arial" w:hAnsi="Arial"/>
          <w:sz w:val="16"/>
          <w:szCs w:val="16"/>
          <w:b w:val="1"/>
          <w:bCs w:val="1"/>
          <w:color w:val="auto"/>
        </w:rPr>
        <w:t>Conversion and Continuation Options.</w:t>
      </w:r>
    </w:p>
    <w:p>
      <w:pPr>
        <w:spacing w:after="0" w:line="181" w:lineRule="exact"/>
        <w:rPr>
          <w:sz w:val="20"/>
          <w:szCs w:val="20"/>
          <w:color w:val="auto"/>
        </w:rPr>
      </w:pPr>
    </w:p>
    <w:p>
      <w:pPr>
        <w:jc w:val="both"/>
        <w:ind w:firstLine="1304"/>
        <w:spacing w:after="0" w:line="214" w:lineRule="auto"/>
        <w:tabs>
          <w:tab w:leader="none" w:pos="1934"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SOFR Loans to ABR Loans by giving the Administrative Agent prior irrevocable notice in a Notice of Conversion/Continuation of such election no later than 12:00 P.M. one (1) Business Day prior to the proposed conversion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SOFR Loans may only be made on the last day of an Interest Period with respect thereto. The Borrower may elect from time to time to convert ABR Loans to SOFR Loans by giving the Administrative Agent prior irrevocable notice in a Notice of Conversion/Continuation of such election no later than 12:00 P.M. three (3) U.S. Government Securities Business Days prior to the proposed conversion date (which notice shall specify the length of the initial Interest Period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 in a Notice of Conversion/Continuation delivered by the Borrower to the Administrative Agent, the Borrower shall be deemed to have selected an Interest Period of one month’s duration.</w:t>
      </w:r>
    </w:p>
    <w:p>
      <w:pPr>
        <w:spacing w:after="0" w:line="157" w:lineRule="exact"/>
        <w:rPr>
          <w:rFonts w:ascii="Arial" w:cs="Arial" w:eastAsia="Arial" w:hAnsi="Arial"/>
          <w:sz w:val="19"/>
          <w:szCs w:val="19"/>
          <w:color w:val="auto"/>
        </w:rPr>
      </w:pPr>
    </w:p>
    <w:p>
      <w:pPr>
        <w:jc w:val="both"/>
        <w:ind w:firstLine="1304"/>
        <w:spacing w:after="0" w:line="215" w:lineRule="auto"/>
        <w:tabs>
          <w:tab w:leader="none" w:pos="193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length of the next Interest Period to be applicable to such SOFR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SOFR Loan may be continued as such when any Event of Default has occurred and is continuing;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55" w:lineRule="exact"/>
        <w:rPr>
          <w:rFonts w:ascii="Arial" w:cs="Arial" w:eastAsia="Arial" w:hAnsi="Arial"/>
          <w:sz w:val="19"/>
          <w:szCs w:val="19"/>
          <w:color w:val="auto"/>
        </w:rPr>
      </w:pPr>
    </w:p>
    <w:p>
      <w:pPr>
        <w:jc w:val="both"/>
        <w:ind w:firstLine="1304"/>
        <w:spacing w:after="0" w:line="210" w:lineRule="auto"/>
        <w:tabs>
          <w:tab w:leader="none" w:pos="193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 Conversion/Continuation given by the Borrower with respect to a requested conversion/continuation that has not yet occurred shall, at the Administrative Agent’s option, be deemed to be rescinded by the Borrower and be deemed a request to convert or continue Loans referred to therein as ABR Loans.</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2.14 Limitations on SOFR Tranches</w:t>
      </w:r>
      <w:r>
        <w:rPr>
          <w:rFonts w:ascii="Arial" w:cs="Arial" w:eastAsia="Arial" w:hAnsi="Arial"/>
          <w:sz w:val="20"/>
          <w:szCs w:val="20"/>
          <w:color w:val="auto"/>
        </w:rPr>
        <w:t>. Notwithstanding anything to the contrary in this Agreement, all borrowings, conversions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continuations of SOFR Loans and all selections of Interest Periods shall be in such amounts and be made pursuant to such elections so that, (a)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05" w:right="339" w:bottom="1440" w:gutter="0" w:footer="0" w:header="0"/>
        </w:sectPr>
      </w:pPr>
    </w:p>
    <w:bookmarkStart w:id="261" w:name="page262"/>
    <w:bookmarkEnd w:id="261"/>
    <w:p>
      <w:pPr>
        <w:spacing w:after="0" w:line="242" w:lineRule="auto"/>
        <w:rPr>
          <w:sz w:val="20"/>
          <w:szCs w:val="20"/>
          <w:color w:val="auto"/>
        </w:rPr>
      </w:pPr>
      <w:r>
        <w:rPr>
          <w:rFonts w:ascii="Arial" w:cs="Arial" w:eastAsia="Arial" w:hAnsi="Arial"/>
          <w:sz w:val="19"/>
          <w:szCs w:val="19"/>
          <w:color w:val="auto"/>
        </w:rPr>
        <w:t>thereto, the aggregate principal amount of the SOFR Loans comprising each SOFR Tranche shall be equal to $1,000,000 or a whole multiple of $100,000 in excess thereof, and (b) no more than seven (7) SOFR Tranches shall be outstanding at any one time.</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6"/>
          <w:szCs w:val="16"/>
          <w:b w:val="1"/>
          <w:bCs w:val="1"/>
          <w:color w:val="auto"/>
        </w:rPr>
        <w:t>Interest Rates and Payment Dates.</w:t>
      </w:r>
    </w:p>
    <w:p>
      <w:pPr>
        <w:spacing w:after="0" w:line="181" w:lineRule="exact"/>
        <w:rPr>
          <w:sz w:val="20"/>
          <w:szCs w:val="20"/>
          <w:color w:val="auto"/>
        </w:rPr>
      </w:pPr>
    </w:p>
    <w:p>
      <w:pPr>
        <w:ind w:firstLine="1304"/>
        <w:spacing w:after="0" w:line="229" w:lineRule="auto"/>
        <w:tabs>
          <w:tab w:leader="none" w:pos="193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Each SOFR Loan shall bear interest for each day during each Interest Period with respect thereto at a rate per annum equal to (i) Adjusted Term SOFR for the Interest Period therefor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Margin.</w:t>
      </w:r>
    </w:p>
    <w:p>
      <w:pPr>
        <w:spacing w:after="0" w:line="153" w:lineRule="exact"/>
        <w:rPr>
          <w:rFonts w:ascii="Arial" w:cs="Arial" w:eastAsia="Arial" w:hAnsi="Arial"/>
          <w:sz w:val="20"/>
          <w:szCs w:val="20"/>
          <w:color w:val="auto"/>
        </w:rPr>
      </w:pPr>
    </w:p>
    <w:p>
      <w:pPr>
        <w:ind w:left="1940" w:hanging="636"/>
        <w:spacing w:after="0"/>
        <w:tabs>
          <w:tab w:leader="none" w:pos="19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Each ABR Loan (including any Swingline Loan) shall bear interest at a rate per annum equal to (i) the ABR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w:t>
      </w:r>
    </w:p>
    <w:p>
      <w:pPr>
        <w:spacing w:after="0"/>
        <w:rPr>
          <w:rFonts w:ascii="Arial" w:cs="Arial" w:eastAsia="Arial" w:hAnsi="Arial"/>
          <w:sz w:val="18"/>
          <w:szCs w:val="18"/>
          <w:color w:val="auto"/>
        </w:rPr>
      </w:pPr>
      <w:r>
        <w:rPr>
          <w:rFonts w:ascii="Arial" w:cs="Arial" w:eastAsia="Arial" w:hAnsi="Arial"/>
          <w:sz w:val="20"/>
          <w:szCs w:val="20"/>
          <w:color w:val="auto"/>
        </w:rPr>
        <w:t>the Applicable Margin.</w:t>
      </w:r>
    </w:p>
    <w:p>
      <w:pPr>
        <w:spacing w:after="0" w:line="159" w:lineRule="exact"/>
        <w:rPr>
          <w:rFonts w:ascii="Arial" w:cs="Arial" w:eastAsia="Arial" w:hAnsi="Arial"/>
          <w:sz w:val="18"/>
          <w:szCs w:val="18"/>
          <w:color w:val="auto"/>
        </w:rPr>
      </w:pPr>
    </w:p>
    <w:p>
      <w:pPr>
        <w:jc w:val="both"/>
        <w:ind w:firstLine="1304"/>
        <w:spacing w:after="0" w:line="236" w:lineRule="auto"/>
        <w:tabs>
          <w:tab w:leader="none" w:pos="193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During the continuance of an Event of Default, at the request of the Required Lenders, all outstanding Loans shall bear interest at a rate per annum equal to the rate that would otherwise be applicable thereto pursuant to the foregoing provisions of this Section plus 2.00% (the “</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Default Rate shall apply to all outstanding Loans automatically and without any Required Lender consent therefor upon the occurrence of any Event of Default arising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4"/>
        <w:spacing w:after="0" w:line="213" w:lineRule="auto"/>
        <w:tabs>
          <w:tab w:leader="none" w:pos="1932"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interest accruing pursuant to </w:t>
      </w:r>
      <w:r>
        <w:rPr>
          <w:rFonts w:ascii="Arial" w:cs="Arial" w:eastAsia="Arial" w:hAnsi="Arial"/>
          <w:sz w:val="20"/>
          <w:szCs w:val="20"/>
          <w:u w:val="single" w:color="auto"/>
          <w:color w:val="auto"/>
        </w:rPr>
        <w:t>Section 2.15(c)</w:t>
      </w:r>
      <w:r>
        <w:rPr>
          <w:rFonts w:ascii="Arial" w:cs="Arial" w:eastAsia="Arial" w:hAnsi="Arial"/>
          <w:sz w:val="20"/>
          <w:szCs w:val="20"/>
          <w:color w:val="auto"/>
        </w:rPr>
        <w:t xml:space="preserve"> shall be payable from time to time on demand and (y) in the event of any conversion of any SOFR Loan prior to the end of the Interest Period therefor, accrued interest on such SOFR Loan and any amounts owing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shall be payable on the effective date of such conversion.</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6"/>
          <w:szCs w:val="16"/>
          <w:b w:val="1"/>
          <w:bCs w:val="1"/>
          <w:color w:val="auto"/>
        </w:rPr>
        <w:t>Computation of Interest and Fees.</w:t>
      </w:r>
    </w:p>
    <w:p>
      <w:pPr>
        <w:spacing w:after="0" w:line="181" w:lineRule="exact"/>
        <w:rPr>
          <w:sz w:val="20"/>
          <w:szCs w:val="20"/>
          <w:color w:val="auto"/>
        </w:rPr>
      </w:pPr>
    </w:p>
    <w:p>
      <w:pPr>
        <w:jc w:val="both"/>
        <w:ind w:firstLine="1304"/>
        <w:spacing w:after="0" w:line="217" w:lineRule="auto"/>
        <w:tabs>
          <w:tab w:leader="none" w:pos="193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All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6"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21" w:lineRule="auto"/>
        <w:tabs>
          <w:tab w:leader="none" w:pos="1934" w:val="left"/>
        </w:tabs>
        <w:numPr>
          <w:ilvl w:val="0"/>
          <w:numId w:val="195"/>
        </w:numPr>
        <w:rPr>
          <w:rFonts w:ascii="Arial" w:cs="Arial" w:eastAsia="Arial" w:hAnsi="Arial"/>
          <w:sz w:val="19"/>
          <w:szCs w:val="19"/>
          <w:color w:val="auto"/>
        </w:rPr>
      </w:pPr>
      <w:r>
        <w:rPr>
          <w:rFonts w:ascii="Arial" w:cs="Arial" w:eastAsia="Arial" w:hAnsi="Arial"/>
          <w:sz w:val="19"/>
          <w:szCs w:val="19"/>
          <w:color w:val="auto"/>
        </w:rPr>
        <w:t>In connection with the use or administration of any Benchmark, the Administrative Agent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2.17</w:t>
      </w:r>
      <w:r>
        <w:rPr>
          <w:sz w:val="20"/>
          <w:szCs w:val="20"/>
          <w:color w:val="auto"/>
        </w:rPr>
        <w:tab/>
      </w:r>
      <w:r>
        <w:rPr>
          <w:rFonts w:ascii="Arial" w:cs="Arial" w:eastAsia="Arial" w:hAnsi="Arial"/>
          <w:sz w:val="18"/>
          <w:szCs w:val="18"/>
          <w:b w:val="1"/>
          <w:bCs w:val="1"/>
          <w:color w:val="auto"/>
        </w:rPr>
        <w:t>Inability to Determine Interest Rate; Benchmark Replacement Setting.</w:t>
      </w:r>
    </w:p>
    <w:p>
      <w:pPr>
        <w:spacing w:after="0" w:line="181" w:lineRule="exact"/>
        <w:rPr>
          <w:sz w:val="20"/>
          <w:szCs w:val="20"/>
          <w:color w:val="auto"/>
        </w:rPr>
      </w:pPr>
    </w:p>
    <w:p>
      <w:pPr>
        <w:ind w:left="1940" w:hanging="636"/>
        <w:spacing w:after="0"/>
        <w:tabs>
          <w:tab w:leader="none" w:pos="1940" w:val="left"/>
        </w:tabs>
        <w:numPr>
          <w:ilvl w:val="0"/>
          <w:numId w:val="196"/>
        </w:numPr>
        <w:rPr>
          <w:rFonts w:ascii="Arial" w:cs="Arial" w:eastAsia="Arial" w:hAnsi="Arial"/>
          <w:sz w:val="20"/>
          <w:szCs w:val="20"/>
          <w:color w:val="auto"/>
        </w:rPr>
      </w:pPr>
      <w:r>
        <w:rPr>
          <w:rFonts w:ascii="Arial" w:cs="Arial" w:eastAsia="Arial" w:hAnsi="Arial"/>
          <w:sz w:val="20"/>
          <w:szCs w:val="20"/>
          <w:u w:val="single" w:color="auto"/>
          <w:color w:val="auto"/>
        </w:rPr>
        <w:t>Inability to Determine Interest Rate</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2.17(b)</w:t>
      </w:r>
      <w:r>
        <w:rPr>
          <w:rFonts w:ascii="Arial" w:cs="Arial" w:eastAsia="Arial" w:hAnsi="Arial"/>
          <w:sz w:val="20"/>
          <w:szCs w:val="20"/>
          <w:color w:val="auto"/>
        </w:rPr>
        <w:t>, if.</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05" w:right="339" w:bottom="1440" w:gutter="0" w:footer="0" w:header="0"/>
        </w:sectPr>
      </w:pPr>
    </w:p>
    <w:bookmarkStart w:id="262" w:name="page263"/>
    <w:bookmarkEnd w:id="262"/>
    <w:p>
      <w:pPr>
        <w:ind w:firstLine="1952"/>
        <w:spacing w:after="0" w:line="229" w:lineRule="auto"/>
        <w:tabs>
          <w:tab w:leader="none" w:pos="259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“Adjusted Term SOFR” cannot be determined pursuant to the definition thereof, or</w:t>
      </w:r>
    </w:p>
    <w:p>
      <w:pPr>
        <w:spacing w:after="0" w:line="155" w:lineRule="exact"/>
        <w:rPr>
          <w:rFonts w:ascii="Arial" w:cs="Arial" w:eastAsia="Arial" w:hAnsi="Arial"/>
          <w:sz w:val="20"/>
          <w:szCs w:val="20"/>
          <w:color w:val="auto"/>
        </w:rPr>
      </w:pPr>
    </w:p>
    <w:p>
      <w:pPr>
        <w:jc w:val="both"/>
        <w:ind w:firstLine="1952"/>
        <w:spacing w:after="0" w:line="213" w:lineRule="auto"/>
        <w:tabs>
          <w:tab w:leader="none" w:pos="2591"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Required Lenders have provided notice of such determination to the Administrative Agent,</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Administrative Agent will promptly so notify the Borrower and each Lender. Upon notice thereof by the Administrative Agent to the Borrower, any obligation of the Lenders to make and any right of the Borrower to continue SOFR Loans or to convert ABR Loans to SOFR Loans shall be suspended (to the extent of the affected SOFR Loans or, in the case of a Term SOFR Borrowing, the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in the case of a Term SOFR Borrowing, the affected Interest Periods) or, failing that, the Borrower will be deemed to have converted any such request into a request for a borrowing of or conversion to ABR Loans in the amount specified therein and</w:t>
      </w:r>
    </w:p>
    <w:p>
      <w:pPr>
        <w:spacing w:after="0" w:line="3" w:lineRule="exact"/>
        <w:rPr>
          <w:sz w:val="20"/>
          <w:szCs w:val="20"/>
          <w:color w:val="auto"/>
        </w:rPr>
      </w:pPr>
    </w:p>
    <w:p>
      <w:pPr>
        <w:jc w:val="both"/>
        <w:ind w:firstLine="8"/>
        <w:spacing w:after="0" w:line="227" w:lineRule="auto"/>
        <w:tabs>
          <w:tab w:leader="none" w:pos="31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any outstanding affected SOFR Loans will be deemed to have been converted into ABR Loans immediately or, in the case of a Term SOFR Borrowing, at the end of the applicable Interest Period. Upon any such conversion, the Borrower shall also pay accrued interest on the amount so converted, together with any additional amounts required pursuant to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if the Administrative Agent determines (which determination shall be conclusive and binding absent manifest error) that “Term SOFR” cannot be determined pursuant to the definition thereof, in each case on any given day, the interest rate on ABR Loans shall be determined by the Administrative Agent without reference to clause (c) of the definition of “ABR” until the Administrative Agent revokes such determination.</w:t>
      </w:r>
    </w:p>
    <w:p>
      <w:pPr>
        <w:spacing w:after="0" w:line="159" w:lineRule="exact"/>
        <w:rPr>
          <w:rFonts w:ascii="Arial" w:cs="Arial" w:eastAsia="Arial" w:hAnsi="Arial"/>
          <w:sz w:val="18"/>
          <w:szCs w:val="18"/>
          <w:color w:val="auto"/>
        </w:rPr>
      </w:pPr>
    </w:p>
    <w:p>
      <w:pPr>
        <w:ind w:left="1940" w:hanging="636"/>
        <w:spacing w:after="0"/>
        <w:tabs>
          <w:tab w:leader="none" w:pos="1940" w:val="left"/>
        </w:tabs>
        <w:numPr>
          <w:ilvl w:val="1"/>
          <w:numId w:val="198"/>
        </w:numPr>
        <w:rPr>
          <w:rFonts w:ascii="Arial" w:cs="Arial" w:eastAsia="Arial" w:hAnsi="Arial"/>
          <w:sz w:val="20"/>
          <w:szCs w:val="20"/>
          <w:color w:val="auto"/>
        </w:rPr>
      </w:pP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952"/>
        <w:spacing w:after="0" w:line="213" w:lineRule="auto"/>
        <w:tabs>
          <w:tab w:leader="none" w:pos="2590" w:val="left"/>
        </w:tabs>
        <w:numPr>
          <w:ilvl w:val="2"/>
          <w:numId w:val="198"/>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7" w:lineRule="exact"/>
        <w:rPr>
          <w:rFonts w:ascii="Arial" w:cs="Arial" w:eastAsia="Arial" w:hAnsi="Arial"/>
          <w:sz w:val="19"/>
          <w:szCs w:val="19"/>
          <w:color w:val="auto"/>
        </w:rPr>
      </w:pPr>
    </w:p>
    <w:p>
      <w:pPr>
        <w:jc w:val="both"/>
        <w:ind w:firstLine="1952"/>
        <w:spacing w:after="0" w:line="236" w:lineRule="auto"/>
        <w:tabs>
          <w:tab w:leader="none" w:pos="2591" w:val="left"/>
        </w:tabs>
        <w:numPr>
          <w:ilvl w:val="2"/>
          <w:numId w:val="198"/>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7" w:lineRule="exact"/>
        <w:rPr>
          <w:rFonts w:ascii="Arial" w:cs="Arial" w:eastAsia="Arial" w:hAnsi="Arial"/>
          <w:sz w:val="18"/>
          <w:szCs w:val="18"/>
          <w:color w:val="auto"/>
        </w:rPr>
      </w:pPr>
    </w:p>
    <w:p>
      <w:pPr>
        <w:jc w:val="both"/>
        <w:ind w:firstLine="1952"/>
        <w:spacing w:after="0" w:line="218" w:lineRule="auto"/>
        <w:tabs>
          <w:tab w:leader="none" w:pos="2592" w:val="left"/>
        </w:tabs>
        <w:numPr>
          <w:ilvl w:val="2"/>
          <w:numId w:val="198"/>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The Administrative Agent will promptly notify the Borrower and the Lenders of (i) the implementation of any Benchmark Replacement and (ii) the effectiveness of any Conforming Changes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05" w:right="339" w:bottom="1440" w:gutter="0" w:footer="0" w:header="0"/>
        </w:sectPr>
      </w:pPr>
    </w:p>
    <w:bookmarkStart w:id="263" w:name="page264"/>
    <w:bookmarkEnd w:id="263"/>
    <w:p>
      <w:pPr>
        <w:jc w:val="both"/>
        <w:spacing w:after="0" w:line="217" w:lineRule="auto"/>
        <w:rPr>
          <w:sz w:val="20"/>
          <w:szCs w:val="20"/>
          <w:color w:val="auto"/>
        </w:rPr>
      </w:pPr>
      <w:r>
        <w:rPr>
          <w:rFonts w:ascii="Arial" w:cs="Arial" w:eastAsia="Arial" w:hAnsi="Arial"/>
          <w:sz w:val="19"/>
          <w:szCs w:val="19"/>
          <w:color w:val="auto"/>
        </w:rPr>
        <w:t xml:space="preserve">use, administration, adoption or implementation of a Benchmark Replacement. The Administrative Agent will promptly notify the Borrower of the removal or reinstatement of any tenor of a Benchmark pursuant to </w:t>
      </w:r>
      <w:r>
        <w:rPr>
          <w:rFonts w:ascii="Arial" w:cs="Arial" w:eastAsia="Arial" w:hAnsi="Arial"/>
          <w:sz w:val="19"/>
          <w:szCs w:val="19"/>
          <w:u w:val="single" w:color="auto"/>
          <w:color w:val="auto"/>
        </w:rPr>
        <w:t>Section 2.17(b)(iv)</w:t>
      </w:r>
      <w:r>
        <w:rPr>
          <w:rFonts w:ascii="Arial" w:cs="Arial" w:eastAsia="Arial" w:hAnsi="Arial"/>
          <w:sz w:val="19"/>
          <w:szCs w:val="19"/>
          <w:color w:val="auto"/>
        </w:rPr>
        <w:t xml:space="preserve">. Any determination, decision or election that may be made by the Administrative Agent or, if applicable, any Lender (or group of Lenders) pursuant to this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2.17(b)</w:t>
      </w:r>
      <w:r>
        <w:rPr>
          <w:rFonts w:ascii="Arial" w:cs="Arial" w:eastAsia="Arial" w:hAnsi="Arial"/>
          <w:sz w:val="19"/>
          <w:szCs w:val="19"/>
          <w:color w:val="auto"/>
        </w:rPr>
        <w:t>.</w:t>
      </w:r>
    </w:p>
    <w:p>
      <w:pPr>
        <w:spacing w:after="0" w:line="156" w:lineRule="exact"/>
        <w:rPr>
          <w:sz w:val="20"/>
          <w:szCs w:val="20"/>
          <w:color w:val="auto"/>
        </w:rPr>
      </w:pPr>
    </w:p>
    <w:p>
      <w:pPr>
        <w:jc w:val="both"/>
        <w:ind w:firstLine="1952"/>
        <w:spacing w:after="0" w:line="224" w:lineRule="auto"/>
        <w:tabs>
          <w:tab w:leader="none" w:pos="2581"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Unavailability of Tenor of Benchmark</w:t>
      </w:r>
      <w:r>
        <w:rPr>
          <w:rFonts w:ascii="Arial" w:cs="Arial" w:eastAsia="Arial" w:hAnsi="Arial"/>
          <w:sz w:val="18"/>
          <w:szCs w:val="18"/>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7" w:lineRule="exact"/>
        <w:rPr>
          <w:rFonts w:ascii="Arial" w:cs="Arial" w:eastAsia="Arial" w:hAnsi="Arial"/>
          <w:sz w:val="18"/>
          <w:szCs w:val="18"/>
          <w:color w:val="auto"/>
        </w:rPr>
      </w:pPr>
    </w:p>
    <w:p>
      <w:pPr>
        <w:jc w:val="both"/>
        <w:ind w:firstLine="1952"/>
        <w:spacing w:after="0" w:line="229" w:lineRule="auto"/>
        <w:tabs>
          <w:tab w:leader="none" w:pos="25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2.18</w:t>
      </w:r>
      <w:r>
        <w:rPr>
          <w:sz w:val="20"/>
          <w:szCs w:val="20"/>
          <w:color w:val="auto"/>
        </w:rPr>
        <w:tab/>
      </w:r>
      <w:r>
        <w:rPr>
          <w:rFonts w:ascii="Arial" w:cs="Arial" w:eastAsia="Arial" w:hAnsi="Arial"/>
          <w:sz w:val="16"/>
          <w:szCs w:val="16"/>
          <w:b w:val="1"/>
          <w:bCs w:val="1"/>
          <w:color w:val="auto"/>
        </w:rPr>
        <w:t>Pro Rata Treatment and Payments.</w:t>
      </w:r>
    </w:p>
    <w:p>
      <w:pPr>
        <w:spacing w:after="0" w:line="181" w:lineRule="exact"/>
        <w:rPr>
          <w:sz w:val="20"/>
          <w:szCs w:val="20"/>
          <w:color w:val="auto"/>
        </w:rPr>
      </w:pPr>
    </w:p>
    <w:p>
      <w:pPr>
        <w:jc w:val="both"/>
        <w:ind w:firstLine="1304"/>
        <w:spacing w:after="0" w:line="218" w:lineRule="auto"/>
        <w:tabs>
          <w:tab w:leader="none" w:pos="193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Each borrowing by the Borrower from the Lenders hereunder, each payment by the Borrower on account of any commitment fee and any reduction of the Commitments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L/C Percentages or Revolving Percentages, as the case may be, of the relevant Lenders.</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Each payment (including each prepayment) by the Borrower on account of principal of and interest on the Revolving Loans shall be made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according to the respective outstanding principal amounts of the Revolving Loans then held by the Revolving Lenders.</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All payments (including prepayments) to be made by the Borrower hereunder, whether on account of principal, interest, fees or otherwise, shall be made without condition or deduction for any counterclaim, defense, recoupment or setoff and shall be made prior to 12:00 P.M. on the due date thereof to the Administrative Agent, for the account of the Lenders, at the applicable Funding Office,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05" w:right="339" w:bottom="1440" w:gutter="0" w:footer="0" w:header="0"/>
        </w:sectPr>
      </w:pPr>
    </w:p>
    <w:bookmarkStart w:id="264" w:name="page265"/>
    <w:bookmarkEnd w:id="264"/>
    <w:p>
      <w:pPr>
        <w:jc w:val="both"/>
        <w:spacing w:after="0" w:line="228" w:lineRule="auto"/>
        <w:rPr>
          <w:sz w:val="20"/>
          <w:szCs w:val="20"/>
          <w:color w:val="auto"/>
        </w:rPr>
      </w:pPr>
      <w:r>
        <w:rPr>
          <w:rFonts w:ascii="Arial" w:cs="Arial" w:eastAsia="Arial" w:hAnsi="Arial"/>
          <w:sz w:val="18"/>
          <w:szCs w:val="18"/>
          <w:color w:val="auto"/>
        </w:rPr>
        <w:t>Dollars and in immediately available funds. The Administrative Agent shall distribute such payments to the Lenders promptly upon receipt in like funds as received. Any payment received by the Administrative Agent after 12:00 P.M.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55" w:lineRule="exact"/>
        <w:rPr>
          <w:sz w:val="20"/>
          <w:szCs w:val="20"/>
          <w:color w:val="auto"/>
        </w:rPr>
      </w:pPr>
    </w:p>
    <w:p>
      <w:pPr>
        <w:jc w:val="both"/>
        <w:ind w:firstLine="1304"/>
        <w:spacing w:after="0" w:line="223" w:lineRule="auto"/>
        <w:tabs>
          <w:tab w:leader="none" w:pos="193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6" w:lineRule="exact"/>
        <w:rPr>
          <w:rFonts w:ascii="Arial" w:cs="Arial" w:eastAsia="Arial" w:hAnsi="Arial"/>
          <w:sz w:val="18"/>
          <w:szCs w:val="18"/>
          <w:color w:val="auto"/>
        </w:rPr>
      </w:pPr>
    </w:p>
    <w:p>
      <w:pPr>
        <w:jc w:val="both"/>
        <w:ind w:firstLine="1304"/>
        <w:spacing w:after="0" w:line="227" w:lineRule="auto"/>
        <w:tabs>
          <w:tab w:leader="none" w:pos="193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55" w:lineRule="exact"/>
        <w:rPr>
          <w:rFonts w:ascii="Arial" w:cs="Arial" w:eastAsia="Arial" w:hAnsi="Arial"/>
          <w:sz w:val="18"/>
          <w:szCs w:val="18"/>
          <w:color w:val="auto"/>
        </w:rPr>
      </w:pPr>
    </w:p>
    <w:p>
      <w:pPr>
        <w:jc w:val="both"/>
        <w:ind w:firstLine="1304"/>
        <w:spacing w:after="0" w:line="210" w:lineRule="auto"/>
        <w:tabs>
          <w:tab w:leader="none" w:pos="1932" w:val="left"/>
        </w:tabs>
        <w:numPr>
          <w:ilvl w:val="0"/>
          <w:numId w:val="201"/>
        </w:numPr>
        <w:rPr>
          <w:rFonts w:ascii="Arial" w:cs="Arial" w:eastAsia="Arial" w:hAnsi="Arial"/>
          <w:sz w:val="20"/>
          <w:szCs w:val="20"/>
          <w:color w:val="auto"/>
        </w:rPr>
      </w:pPr>
      <w:r>
        <w:rPr>
          <w:rFonts w:ascii="Arial" w:cs="Arial" w:eastAsia="Arial" w:hAnsi="Arial"/>
          <w:sz w:val="20"/>
          <w:szCs w:val="20"/>
          <w:color w:val="auto"/>
        </w:rPr>
        <w:t xml:space="preserve">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and such funds are not made available to the Borrower by the Administrative Agent because the conditions to the applicable extension of credit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54"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The obligations of the Lenders hereunder to (i) make Revolving Loans, (ii) fund its participations in L/C Disbursements in accordance with its respective L/C Percentage, (iii) fund its respective Swingline Participation Amount of any Swingline Loan, and (iv) make payments pursuant to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as applicable, are several and not joint. The failure of any Lender to make any such Loan, to fund any such participation or to make any such payment under </w:t>
      </w:r>
      <w:r>
        <w:rPr>
          <w:rFonts w:ascii="Arial" w:cs="Arial" w:eastAsia="Arial" w:hAnsi="Arial"/>
          <w:sz w:val="19"/>
          <w:szCs w:val="19"/>
          <w:u w:val="single" w:color="auto"/>
          <w:color w:val="auto"/>
        </w:rPr>
        <w:t>Section 9.7</w:t>
      </w:r>
      <w:r>
        <w:rPr>
          <w:rFonts w:ascii="Arial" w:cs="Arial" w:eastAsia="Arial" w:hAnsi="Arial"/>
          <w:sz w:val="19"/>
          <w:szCs w:val="19"/>
          <w:color w:val="auto"/>
        </w:rPr>
        <w:t xml:space="preserve"> on any date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05" w:right="339" w:bottom="1440" w:gutter="0" w:footer="0" w:header="0"/>
        </w:sectPr>
      </w:pPr>
    </w:p>
    <w:bookmarkStart w:id="265" w:name="page266"/>
    <w:bookmarkEnd w:id="265"/>
    <w:p>
      <w:pPr>
        <w:ind w:right="20"/>
        <w:spacing w:after="0" w:line="269" w:lineRule="auto"/>
        <w:rPr>
          <w:sz w:val="20"/>
          <w:szCs w:val="20"/>
          <w:color w:val="auto"/>
        </w:rPr>
      </w:pPr>
      <w:r>
        <w:rPr>
          <w:rFonts w:ascii="Arial" w:cs="Arial" w:eastAsia="Arial" w:hAnsi="Arial"/>
          <w:sz w:val="18"/>
          <w:szCs w:val="18"/>
          <w:color w:val="auto"/>
        </w:rPr>
        <w:t xml:space="preserve">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130" w:lineRule="exact"/>
        <w:rPr>
          <w:sz w:val="20"/>
          <w:szCs w:val="20"/>
          <w:color w:val="auto"/>
        </w:rPr>
      </w:pPr>
    </w:p>
    <w:p>
      <w:pPr>
        <w:jc w:val="both"/>
        <w:ind w:firstLine="1304"/>
        <w:spacing w:after="0" w:line="218" w:lineRule="auto"/>
        <w:tabs>
          <w:tab w:leader="none" w:pos="194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6" w:lineRule="exact"/>
        <w:rPr>
          <w:rFonts w:ascii="Arial" w:cs="Arial" w:eastAsia="Arial" w:hAnsi="Arial"/>
          <w:sz w:val="20"/>
          <w:szCs w:val="20"/>
          <w:color w:val="auto"/>
        </w:rPr>
      </w:pPr>
    </w:p>
    <w:p>
      <w:pPr>
        <w:jc w:val="both"/>
        <w:ind w:firstLine="1304"/>
        <w:spacing w:after="0" w:line="210" w:lineRule="auto"/>
        <w:tabs>
          <w:tab w:leader="none" w:pos="194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toward payment of interest and fees and Overadvances then due hereunder, ratably among the parties entitled thereto in accordance with the amounts of interest and fees and Overadvances then due to such parties, and (ii) </w:t>
      </w:r>
      <w:r>
        <w:rPr>
          <w:rFonts w:ascii="Arial" w:cs="Arial" w:eastAsia="Arial" w:hAnsi="Arial"/>
          <w:sz w:val="20"/>
          <w:szCs w:val="20"/>
          <w:u w:val="single" w:color="auto"/>
          <w:color w:val="auto"/>
        </w:rPr>
        <w:t>second</w:t>
      </w:r>
      <w:r>
        <w:rPr>
          <w:rFonts w:ascii="Arial" w:cs="Arial" w:eastAsia="Arial" w:hAnsi="Arial"/>
          <w:sz w:val="20"/>
          <w:szCs w:val="20"/>
          <w:color w:val="auto"/>
        </w:rPr>
        <w:t>, toward payment of principal then due hereunder, ratably among the parties entitled thereto in accordance with the amounts of principal then due to such parties.</w:t>
      </w:r>
    </w:p>
    <w:p>
      <w:pPr>
        <w:spacing w:after="0" w:line="154"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Revolving Lenders or L/C Lenders, as applicable (through the Administrative Agent), without recourse, such participations in the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Revolving Percentages or L/C Percentages,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clause (k)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clause (k) shall apply). The Borrower agrees that any Lender so purchasing a participation from another Lender pursuant to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be required to implement the terms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The Administrative Agent shall keep records (which shall be conclusive and binding in the absence of manifest error) of participations purchased pursuant to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and shall in each case notify the Revolving Lenders or the L/C Lenders, as applicable, following any such purchase. The provisions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 (ii) the application of Cash Collateral provided for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or (iii) 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w:t>
      </w:r>
      <w:r>
        <w:rPr>
          <w:rFonts w:ascii="Arial" w:cs="Arial" w:eastAsia="Arial" w:hAnsi="Arial"/>
          <w:sz w:val="18"/>
          <w:szCs w:val="18"/>
          <w:u w:val="single" w:color="auto"/>
          <w:color w:val="auto"/>
        </w:rPr>
        <w:t>Section 2.18(k)</w:t>
      </w:r>
      <w:r>
        <w:rPr>
          <w:rFonts w:ascii="Arial" w:cs="Arial" w:eastAsia="Arial" w:hAnsi="Arial"/>
          <w:sz w:val="18"/>
          <w:szCs w:val="18"/>
          <w:color w:val="auto"/>
        </w:rPr>
        <w:t xml:space="preserve">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05" w:right="339" w:bottom="1440" w:gutter="0" w:footer="0" w:header="0"/>
        </w:sectPr>
      </w:pPr>
    </w:p>
    <w:bookmarkStart w:id="266" w:name="page267"/>
    <w:bookmarkEnd w:id="266"/>
    <w:p>
      <w:pPr>
        <w:jc w:val="both"/>
        <w:ind w:firstLine="1304"/>
        <w:spacing w:after="0" w:line="218" w:lineRule="auto"/>
        <w:tabs>
          <w:tab w:leader="none" w:pos="194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Administrative Agent may, in its discretion at any time or from time to time, without the Borrower’s request and even if the conditions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such Revolving Loan, the aggregate outstanding Revolving Loans will not exceed the Total Revolving Commitments then in effect.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2.19</w:t>
      </w:r>
      <w:r>
        <w:rPr>
          <w:sz w:val="20"/>
          <w:szCs w:val="20"/>
          <w:color w:val="auto"/>
        </w:rPr>
        <w:tab/>
      </w:r>
      <w:r>
        <w:rPr>
          <w:rFonts w:ascii="Arial" w:cs="Arial" w:eastAsia="Arial" w:hAnsi="Arial"/>
          <w:sz w:val="18"/>
          <w:szCs w:val="18"/>
          <w:b w:val="1"/>
          <w:bCs w:val="1"/>
          <w:color w:val="auto"/>
        </w:rPr>
        <w:t>Illegality; Requirements of Law.</w:t>
      </w:r>
    </w:p>
    <w:p>
      <w:pPr>
        <w:spacing w:after="0" w:line="181" w:lineRule="exact"/>
        <w:rPr>
          <w:sz w:val="20"/>
          <w:szCs w:val="20"/>
          <w:color w:val="auto"/>
        </w:rPr>
      </w:pPr>
    </w:p>
    <w:p>
      <w:pPr>
        <w:jc w:val="both"/>
        <w:ind w:firstLine="1304"/>
        <w:spacing w:after="0" w:line="223" w:lineRule="auto"/>
        <w:tabs>
          <w:tab w:leader="none" w:pos="1934"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determines that any Requirement of Law has made it unlawful, or that any Governmental Authority has asserted that it is unlawful, for any Lender or its applicable lending office to make, maintain or fund Loans whose interest is determined by reference to SOFR, Term SOFR, Adjusted Term SOFR or Term SOFR Reference Rate, or to determine or charge interest rates based upon SOFR, Term SOFR, Adjusted Term SOFR or Term SOFR Reference Rate, then, upon notice thereof by such Lender to the Borrower (through the Administrative Agent), (i) any obligation of the Lenders to make or the right of the Borrower to continue SOFR Loans or to convert ABR Loans to SOFR Loans shall be suspended, and (ii) the interest rate on which ABR Loans shall, if necessary to avoid such illegality, be determined by the Administrative Agent without reference to SOFR component of the definition of “ABR”, in each case until such Lender notifies the Administrative Agent and the Borrower that the circumstances giving rise to such determination no longer exist. Upon receipt of such notice, (x) the Borrower shall, if necessary to avoid such illegality, upon demand from any Lender (with a copy to the Administrative Agent), prepay or, if applicable, convert all SOFR Loans to ABR Loans (the interest rate on which ABR Loans of such Lender shall, if necessary to avoid such illegality, be determined by the Administrative Agent without reference to SOFR component of the definition of “ABR”), on the last day of the Interest Period therefor, if all affected Lenders may lawfully continue to maintain such SOFR Loans to such day, or immediately, if any Lender may not lawfully continue to maintain such SOFR Loans to such day and (y) if necessary to avoid such illegality, the Administrative Agent shall during the period of such suspension compute the ABR without reference to SOFR component of the definition of “ABR” in each case, until the Administrative Agent is advised in writing by each affected Lender that it is no longer illegal for such Lender to determine or charge interest rates based upon, Term SOFR, Adjusted Term SOFR or Term SOFR Reference Rate. Upon any such prepayment or conversion, the Borrower shall also pay accrued interest on the amount so prepaid or converted, together with any additional amounts required pursuant to Section 2.21.</w:t>
      </w:r>
    </w:p>
    <w:p>
      <w:pPr>
        <w:spacing w:after="0" w:line="156" w:lineRule="exact"/>
        <w:rPr>
          <w:rFonts w:ascii="Arial" w:cs="Arial" w:eastAsia="Arial" w:hAnsi="Arial"/>
          <w:sz w:val="18"/>
          <w:szCs w:val="18"/>
          <w:color w:val="auto"/>
        </w:rPr>
      </w:pPr>
    </w:p>
    <w:p>
      <w:pPr>
        <w:jc w:val="both"/>
        <w:ind w:firstLine="1304"/>
        <w:spacing w:after="0" w:line="230" w:lineRule="auto"/>
        <w:tabs>
          <w:tab w:leader="none" w:pos="1932" w:val="left"/>
        </w:tabs>
        <w:numPr>
          <w:ilvl w:val="1"/>
          <w:numId w:val="204"/>
        </w:numPr>
        <w:rPr>
          <w:rFonts w:ascii="Arial" w:cs="Arial" w:eastAsia="Arial" w:hAnsi="Arial"/>
          <w:sz w:val="19"/>
          <w:szCs w:val="19"/>
          <w:color w:val="auto"/>
        </w:rPr>
      </w:pPr>
      <w:r>
        <w:rPr>
          <w:rFonts w:ascii="Arial" w:cs="Arial" w:eastAsia="Arial" w:hAnsi="Arial"/>
          <w:sz w:val="19"/>
          <w:szCs w:val="19"/>
          <w:u w:val="single" w:color="auto"/>
          <w:color w:val="auto"/>
        </w:rPr>
        <w:t>Requirements of Law</w:t>
      </w:r>
      <w:r>
        <w:rPr>
          <w:rFonts w:ascii="Arial" w:cs="Arial" w:eastAsia="Arial" w:hAnsi="Arial"/>
          <w:sz w:val="19"/>
          <w:szCs w:val="19"/>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spacing w:after="0" w:line="152" w:lineRule="exact"/>
        <w:rPr>
          <w:rFonts w:ascii="Arial" w:cs="Arial" w:eastAsia="Arial" w:hAnsi="Arial"/>
          <w:sz w:val="19"/>
          <w:szCs w:val="19"/>
          <w:color w:val="auto"/>
        </w:rPr>
      </w:pPr>
    </w:p>
    <w:p>
      <w:pPr>
        <w:ind w:left="2600" w:hanging="648"/>
        <w:spacing w:after="0"/>
        <w:tabs>
          <w:tab w:leader="none" w:pos="260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shall subject any Recipient to any Taxes (other than (A) Indemnified Taxes, (B) Taxes described in clauses</w:t>
      </w:r>
    </w:p>
    <w:p>
      <w:pPr>
        <w:ind w:right="20" w:firstLine="8"/>
        <w:spacing w:after="0" w:line="220" w:lineRule="auto"/>
        <w:tabs>
          <w:tab w:leader="none" w:pos="31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56" w:lineRule="exact"/>
        <w:rPr>
          <w:rFonts w:ascii="Arial" w:cs="Arial" w:eastAsia="Arial" w:hAnsi="Arial"/>
          <w:sz w:val="20"/>
          <w:szCs w:val="20"/>
          <w:color w:val="auto"/>
        </w:rPr>
      </w:pPr>
    </w:p>
    <w:p>
      <w:pPr>
        <w:jc w:val="both"/>
        <w:ind w:firstLine="1952"/>
        <w:spacing w:after="0" w:line="210" w:lineRule="auto"/>
        <w:tabs>
          <w:tab w:leader="none" w:pos="2591" w:val="left"/>
        </w:tabs>
        <w:numPr>
          <w:ilvl w:val="2"/>
          <w:numId w:val="205"/>
        </w:numPr>
        <w:rPr>
          <w:rFonts w:ascii="Arial" w:cs="Arial" w:eastAsia="Arial" w:hAnsi="Arial"/>
          <w:sz w:val="20"/>
          <w:szCs w:val="20"/>
          <w:color w:val="auto"/>
        </w:rPr>
      </w:pPr>
      <w:r>
        <w:rPr>
          <w:rFonts w:ascii="Arial" w:cs="Arial" w:eastAsia="Arial" w:hAnsi="Arial"/>
          <w:sz w:val="20"/>
          <w:szCs w:val="20"/>
          <w:color w:val="auto"/>
        </w:rPr>
        <w:t>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w:t>
      </w:r>
    </w:p>
    <w:p>
      <w:pPr>
        <w:spacing w:after="0" w:line="155" w:lineRule="exact"/>
        <w:rPr>
          <w:sz w:val="20"/>
          <w:szCs w:val="20"/>
          <w:color w:val="auto"/>
        </w:rPr>
      </w:pPr>
    </w:p>
    <w:p>
      <w:pPr>
        <w:ind w:firstLine="1952"/>
        <w:spacing w:after="0" w:line="229" w:lineRule="auto"/>
        <w:tabs>
          <w:tab w:leader="none" w:pos="259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impose on any Lender any other condition, cost or expense (other than Taxes) affecting this Agreement or Loans made by such Lender or any Letter of Credit or participation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05" w:right="339" w:bottom="1440" w:gutter="0" w:footer="0" w:header="0"/>
        </w:sectPr>
      </w:pPr>
    </w:p>
    <w:bookmarkStart w:id="267" w:name="page268"/>
    <w:bookmarkEnd w:id="267"/>
    <w:p>
      <w:pPr>
        <w:jc w:val="both"/>
        <w:spacing w:after="0" w:line="215" w:lineRule="auto"/>
        <w:rPr>
          <w:sz w:val="20"/>
          <w:szCs w:val="20"/>
          <w:color w:val="auto"/>
        </w:rPr>
      </w:pPr>
      <w:r>
        <w:rPr>
          <w:rFonts w:ascii="Arial" w:cs="Arial" w:eastAsia="Arial" w:hAnsi="Arial"/>
          <w:sz w:val="19"/>
          <w:szCs w:val="19"/>
          <w:color w:val="auto"/>
        </w:rPr>
        <w:t>and the result of any of the foregoing shall be to increase the cost to such Lender or such other Recipient of making, converting to, continuing or maintaining Loans or of maintaining its obligation to make such Loans, or to increase the cost to such Lender or such other 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55" w:lineRule="exact"/>
        <w:rPr>
          <w:sz w:val="20"/>
          <w:szCs w:val="20"/>
          <w:color w:val="auto"/>
        </w:rPr>
      </w:pPr>
    </w:p>
    <w:p>
      <w:pPr>
        <w:jc w:val="both"/>
        <w:ind w:firstLine="1304"/>
        <w:spacing w:after="0" w:line="227" w:lineRule="auto"/>
        <w:tabs>
          <w:tab w:leader="none" w:pos="193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55" w:lineRule="exact"/>
        <w:rPr>
          <w:rFonts w:ascii="Arial" w:cs="Arial" w:eastAsia="Arial" w:hAnsi="Arial"/>
          <w:sz w:val="18"/>
          <w:szCs w:val="18"/>
          <w:color w:val="auto"/>
        </w:rPr>
      </w:pPr>
    </w:p>
    <w:p>
      <w:pPr>
        <w:jc w:val="both"/>
        <w:ind w:firstLine="1304"/>
        <w:spacing w:after="0" w:line="221" w:lineRule="auto"/>
        <w:tabs>
          <w:tab w:leader="none" w:pos="1932" w:val="left"/>
        </w:tabs>
        <w:numPr>
          <w:ilvl w:val="0"/>
          <w:numId w:val="207"/>
        </w:numPr>
        <w:rPr>
          <w:rFonts w:ascii="Arial" w:cs="Arial" w:eastAsia="Arial" w:hAnsi="Arial"/>
          <w:sz w:val="19"/>
          <w:szCs w:val="19"/>
          <w:color w:val="auto"/>
        </w:rPr>
      </w:pPr>
      <w:r>
        <w:rPr>
          <w:rFonts w:ascii="Arial" w:cs="Arial" w:eastAsia="Arial" w:hAnsi="Arial"/>
          <w:sz w:val="19"/>
          <w:szCs w:val="19"/>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55" w:lineRule="exact"/>
        <w:rPr>
          <w:rFonts w:ascii="Arial" w:cs="Arial" w:eastAsia="Arial" w:hAnsi="Arial"/>
          <w:sz w:val="19"/>
          <w:szCs w:val="19"/>
          <w:color w:val="auto"/>
        </w:rPr>
      </w:pPr>
    </w:p>
    <w:p>
      <w:pPr>
        <w:jc w:val="both"/>
        <w:ind w:firstLine="1304"/>
        <w:spacing w:after="0" w:line="214" w:lineRule="auto"/>
        <w:tabs>
          <w:tab w:leader="none" w:pos="1934"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the Borrower shall not be required to compensate a Lender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for any amounts incurred more than nine months prior to the date that such Lender notifies the Borrower of the change in the Requirement of Law giving rise to such increased costs or reductions, and of such Lender’s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shall survive the Discharge of Obligations and the resignation of the Administrative Agent.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2.20</w:t>
      </w:r>
      <w:r>
        <w:rPr>
          <w:sz w:val="20"/>
          <w:szCs w:val="20"/>
          <w:color w:val="auto"/>
        </w:rPr>
        <w:tab/>
      </w:r>
      <w:r>
        <w:rPr>
          <w:rFonts w:ascii="Arial" w:cs="Arial" w:eastAsia="Arial" w:hAnsi="Arial"/>
          <w:sz w:val="16"/>
          <w:szCs w:val="16"/>
          <w:b w:val="1"/>
          <w:bCs w:val="1"/>
          <w:color w:val="auto"/>
        </w:rPr>
        <w:t>Taxes.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2.20</w:t>
      </w:r>
      <w:r>
        <w:rPr>
          <w:rFonts w:ascii="Arial" w:cs="Arial" w:eastAsia="Arial" w:hAnsi="Arial"/>
          <w:sz w:val="18"/>
          <w:szCs w:val="18"/>
          <w:color w:val="auto"/>
        </w:rPr>
        <w:t>, the term “Lender” includes the Issuing Lender and the term “applicable law” includes FATCA.</w:t>
      </w:r>
    </w:p>
    <w:p>
      <w:pPr>
        <w:spacing w:after="0" w:line="198" w:lineRule="exact"/>
        <w:rPr>
          <w:sz w:val="20"/>
          <w:szCs w:val="20"/>
          <w:color w:val="auto"/>
        </w:rPr>
      </w:pPr>
    </w:p>
    <w:p>
      <w:pPr>
        <w:jc w:val="both"/>
        <w:ind w:firstLine="1304"/>
        <w:spacing w:after="0" w:line="213" w:lineRule="auto"/>
        <w:tabs>
          <w:tab w:leader="none" w:pos="1934" w:val="left"/>
        </w:tabs>
        <w:numPr>
          <w:ilvl w:val="0"/>
          <w:numId w:val="208"/>
        </w:numPr>
        <w:rPr>
          <w:rFonts w:ascii="Arial" w:cs="Arial" w:eastAsia="Arial" w:hAnsi="Arial"/>
          <w:sz w:val="20"/>
          <w:szCs w:val="20"/>
          <w:color w:val="auto"/>
        </w:rPr>
      </w:pPr>
      <w:r>
        <w:rPr>
          <w:rFonts w:ascii="Arial" w:cs="Arial" w:eastAsia="Arial" w:hAnsi="Arial"/>
          <w:sz w:val="20"/>
          <w:szCs w:val="20"/>
          <w:u w:val="single" w:color="auto"/>
          <w:color w:val="auto"/>
        </w:rPr>
        <w:t>Payments Free of Taxes</w:t>
      </w:r>
      <w:r>
        <w:rPr>
          <w:rFonts w:ascii="Arial" w:cs="Arial" w:eastAsia="Arial" w:hAnsi="Arial"/>
          <w:sz w:val="20"/>
          <w:szCs w:val="20"/>
          <w:color w:val="auto"/>
        </w:rPr>
        <w:t xml:space="preserve">. Any and all payments by or on account of any obligation of any Loan Party under any Loan Document shall be made without deduction or withholding for any Taxes, except as required by applicable law, and the Borrower shall, and shall cause each other Loan Party, to comply with the requirements set forth in this </w:t>
      </w:r>
      <w:r>
        <w:rPr>
          <w:rFonts w:ascii="Arial" w:cs="Arial" w:eastAsia="Arial" w:hAnsi="Arial"/>
          <w:sz w:val="20"/>
          <w:szCs w:val="20"/>
          <w:u w:val="single" w:color="auto"/>
          <w:color w:val="auto"/>
        </w:rPr>
        <w:t>Section 2.20</w:t>
      </w:r>
      <w:r>
        <w:rPr>
          <w:rFonts w:ascii="Arial" w:cs="Arial" w:eastAsia="Arial" w:hAnsi="Arial"/>
          <w:sz w:val="20"/>
          <w:szCs w:val="20"/>
          <w:color w:val="auto"/>
        </w:rPr>
        <w:t>. If any applicable law (as determined in the good faith discretion of an applicable Withholding Agent) requires the deduction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05" w:right="339" w:bottom="1440" w:gutter="0" w:footer="0" w:header="0"/>
        </w:sectPr>
      </w:pPr>
    </w:p>
    <w:bookmarkStart w:id="268" w:name="page269"/>
    <w:bookmarkEnd w:id="268"/>
    <w:p>
      <w:pPr>
        <w:jc w:val="both"/>
        <w:spacing w:after="0" w:line="207" w:lineRule="auto"/>
        <w:rPr>
          <w:sz w:val="20"/>
          <w:szCs w:val="20"/>
          <w:color w:val="auto"/>
        </w:rPr>
      </w:pPr>
      <w:r>
        <w:rPr>
          <w:rFonts w:ascii="Arial" w:cs="Arial" w:eastAsia="Arial" w:hAnsi="Arial"/>
          <w:sz w:val="20"/>
          <w:szCs w:val="20"/>
          <w:color w:val="auto"/>
        </w:rPr>
        <w:t xml:space="preserve">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Arial" w:cs="Arial" w:eastAsia="Arial" w:hAnsi="Arial"/>
          <w:sz w:val="20"/>
          <w:szCs w:val="20"/>
          <w:u w:val="single" w:color="auto"/>
          <w:color w:val="auto"/>
        </w:rPr>
        <w:t>Section 2.20</w:t>
      </w:r>
      <w:r>
        <w:rPr>
          <w:rFonts w:ascii="Arial" w:cs="Arial" w:eastAsia="Arial" w:hAnsi="Arial"/>
          <w:sz w:val="20"/>
          <w:szCs w:val="20"/>
          <w:color w:val="auto"/>
        </w:rPr>
        <w:t>) the applicable Recipient receives an amount equal to the sum it would have received had no such deduction or withholding been made.</w:t>
      </w:r>
    </w:p>
    <w:p>
      <w:pPr>
        <w:spacing w:after="0" w:line="160" w:lineRule="exact"/>
        <w:rPr>
          <w:sz w:val="20"/>
          <w:szCs w:val="20"/>
          <w:color w:val="auto"/>
        </w:rPr>
      </w:pPr>
    </w:p>
    <w:p>
      <w:pPr>
        <w:jc w:val="both"/>
        <w:ind w:firstLine="1304"/>
        <w:spacing w:after="0" w:line="230" w:lineRule="auto"/>
        <w:tabs>
          <w:tab w:leader="none" w:pos="1932"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Payment of Other Taxes</w:t>
      </w:r>
      <w:r>
        <w:rPr>
          <w:rFonts w:ascii="Arial" w:cs="Arial" w:eastAsia="Arial" w:hAnsi="Arial"/>
          <w:sz w:val="19"/>
          <w:szCs w:val="19"/>
          <w:color w:val="auto"/>
        </w:rPr>
        <w:t>. Each of Holdings and the Borrower shall, and each of Holdings and the Borrower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54" w:lineRule="exact"/>
        <w:rPr>
          <w:rFonts w:ascii="Arial" w:cs="Arial" w:eastAsia="Arial" w:hAnsi="Arial"/>
          <w:sz w:val="19"/>
          <w:szCs w:val="19"/>
          <w:color w:val="auto"/>
        </w:rPr>
      </w:pPr>
    </w:p>
    <w:p>
      <w:pPr>
        <w:jc w:val="both"/>
        <w:ind w:firstLine="1304"/>
        <w:spacing w:after="0" w:line="224" w:lineRule="auto"/>
        <w:tabs>
          <w:tab w:leader="none" w:pos="1934"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any Loan Party to a Governmental Authority pursuant to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6" w:lineRule="exact"/>
        <w:rPr>
          <w:rFonts w:ascii="Arial" w:cs="Arial" w:eastAsia="Arial" w:hAnsi="Arial"/>
          <w:sz w:val="19"/>
          <w:szCs w:val="19"/>
          <w:color w:val="auto"/>
        </w:rPr>
      </w:pPr>
    </w:p>
    <w:p>
      <w:pPr>
        <w:jc w:val="both"/>
        <w:ind w:firstLine="1304"/>
        <w:spacing w:after="0" w:line="229" w:lineRule="auto"/>
        <w:tabs>
          <w:tab w:leader="none" w:pos="1932"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Indemnification by Loan Parties</w:t>
      </w:r>
      <w:r>
        <w:rPr>
          <w:rFonts w:ascii="Arial" w:cs="Arial" w:eastAsia="Arial" w:hAnsi="Arial"/>
          <w:sz w:val="18"/>
          <w:szCs w:val="18"/>
          <w:color w:val="auto"/>
        </w:rPr>
        <w:t xml:space="preserve">.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2.20</w:t>
      </w:r>
      <w:r>
        <w:rPr>
          <w:rFonts w:ascii="Arial" w:cs="Arial" w:eastAsia="Arial" w:hAnsi="Arial"/>
          <w:sz w:val="18"/>
          <w:szCs w:val="18"/>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6" w:lineRule="exact"/>
        <w:rPr>
          <w:rFonts w:ascii="Arial" w:cs="Arial" w:eastAsia="Arial" w:hAnsi="Arial"/>
          <w:sz w:val="18"/>
          <w:szCs w:val="18"/>
          <w:color w:val="auto"/>
        </w:rPr>
      </w:pPr>
    </w:p>
    <w:p>
      <w:pPr>
        <w:jc w:val="both"/>
        <w:ind w:firstLine="1304"/>
        <w:spacing w:after="0" w:line="226" w:lineRule="auto"/>
        <w:tabs>
          <w:tab w:leader="none" w:pos="1934"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Indemnification by Lenders</w:t>
      </w:r>
      <w:r>
        <w:rPr>
          <w:rFonts w:ascii="Arial" w:cs="Arial" w:eastAsia="Arial" w:hAnsi="Arial"/>
          <w:sz w:val="18"/>
          <w:szCs w:val="18"/>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2.20(e)</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0"/>
          <w:numId w:val="209"/>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952"/>
        <w:spacing w:after="0" w:line="216" w:lineRule="auto"/>
        <w:tabs>
          <w:tab w:leader="none" w:pos="2590" w:val="left"/>
        </w:tabs>
        <w:numPr>
          <w:ilvl w:val="1"/>
          <w:numId w:val="209"/>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05" w:right="339" w:bottom="1440" w:gutter="0" w:footer="0" w:header="0"/>
        </w:sectPr>
      </w:pPr>
    </w:p>
    <w:bookmarkStart w:id="269" w:name="page270"/>
    <w:bookmarkEnd w:id="269"/>
    <w:p>
      <w:pPr>
        <w:jc w:val="both"/>
        <w:spacing w:after="0" w:line="213" w:lineRule="auto"/>
        <w:rPr>
          <w:sz w:val="20"/>
          <w:szCs w:val="20"/>
          <w:color w:val="auto"/>
        </w:rPr>
      </w:pPr>
      <w:r>
        <w:rPr>
          <w:rFonts w:ascii="Arial" w:cs="Arial" w:eastAsia="Arial" w:hAnsi="Arial"/>
          <w:sz w:val="20"/>
          <w:szCs w:val="20"/>
          <w:color w:val="auto"/>
        </w:rPr>
        <w:t xml:space="preserve">execution and submission of such documentation (other than such documentation set forth in </w:t>
      </w:r>
      <w:r>
        <w:rPr>
          <w:rFonts w:ascii="Arial" w:cs="Arial" w:eastAsia="Arial" w:hAnsi="Arial"/>
          <w:sz w:val="20"/>
          <w:szCs w:val="20"/>
          <w:u w:val="single" w:color="auto"/>
          <w:color w:val="auto"/>
        </w:rPr>
        <w:t>Sections 2.20(f)(ii)(A)</w:t>
      </w:r>
      <w:r>
        <w:rPr>
          <w:rFonts w:ascii="Arial" w:cs="Arial" w:eastAsia="Arial" w:hAnsi="Arial"/>
          <w:sz w:val="20"/>
          <w:szCs w:val="20"/>
          <w:color w:val="auto"/>
        </w:rPr>
        <w:t xml:space="preserve">,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(ii)(D)</w:t>
      </w:r>
      <w:r>
        <w:rPr>
          <w:rFonts w:ascii="Arial" w:cs="Arial" w:eastAsia="Arial" w:hAnsi="Arial"/>
          <w:sz w:val="20"/>
          <w:szCs w:val="20"/>
          <w:color w:val="auto"/>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spacing w:after="0" w:line="156" w:lineRule="exact"/>
        <w:rPr>
          <w:sz w:val="20"/>
          <w:szCs w:val="20"/>
          <w:color w:val="auto"/>
        </w:rPr>
      </w:pPr>
    </w:p>
    <w:p>
      <w:pPr>
        <w:ind w:left="2600" w:hanging="648"/>
        <w:spacing w:after="0"/>
        <w:tabs>
          <w:tab w:leader="none" w:pos="2600" w:val="left"/>
        </w:tabs>
        <w:numPr>
          <w:ilvl w:val="0"/>
          <w:numId w:val="210"/>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75" w:lineRule="exact"/>
        <w:rPr>
          <w:rFonts w:ascii="Arial" w:cs="Arial" w:eastAsia="Arial" w:hAnsi="Arial"/>
          <w:sz w:val="20"/>
          <w:szCs w:val="20"/>
          <w:color w:val="auto"/>
        </w:rPr>
      </w:pPr>
    </w:p>
    <w:p>
      <w:pPr>
        <w:jc w:val="both"/>
        <w:ind w:firstLine="2600"/>
        <w:spacing w:after="0" w:line="213" w:lineRule="auto"/>
        <w:tabs>
          <w:tab w:leader="none" w:pos="3231"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55" w:lineRule="exact"/>
        <w:rPr>
          <w:rFonts w:ascii="Arial" w:cs="Arial" w:eastAsia="Arial" w:hAnsi="Arial"/>
          <w:sz w:val="20"/>
          <w:szCs w:val="20"/>
          <w:color w:val="auto"/>
        </w:rPr>
      </w:pPr>
    </w:p>
    <w:p>
      <w:pPr>
        <w:jc w:val="both"/>
        <w:ind w:firstLine="2600"/>
        <w:spacing w:after="0" w:line="213" w:lineRule="auto"/>
        <w:tabs>
          <w:tab w:leader="none" w:pos="3234"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55" w:lineRule="exact"/>
        <w:rPr>
          <w:rFonts w:ascii="Arial" w:cs="Arial" w:eastAsia="Arial" w:hAnsi="Arial"/>
          <w:sz w:val="20"/>
          <w:szCs w:val="20"/>
          <w:color w:val="auto"/>
        </w:rPr>
      </w:pPr>
    </w:p>
    <w:p>
      <w:pPr>
        <w:jc w:val="both"/>
        <w:ind w:firstLine="3248"/>
        <w:spacing w:after="0" w:line="218" w:lineRule="auto"/>
        <w:tabs>
          <w:tab w:leader="none" w:pos="3876" w:val="left"/>
        </w:tabs>
        <w:numPr>
          <w:ilvl w:val="2"/>
          <w:numId w:val="21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59" w:lineRule="exact"/>
        <w:rPr>
          <w:rFonts w:ascii="Arial" w:cs="Arial" w:eastAsia="Arial" w:hAnsi="Arial"/>
          <w:sz w:val="19"/>
          <w:szCs w:val="19"/>
          <w:color w:val="auto"/>
        </w:rPr>
      </w:pPr>
    </w:p>
    <w:p>
      <w:pPr>
        <w:ind w:left="3880" w:hanging="632"/>
        <w:spacing w:after="0"/>
        <w:tabs>
          <w:tab w:leader="none" w:pos="3880" w:val="left"/>
        </w:tabs>
        <w:numPr>
          <w:ilvl w:val="2"/>
          <w:numId w:val="210"/>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75" w:lineRule="exact"/>
        <w:rPr>
          <w:rFonts w:ascii="Arial" w:cs="Arial" w:eastAsia="Arial" w:hAnsi="Arial"/>
          <w:sz w:val="20"/>
          <w:szCs w:val="20"/>
          <w:color w:val="auto"/>
        </w:rPr>
      </w:pPr>
    </w:p>
    <w:p>
      <w:pPr>
        <w:jc w:val="both"/>
        <w:ind w:firstLine="3248"/>
        <w:spacing w:after="0" w:line="233" w:lineRule="auto"/>
        <w:tabs>
          <w:tab w:leader="none" w:pos="3876" w:val="left"/>
        </w:tabs>
        <w:numPr>
          <w:ilvl w:val="2"/>
          <w:numId w:val="210"/>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IRS Form W-8BEN-E, as applicable (or any successor form); or</w:t>
      </w:r>
    </w:p>
    <w:p>
      <w:pPr>
        <w:spacing w:after="0" w:line="156" w:lineRule="exact"/>
        <w:rPr>
          <w:rFonts w:ascii="Arial" w:cs="Arial" w:eastAsia="Arial" w:hAnsi="Arial"/>
          <w:sz w:val="18"/>
          <w:szCs w:val="18"/>
          <w:color w:val="auto"/>
        </w:rPr>
      </w:pPr>
    </w:p>
    <w:p>
      <w:pPr>
        <w:jc w:val="both"/>
        <w:ind w:firstLine="3248"/>
        <w:spacing w:after="0" w:line="218" w:lineRule="auto"/>
        <w:tabs>
          <w:tab w:leader="none" w:pos="3876" w:val="left"/>
        </w:tabs>
        <w:numPr>
          <w:ilvl w:val="2"/>
          <w:numId w:val="210"/>
        </w:numPr>
        <w:rPr>
          <w:rFonts w:ascii="Arial" w:cs="Arial" w:eastAsia="Arial" w:hAnsi="Arial"/>
          <w:sz w:val="19"/>
          <w:szCs w:val="19"/>
          <w:color w:val="auto"/>
        </w:rPr>
      </w:pPr>
      <w:r>
        <w:rPr>
          <w:rFonts w:ascii="Arial" w:cs="Arial" w:eastAsia="Arial" w:hAnsi="Arial"/>
          <w:sz w:val="19"/>
          <w:szCs w:val="19"/>
          <w:color w:val="auto"/>
        </w:rPr>
        <w:t>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59" w:lineRule="exact"/>
        <w:rPr>
          <w:rFonts w:ascii="Arial" w:cs="Arial" w:eastAsia="Arial" w:hAnsi="Arial"/>
          <w:sz w:val="19"/>
          <w:szCs w:val="19"/>
          <w:color w:val="auto"/>
        </w:rPr>
      </w:pPr>
    </w:p>
    <w:p>
      <w:pPr>
        <w:jc w:val="both"/>
        <w:ind w:firstLine="2600"/>
        <w:spacing w:after="0" w:line="231" w:lineRule="auto"/>
        <w:tabs>
          <w:tab w:leader="none" w:pos="3234"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05" w:right="339" w:bottom="1440" w:gutter="0" w:footer="0" w:header="0"/>
        </w:sectPr>
      </w:pPr>
    </w:p>
    <w:bookmarkStart w:id="270" w:name="page271"/>
    <w:bookmarkEnd w:id="270"/>
    <w:p>
      <w:pPr>
        <w:jc w:val="both"/>
        <w:ind w:firstLine="2600"/>
        <w:spacing w:after="0" w:line="215" w:lineRule="auto"/>
        <w:tabs>
          <w:tab w:leader="none" w:pos="3231" w:val="left"/>
        </w:tabs>
        <w:numPr>
          <w:ilvl w:val="2"/>
          <w:numId w:val="211"/>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5" w:lineRule="exact"/>
        <w:rPr>
          <w:rFonts w:ascii="Arial" w:cs="Arial" w:eastAsia="Arial" w:hAnsi="Arial"/>
          <w:sz w:val="19"/>
          <w:szCs w:val="19"/>
          <w:color w:val="auto"/>
        </w:rPr>
      </w:pPr>
    </w:p>
    <w:p>
      <w:pPr>
        <w:jc w:val="both"/>
        <w:ind w:firstLine="1952"/>
        <w:spacing w:after="0" w:line="210" w:lineRule="auto"/>
        <w:tabs>
          <w:tab w:leader="none" w:pos="2592" w:val="left"/>
        </w:tabs>
        <w:numPr>
          <w:ilvl w:val="1"/>
          <w:numId w:val="212"/>
        </w:numPr>
        <w:rPr>
          <w:rFonts w:ascii="Arial" w:cs="Arial" w:eastAsia="Arial" w:hAnsi="Arial"/>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w:t>
      </w:r>
    </w:p>
    <w:p>
      <w:pPr>
        <w:spacing w:after="0" w:line="154"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(including by the payment of additional amounts pursuant to this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in no event will the indemnified party be required to pay any amount to an indemnifying party pursuant to this </w:t>
      </w:r>
      <w:r>
        <w:rPr>
          <w:rFonts w:ascii="Arial" w:cs="Arial" w:eastAsia="Arial" w:hAnsi="Arial"/>
          <w:sz w:val="18"/>
          <w:szCs w:val="18"/>
          <w:u w:val="single" w:color="auto"/>
          <w:color w:val="auto"/>
        </w:rPr>
        <w:t>Section 2.20(g)</w:t>
      </w:r>
      <w:r>
        <w:rPr>
          <w:rFonts w:ascii="Arial" w:cs="Arial" w:eastAsia="Arial" w:hAnsi="Arial"/>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7" w:lineRule="exact"/>
        <w:rPr>
          <w:rFonts w:ascii="Arial" w:cs="Arial" w:eastAsia="Arial" w:hAnsi="Arial"/>
          <w:sz w:val="18"/>
          <w:szCs w:val="18"/>
          <w:color w:val="auto"/>
        </w:rPr>
      </w:pPr>
    </w:p>
    <w:p>
      <w:pPr>
        <w:ind w:firstLine="1304"/>
        <w:spacing w:after="0" w:line="229" w:lineRule="auto"/>
        <w:tabs>
          <w:tab w:leader="none" w:pos="1932"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shall survive the resignation or replacement of the Administrative Agent or any assignment of rights by, or the replacement of, a Lender and the Discharge of Obligations.</w:t>
      </w:r>
    </w:p>
    <w:p>
      <w:pPr>
        <w:spacing w:after="0" w:line="14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b w:val="1"/>
          <w:bCs w:val="1"/>
          <w:color w:val="auto"/>
        </w:rPr>
        <w:t>2.21 Indemnity</w:t>
      </w:r>
      <w:r>
        <w:rPr>
          <w:rFonts w:ascii="Arial" w:cs="Arial" w:eastAsia="Arial" w:hAnsi="Arial"/>
          <w:sz w:val="19"/>
          <w:szCs w:val="19"/>
          <w:color w:val="auto"/>
        </w:rPr>
        <w:t>. In the event of (a) the payment of any principal of any SOFR Loan other than on the last day of the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Period applicable thereto (including as a result of an Event of Default), (b) the conversion of any SOFR Loan other than on the last day of the Interest Period applicable thereto (including as a result of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Section 2.23), then, in any such event, the Borrower shall compensate each Lender for any loss, cost and expense attributable to such event, including any loss, cost or expense arising from the liquidation or redeployment of funds.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 This covenant shall survive the Discharge of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05" w:right="339" w:bottom="1440" w:gutter="0" w:footer="0" w:header="0"/>
        </w:sectPr>
      </w:pPr>
    </w:p>
    <w:bookmarkStart w:id="271" w:name="page272"/>
    <w:bookmarkEnd w:id="271"/>
    <w:p>
      <w:pPr>
        <w:jc w:val="both"/>
        <w:ind w:firstLine="648"/>
        <w:spacing w:after="0" w:line="227" w:lineRule="auto"/>
        <w:rPr>
          <w:sz w:val="20"/>
          <w:szCs w:val="20"/>
          <w:color w:val="auto"/>
        </w:rPr>
      </w:pPr>
      <w:r>
        <w:rPr>
          <w:rFonts w:ascii="Arial" w:cs="Arial" w:eastAsia="Arial" w:hAnsi="Arial"/>
          <w:sz w:val="18"/>
          <w:szCs w:val="18"/>
          <w:b w:val="1"/>
          <w:bCs w:val="1"/>
          <w:color w:val="auto"/>
        </w:rPr>
        <w:t>2.22 Change of Lending Office</w:t>
      </w:r>
      <w:r>
        <w:rPr>
          <w:rFonts w:ascii="Arial" w:cs="Arial" w:eastAsia="Arial" w:hAnsi="Arial"/>
          <w:sz w:val="18"/>
          <w:szCs w:val="18"/>
          <w:color w:val="auto"/>
        </w:rPr>
        <w:t>. Each Lender agrees that, upon the occurrence of any event giving rise to the operation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xml:space="preserve"> with respect to such Lender, it will, if requested by the Borrower, use reasonable efforts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as the case may be, in the future, and (ii) would not subject such Lender to any unreimbursed cost or expense and would not otherwise be disadvantageous to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affect or postpone any of the obligations of the Borrower or the rights of any Lender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2.19(c)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2.20(d)</w:t>
      </w:r>
      <w:r>
        <w:rPr>
          <w:rFonts w:ascii="Arial" w:cs="Arial" w:eastAsia="Arial" w:hAnsi="Arial"/>
          <w:sz w:val="18"/>
          <w:szCs w:val="18"/>
          <w:color w:val="auto"/>
        </w:rPr>
        <w:t>. The Borrower hereby agrees to pay all reasonable and documented costs and expenses incurred by any Lender in connection with any such designation or assignment made at the request of the Borrower.</w:t>
      </w:r>
    </w:p>
    <w:p>
      <w:pPr>
        <w:spacing w:after="0" w:line="15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2.23 Substitution of Lenders</w:t>
      </w:r>
      <w:r>
        <w:rPr>
          <w:rFonts w:ascii="Arial" w:cs="Arial" w:eastAsia="Arial" w:hAnsi="Arial"/>
          <w:sz w:val="20"/>
          <w:szCs w:val="20"/>
          <w:color w:val="auto"/>
        </w:rPr>
        <w:t>. Upon the receipt by the Borrower of any of the following (or in the case of clause (a) below, if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is required to pay any such amount), with respect to any Lender (any such Lender described in clauses (a) through (c) below being referred to as an “</w:t>
      </w:r>
      <w:r>
        <w:rPr>
          <w:rFonts w:ascii="Arial" w:cs="Arial" w:eastAsia="Arial" w:hAnsi="Arial"/>
          <w:sz w:val="20"/>
          <w:szCs w:val="20"/>
          <w:b w:val="1"/>
          <w:bCs w:val="1"/>
          <w:i w:val="1"/>
          <w:iCs w:val="1"/>
          <w:color w:val="auto"/>
        </w:rPr>
        <w:t>Affected Lender</w:t>
      </w:r>
      <w:r>
        <w:rPr>
          <w:rFonts w:ascii="Arial" w:cs="Arial" w:eastAsia="Arial" w:hAnsi="Arial"/>
          <w:sz w:val="20"/>
          <w:szCs w:val="20"/>
          <w:color w:val="auto"/>
        </w:rPr>
        <w:t>” hereunder):</w:t>
      </w:r>
    </w:p>
    <w:p>
      <w:pPr>
        <w:spacing w:after="0" w:line="157" w:lineRule="exact"/>
        <w:rPr>
          <w:sz w:val="20"/>
          <w:szCs w:val="20"/>
          <w:color w:val="auto"/>
        </w:rPr>
      </w:pPr>
    </w:p>
    <w:p>
      <w:pPr>
        <w:jc w:val="both"/>
        <w:ind w:firstLine="1304"/>
        <w:spacing w:after="0" w:line="218" w:lineRule="auto"/>
        <w:tabs>
          <w:tab w:leader="none" w:pos="1934"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a request from a Lender for payment of Indemnified Taxes or additional amounts under </w:t>
      </w:r>
      <w:r>
        <w:rPr>
          <w:rFonts w:ascii="Arial" w:cs="Arial" w:eastAsia="Arial" w:hAnsi="Arial"/>
          <w:sz w:val="20"/>
          <w:szCs w:val="20"/>
          <w:u w:val="single" w:color="auto"/>
          <w:color w:val="auto"/>
        </w:rPr>
        <w:t>Section 2.20</w:t>
      </w:r>
      <w:r>
        <w:rPr>
          <w:rFonts w:ascii="Arial" w:cs="Arial" w:eastAsia="Arial" w:hAnsi="Arial"/>
          <w:sz w:val="20"/>
          <w:szCs w:val="20"/>
          <w:color w:val="auto"/>
        </w:rPr>
        <w:t xml:space="preserve"> or of increased costs pursuant to </w:t>
      </w:r>
      <w:r>
        <w:rPr>
          <w:rFonts w:ascii="Arial" w:cs="Arial" w:eastAsia="Arial" w:hAnsi="Arial"/>
          <w:sz w:val="20"/>
          <w:szCs w:val="20"/>
          <w:u w:val="single" w:color="auto"/>
          <w:color w:val="auto"/>
        </w:rPr>
        <w:t>Section 2.19(b)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2.19(c)</w:t>
      </w:r>
      <w:r>
        <w:rPr>
          <w:rFonts w:ascii="Arial" w:cs="Arial" w:eastAsia="Arial" w:hAnsi="Arial"/>
          <w:sz w:val="20"/>
          <w:szCs w:val="20"/>
          <w:color w:val="auto"/>
        </w:rPr>
        <w:t xml:space="preserve"> (and, in any such case, such Lender has declined or is unable to designate a different lending office in accordance with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or is a Non-Consenting Lender);</w:t>
      </w:r>
    </w:p>
    <w:p>
      <w:pPr>
        <w:spacing w:after="0" w:line="156" w:lineRule="exact"/>
        <w:rPr>
          <w:rFonts w:ascii="Arial" w:cs="Arial" w:eastAsia="Arial" w:hAnsi="Arial"/>
          <w:sz w:val="20"/>
          <w:szCs w:val="20"/>
          <w:color w:val="auto"/>
        </w:rPr>
      </w:pPr>
    </w:p>
    <w:p>
      <w:pPr>
        <w:ind w:right="20" w:firstLine="1304"/>
        <w:spacing w:after="0" w:line="229" w:lineRule="auto"/>
        <w:tabs>
          <w:tab w:leader="none" w:pos="1932"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a notice from the Administrative Agent under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that one or more Minority Lenders are unwilling to agree to an amendment or other modification approved by the Required Lenders and the Administrative Agent; or</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a notice from the Administrative Agent that a Lender is a Defaulting Lender;</w:t>
      </w:r>
    </w:p>
    <w:p>
      <w:pPr>
        <w:spacing w:after="0" w:line="175"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then the Borrower may, at its sole expense and effort, upon notice to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Affected Lender’s Loans and Commitment (the replacing Lender or lender in (i) or (ii) being a “</w:t>
      </w:r>
      <w:r>
        <w:rPr>
          <w:rFonts w:ascii="Arial" w:cs="Arial" w:eastAsia="Arial" w:hAnsi="Arial"/>
          <w:sz w:val="18"/>
          <w:szCs w:val="18"/>
          <w:b w:val="1"/>
          <w:bCs w:val="1"/>
          <w:i w:val="1"/>
          <w:iCs w:val="1"/>
          <w:color w:val="auto"/>
        </w:rPr>
        <w:t>Replacement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be liable for the payment upon demand of all costs and other amounts arising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SOFR Loans then outstanding. The Affected Lender replaced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 Any such designation of a Replacement Lender shall be effected in accordance with, and subject to the terms and conditions of, the assignment provisions contained in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(with the assignment fee to be paid by the Borrower in such instance), provided that if such Affected Lender does not comply with Section 10.6 within ten (10) Business Days after the Borrower’s request, the Administrative Agent is authorized to execute the Assignment and Assumption on behalf of such Affected Lender. Notwithstanding the foregoing, with respect to any assignment pursuant to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(a) in the case of any such assignment resulting from a claim for compensation under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Arial" w:cs="Arial" w:eastAsia="Arial" w:hAnsi="Arial"/>
          <w:sz w:val="18"/>
          <w:szCs w:val="18"/>
          <w:u w:val="single" w:color="auto"/>
          <w:color w:val="auto"/>
        </w:rPr>
        <w:t>Section 2.23</w:t>
      </w:r>
      <w:r>
        <w:rPr>
          <w:rFonts w:ascii="Arial" w:cs="Arial" w:eastAsia="Arial" w:hAnsi="Arial"/>
          <w:sz w:val="18"/>
          <w:szCs w:val="18"/>
          <w:color w:val="auto"/>
        </w:rPr>
        <w:t>, the applicable assignee shall have consented to the applicable amendment, waiver or consent. Notwithstanding the foregoing, an Affected Lender shall not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399" w:right="339" w:bottom="1440" w:gutter="0" w:footer="0" w:header="0"/>
        </w:sectPr>
      </w:pPr>
    </w:p>
    <w:bookmarkStart w:id="272" w:name="page273"/>
    <w:bookmarkEnd w:id="272"/>
    <w:p>
      <w:pPr>
        <w:spacing w:after="0" w:line="229" w:lineRule="auto"/>
        <w:rPr>
          <w:sz w:val="20"/>
          <w:szCs w:val="20"/>
          <w:color w:val="auto"/>
        </w:rPr>
      </w:pPr>
      <w:r>
        <w:rPr>
          <w:rFonts w:ascii="Arial" w:cs="Arial" w:eastAsia="Arial" w:hAnsi="Arial"/>
          <w:sz w:val="20"/>
          <w:szCs w:val="20"/>
          <w:color w:val="auto"/>
        </w:rPr>
        <w:t>to make any such assignment or delegation if, prior thereto, as a result of a waiver by such Affected Lender or otherwise, the circumstances entitling the Borrower to require such assignment and delegation cease to apply.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6"/>
          <w:szCs w:val="16"/>
          <w:b w:val="1"/>
          <w:bCs w:val="1"/>
          <w:color w:val="auto"/>
        </w:rPr>
        <w:t>Defaulting Lenders.</w:t>
      </w:r>
    </w:p>
    <w:p>
      <w:pPr>
        <w:spacing w:after="0" w:line="181" w:lineRule="exact"/>
        <w:rPr>
          <w:sz w:val="20"/>
          <w:szCs w:val="20"/>
          <w:color w:val="auto"/>
        </w:rPr>
      </w:pPr>
    </w:p>
    <w:p>
      <w:pPr>
        <w:jc w:val="both"/>
        <w:ind w:firstLine="1304"/>
        <w:spacing w:after="0" w:line="218" w:lineRule="auto"/>
        <w:tabs>
          <w:tab w:leader="none" w:pos="1934"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Defaulting Lender Adjustments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6" w:lineRule="exact"/>
        <w:rPr>
          <w:rFonts w:ascii="Arial" w:cs="Arial" w:eastAsia="Arial" w:hAnsi="Arial"/>
          <w:sz w:val="20"/>
          <w:szCs w:val="20"/>
          <w:color w:val="auto"/>
        </w:rPr>
      </w:pPr>
    </w:p>
    <w:p>
      <w:pPr>
        <w:ind w:firstLine="1952"/>
        <w:spacing w:after="0" w:line="269" w:lineRule="auto"/>
        <w:tabs>
          <w:tab w:leader="none" w:pos="2342"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in the definition of Required Lenders.</w:t>
      </w:r>
    </w:p>
    <w:p>
      <w:pPr>
        <w:spacing w:after="0" w:line="130" w:lineRule="exact"/>
        <w:rPr>
          <w:rFonts w:ascii="Arial" w:cs="Arial" w:eastAsia="Arial" w:hAnsi="Arial"/>
          <w:sz w:val="18"/>
          <w:szCs w:val="18"/>
          <w:color w:val="auto"/>
        </w:rPr>
      </w:pPr>
    </w:p>
    <w:p>
      <w:pPr>
        <w:jc w:val="both"/>
        <w:ind w:firstLine="1952"/>
        <w:spacing w:after="0" w:line="221" w:lineRule="auto"/>
        <w:tabs>
          <w:tab w:leader="none" w:pos="2532" w:val="left"/>
        </w:tabs>
        <w:numPr>
          <w:ilvl w:val="1"/>
          <w:numId w:val="215"/>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otherwise, and including any amounts made available to the Administrative Agent by such Defaulting Lender pursuant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of any amounts owing by such Defaulting Lender to the Issuing Lender or to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be held as Cash Collateral for the funding obligations of such Defaulting Lender of any participation in any Letter of Credit;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were satisfied or waived, such payment shall be applied solely to pay the Loans of, and L/C Advances owed to, all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2.24(a)(ii)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74" w:lineRule="exact"/>
        <w:rPr>
          <w:rFonts w:ascii="Arial" w:cs="Arial" w:eastAsia="Arial" w:hAnsi="Arial"/>
          <w:sz w:val="18"/>
          <w:szCs w:val="18"/>
          <w:color w:val="auto"/>
        </w:rPr>
      </w:pPr>
    </w:p>
    <w:p>
      <w:pPr>
        <w:ind w:left="2440" w:hanging="488"/>
        <w:spacing w:after="0"/>
        <w:tabs>
          <w:tab w:leader="none" w:pos="2440" w:val="left"/>
        </w:tabs>
        <w:numPr>
          <w:ilvl w:val="1"/>
          <w:numId w:val="215"/>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2600"/>
        <w:spacing w:after="0" w:line="218" w:lineRule="auto"/>
        <w:tabs>
          <w:tab w:leader="none" w:pos="3231" w:val="left"/>
        </w:tabs>
        <w:numPr>
          <w:ilvl w:val="2"/>
          <w:numId w:val="215"/>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pursuant to </w:t>
      </w:r>
      <w:r>
        <w:rPr>
          <w:rFonts w:ascii="Arial" w:cs="Arial" w:eastAsia="Arial" w:hAnsi="Arial"/>
          <w:sz w:val="20"/>
          <w:szCs w:val="20"/>
          <w:u w:val="single" w:color="auto"/>
          <w:color w:val="auto"/>
        </w:rPr>
        <w:t>Section 2.9(b)</w:t>
      </w:r>
      <w:r>
        <w:rPr>
          <w:rFonts w:ascii="Arial" w:cs="Arial" w:eastAsia="Arial" w:hAnsi="Arial"/>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54" w:lineRule="exact"/>
        <w:rPr>
          <w:rFonts w:ascii="Arial" w:cs="Arial" w:eastAsia="Arial" w:hAnsi="Arial"/>
          <w:sz w:val="20"/>
          <w:szCs w:val="20"/>
          <w:color w:val="auto"/>
        </w:rPr>
      </w:pPr>
    </w:p>
    <w:p>
      <w:pPr>
        <w:ind w:left="3240" w:hanging="640"/>
        <w:spacing w:after="0"/>
        <w:tabs>
          <w:tab w:leader="none" w:pos="324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Each Defaulting Lender shall be limited in its right to receive Letter of Credit Fees as provided in</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3.3(d)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05" w:right="339" w:bottom="1440" w:gutter="0" w:footer="0" w:header="0"/>
        </w:sectPr>
      </w:pPr>
    </w:p>
    <w:bookmarkStart w:id="273" w:name="page274"/>
    <w:bookmarkEnd w:id="273"/>
    <w:p>
      <w:pPr>
        <w:jc w:val="both"/>
        <w:ind w:firstLine="2600"/>
        <w:spacing w:after="0" w:line="231" w:lineRule="auto"/>
        <w:tabs>
          <w:tab w:leader="none" w:pos="3234" w:val="left"/>
        </w:tabs>
        <w:numPr>
          <w:ilvl w:val="2"/>
          <w:numId w:val="216"/>
        </w:numPr>
        <w:rPr>
          <w:rFonts w:ascii="Arial" w:cs="Arial" w:eastAsia="Arial" w:hAnsi="Arial"/>
          <w:sz w:val="18"/>
          <w:szCs w:val="18"/>
          <w:color w:val="auto"/>
        </w:rPr>
      </w:pPr>
      <w:r>
        <w:rPr>
          <w:rFonts w:ascii="Arial" w:cs="Arial" w:eastAsia="Arial" w:hAnsi="Arial"/>
          <w:sz w:val="18"/>
          <w:szCs w:val="18"/>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54" w:lineRule="exact"/>
        <w:rPr>
          <w:rFonts w:ascii="Arial" w:cs="Arial" w:eastAsia="Arial" w:hAnsi="Arial"/>
          <w:sz w:val="18"/>
          <w:szCs w:val="18"/>
          <w:color w:val="auto"/>
        </w:rPr>
      </w:pPr>
    </w:p>
    <w:p>
      <w:pPr>
        <w:jc w:val="both"/>
        <w:ind w:firstLine="1952"/>
        <w:spacing w:after="0" w:line="225" w:lineRule="auto"/>
        <w:tabs>
          <w:tab w:leader="none" w:pos="2427"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Reallocation of Pro Rata Share to Reduce Fronting Exposure</w:t>
      </w:r>
      <w:r>
        <w:rPr>
          <w:rFonts w:ascii="Arial" w:cs="Arial" w:eastAsia="Arial" w:hAnsi="Arial"/>
          <w:sz w:val="18"/>
          <w:szCs w:val="18"/>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or in Swingline Loans pursuant to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obligations of each Non-Defaulting Lender to acquire, refinance or fund participations in Letters of Credit and Swingline Loans shall not exceed the positive difference, if any, of (A) the Revolving Commitment of that Non-Defaulting Lender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outstanding amount of the Revolving Loans of that Lender plus the aggregate amount of that Lender’s L/C Percentage of then outstanding Letters of Credit. Subject to </w:t>
      </w:r>
      <w:r>
        <w:rPr>
          <w:rFonts w:ascii="Arial" w:cs="Arial" w:eastAsia="Arial" w:hAnsi="Arial"/>
          <w:sz w:val="18"/>
          <w:szCs w:val="18"/>
          <w:u w:val="single" w:color="auto"/>
          <w:color w:val="auto"/>
        </w:rPr>
        <w:t>Section 10.21</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0" w:lineRule="exact"/>
        <w:rPr>
          <w:rFonts w:ascii="Arial" w:cs="Arial" w:eastAsia="Arial" w:hAnsi="Arial"/>
          <w:sz w:val="18"/>
          <w:szCs w:val="18"/>
          <w:color w:val="auto"/>
        </w:rPr>
      </w:pPr>
    </w:p>
    <w:p>
      <w:pPr>
        <w:jc w:val="both"/>
        <w:ind w:firstLine="1952"/>
        <w:spacing w:after="0" w:line="213" w:lineRule="auto"/>
        <w:tabs>
          <w:tab w:leader="none" w:pos="2426" w:val="left"/>
        </w:tabs>
        <w:numPr>
          <w:ilvl w:val="1"/>
          <w:numId w:val="217"/>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Swingline Loans</w:t>
      </w:r>
      <w:r>
        <w:rPr>
          <w:rFonts w:ascii="Arial" w:cs="Arial" w:eastAsia="Arial" w:hAnsi="Arial"/>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Swingline Loans in an amount equal to the Swingline Lender’s Fronting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Cash Collateralize the Issuing Lender’s Fronting Exposure in accordance with the procedures set forth in </w:t>
      </w:r>
      <w:r>
        <w:rPr>
          <w:rFonts w:ascii="Arial" w:cs="Arial" w:eastAsia="Arial" w:hAnsi="Arial"/>
          <w:sz w:val="20"/>
          <w:szCs w:val="20"/>
          <w:u w:val="single" w:color="auto"/>
          <w:color w:val="auto"/>
        </w:rPr>
        <w:t>Section 3.10</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25" w:lineRule="auto"/>
        <w:tabs>
          <w:tab w:leader="none" w:pos="1932"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the Lenders in accordance with their respective Revolving Percentages and L/C Percentages, as applicable (without giving effect to </w:t>
      </w:r>
      <w:r>
        <w:rPr>
          <w:rFonts w:ascii="Arial" w:cs="Arial" w:eastAsia="Arial" w:hAnsi="Arial"/>
          <w:sz w:val="18"/>
          <w:szCs w:val="18"/>
          <w:u w:val="single" w:color="auto"/>
          <w:color w:val="auto"/>
        </w:rPr>
        <w:t>Section 2.24(a)(iv)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such Lender was a Defaulting Lender;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60" w:lineRule="exact"/>
        <w:rPr>
          <w:rFonts w:ascii="Arial" w:cs="Arial" w:eastAsia="Arial" w:hAnsi="Arial"/>
          <w:sz w:val="18"/>
          <w:szCs w:val="18"/>
          <w:color w:val="auto"/>
        </w:rPr>
      </w:pPr>
    </w:p>
    <w:p>
      <w:pPr>
        <w:jc w:val="both"/>
        <w:ind w:firstLine="1304"/>
        <w:spacing w:after="0" w:line="213" w:lineRule="auto"/>
        <w:tabs>
          <w:tab w:leader="none" w:pos="1934" w:val="left"/>
        </w:tabs>
        <w:numPr>
          <w:ilvl w:val="0"/>
          <w:numId w:val="218"/>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55"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18"/>
        </w:numPr>
        <w:rPr>
          <w:rFonts w:ascii="Arial" w:cs="Arial" w:eastAsia="Arial" w:hAnsi="Arial"/>
          <w:sz w:val="19"/>
          <w:szCs w:val="19"/>
          <w:color w:val="auto"/>
        </w:rPr>
      </w:pPr>
      <w:r>
        <w:rPr>
          <w:rFonts w:ascii="Arial" w:cs="Arial" w:eastAsia="Arial" w:hAnsi="Arial"/>
          <w:sz w:val="19"/>
          <w:szCs w:val="19"/>
          <w:u w:val="single" w:color="auto"/>
          <w:color w:val="auto"/>
        </w:rPr>
        <w:t>Termination of Defaulting Lender</w:t>
      </w:r>
      <w:r>
        <w:rPr>
          <w:rFonts w:ascii="Arial" w:cs="Arial" w:eastAsia="Arial" w:hAnsi="Arial"/>
          <w:sz w:val="19"/>
          <w:szCs w:val="19"/>
          <w:color w:val="auto"/>
        </w:rPr>
        <w:t xml:space="preserve">. The Borrower may terminate the unused amount of the Revolving Commitment of any Revolving Lender that is a Defaulting Lender upon not less than ten Business Days’ prior notice to the Administrative Agent (which shall promptly notify the Lenders thereof), and in such event the provisions of </w:t>
      </w:r>
      <w:r>
        <w:rPr>
          <w:rFonts w:ascii="Arial" w:cs="Arial" w:eastAsia="Arial" w:hAnsi="Arial"/>
          <w:sz w:val="19"/>
          <w:szCs w:val="19"/>
          <w:u w:val="single" w:color="auto"/>
          <w:color w:val="auto"/>
        </w:rPr>
        <w:t>Section 2.24(a)(ii)</w:t>
      </w:r>
      <w:r>
        <w:rPr>
          <w:rFonts w:ascii="Arial" w:cs="Arial" w:eastAsia="Arial" w:hAnsi="Arial"/>
          <w:sz w:val="19"/>
          <w:szCs w:val="19"/>
          <w:color w:val="auto"/>
        </w:rPr>
        <w:t xml:space="preserve"> will apply to all amounts thereafter paid by the Borrower for the account of such Defaulting Lender under this Agreement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40"/>
          </w:cols>
          <w:pgMar w:left="320" w:top="1405" w:right="339" w:bottom="1440" w:gutter="0" w:footer="0" w:header="0"/>
        </w:sectPr>
      </w:pPr>
    </w:p>
    <w:bookmarkStart w:id="274" w:name="page275"/>
    <w:bookmarkEnd w:id="274"/>
    <w:p>
      <w:pPr>
        <w:jc w:val="both"/>
        <w:spacing w:after="0" w:line="218" w:lineRule="auto"/>
        <w:rPr>
          <w:sz w:val="20"/>
          <w:szCs w:val="20"/>
          <w:color w:val="auto"/>
        </w:rPr>
      </w:pPr>
      <w:r>
        <w:rPr>
          <w:rFonts w:ascii="Arial" w:cs="Arial" w:eastAsia="Arial" w:hAnsi="Arial"/>
          <w:sz w:val="20"/>
          <w:szCs w:val="20"/>
          <w:color w:val="auto"/>
        </w:rPr>
        <w:t xml:space="preserve">on account of principal, interest, fees, indemnity or other amounts);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2.26 Notes</w:t>
      </w:r>
      <w:r>
        <w:rPr>
          <w:rFonts w:ascii="Arial" w:cs="Arial" w:eastAsia="Arial" w:hAnsi="Arial"/>
          <w:sz w:val="20"/>
          <w:szCs w:val="20"/>
          <w:color w:val="auto"/>
        </w:rPr>
        <w:t>. If so requested by any Lender by written notice to the Borrower (with a copy to the Administrative Agent),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 shall execute and deliver to such Lender (and/or, if applicable and if so specified in such notice, to any Person who is an assignee of such Lender pursuant to </w:t>
      </w:r>
      <w:r>
        <w:rPr>
          <w:rFonts w:ascii="Arial" w:cs="Arial" w:eastAsia="Arial" w:hAnsi="Arial"/>
          <w:sz w:val="20"/>
          <w:szCs w:val="20"/>
          <w:u w:val="single" w:color="auto"/>
          <w:color w:val="auto"/>
        </w:rPr>
        <w:t>Section 10.6</w:t>
      </w:r>
      <w:r>
        <w:rPr>
          <w:rFonts w:ascii="Arial" w:cs="Arial" w:eastAsia="Arial" w:hAnsi="Arial"/>
          <w:sz w:val="20"/>
          <w:szCs w:val="20"/>
          <w:color w:val="auto"/>
        </w:rPr>
        <w:t>) (promptly after the Borrower’s receipt of such notice) a Note or Notes to evidence such Lender’s Loans.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2.27</w:t>
      </w:r>
      <w:r>
        <w:rPr>
          <w:sz w:val="20"/>
          <w:szCs w:val="20"/>
          <w:color w:val="auto"/>
        </w:rPr>
        <w:tab/>
      </w:r>
      <w:r>
        <w:rPr>
          <w:rFonts w:ascii="Arial" w:cs="Arial" w:eastAsia="Arial" w:hAnsi="Arial"/>
          <w:sz w:val="18"/>
          <w:szCs w:val="18"/>
          <w:b w:val="1"/>
          <w:bCs w:val="1"/>
          <w:color w:val="auto"/>
        </w:rPr>
        <w:t>Incremental Facility.</w:t>
      </w:r>
    </w:p>
    <w:p>
      <w:pPr>
        <w:spacing w:after="0" w:line="181" w:lineRule="exact"/>
        <w:rPr>
          <w:sz w:val="20"/>
          <w:szCs w:val="20"/>
          <w:color w:val="auto"/>
        </w:rPr>
      </w:pPr>
    </w:p>
    <w:p>
      <w:pPr>
        <w:jc w:val="both"/>
        <w:ind w:firstLine="1304"/>
        <w:spacing w:after="0" w:line="223" w:lineRule="auto"/>
        <w:tabs>
          <w:tab w:leader="none" w:pos="193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At any time during the Revolving Commitment Period, the Borrower may request from time to time from one or more existing Lenders or from other Eligible Assignees reasonably acceptable to the Administrative Agent, the Issuing Lender, the Swingline Lender and the Borrower (but subject to the conditions set forth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below) that the Total Revolving Commitments be increased by an amount not to exceed the Available Revolving Increase Amount (each such increase, an “</w:t>
      </w:r>
      <w:r>
        <w:rPr>
          <w:rFonts w:ascii="Arial" w:cs="Arial" w:eastAsia="Arial" w:hAnsi="Arial"/>
          <w:sz w:val="18"/>
          <w:szCs w:val="18"/>
          <w:b w:val="1"/>
          <w:bCs w:val="1"/>
          <w:i w:val="1"/>
          <w:iCs w:val="1"/>
          <w:color w:val="auto"/>
        </w:rPr>
        <w:t>Increase</w:t>
      </w:r>
      <w:r>
        <w:rPr>
          <w:rFonts w:ascii="Arial" w:cs="Arial" w:eastAsia="Arial" w:hAnsi="Arial"/>
          <w:sz w:val="18"/>
          <w:szCs w:val="18"/>
          <w:color w:val="auto"/>
        </w:rPr>
        <w:t>”); provided that the Borrower may not request an Increase on more than five occasions during the Revolving Commitment Period. No Lender shall be obligated to increase its Revolving Commitments in connection with a proposed Increase. The Administrative Agent shall invite each Lender to provide a portion of the Increase ratably in accordance with its Revolving Percentage of each requested Increase (it being agreed that no Lender shall be obligated to provide an Increase and that any Lender may elect to participate in such Increase in an amount that is less than its Revolving Percentage of such requested Increase or more than its Revolving Percentage of such requested Increase if other Lenders have elected not to participate in any applicable requested Increase in accordance with their Revolving Percentage) and to the extent, five (5) Business Days after receipt of invitation, sufficient Lenders do not agree to provide the full amount of such Increase, then the Administrative Agent may invite any prospective lender that satisfies the criteria of being an “Eligible Assignee” to become a Lender in connection with the proposed Increase. Any Increase shall be in an amount of at least $5,000,000 (or, if the Available Revolving Increase Amount is less than $5,000,000, such remaining Available Revolving Increase Amount) and integral multiples of $1,000,000 in excess thereof. Additionally, for the avoidance of doubt, it is understood and agreed that in no event shall the aggregate amount of the Increases to the Revolving Commitments exceed the Available Revolving Increase Amount during the term of the Agreement. Each request for an Increase delivered by the Borrower to the Administrative Agent shall set forth the amount and proposed terms of the Increase.</w:t>
      </w:r>
    </w:p>
    <w:p>
      <w:pPr>
        <w:spacing w:after="0" w:line="157" w:lineRule="exact"/>
        <w:rPr>
          <w:rFonts w:ascii="Arial" w:cs="Arial" w:eastAsia="Arial" w:hAnsi="Arial"/>
          <w:sz w:val="18"/>
          <w:szCs w:val="18"/>
          <w:color w:val="auto"/>
        </w:rPr>
      </w:pPr>
    </w:p>
    <w:p>
      <w:pPr>
        <w:ind w:left="1940" w:hanging="636"/>
        <w:spacing w:after="0"/>
        <w:tabs>
          <w:tab w:leader="none" w:pos="19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Each of the following shall be conditions precedent to any Increase of the Revolving Commitments in connection</w:t>
      </w:r>
    </w:p>
    <w:p>
      <w:pPr>
        <w:spacing w:after="0"/>
        <w:rPr>
          <w:rFonts w:ascii="Arial" w:cs="Arial" w:eastAsia="Arial" w:hAnsi="Arial"/>
          <w:sz w:val="18"/>
          <w:szCs w:val="18"/>
          <w:color w:val="auto"/>
        </w:rPr>
      </w:pPr>
      <w:r>
        <w:rPr>
          <w:rFonts w:ascii="Arial" w:cs="Arial" w:eastAsia="Arial" w:hAnsi="Arial"/>
          <w:sz w:val="20"/>
          <w:szCs w:val="20"/>
          <w:color w:val="auto"/>
        </w:rPr>
        <w:t>therewith:</w:t>
      </w:r>
    </w:p>
    <w:p>
      <w:pPr>
        <w:spacing w:after="0" w:line="159" w:lineRule="exact"/>
        <w:rPr>
          <w:rFonts w:ascii="Arial" w:cs="Arial" w:eastAsia="Arial" w:hAnsi="Arial"/>
          <w:sz w:val="18"/>
          <w:szCs w:val="18"/>
          <w:color w:val="auto"/>
        </w:rPr>
      </w:pPr>
    </w:p>
    <w:p>
      <w:pPr>
        <w:jc w:val="both"/>
        <w:ind w:firstLine="1952"/>
        <w:spacing w:after="0" w:line="207" w:lineRule="auto"/>
        <w:tabs>
          <w:tab w:leader="none" w:pos="2590" w:val="left"/>
        </w:tabs>
        <w:numPr>
          <w:ilvl w:val="1"/>
          <w:numId w:val="219"/>
        </w:numPr>
        <w:rPr>
          <w:rFonts w:ascii="Arial" w:cs="Arial" w:eastAsia="Arial" w:hAnsi="Arial"/>
          <w:sz w:val="20"/>
          <w:szCs w:val="20"/>
          <w:color w:val="auto"/>
        </w:rPr>
      </w:pPr>
      <w:r>
        <w:rPr>
          <w:rFonts w:ascii="Arial" w:cs="Arial" w:eastAsia="Arial" w:hAnsi="Arial"/>
          <w:sz w:val="20"/>
          <w:szCs w:val="20"/>
          <w:color w:val="auto"/>
        </w:rPr>
        <w:t xml:space="preserve">any Increase shall be on the same terms (including the interest rate, and maturity date), as applicable, as, and pursuant to documentation applicable to, the Revolving Facility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Increase may provide for terms (including interest rate) more favorable to such Increase lenders, if any existing Revolving Loans and existing Commitment at the time of such Increase are also provided the benefit of such more favorable terms (and the consent of any existing Revolving Lender shall not be required to implement such terms);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any fees shall be agreed between the Borrower and the lenders providing such Increase;</w:t>
      </w:r>
    </w:p>
    <w:p>
      <w:pPr>
        <w:spacing w:after="0" w:line="159" w:lineRule="exact"/>
        <w:rPr>
          <w:rFonts w:ascii="Arial" w:cs="Arial" w:eastAsia="Arial" w:hAnsi="Arial"/>
          <w:sz w:val="20"/>
          <w:szCs w:val="20"/>
          <w:color w:val="auto"/>
        </w:rPr>
      </w:pPr>
    </w:p>
    <w:p>
      <w:pPr>
        <w:jc w:val="both"/>
        <w:ind w:firstLine="1952"/>
        <w:spacing w:after="0" w:line="218" w:lineRule="auto"/>
        <w:tabs>
          <w:tab w:leader="none" w:pos="2591" w:val="left"/>
        </w:tabs>
        <w:numPr>
          <w:ilvl w:val="1"/>
          <w:numId w:val="219"/>
        </w:numPr>
        <w:rPr>
          <w:rFonts w:ascii="Arial" w:cs="Arial" w:eastAsia="Arial" w:hAnsi="Arial"/>
          <w:sz w:val="20"/>
          <w:szCs w:val="20"/>
          <w:color w:val="auto"/>
        </w:rPr>
      </w:pPr>
      <w:r>
        <w:rPr>
          <w:rFonts w:ascii="Arial" w:cs="Arial" w:eastAsia="Arial" w:hAnsi="Arial"/>
          <w:sz w:val="20"/>
          <w:szCs w:val="20"/>
          <w:color w:val="auto"/>
        </w:rPr>
        <w:t>the Borrower shall have delivered a written request for such Increase at least ten (10) Business Days prior to the requested establishment of such Increase (or such later date as may be reasonably approved by the Administrative Agent), which request shall set forth the amount and proposed terms of the Increase;</w:t>
      </w:r>
    </w:p>
    <w:p>
      <w:pPr>
        <w:spacing w:after="0" w:line="156" w:lineRule="exact"/>
        <w:rPr>
          <w:rFonts w:ascii="Arial" w:cs="Arial" w:eastAsia="Arial" w:hAnsi="Arial"/>
          <w:sz w:val="20"/>
          <w:szCs w:val="20"/>
          <w:color w:val="auto"/>
        </w:rPr>
      </w:pPr>
    </w:p>
    <w:p>
      <w:pPr>
        <w:jc w:val="both"/>
        <w:ind w:firstLine="1952"/>
        <w:spacing w:after="0" w:line="218" w:lineRule="auto"/>
        <w:tabs>
          <w:tab w:leader="none" w:pos="2592" w:val="left"/>
        </w:tabs>
        <w:numPr>
          <w:ilvl w:val="1"/>
          <w:numId w:val="219"/>
        </w:numPr>
        <w:rPr>
          <w:rFonts w:ascii="Arial" w:cs="Arial" w:eastAsia="Arial" w:hAnsi="Arial"/>
          <w:sz w:val="20"/>
          <w:szCs w:val="20"/>
          <w:color w:val="auto"/>
        </w:rPr>
      </w:pPr>
      <w:r>
        <w:rPr>
          <w:rFonts w:ascii="Arial" w:cs="Arial" w:eastAsia="Arial" w:hAnsi="Arial"/>
          <w:sz w:val="20"/>
          <w:szCs w:val="20"/>
          <w:color w:val="auto"/>
        </w:rPr>
        <w:t>each lender agreeing to such Increase, the Borrower and the Administrative Agent shall have signed an Increase Joinder (any Increase Joinder may, with the consent of the Administrative Agent, the Borrower and the lenders agreeing to such Increase, effect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05" w:right="339" w:bottom="1440" w:gutter="0" w:footer="0" w:header="0"/>
        </w:sectPr>
      </w:pPr>
    </w:p>
    <w:bookmarkStart w:id="275" w:name="page276"/>
    <w:bookmarkEnd w:id="275"/>
    <w:p>
      <w:pPr>
        <w:jc w:val="both"/>
        <w:spacing w:after="0" w:line="221" w:lineRule="auto"/>
        <w:rPr>
          <w:sz w:val="20"/>
          <w:szCs w:val="20"/>
          <w:color w:val="auto"/>
        </w:rPr>
      </w:pPr>
      <w:r>
        <w:rPr>
          <w:rFonts w:ascii="Arial" w:cs="Arial" w:eastAsia="Arial" w:hAnsi="Arial"/>
          <w:sz w:val="19"/>
          <w:szCs w:val="19"/>
          <w:color w:val="auto"/>
        </w:rPr>
        <w:t xml:space="preserve">amendments to this Agreement and the other Loan Documents as may be necessary or appropriate to effectuate the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2.27</w:t>
      </w:r>
      <w:r>
        <w:rPr>
          <w:rFonts w:ascii="Arial" w:cs="Arial" w:eastAsia="Arial" w:hAnsi="Arial"/>
          <w:sz w:val="19"/>
          <w:szCs w:val="19"/>
          <w:color w:val="auto"/>
        </w:rPr>
        <w:t xml:space="preserve"> (including the preceding clause (ii)) and the Borrower shall have executed any Notes requested by any Lender in connection with the making of the Increase. Notwithstanding anything to the contrary in this Agreement or in any other Loan Document, an Increase Joinder reasonably satisfactory to the Administrative Agent, and the amendments to this Agreement effected thereby, shall not require the consent of any Lender other than the Lender(s) agreeing to establish such Increase;</w:t>
      </w:r>
    </w:p>
    <w:p>
      <w:pPr>
        <w:spacing w:after="0" w:line="155" w:lineRule="exact"/>
        <w:rPr>
          <w:sz w:val="20"/>
          <w:szCs w:val="20"/>
          <w:color w:val="auto"/>
        </w:rPr>
      </w:pPr>
    </w:p>
    <w:p>
      <w:pPr>
        <w:jc w:val="both"/>
        <w:ind w:firstLine="1952"/>
        <w:spacing w:after="0" w:line="217" w:lineRule="auto"/>
        <w:tabs>
          <w:tab w:leader="none" w:pos="2581" w:val="left"/>
        </w:tabs>
        <w:numPr>
          <w:ilvl w:val="1"/>
          <w:numId w:val="220"/>
        </w:numPr>
        <w:rPr>
          <w:rFonts w:ascii="Arial" w:cs="Arial" w:eastAsia="Arial" w:hAnsi="Arial"/>
          <w:sz w:val="19"/>
          <w:szCs w:val="19"/>
          <w:color w:val="auto"/>
        </w:rPr>
      </w:pPr>
      <w:r>
        <w:rPr>
          <w:rFonts w:ascii="Arial" w:cs="Arial" w:eastAsia="Arial" w:hAnsi="Arial"/>
          <w:sz w:val="19"/>
          <w:szCs w:val="19"/>
          <w:color w:val="auto"/>
        </w:rPr>
        <w:t xml:space="preserve">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Increase and the use of proceeds thereof, each of the conditions precedent in </w:t>
      </w:r>
      <w:r>
        <w:rPr>
          <w:rFonts w:ascii="Arial" w:cs="Arial" w:eastAsia="Arial" w:hAnsi="Arial"/>
          <w:sz w:val="19"/>
          <w:szCs w:val="19"/>
          <w:u w:val="single" w:color="auto"/>
          <w:color w:val="auto"/>
        </w:rPr>
        <w:t>Section 5.2(a)</w:t>
      </w:r>
      <w:r>
        <w:rPr>
          <w:rFonts w:ascii="Arial" w:cs="Arial" w:eastAsia="Arial" w:hAnsi="Arial"/>
          <w:sz w:val="19"/>
          <w:szCs w:val="19"/>
          <w:color w:val="auto"/>
        </w:rPr>
        <w:t xml:space="preserve"> are satisfied (other than in connection with Limited Condition Acquisitions, in which case (i) Section 5.2(a) shall be satisfied only in connection with the Specified Representations and (ii) the Specified Acquisition Agreement Representations shall be true and correct on the date Loans are made under the Increase, but only to the extent that the Borrower (or any of its Affiliates) has the right (taking into account any applicable cure provisions) to terminate its (or such Affiliates’) obligations under the Limited Condition Acquisition, or to decline to consummate the Limited Condition Acquisition Agreement (in each case, in accordance with the terms thereof) as a result of a breach of such Specified Acquisition Agreement Representations);</w:t>
      </w:r>
    </w:p>
    <w:p>
      <w:pPr>
        <w:spacing w:after="0" w:line="156" w:lineRule="exact"/>
        <w:rPr>
          <w:rFonts w:ascii="Arial" w:cs="Arial" w:eastAsia="Arial" w:hAnsi="Arial"/>
          <w:sz w:val="19"/>
          <w:szCs w:val="19"/>
          <w:color w:val="auto"/>
        </w:rPr>
      </w:pPr>
    </w:p>
    <w:p>
      <w:pPr>
        <w:jc w:val="both"/>
        <w:ind w:firstLine="1952"/>
        <w:spacing w:after="0" w:line="216" w:lineRule="auto"/>
        <w:tabs>
          <w:tab w:leader="none" w:pos="258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 xml:space="preserve">immediately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to such Increase and the use of proceeds thereof, (A) no Default or Event of Default shall have occurred and be continuing at the time of such Increase (other than in connection with Limited Condition Acquisitions, in which case there shall be no Default or Event of Default as of the LCA Test Date and no Event of Default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at the time of such Increase,) and (B) the Borrower shall be in compliance with the then applicable financial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hereof as of the end of the most recently ended quarter for which financial statements are required to be delivered prior to such Increase (and assuming that the Increase was fully drawn), and the Borrower shall have delivered to the Administrative Agent a Compliance Certificate evidencing compliance with the requirements of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(provided that in the case of a Limited Condition Acquisition, such calculation shall be made in compliance with </w:t>
      </w:r>
      <w:r>
        <w:rPr>
          <w:rFonts w:ascii="Arial" w:cs="Arial" w:eastAsia="Arial" w:hAnsi="Arial"/>
          <w:sz w:val="19"/>
          <w:szCs w:val="19"/>
          <w:u w:val="single" w:color="auto"/>
          <w:color w:val="auto"/>
        </w:rPr>
        <w:t>Section 1.4</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1952"/>
        <w:spacing w:after="0" w:line="213" w:lineRule="auto"/>
        <w:tabs>
          <w:tab w:leader="none" w:pos="2581" w:val="left"/>
        </w:tabs>
        <w:numPr>
          <w:ilvl w:val="1"/>
          <w:numId w:val="220"/>
        </w:numPr>
        <w:rPr>
          <w:rFonts w:ascii="Arial" w:cs="Arial" w:eastAsia="Arial" w:hAnsi="Arial"/>
          <w:sz w:val="20"/>
          <w:szCs w:val="20"/>
          <w:color w:val="auto"/>
        </w:rPr>
      </w:pPr>
      <w:r>
        <w:rPr>
          <w:rFonts w:ascii="Arial" w:cs="Arial" w:eastAsia="Arial" w:hAnsi="Arial"/>
          <w:sz w:val="20"/>
          <w:szCs w:val="20"/>
          <w:color w:val="auto"/>
        </w:rPr>
        <w:t>each Loan Party shall have delivered to the Administrative Agent (i) a certificate signed by a Responsible Officers certifying and attaching the resolutions adopted by such Loan Party approving or consenting to such Incremental Facility, and (ii) unless waived by the Administrative Agent, legal opinions substantially consistent with those delivered on the Closing Date (subject to changes in law);</w:t>
      </w:r>
    </w:p>
    <w:p>
      <w:pPr>
        <w:spacing w:after="0" w:line="155" w:lineRule="exact"/>
        <w:rPr>
          <w:rFonts w:ascii="Arial" w:cs="Arial" w:eastAsia="Arial" w:hAnsi="Arial"/>
          <w:sz w:val="20"/>
          <w:szCs w:val="20"/>
          <w:color w:val="auto"/>
        </w:rPr>
      </w:pPr>
    </w:p>
    <w:p>
      <w:pPr>
        <w:jc w:val="both"/>
        <w:ind w:firstLine="1952"/>
        <w:spacing w:after="0" w:line="218" w:lineRule="auto"/>
        <w:tabs>
          <w:tab w:leader="none" w:pos="2581" w:val="left"/>
        </w:tabs>
        <w:numPr>
          <w:ilvl w:val="1"/>
          <w:numId w:val="220"/>
        </w:numPr>
        <w:rPr>
          <w:rFonts w:ascii="Arial" w:cs="Arial" w:eastAsia="Arial" w:hAnsi="Arial"/>
          <w:sz w:val="20"/>
          <w:szCs w:val="20"/>
          <w:color w:val="auto"/>
        </w:rPr>
      </w:pPr>
      <w:r>
        <w:rPr>
          <w:rFonts w:ascii="Arial" w:cs="Arial" w:eastAsia="Arial" w:hAnsi="Arial"/>
          <w:sz w:val="20"/>
          <w:szCs w:val="20"/>
          <w:color w:val="auto"/>
        </w:rPr>
        <w:t>in connection with such Increase, the Borrower shall pay to the Administrative Agent, for the benefit of the Administrative Agent or the Increase lenders, as applicable, all fees that the Borrower has agreed to pay in connection with such Increase; and</w:t>
      </w:r>
    </w:p>
    <w:p>
      <w:pPr>
        <w:spacing w:after="0" w:line="156" w:lineRule="exact"/>
        <w:rPr>
          <w:rFonts w:ascii="Arial" w:cs="Arial" w:eastAsia="Arial" w:hAnsi="Arial"/>
          <w:sz w:val="20"/>
          <w:szCs w:val="20"/>
          <w:color w:val="auto"/>
        </w:rPr>
      </w:pPr>
    </w:p>
    <w:p>
      <w:pPr>
        <w:jc w:val="both"/>
        <w:ind w:firstLine="1952"/>
        <w:spacing w:after="0" w:line="224" w:lineRule="auto"/>
        <w:tabs>
          <w:tab w:leader="none" w:pos="2583" w:val="left"/>
        </w:tabs>
        <w:numPr>
          <w:ilvl w:val="1"/>
          <w:numId w:val="220"/>
        </w:numPr>
        <w:rPr>
          <w:rFonts w:ascii="Arial" w:cs="Arial" w:eastAsia="Arial" w:hAnsi="Arial"/>
          <w:sz w:val="19"/>
          <w:szCs w:val="19"/>
          <w:color w:val="auto"/>
        </w:rPr>
      </w:pPr>
      <w:r>
        <w:rPr>
          <w:rFonts w:ascii="Arial" w:cs="Arial" w:eastAsia="Arial" w:hAnsi="Arial"/>
          <w:sz w:val="19"/>
          <w:szCs w:val="19"/>
          <w:color w:val="auto"/>
        </w:rPr>
        <w:t xml:space="preserve">upon each Increase in accordance with this </w:t>
      </w:r>
      <w:r>
        <w:rPr>
          <w:rFonts w:ascii="Arial" w:cs="Arial" w:eastAsia="Arial" w:hAnsi="Arial"/>
          <w:sz w:val="19"/>
          <w:szCs w:val="19"/>
          <w:u w:val="single" w:color="auto"/>
          <w:color w:val="auto"/>
        </w:rPr>
        <w:t>Section 2.27</w:t>
      </w:r>
      <w:r>
        <w:rPr>
          <w:rFonts w:ascii="Arial" w:cs="Arial" w:eastAsia="Arial" w:hAnsi="Arial"/>
          <w:sz w:val="19"/>
          <w:szCs w:val="19"/>
          <w:color w:val="auto"/>
        </w:rPr>
        <w:t>, all outstanding Loans, participations hereunder in Letters of Credit and participations hereunder in Swingline Loans held by each Lender shall be reallocated among the Lenders (including any newly added Lenders) in accordance with the Lenders’ respective revised Revolving Percentages and L/C Percentages, pursuant to procedures reasonably determined by the Administrative Agent in consultation with the Borrower.</w:t>
      </w:r>
    </w:p>
    <w:p>
      <w:pPr>
        <w:spacing w:after="0" w:line="156" w:lineRule="exact"/>
        <w:rPr>
          <w:rFonts w:ascii="Arial" w:cs="Arial" w:eastAsia="Arial" w:hAnsi="Arial"/>
          <w:sz w:val="19"/>
          <w:szCs w:val="19"/>
          <w:color w:val="auto"/>
        </w:rPr>
      </w:pPr>
    </w:p>
    <w:p>
      <w:pPr>
        <w:jc w:val="both"/>
        <w:ind w:firstLine="1304"/>
        <w:spacing w:after="0" w:line="210" w:lineRule="auto"/>
        <w:tabs>
          <w:tab w:leader="none" w:pos="1934" w:val="left"/>
        </w:tabs>
        <w:numPr>
          <w:ilvl w:val="0"/>
          <w:numId w:val="221"/>
        </w:numPr>
        <w:rPr>
          <w:rFonts w:ascii="Arial" w:cs="Arial" w:eastAsia="Arial" w:hAnsi="Arial"/>
          <w:sz w:val="20"/>
          <w:szCs w:val="20"/>
          <w:color w:val="auto"/>
        </w:rPr>
      </w:pPr>
      <w:r>
        <w:rPr>
          <w:rFonts w:ascii="Arial" w:cs="Arial" w:eastAsia="Arial" w:hAnsi="Arial"/>
          <w:sz w:val="20"/>
          <w:szCs w:val="20"/>
          <w:color w:val="auto"/>
        </w:rPr>
        <w:t xml:space="preserve">Upon the effectiveness of any Increase, (i) all references in this Agreement and any other Loan Document to the Revolving Loans shall be deemed, unless the context otherwise requires, to include such Increase advanced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and any amendments effected through the Increase Joinder and (ii) all references in this Agreement and any other Loan Document to the Revolving Commitment shall be deemed, unless the context otherwise requires, to include the commitment to advance an amount equal to such Increase pursuant to this </w:t>
      </w:r>
      <w:r>
        <w:rPr>
          <w:rFonts w:ascii="Arial" w:cs="Arial" w:eastAsia="Arial" w:hAnsi="Arial"/>
          <w:sz w:val="20"/>
          <w:szCs w:val="20"/>
          <w:u w:val="single" w:color="auto"/>
          <w:color w:val="auto"/>
        </w:rPr>
        <w:t>Section 2.27</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21"/>
        </w:numPr>
        <w:rPr>
          <w:rFonts w:ascii="Arial" w:cs="Arial" w:eastAsia="Arial" w:hAnsi="Arial"/>
          <w:sz w:val="19"/>
          <w:szCs w:val="19"/>
          <w:color w:val="auto"/>
        </w:rPr>
      </w:pPr>
      <w:r>
        <w:rPr>
          <w:rFonts w:ascii="Arial" w:cs="Arial" w:eastAsia="Arial" w:hAnsi="Arial"/>
          <w:sz w:val="19"/>
          <w:szCs w:val="19"/>
          <w:color w:val="auto"/>
        </w:rPr>
        <w:t xml:space="preserve">The Revolving Loans and Revolving Commitments established pursuant to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shall constitute Revolving Loans and Revolving Commitments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05" w:right="339" w:bottom="1440" w:gutter="0" w:footer="0" w:header="0"/>
        </w:sectPr>
      </w:pPr>
    </w:p>
    <w:bookmarkStart w:id="276" w:name="page277"/>
    <w:bookmarkEnd w:id="276"/>
    <w:p>
      <w:pPr>
        <w:spacing w:after="0" w:line="229" w:lineRule="auto"/>
        <w:rPr>
          <w:sz w:val="20"/>
          <w:szCs w:val="20"/>
          <w:color w:val="auto"/>
        </w:rPr>
      </w:pPr>
      <w:r>
        <w:rPr>
          <w:rFonts w:ascii="Arial" w:cs="Arial" w:eastAsia="Arial" w:hAnsi="Arial"/>
          <w:sz w:val="20"/>
          <w:szCs w:val="20"/>
          <w:color w:val="auto"/>
        </w:rPr>
        <w:t>and demonstrate that the Liens and security interests granted by the Loan Documents continue to be perfected under the UCC or otherwise after giving effect to the establishment of any such new Revolving Commitments.</w:t>
      </w:r>
    </w:p>
    <w:p>
      <w:pPr>
        <w:spacing w:after="0" w:line="130"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3</w:t>
      </w:r>
    </w:p>
    <w:p>
      <w:pPr>
        <w:ind w:left="4600"/>
        <w:spacing w:after="0"/>
        <w:rPr>
          <w:sz w:val="20"/>
          <w:szCs w:val="20"/>
          <w:color w:val="auto"/>
        </w:rPr>
      </w:pPr>
      <w:r>
        <w:rPr>
          <w:rFonts w:ascii="Arial" w:cs="Arial" w:eastAsia="Arial" w:hAnsi="Arial"/>
          <w:sz w:val="20"/>
          <w:szCs w:val="20"/>
          <w:b w:val="1"/>
          <w:bCs w:val="1"/>
          <w:color w:val="auto"/>
        </w:rPr>
        <w:t>LETTERS OF CREDIT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L/C Commitment.</w:t>
      </w:r>
    </w:p>
    <w:p>
      <w:pPr>
        <w:spacing w:after="0" w:line="181" w:lineRule="exact"/>
        <w:rPr>
          <w:sz w:val="20"/>
          <w:szCs w:val="20"/>
          <w:color w:val="auto"/>
        </w:rPr>
      </w:pPr>
    </w:p>
    <w:p>
      <w:pPr>
        <w:jc w:val="both"/>
        <w:ind w:firstLine="1304"/>
        <w:spacing w:after="0" w:line="216" w:lineRule="auto"/>
        <w:tabs>
          <w:tab w:leader="none" w:pos="1934" w:val="left"/>
        </w:tabs>
        <w:numPr>
          <w:ilvl w:val="0"/>
          <w:numId w:val="222"/>
        </w:numPr>
        <w:rPr>
          <w:rFonts w:ascii="Arial" w:cs="Arial" w:eastAsia="Arial" w:hAnsi="Arial"/>
          <w:sz w:val="19"/>
          <w:szCs w:val="19"/>
          <w:color w:val="auto"/>
        </w:rPr>
      </w:pPr>
      <w:r>
        <w:rPr>
          <w:rFonts w:ascii="Arial" w:cs="Arial" w:eastAsia="Arial" w:hAnsi="Arial"/>
          <w:sz w:val="19"/>
          <w:szCs w:val="19"/>
          <w:color w:val="auto"/>
        </w:rPr>
        <w:t>Subject to the terms and conditions hereof, the Issuing Lender agrees to issue letters of credit (“</w:t>
      </w:r>
      <w:r>
        <w:rPr>
          <w:rFonts w:ascii="Arial" w:cs="Arial" w:eastAsia="Arial" w:hAnsi="Arial"/>
          <w:sz w:val="19"/>
          <w:szCs w:val="19"/>
          <w:b w:val="1"/>
          <w:bCs w:val="1"/>
          <w:i w:val="1"/>
          <w:iCs w:val="1"/>
          <w:color w:val="auto"/>
        </w:rPr>
        <w:t>Letters of Credit</w:t>
      </w:r>
      <w:r>
        <w:rPr>
          <w:rFonts w:ascii="Arial" w:cs="Arial" w:eastAsia="Arial" w:hAnsi="Arial"/>
          <w:sz w:val="19"/>
          <w:szCs w:val="19"/>
          <w:color w:val="auto"/>
        </w:rPr>
        <w:t xml:space="preserve">”) for the account of the Borrower on any Business Day during the Letter of Credit Availability Period in such form as may reasonably be approved from time to time by the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Issuing Lender shall have no obligation to issue any Letter of Credit if, after giving effect to such issuance, the L/C Exposure would exceed either the Total L/C Commitments or the Available Revolving Commitment at such time. Unless otherwise agreed to by the Administrative Agent in its sole discretion, each Letter of Credit shall (i) be denominated in Dollars and (ii) expire no later than the earlier of (x) the first anniversary of its date of issuance and (y) the Letter of Credit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with a one-year term may provide for the renewal thereof for additional one-year periods (which shall in no event extend beyond the date referred to in clause (y) above).</w:t>
      </w:r>
    </w:p>
    <w:p>
      <w:pPr>
        <w:spacing w:after="0" w:line="154" w:lineRule="exact"/>
        <w:rPr>
          <w:rFonts w:ascii="Arial" w:cs="Arial" w:eastAsia="Arial" w:hAnsi="Arial"/>
          <w:sz w:val="19"/>
          <w:szCs w:val="19"/>
          <w:color w:val="auto"/>
        </w:rPr>
      </w:pPr>
    </w:p>
    <w:p>
      <w:pPr>
        <w:ind w:left="1940" w:hanging="636"/>
        <w:spacing w:after="0"/>
        <w:tabs>
          <w:tab w:leader="none" w:pos="19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Issuing Lender shall not at any time be obligated to issue any Letter of Credit if:</w:t>
      </w:r>
    </w:p>
    <w:p>
      <w:pPr>
        <w:spacing w:after="0" w:line="175" w:lineRule="exact"/>
        <w:rPr>
          <w:rFonts w:ascii="Arial" w:cs="Arial" w:eastAsia="Arial" w:hAnsi="Arial"/>
          <w:sz w:val="20"/>
          <w:szCs w:val="20"/>
          <w:color w:val="auto"/>
        </w:rPr>
      </w:pPr>
    </w:p>
    <w:p>
      <w:pPr>
        <w:ind w:firstLine="1952"/>
        <w:spacing w:after="0" w:line="229" w:lineRule="auto"/>
        <w:tabs>
          <w:tab w:leader="none" w:pos="259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such issuance would conflict with, or cause the Issuing Lender or any L/C Lender to exceed any limits imposed by, any applicable Requirement of Law;</w:t>
      </w:r>
    </w:p>
    <w:p>
      <w:pPr>
        <w:spacing w:after="0" w:line="155" w:lineRule="exact"/>
        <w:rPr>
          <w:rFonts w:ascii="Arial" w:cs="Arial" w:eastAsia="Arial" w:hAnsi="Arial"/>
          <w:sz w:val="20"/>
          <w:szCs w:val="20"/>
          <w:color w:val="auto"/>
        </w:rPr>
      </w:pPr>
    </w:p>
    <w:p>
      <w:pPr>
        <w:jc w:val="both"/>
        <w:ind w:firstLine="1952"/>
        <w:spacing w:after="0" w:line="216" w:lineRule="auto"/>
        <w:tabs>
          <w:tab w:leader="none" w:pos="2591" w:val="left"/>
        </w:tabs>
        <w:numPr>
          <w:ilvl w:val="1"/>
          <w:numId w:val="222"/>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54" w:lineRule="exact"/>
        <w:rPr>
          <w:rFonts w:ascii="Arial" w:cs="Arial" w:eastAsia="Arial" w:hAnsi="Arial"/>
          <w:sz w:val="19"/>
          <w:szCs w:val="19"/>
          <w:color w:val="auto"/>
        </w:rPr>
      </w:pPr>
    </w:p>
    <w:p>
      <w:pPr>
        <w:jc w:val="both"/>
        <w:ind w:firstLine="1952"/>
        <w:spacing w:after="0" w:line="218" w:lineRule="auto"/>
        <w:tabs>
          <w:tab w:leader="none" w:pos="2592" w:val="left"/>
        </w:tabs>
        <w:numPr>
          <w:ilvl w:val="1"/>
          <w:numId w:val="222"/>
        </w:numPr>
        <w:rPr>
          <w:rFonts w:ascii="Arial" w:cs="Arial" w:eastAsia="Arial" w:hAnsi="Arial"/>
          <w:sz w:val="20"/>
          <w:szCs w:val="20"/>
          <w:color w:val="auto"/>
        </w:rPr>
      </w:pPr>
      <w:r>
        <w:rPr>
          <w:rFonts w:ascii="Arial" w:cs="Arial" w:eastAsia="Arial" w:hAnsi="Arial"/>
          <w:sz w:val="20"/>
          <w:szCs w:val="20"/>
          <w:color w:val="auto"/>
        </w:rPr>
        <w:t xml:space="preserve">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shall not then be satisfied;</w:t>
      </w:r>
    </w:p>
    <w:p>
      <w:pPr>
        <w:spacing w:after="0" w:line="156" w:lineRule="exact"/>
        <w:rPr>
          <w:rFonts w:ascii="Arial" w:cs="Arial" w:eastAsia="Arial" w:hAnsi="Arial"/>
          <w:sz w:val="20"/>
          <w:szCs w:val="20"/>
          <w:color w:val="auto"/>
        </w:rPr>
      </w:pPr>
    </w:p>
    <w:p>
      <w:pPr>
        <w:ind w:firstLine="1952"/>
        <w:spacing w:after="0" w:line="333" w:lineRule="auto"/>
        <w:tabs>
          <w:tab w:leader="none" w:pos="2581" w:val="left"/>
        </w:tabs>
        <w:numPr>
          <w:ilvl w:val="1"/>
          <w:numId w:val="222"/>
        </w:numPr>
        <w:rPr>
          <w:rFonts w:ascii="Arial" w:cs="Arial" w:eastAsia="Arial" w:hAnsi="Arial"/>
          <w:sz w:val="16"/>
          <w:szCs w:val="16"/>
          <w:color w:val="auto"/>
        </w:rPr>
      </w:pPr>
      <w:r>
        <w:rPr>
          <w:rFonts w:ascii="Arial" w:cs="Arial" w:eastAsia="Arial" w:hAnsi="Arial"/>
          <w:sz w:val="16"/>
          <w:szCs w:val="16"/>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81" w:lineRule="exact"/>
        <w:rPr>
          <w:rFonts w:ascii="Arial" w:cs="Arial" w:eastAsia="Arial" w:hAnsi="Arial"/>
          <w:sz w:val="16"/>
          <w:szCs w:val="16"/>
          <w:color w:val="auto"/>
        </w:rPr>
      </w:pPr>
    </w:p>
    <w:p>
      <w:pPr>
        <w:ind w:left="2580" w:hanging="628"/>
        <w:spacing w:after="0"/>
        <w:tabs>
          <w:tab w:leader="none" w:pos="25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such Letter of Credit contains any provisions providing for automatic reinstatement of the stated amount</w:t>
      </w:r>
    </w:p>
    <w:p>
      <w:pPr>
        <w:spacing w:after="0"/>
        <w:rPr>
          <w:rFonts w:ascii="Arial" w:cs="Arial" w:eastAsia="Arial" w:hAnsi="Arial"/>
          <w:sz w:val="18"/>
          <w:szCs w:val="18"/>
          <w:color w:val="auto"/>
        </w:rPr>
      </w:pPr>
      <w:r>
        <w:rPr>
          <w:rFonts w:ascii="Arial" w:cs="Arial" w:eastAsia="Arial" w:hAnsi="Arial"/>
          <w:sz w:val="20"/>
          <w:szCs w:val="20"/>
          <w:color w:val="auto"/>
        </w:rPr>
        <w:t>after any drawing thereunder;</w:t>
      </w:r>
    </w:p>
    <w:p>
      <w:pPr>
        <w:spacing w:after="0" w:line="159" w:lineRule="exact"/>
        <w:rPr>
          <w:rFonts w:ascii="Arial" w:cs="Arial" w:eastAsia="Arial" w:hAnsi="Arial"/>
          <w:sz w:val="18"/>
          <w:szCs w:val="18"/>
          <w:color w:val="auto"/>
        </w:rPr>
      </w:pPr>
    </w:p>
    <w:p>
      <w:pPr>
        <w:ind w:right="20" w:firstLine="1952"/>
        <w:spacing w:after="0" w:line="229" w:lineRule="auto"/>
        <w:tabs>
          <w:tab w:leader="none" w:pos="2581" w:val="left"/>
        </w:tabs>
        <w:numPr>
          <w:ilvl w:val="1"/>
          <w:numId w:val="222"/>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the Issuing Lender, such Letter of Credit is in an initial face amount less than $250,000; or</w:t>
      </w:r>
    </w:p>
    <w:p>
      <w:pPr>
        <w:spacing w:after="0" w:line="155" w:lineRule="exact"/>
        <w:rPr>
          <w:rFonts w:ascii="Arial" w:cs="Arial" w:eastAsia="Arial" w:hAnsi="Arial"/>
          <w:sz w:val="20"/>
          <w:szCs w:val="20"/>
          <w:color w:val="auto"/>
        </w:rPr>
      </w:pPr>
    </w:p>
    <w:p>
      <w:pPr>
        <w:jc w:val="both"/>
        <w:ind w:firstLine="1952"/>
        <w:spacing w:after="0" w:line="244" w:lineRule="auto"/>
        <w:tabs>
          <w:tab w:leader="none" w:pos="258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Issuing Lender has entered into arrangements, including the delivery of Cash Collateral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 satisfactory to the Issuing Lender (in its sole discretion) with the Borrower or such Defaulting Lender to eliminate the Issuing Lender’s actual or potential Fronting Exposure (after giving effect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05" w:right="339" w:bottom="1440" w:gutter="0" w:footer="0" w:header="0"/>
        </w:sectPr>
      </w:pPr>
    </w:p>
    <w:bookmarkStart w:id="277" w:name="page278"/>
    <w:bookmarkEnd w:id="277"/>
    <w:p>
      <w:pPr>
        <w:jc w:val="both"/>
        <w:spacing w:after="0" w:line="218" w:lineRule="auto"/>
        <w:rPr>
          <w:sz w:val="20"/>
          <w:szCs w:val="20"/>
          <w:color w:val="auto"/>
        </w:rPr>
      </w:pPr>
      <w:r>
        <w:rPr>
          <w:rFonts w:ascii="Arial" w:cs="Arial" w:eastAsia="Arial" w:hAnsi="Arial"/>
          <w:sz w:val="20"/>
          <w:szCs w:val="20"/>
          <w:u w:val="single" w:color="auto"/>
          <w:color w:val="auto"/>
        </w:rPr>
        <w:t>Section 2.24(a)(iv)</w:t>
      </w:r>
      <w:r>
        <w:rPr>
          <w:rFonts w:ascii="Arial" w:cs="Arial" w:eastAsia="Arial" w:hAnsi="Arial"/>
          <w:sz w:val="20"/>
          <w:szCs w:val="20"/>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5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3.2 Procedure for Issuance of Letters of Credit</w:t>
      </w:r>
      <w:r>
        <w:rPr>
          <w:rFonts w:ascii="Arial" w:cs="Arial" w:eastAsia="Arial" w:hAnsi="Arial"/>
          <w:sz w:val="18"/>
          <w:szCs w:val="18"/>
          <w:color w:val="auto"/>
        </w:rPr>
        <w:t>. The Borrower may from time to time request that the Issuing Lender issue a</w:t>
      </w:r>
      <w:r>
        <w:rPr>
          <w:rFonts w:ascii="Arial" w:cs="Arial" w:eastAsia="Arial" w:hAnsi="Arial"/>
          <w:sz w:val="18"/>
          <w:szCs w:val="18"/>
          <w:b w:val="1"/>
          <w:bCs w:val="1"/>
          <w:color w:val="auto"/>
        </w:rPr>
        <w:t xml:space="preserve"> </w:t>
      </w:r>
      <w:r>
        <w:rPr>
          <w:rFonts w:ascii="Arial" w:cs="Arial" w:eastAsia="Arial" w:hAnsi="Arial"/>
          <w:sz w:val="18"/>
          <w:szCs w:val="18"/>
          <w:color w:val="auto"/>
        </w:rPr>
        <w:t>Letter of Credit for the account of the Borrower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Fees and Other Charges.</w:t>
      </w:r>
    </w:p>
    <w:p>
      <w:pPr>
        <w:spacing w:after="0" w:line="181" w:lineRule="exact"/>
        <w:rPr>
          <w:sz w:val="20"/>
          <w:szCs w:val="20"/>
          <w:color w:val="auto"/>
        </w:rPr>
      </w:pPr>
    </w:p>
    <w:p>
      <w:pPr>
        <w:jc w:val="both"/>
        <w:ind w:firstLine="1304"/>
        <w:spacing w:after="0" w:line="220" w:lineRule="auto"/>
        <w:tabs>
          <w:tab w:leader="none" w:pos="193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Borrower agrees to pay, with respect to each Existing Letter of Credit and each outstanding Letter of Credit issued for the account of (or at the request of) the Borrower, (i) a fronting fee of 0.125% per annum on the daily amount available to be drawn under each such Letter of Credit to the Issuing Lender for its own account (a “</w:t>
      </w:r>
      <w:r>
        <w:rPr>
          <w:rFonts w:ascii="Arial" w:cs="Arial" w:eastAsia="Arial" w:hAnsi="Arial"/>
          <w:sz w:val="18"/>
          <w:szCs w:val="18"/>
          <w:b w:val="1"/>
          <w:bCs w:val="1"/>
          <w:i w:val="1"/>
          <w:iCs w:val="1"/>
          <w:color w:val="auto"/>
        </w:rPr>
        <w:t>Letter of Credit Fronting Fee</w:t>
      </w:r>
      <w:r>
        <w:rPr>
          <w:rFonts w:ascii="Arial" w:cs="Arial" w:eastAsia="Arial" w:hAnsi="Arial"/>
          <w:sz w:val="18"/>
          <w:szCs w:val="18"/>
          <w:color w:val="auto"/>
        </w:rPr>
        <w:t xml:space="preserve">”), and (ii) a letter of credit fee equal to the Applicable Margin relating to Letters of Credit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Arial" w:cs="Arial" w:eastAsia="Arial" w:hAnsi="Arial"/>
          <w:sz w:val="18"/>
          <w:szCs w:val="18"/>
          <w:b w:val="1"/>
          <w:bCs w:val="1"/>
          <w:i w:val="1"/>
          <w:iCs w:val="1"/>
          <w:color w:val="auto"/>
        </w:rPr>
        <w:t>Letter of Credit Fee</w:t>
      </w:r>
      <w:r>
        <w:rPr>
          <w:rFonts w:ascii="Arial" w:cs="Arial" w:eastAsia="Arial" w:hAnsi="Arial"/>
          <w:sz w:val="18"/>
          <w:szCs w:val="18"/>
          <w:color w:val="auto"/>
        </w:rPr>
        <w:t>”), in each case payable quarterly in arrears on the last Business Day of each calendar quarter and on the Letter of Credit Maturity Date (each, an “</w:t>
      </w:r>
      <w:r>
        <w:rPr>
          <w:rFonts w:ascii="Arial" w:cs="Arial" w:eastAsia="Arial" w:hAnsi="Arial"/>
          <w:sz w:val="18"/>
          <w:szCs w:val="18"/>
          <w:b w:val="1"/>
          <w:bCs w:val="1"/>
          <w:i w:val="1"/>
          <w:iCs w:val="1"/>
          <w:color w:val="auto"/>
        </w:rPr>
        <w:t>L/C Fee Payment Date</w:t>
      </w:r>
      <w:r>
        <w:rPr>
          <w:rFonts w:ascii="Arial" w:cs="Arial" w:eastAsia="Arial" w:hAnsi="Arial"/>
          <w:sz w:val="18"/>
          <w:szCs w:val="18"/>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Arial" w:cs="Arial" w:eastAsia="Arial" w:hAnsi="Arial"/>
          <w:sz w:val="18"/>
          <w:szCs w:val="18"/>
          <w:b w:val="1"/>
          <w:bCs w:val="1"/>
          <w:i w:val="1"/>
          <w:iCs w:val="1"/>
          <w:color w:val="auto"/>
        </w:rPr>
        <w:t>Issuing Lender Fees</w:t>
      </w:r>
      <w:r>
        <w:rPr>
          <w:rFonts w:ascii="Arial" w:cs="Arial" w:eastAsia="Arial" w:hAnsi="Arial"/>
          <w:sz w:val="18"/>
          <w:szCs w:val="18"/>
          <w:color w:val="auto"/>
        </w:rPr>
        <w:t xml:space="preserve">”). All Letter of Credit Fronting Fees and Letter of Credit Fees shall be computed on the basis of the actual number of days elapsed in a year of 360 days. During the continuance of an Event of Default, at the request of the Required Lenders, Letter of Credit Fees shall accrue a rate per annum equal to the rate that would otherwise be applicable thereto pursuant to the foregoing provisions of this Section plus 2.00%;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increased fee rate shall apply to all outstanding Letters of Credit automatically and without any Required Lender consent therefor upon the occurrence of any Event of Default arising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(f)</w:t>
      </w:r>
      <w:r>
        <w:rPr>
          <w:rFonts w:ascii="Arial" w:cs="Arial" w:eastAsia="Arial" w:hAnsi="Arial"/>
          <w:sz w:val="20"/>
          <w:szCs w:val="20"/>
          <w:color w:val="auto"/>
        </w:rPr>
        <w:t>.</w:t>
      </w:r>
    </w:p>
    <w:p>
      <w:pPr>
        <w:spacing w:after="0" w:line="159"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155" w:lineRule="exact"/>
        <w:rPr>
          <w:rFonts w:ascii="Arial" w:cs="Arial" w:eastAsia="Arial" w:hAnsi="Arial"/>
          <w:sz w:val="20"/>
          <w:szCs w:val="20"/>
          <w:color w:val="auto"/>
        </w:rPr>
      </w:pPr>
    </w:p>
    <w:p>
      <w:pPr>
        <w:jc w:val="both"/>
        <w:ind w:firstLine="1304"/>
        <w:spacing w:after="0" w:line="244" w:lineRule="auto"/>
        <w:tabs>
          <w:tab w:leader="none" w:pos="193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shall be payable, to the maximum extent permitted by applicable law, to the other L/C Lenders in accordance with the upward adjustments in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05" w:right="339" w:bottom="1440" w:gutter="0" w:footer="0" w:header="0"/>
        </w:sectPr>
      </w:pPr>
    </w:p>
    <w:bookmarkStart w:id="278" w:name="page279"/>
    <w:bookmarkEnd w:id="278"/>
    <w:p>
      <w:pPr>
        <w:spacing w:after="0" w:line="229" w:lineRule="auto"/>
        <w:rPr>
          <w:sz w:val="20"/>
          <w:szCs w:val="20"/>
          <w:color w:val="auto"/>
        </w:rPr>
      </w:pPr>
      <w:r>
        <w:rPr>
          <w:rFonts w:ascii="Arial" w:cs="Arial" w:eastAsia="Arial" w:hAnsi="Arial"/>
          <w:sz w:val="20"/>
          <w:szCs w:val="20"/>
          <w:color w:val="auto"/>
        </w:rPr>
        <w:t xml:space="preserve">respective L/C Percentages allocable to such Letter of Credit pursuant to </w:t>
      </w:r>
      <w:r>
        <w:rPr>
          <w:rFonts w:ascii="Arial" w:cs="Arial" w:eastAsia="Arial" w:hAnsi="Arial"/>
          <w:sz w:val="20"/>
          <w:szCs w:val="20"/>
          <w:u w:val="single" w:color="auto"/>
          <w:color w:val="auto"/>
        </w:rPr>
        <w:t>Section 2.24(a)(iv)</w:t>
      </w:r>
      <w:r>
        <w:rPr>
          <w:rFonts w:ascii="Arial" w:cs="Arial" w:eastAsia="Arial" w:hAnsi="Arial"/>
          <w:sz w:val="20"/>
          <w:szCs w:val="20"/>
          <w:color w:val="auto"/>
        </w:rPr>
        <w:t>, with the balance of such fee, if any, payable to the Issuing Lender for its own account.</w:t>
      </w:r>
    </w:p>
    <w:p>
      <w:pPr>
        <w:spacing w:after="0" w:line="155" w:lineRule="exact"/>
        <w:rPr>
          <w:sz w:val="20"/>
          <w:szCs w:val="20"/>
          <w:color w:val="auto"/>
        </w:rPr>
      </w:pPr>
    </w:p>
    <w:p>
      <w:pPr>
        <w:ind w:left="1940" w:hanging="636"/>
        <w:spacing w:after="0"/>
        <w:tabs>
          <w:tab w:leader="none" w:pos="194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All fees payable under this </w:t>
      </w:r>
      <w:r>
        <w:rPr>
          <w:rFonts w:ascii="Arial" w:cs="Arial" w:eastAsia="Arial" w:hAnsi="Arial"/>
          <w:sz w:val="20"/>
          <w:szCs w:val="20"/>
          <w:u w:val="single" w:color="auto"/>
          <w:color w:val="auto"/>
        </w:rPr>
        <w:t>Section 3.3</w:t>
      </w:r>
      <w:r>
        <w:rPr>
          <w:rFonts w:ascii="Arial" w:cs="Arial" w:eastAsia="Arial" w:hAnsi="Arial"/>
          <w:sz w:val="20"/>
          <w:szCs w:val="20"/>
          <w:color w:val="auto"/>
        </w:rPr>
        <w:t xml:space="preserve"> shall be fully earned on the date paid and nonrefundable.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8"/>
          <w:szCs w:val="18"/>
          <w:b w:val="1"/>
          <w:bCs w:val="1"/>
          <w:color w:val="auto"/>
        </w:rPr>
        <w:t>L/C Participations; Existing Letters of Credit.</w:t>
      </w:r>
    </w:p>
    <w:p>
      <w:pPr>
        <w:spacing w:after="0" w:line="175" w:lineRule="exact"/>
        <w:rPr>
          <w:sz w:val="20"/>
          <w:szCs w:val="20"/>
          <w:color w:val="auto"/>
        </w:rPr>
      </w:pPr>
    </w:p>
    <w:p>
      <w:pPr>
        <w:jc w:val="both"/>
        <w:ind w:firstLine="1304"/>
        <w:spacing w:after="0" w:line="250" w:lineRule="auto"/>
        <w:tabs>
          <w:tab w:leader="none" w:pos="1934" w:val="left"/>
        </w:tabs>
        <w:numPr>
          <w:ilvl w:val="1"/>
          <w:numId w:val="225"/>
        </w:numPr>
        <w:rPr>
          <w:rFonts w:ascii="Arial" w:cs="Arial" w:eastAsia="Arial" w:hAnsi="Arial"/>
          <w:sz w:val="16"/>
          <w:szCs w:val="16"/>
          <w:color w:val="auto"/>
        </w:rPr>
      </w:pPr>
      <w:r>
        <w:rPr>
          <w:rFonts w:ascii="Arial" w:cs="Arial" w:eastAsia="Arial" w:hAnsi="Arial"/>
          <w:sz w:val="16"/>
          <w:szCs w:val="16"/>
          <w:b w:val="1"/>
          <w:bCs w:val="1"/>
          <w:color w:val="auto"/>
        </w:rPr>
        <w:t>L/C Participations</w:t>
      </w:r>
      <w:r>
        <w:rPr>
          <w:rFonts w:ascii="Arial" w:cs="Arial" w:eastAsia="Arial" w:hAnsi="Arial"/>
          <w:sz w:val="16"/>
          <w:szCs w:val="16"/>
          <w:color w:val="auto"/>
        </w:rPr>
        <w:t>. The Issuing Lender irrevocably agrees to grant and hereby grants to each L/C Lender, and,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Arial" w:cs="Arial" w:eastAsia="Arial" w:hAnsi="Arial"/>
          <w:sz w:val="16"/>
          <w:szCs w:val="16"/>
          <w:u w:val="single" w:color="auto"/>
          <w:color w:val="auto"/>
        </w:rPr>
        <w:t>Section 5.2</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jc w:val="both"/>
        <w:ind w:firstLine="8"/>
        <w:spacing w:after="0" w:line="213" w:lineRule="auto"/>
        <w:tabs>
          <w:tab w:leader="none" w:pos="373" w:val="left"/>
        </w:tabs>
        <w:numPr>
          <w:ilvl w:val="0"/>
          <w:numId w:val="226"/>
        </w:numPr>
        <w:rPr>
          <w:rFonts w:ascii="Arial" w:cs="Arial" w:eastAsia="Arial" w:hAnsi="Arial"/>
          <w:sz w:val="20"/>
          <w:szCs w:val="20"/>
          <w:color w:val="auto"/>
        </w:rPr>
      </w:pPr>
      <w:r>
        <w:rPr>
          <w:rFonts w:ascii="Arial" w:cs="Arial" w:eastAsia="Arial" w:hAnsi="Arial"/>
          <w:sz w:val="20"/>
          <w:szCs w:val="20"/>
          <w:color w:val="auto"/>
        </w:rPr>
        <w:t>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spacing w:after="0" w:line="148" w:lineRule="exact"/>
        <w:rPr>
          <w:rFonts w:ascii="Arial" w:cs="Arial" w:eastAsia="Arial" w:hAnsi="Arial"/>
          <w:sz w:val="20"/>
          <w:szCs w:val="20"/>
          <w:color w:val="auto"/>
        </w:rPr>
      </w:pPr>
    </w:p>
    <w:p>
      <w:pPr>
        <w:jc w:val="both"/>
        <w:ind w:firstLine="1304"/>
        <w:spacing w:after="0" w:line="211" w:lineRule="auto"/>
        <w:tabs>
          <w:tab w:leader="none" w:pos="1932" w:val="left"/>
        </w:tabs>
        <w:numPr>
          <w:ilvl w:val="1"/>
          <w:numId w:val="226"/>
        </w:numPr>
        <w:rPr>
          <w:rFonts w:ascii="Arial" w:cs="Arial" w:eastAsia="Arial" w:hAnsi="Arial"/>
          <w:sz w:val="20"/>
          <w:szCs w:val="20"/>
          <w:color w:val="auto"/>
        </w:rPr>
      </w:pPr>
      <w:r>
        <w:rPr>
          <w:rFonts w:ascii="Arial" w:cs="Arial" w:eastAsia="Arial" w:hAnsi="Arial"/>
          <w:sz w:val="20"/>
          <w:szCs w:val="20"/>
          <w:b w:val="1"/>
          <w:bCs w:val="1"/>
          <w:color w:val="auto"/>
        </w:rPr>
        <w:t xml:space="preserve">Existing Letters of Credit. </w:t>
      </w:r>
      <w:r>
        <w:rPr>
          <w:rFonts w:ascii="Arial" w:cs="Arial" w:eastAsia="Arial" w:hAnsi="Arial"/>
          <w:sz w:val="20"/>
          <w:szCs w:val="20"/>
          <w:color w:val="auto"/>
        </w:rPr>
        <w:t>On and after the Closing Date, the Existing Letters of Credit shall be deemed for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purposes, including for purposes of the fees to be collected pursuant to </w:t>
      </w:r>
      <w:r>
        <w:rPr>
          <w:rFonts w:ascii="Arial" w:cs="Arial" w:eastAsia="Arial" w:hAnsi="Arial"/>
          <w:sz w:val="20"/>
          <w:szCs w:val="20"/>
          <w:u w:val="single" w:color="auto"/>
          <w:color w:val="auto"/>
        </w:rPr>
        <w:t>Sections 3.3(a)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16"/>
          <w:szCs w:val="16"/>
          <w:b w:val="1"/>
          <w:bCs w:val="1"/>
          <w:color w:val="auto"/>
        </w:rPr>
        <w:t>Reimbursement.</w:t>
      </w:r>
    </w:p>
    <w:p>
      <w:pPr>
        <w:spacing w:after="0" w:line="181" w:lineRule="exact"/>
        <w:rPr>
          <w:sz w:val="20"/>
          <w:szCs w:val="20"/>
          <w:color w:val="auto"/>
        </w:rPr>
      </w:pPr>
    </w:p>
    <w:p>
      <w:pPr>
        <w:jc w:val="both"/>
        <w:ind w:firstLine="1304"/>
        <w:spacing w:after="0" w:line="205" w:lineRule="auto"/>
        <w:tabs>
          <w:tab w:leader="none" w:pos="1934"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Each such payment shall be made to the Issuing Lender at its address for notices referred to herein in Dollars and in immediately available funds; provided that the Borrower may, subject to the satisfaction of the conditions to borrowing set forth herein, request in accordance with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2.7(a)</w:t>
      </w:r>
      <w:r>
        <w:rPr>
          <w:rFonts w:ascii="Arial" w:cs="Arial" w:eastAsia="Arial" w:hAnsi="Arial"/>
          <w:sz w:val="20"/>
          <w:szCs w:val="20"/>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56" w:lineRule="exact"/>
        <w:rPr>
          <w:rFonts w:ascii="Arial" w:cs="Arial" w:eastAsia="Arial" w:hAnsi="Arial"/>
          <w:sz w:val="20"/>
          <w:szCs w:val="20"/>
          <w:color w:val="auto"/>
        </w:rPr>
      </w:pPr>
    </w:p>
    <w:p>
      <w:pPr>
        <w:jc w:val="both"/>
        <w:ind w:firstLine="1304"/>
        <w:spacing w:after="0" w:line="217" w:lineRule="auto"/>
        <w:tabs>
          <w:tab w:leader="none" w:pos="1932"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If the Issuing Lender shall not have received from the Borrower the payment that it is required to make pursuant to </w:t>
      </w:r>
      <w:r>
        <w:rPr>
          <w:rFonts w:ascii="Arial" w:cs="Arial" w:eastAsia="Arial" w:hAnsi="Arial"/>
          <w:sz w:val="19"/>
          <w:szCs w:val="19"/>
          <w:u w:val="single" w:color="auto"/>
          <w:color w:val="auto"/>
        </w:rPr>
        <w:t>Section 3.5(a)</w:t>
      </w:r>
      <w:r>
        <w:rPr>
          <w:rFonts w:ascii="Arial" w:cs="Arial" w:eastAsia="Arial" w:hAnsi="Arial"/>
          <w:sz w:val="19"/>
          <w:szCs w:val="19"/>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05" w:right="339" w:bottom="1440" w:gutter="0" w:footer="0" w:header="0"/>
        </w:sectPr>
      </w:pPr>
    </w:p>
    <w:bookmarkStart w:id="279" w:name="page280"/>
    <w:bookmarkEnd w:id="279"/>
    <w:p>
      <w:pPr>
        <w:jc w:val="both"/>
        <w:spacing w:after="0" w:line="213" w:lineRule="auto"/>
        <w:rPr>
          <w:sz w:val="20"/>
          <w:szCs w:val="20"/>
          <w:color w:val="auto"/>
        </w:rPr>
      </w:pPr>
      <w:r>
        <w:rPr>
          <w:rFonts w:ascii="Arial" w:cs="Arial" w:eastAsia="Arial" w:hAnsi="Arial"/>
          <w:sz w:val="19"/>
          <w:szCs w:val="19"/>
          <w:color w:val="auto"/>
        </w:rPr>
        <w:t xml:space="preserve">payments (including interest accrued thereon from the date of such payment until the date of such reimbursement at the rate applicable to Revolving Loans that are ABR Loans plus 2% per annum) on demand;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and after giving effect to such payment by the L/C Lenders, the conditions to borrowings and Revolving Loan Conversions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Arial" w:cs="Arial" w:eastAsia="Arial" w:hAnsi="Arial"/>
          <w:sz w:val="19"/>
          <w:szCs w:val="19"/>
          <w:b w:val="1"/>
          <w:bCs w:val="1"/>
          <w:i w:val="1"/>
          <w:iCs w:val="1"/>
          <w:color w:val="auto"/>
        </w:rPr>
        <w:t>Revolving Loan Conversion</w:t>
      </w:r>
      <w:r>
        <w:rPr>
          <w:rFonts w:ascii="Arial" w:cs="Arial" w:eastAsia="Arial" w:hAnsi="Arial"/>
          <w:sz w:val="19"/>
          <w:szCs w:val="19"/>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Issuing Lender, at its option, may effectuate a Revolving Loan Conversion regardless of whether the conditions to borrowings and Revolving Loan Conversions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are satisfied.</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3.6 Obligations Absolute</w:t>
      </w:r>
      <w:r>
        <w:rPr>
          <w:rFonts w:ascii="Arial" w:cs="Arial" w:eastAsia="Arial" w:hAnsi="Arial"/>
          <w:sz w:val="19"/>
          <w:szCs w:val="19"/>
          <w:color w:val="auto"/>
        </w:rPr>
        <w:t>. The Borrower’s obligations under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absolute and unconditional under any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5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18"/>
          <w:szCs w:val="18"/>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thereof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15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3.7 Letter of Credit Payments</w:t>
      </w:r>
      <w:r>
        <w:rPr>
          <w:rFonts w:ascii="Arial" w:cs="Arial" w:eastAsia="Arial" w:hAnsi="Arial"/>
          <w:sz w:val="19"/>
          <w:szCs w:val="19"/>
          <w:color w:val="auto"/>
        </w:rPr>
        <w:t>. If any draft shall be presented for payment under any Letter of Credit, the Issuing Lender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5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3.8 Applications</w:t>
      </w:r>
      <w:r>
        <w:rPr>
          <w:rFonts w:ascii="Arial" w:cs="Arial" w:eastAsia="Arial" w:hAnsi="Arial"/>
          <w:sz w:val="20"/>
          <w:szCs w:val="20"/>
          <w:color w:val="auto"/>
        </w:rPr>
        <w:t>. To the extent that any provision of any Application related to any Letter of Credit is inconsistent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shall apply.</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3.9 Interim Interest</w:t>
      </w:r>
      <w:r>
        <w:rPr>
          <w:rFonts w:ascii="Arial" w:cs="Arial" w:eastAsia="Arial" w:hAnsi="Arial"/>
          <w:sz w:val="18"/>
          <w:szCs w:val="18"/>
          <w:color w:val="auto"/>
        </w:rPr>
        <w:t>. If the Issuing Lender shall make any L/C Disbursement in respect of a Letter of Credit, then, unless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Borrower shall have reimbursed such L/C Disbursement in full within the time period specified in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or the L/C Lenders shall have reimbursed such L/C Disbursement in full on such date as provided in </w:t>
      </w:r>
      <w:r>
        <w:rPr>
          <w:rFonts w:ascii="Arial" w:cs="Arial" w:eastAsia="Arial" w:hAnsi="Arial"/>
          <w:sz w:val="18"/>
          <w:szCs w:val="18"/>
          <w:u w:val="single" w:color="auto"/>
          <w:color w:val="auto"/>
        </w:rPr>
        <w:t>Section 3.5(b)</w:t>
      </w:r>
      <w:r>
        <w:rPr>
          <w:rFonts w:ascii="Arial" w:cs="Arial" w:eastAsia="Arial" w:hAnsi="Arial"/>
          <w:sz w:val="18"/>
          <w:szCs w:val="18"/>
          <w:color w:val="auto"/>
        </w:rPr>
        <w:t>, in each case the unpaid amount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05" w:right="339" w:bottom="1440" w:gutter="0" w:footer="0" w:header="0"/>
        </w:sectPr>
      </w:pPr>
    </w:p>
    <w:bookmarkStart w:id="280" w:name="page281"/>
    <w:bookmarkEnd w:id="280"/>
    <w:p>
      <w:pPr>
        <w:jc w:val="both"/>
        <w:spacing w:after="0" w:line="244" w:lineRule="auto"/>
        <w:rPr>
          <w:sz w:val="20"/>
          <w:szCs w:val="20"/>
          <w:color w:val="auto"/>
        </w:rPr>
      </w:pPr>
      <w:r>
        <w:rPr>
          <w:rFonts w:ascii="Arial" w:cs="Arial" w:eastAsia="Arial" w:hAnsi="Arial"/>
          <w:sz w:val="18"/>
          <w:szCs w:val="18"/>
          <w:color w:val="auto"/>
        </w:rPr>
        <w:t xml:space="preserve">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provisions of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shall be applicable to any such amounts not paid when due.</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3.10</w:t>
      </w:r>
      <w:r>
        <w:rPr>
          <w:sz w:val="20"/>
          <w:szCs w:val="20"/>
          <w:color w:val="auto"/>
        </w:rPr>
        <w:tab/>
      </w:r>
      <w:r>
        <w:rPr>
          <w:rFonts w:ascii="Arial" w:cs="Arial" w:eastAsia="Arial" w:hAnsi="Arial"/>
          <w:sz w:val="18"/>
          <w:szCs w:val="18"/>
          <w:b w:val="1"/>
          <w:bCs w:val="1"/>
          <w:color w:val="auto"/>
        </w:rPr>
        <w:t>Cash Collateral.</w:t>
      </w:r>
    </w:p>
    <w:p>
      <w:pPr>
        <w:spacing w:after="0" w:line="181" w:lineRule="exact"/>
        <w:rPr>
          <w:sz w:val="20"/>
          <w:szCs w:val="20"/>
          <w:color w:val="auto"/>
        </w:rPr>
      </w:pPr>
    </w:p>
    <w:p>
      <w:pPr>
        <w:jc w:val="both"/>
        <w:ind w:firstLine="1304"/>
        <w:spacing w:after="0" w:line="225" w:lineRule="auto"/>
        <w:tabs>
          <w:tab w:leader="none" w:pos="1934"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Arial" w:cs="Arial" w:eastAsia="Arial" w:hAnsi="Arial"/>
          <w:sz w:val="18"/>
          <w:szCs w:val="18"/>
          <w:u w:val="single" w:color="auto"/>
          <w:color w:val="auto"/>
        </w:rPr>
        <w:t>Section 3.5(b)</w:t>
      </w:r>
      <w:r>
        <w:rPr>
          <w:rFonts w:ascii="Arial" w:cs="Arial" w:eastAsia="Arial" w:hAnsi="Arial"/>
          <w:sz w:val="18"/>
          <w:szCs w:val="18"/>
          <w:color w:val="auto"/>
        </w:rPr>
        <w:t>, or</w:t>
      </w:r>
    </w:p>
    <w:p>
      <w:pPr>
        <w:ind w:firstLine="8"/>
        <w:spacing w:after="0" w:line="220" w:lineRule="auto"/>
        <w:tabs>
          <w:tab w:leader="none" w:pos="315"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if, as of the Letter of Credit Maturity Date, any L/C Exposure for any reason remains outstanding, the Borrower shall, in each case, immediately Cash Collateralize the then effective L/C Exposure in an amount equal to 105% of such L/C Exposure.</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105% of the Fronting Exposure relating to the Letters of Credit (after giving effect to </w:t>
      </w:r>
      <w:r>
        <w:rPr>
          <w:rFonts w:ascii="Arial" w:cs="Arial" w:eastAsia="Arial" w:hAnsi="Arial"/>
          <w:sz w:val="20"/>
          <w:szCs w:val="20"/>
          <w:u w:val="single" w:color="auto"/>
          <w:color w:val="auto"/>
        </w:rPr>
        <w:t>Section 2.24(a)(iv)</w:t>
      </w:r>
      <w:r>
        <w:rPr>
          <w:rFonts w:ascii="Arial" w:cs="Arial" w:eastAsia="Arial" w:hAnsi="Arial"/>
          <w:sz w:val="20"/>
          <w:szCs w:val="20"/>
          <w:color w:val="auto"/>
        </w:rPr>
        <w:t xml:space="preserve"> and any Cash Collateral provided by such Defaulting Lender).</w:t>
      </w:r>
    </w:p>
    <w:p>
      <w:pPr>
        <w:spacing w:after="0" w:line="156" w:lineRule="exact"/>
        <w:rPr>
          <w:sz w:val="20"/>
          <w:szCs w:val="20"/>
          <w:color w:val="auto"/>
        </w:rPr>
      </w:pPr>
    </w:p>
    <w:p>
      <w:pPr>
        <w:jc w:val="both"/>
        <w:ind w:firstLine="1304"/>
        <w:spacing w:after="0" w:line="213" w:lineRule="auto"/>
        <w:tabs>
          <w:tab w:leader="none" w:pos="1932"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Arial" w:cs="Arial" w:eastAsia="Arial" w:hAnsi="Arial"/>
          <w:sz w:val="19"/>
          <w:szCs w:val="19"/>
          <w:u w:val="single" w:color="auto"/>
          <w:color w:val="auto"/>
        </w:rPr>
        <w:t>Section 3.10(c)</w:t>
      </w:r>
      <w:r>
        <w:rPr>
          <w:rFonts w:ascii="Arial" w:cs="Arial" w:eastAsia="Arial" w:hAnsi="Arial"/>
          <w:sz w:val="19"/>
          <w:szCs w:val="19"/>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62" w:lineRule="exact"/>
        <w:rPr>
          <w:rFonts w:ascii="Arial" w:cs="Arial" w:eastAsia="Arial" w:hAnsi="Arial"/>
          <w:sz w:val="19"/>
          <w:szCs w:val="19"/>
          <w:color w:val="auto"/>
        </w:rPr>
      </w:pPr>
    </w:p>
    <w:p>
      <w:pPr>
        <w:jc w:val="both"/>
        <w:ind w:firstLine="1304"/>
        <w:spacing w:after="0" w:line="210" w:lineRule="auto"/>
        <w:tabs>
          <w:tab w:leader="none" w:pos="1934" w:val="left"/>
        </w:tabs>
        <w:numPr>
          <w:ilvl w:val="0"/>
          <w:numId w:val="230"/>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3.10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2.24</w:t>
      </w:r>
      <w:r>
        <w:rPr>
          <w:rFonts w:ascii="Arial" w:cs="Arial" w:eastAsia="Arial" w:hAnsi="Arial"/>
          <w:sz w:val="20"/>
          <w:szCs w:val="20"/>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4" w:lineRule="exact"/>
        <w:rPr>
          <w:rFonts w:ascii="Arial" w:cs="Arial" w:eastAsia="Arial" w:hAnsi="Arial"/>
          <w:sz w:val="20"/>
          <w:szCs w:val="20"/>
          <w:color w:val="auto"/>
        </w:rPr>
      </w:pPr>
    </w:p>
    <w:p>
      <w:pPr>
        <w:jc w:val="both"/>
        <w:ind w:firstLine="1304"/>
        <w:spacing w:after="0" w:line="214" w:lineRule="auto"/>
        <w:tabs>
          <w:tab w:leader="none" w:pos="1932"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 that Cash Collateral furnished by or on behalf of a Loan Party shall not be released during the continuance of an Event of Default, and (B) that, subject to </w:t>
      </w:r>
      <w:r>
        <w:rPr>
          <w:rFonts w:ascii="Arial" w:cs="Arial" w:eastAsia="Arial" w:hAnsi="Arial"/>
          <w:sz w:val="19"/>
          <w:szCs w:val="19"/>
          <w:u w:val="single" w:color="auto"/>
          <w:color w:val="auto"/>
        </w:rPr>
        <w:t>Section 2.24</w:t>
      </w:r>
      <w:r>
        <w:rPr>
          <w:rFonts w:ascii="Arial" w:cs="Arial" w:eastAsia="Arial" w:hAnsi="Arial"/>
          <w:sz w:val="19"/>
          <w:szCs w:val="19"/>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05" w:right="339" w:bottom="1440" w:gutter="0" w:footer="0" w:header="0"/>
        </w:sectPr>
      </w:pPr>
    </w:p>
    <w:bookmarkStart w:id="281" w:name="page282"/>
    <w:bookmarkEnd w:id="281"/>
    <w:p>
      <w:pPr>
        <w:jc w:val="both"/>
        <w:ind w:firstLine="648"/>
        <w:spacing w:after="0" w:line="234" w:lineRule="auto"/>
        <w:rPr>
          <w:sz w:val="20"/>
          <w:szCs w:val="20"/>
          <w:color w:val="auto"/>
        </w:rPr>
      </w:pPr>
      <w:r>
        <w:rPr>
          <w:rFonts w:ascii="Arial" w:cs="Arial" w:eastAsia="Arial" w:hAnsi="Arial"/>
          <w:sz w:val="18"/>
          <w:szCs w:val="18"/>
          <w:b w:val="1"/>
          <w:bCs w:val="1"/>
          <w:color w:val="auto"/>
        </w:rPr>
        <w:t>3.11 Additional Issuing Lenders</w:t>
      </w:r>
      <w:r>
        <w:rPr>
          <w:rFonts w:ascii="Arial" w:cs="Arial" w:eastAsia="Arial" w:hAnsi="Arial"/>
          <w:sz w:val="18"/>
          <w:szCs w:val="18"/>
          <w:color w:val="auto"/>
        </w:rPr>
        <w:t>. The Borrower may, at any time and from time to time with the consent of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Arial" w:cs="Arial" w:eastAsia="Arial" w:hAnsi="Arial"/>
          <w:sz w:val="18"/>
          <w:szCs w:val="18"/>
          <w:b w:val="1"/>
          <w:bCs w:val="1"/>
          <w:i w:val="1"/>
          <w:iCs w:val="1"/>
          <w:color w:val="auto"/>
        </w:rPr>
        <w:t>Issuing Lender</w:t>
      </w:r>
      <w:r>
        <w:rPr>
          <w:rFonts w:ascii="Arial" w:cs="Arial" w:eastAsia="Arial" w:hAnsi="Arial"/>
          <w:sz w:val="18"/>
          <w:szCs w:val="18"/>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5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9"/>
          <w:szCs w:val="19"/>
          <w:b w:val="1"/>
          <w:bCs w:val="1"/>
          <w:color w:val="auto"/>
        </w:rPr>
        <w:t>3.12 Resignation of the Issuing Lender</w:t>
      </w:r>
      <w:r>
        <w:rPr>
          <w:rFonts w:ascii="Arial" w:cs="Arial" w:eastAsia="Arial" w:hAnsi="Arial"/>
          <w:sz w:val="19"/>
          <w:szCs w:val="19"/>
          <w:color w:val="auto"/>
        </w:rPr>
        <w:t>. The Issuing Lender may resign at any time by giving at least 30 days’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5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3.13 Applicability of UCP and ISP</w:t>
      </w:r>
      <w:r>
        <w:rPr>
          <w:rFonts w:ascii="Arial" w:cs="Arial" w:eastAsia="Arial" w:hAnsi="Arial"/>
          <w:sz w:val="20"/>
          <w:szCs w:val="20"/>
          <w:color w:val="auto"/>
        </w:rPr>
        <w:t>. Unless otherwise expressly agreed by the Issuing Lender and the Borrower when a Letter of</w:t>
      </w:r>
      <w:r>
        <w:rPr>
          <w:rFonts w:ascii="Arial" w:cs="Arial" w:eastAsia="Arial" w:hAnsi="Arial"/>
          <w:sz w:val="20"/>
          <w:szCs w:val="20"/>
          <w:b w:val="1"/>
          <w:bCs w:val="1"/>
          <w:color w:val="auto"/>
        </w:rPr>
        <w:t xml:space="preserve"> </w:t>
      </w:r>
      <w:r>
        <w:rPr>
          <w:rFonts w:ascii="Arial" w:cs="Arial" w:eastAsia="Arial" w:hAnsi="Arial"/>
          <w:sz w:val="20"/>
          <w:szCs w:val="20"/>
          <w:color w:val="auto"/>
        </w:rPr>
        <w:t>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4</w:t>
      </w:r>
    </w:p>
    <w:p>
      <w:pPr>
        <w:ind w:left="3740"/>
        <w:spacing w:after="0"/>
        <w:rPr>
          <w:sz w:val="20"/>
          <w:szCs w:val="20"/>
          <w:color w:val="auto"/>
        </w:rPr>
      </w:pPr>
      <w:r>
        <w:rPr>
          <w:rFonts w:ascii="Arial" w:cs="Arial" w:eastAsia="Arial" w:hAnsi="Arial"/>
          <w:sz w:val="20"/>
          <w:szCs w:val="20"/>
          <w:b w:val="1"/>
          <w:bCs w:val="1"/>
          <w:color w:val="auto"/>
        </w:rPr>
        <w:t>REPRESENTATIONS AND WARRANTIES</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To induce the Administrative Agent and the Lenders to enter into this Agreement and to make the Loans and issue the Letters of Credit, Holdings and the Borrower hereby jointly and severally represent and warrant to the Administrative Agent and each Lender, as to themselves and each of their respective Subsidiaries, that: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Financial Condition.</w:t>
      </w:r>
    </w:p>
    <w:p>
      <w:pPr>
        <w:spacing w:after="0" w:line="181" w:lineRule="exact"/>
        <w:rPr>
          <w:sz w:val="20"/>
          <w:szCs w:val="20"/>
          <w:color w:val="auto"/>
        </w:rPr>
      </w:pPr>
    </w:p>
    <w:p>
      <w:pPr>
        <w:jc w:val="both"/>
        <w:ind w:firstLine="1304"/>
        <w:spacing w:after="0" w:line="210" w:lineRule="auto"/>
        <w:tabs>
          <w:tab w:leader="none" w:pos="1934" w:val="left"/>
        </w:tabs>
        <w:numPr>
          <w:ilvl w:val="0"/>
          <w:numId w:val="231"/>
        </w:numPr>
        <w:rPr>
          <w:rFonts w:ascii="Arial" w:cs="Arial" w:eastAsia="Arial" w:hAnsi="Arial"/>
          <w:sz w:val="20"/>
          <w:szCs w:val="20"/>
          <w:color w:val="auto"/>
        </w:rPr>
      </w:pPr>
      <w:r>
        <w:rPr>
          <w:rFonts w:ascii="Arial" w:cs="Arial" w:eastAsia="Arial" w:hAnsi="Arial"/>
          <w:sz w:val="20"/>
          <w:szCs w:val="20"/>
          <w:color w:val="auto"/>
        </w:rPr>
        <w:t>The Projected Pro Forma Financial Statements have been prepared based on the best information available to the Borrower as of the date of delivery thereof and are based upon good faith estimates and assumptions believed by management of Holdings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54"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31"/>
        </w:numPr>
        <w:rPr>
          <w:rFonts w:ascii="Arial" w:cs="Arial" w:eastAsia="Arial" w:hAnsi="Arial"/>
          <w:sz w:val="19"/>
          <w:szCs w:val="19"/>
          <w:color w:val="auto"/>
        </w:rPr>
      </w:pPr>
      <w:r>
        <w:rPr>
          <w:rFonts w:ascii="Arial" w:cs="Arial" w:eastAsia="Arial" w:hAnsi="Arial"/>
          <w:sz w:val="19"/>
          <w:szCs w:val="19"/>
          <w:color w:val="auto"/>
        </w:rPr>
        <w:t>The audited consolidated balance sheets of Holdings and its Subsidiaries as of January 31, 2018, January 31, 2019 and January 31, 2020 and the related consolidated statements of income and of cash flows for the fiscal years ended on such dates, reported on by and accompanied by an unqualified report from PricewaterhouseCoopers, LLP, present fairly in all material respects the consolidated financial condition of Holdings and its Subsidiaries as at such date, and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399" w:right="339" w:bottom="1440" w:gutter="0" w:footer="0" w:header="0"/>
        </w:sectPr>
      </w:pPr>
    </w:p>
    <w:bookmarkStart w:id="282" w:name="page283"/>
    <w:bookmarkEnd w:id="282"/>
    <w:p>
      <w:pPr>
        <w:jc w:val="both"/>
        <w:spacing w:after="0" w:line="225" w:lineRule="auto"/>
        <w:rPr>
          <w:sz w:val="20"/>
          <w:szCs w:val="20"/>
          <w:color w:val="auto"/>
        </w:rPr>
      </w:pPr>
      <w:r>
        <w:rPr>
          <w:rFonts w:ascii="Arial" w:cs="Arial" w:eastAsia="Arial" w:hAnsi="Arial"/>
          <w:sz w:val="18"/>
          <w:szCs w:val="18"/>
          <w:color w:val="auto"/>
        </w:rPr>
        <w:t>results of its operations and its consolidated cash flows for the respective fiscal years then ended. The unaudited consolidated balance sheet of Holdings and its Subsidiaries as at October 31, 2020, and the related unaudited consolidated statements of income and cash flows for the nine-month period ended on such date, present fairly in all material respects the consolidated financial condition of Holdings and its Subsidiaries as at such date, and the consolidated results of its operations and its consolidated cash flows for the trailing nine-month period then ended (subject to the absence of footnotes and normal year 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and past due liabilities for taxes, or any long term leases or unusual forward or long term commitments, including any interest rate or foreign currency swap or exchange transaction or other obligation in respect of derivatives, that are not reflected in the most recent financial statements referred to in this paragraph to the extent required by GAAP. During the period from January 31, 2020 to and including the date hereof, there has been no Disposition by any Group Member of any material part of its business or property and not disclosed in the financial statements referred to in this paragraph.</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4.2 No Change</w:t>
      </w:r>
      <w:r>
        <w:rPr>
          <w:rFonts w:ascii="Arial" w:cs="Arial" w:eastAsia="Arial" w:hAnsi="Arial"/>
          <w:sz w:val="20"/>
          <w:szCs w:val="20"/>
          <w:color w:val="auto"/>
        </w:rPr>
        <w:t>. Since January 31, 2020, there has been no development or event that has had or could reasonably be expected to</w:t>
      </w:r>
      <w:r>
        <w:rPr>
          <w:rFonts w:ascii="Arial" w:cs="Arial" w:eastAsia="Arial" w:hAnsi="Arial"/>
          <w:sz w:val="20"/>
          <w:szCs w:val="20"/>
          <w:b w:val="1"/>
          <w:bCs w:val="1"/>
          <w:color w:val="auto"/>
        </w:rPr>
        <w:t xml:space="preserve"> </w:t>
      </w:r>
      <w:r>
        <w:rPr>
          <w:rFonts w:ascii="Arial" w:cs="Arial" w:eastAsia="Arial" w:hAnsi="Arial"/>
          <w:sz w:val="20"/>
          <w:szCs w:val="20"/>
          <w:color w:val="auto"/>
        </w:rPr>
        <w:t>have a Material Adverse Effect.</w:t>
      </w:r>
    </w:p>
    <w:p>
      <w:pPr>
        <w:spacing w:after="0" w:line="149"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b w:val="1"/>
          <w:bCs w:val="1"/>
          <w:color w:val="auto"/>
        </w:rPr>
        <w:t>4.3 Existence; Compliance with Law</w:t>
      </w:r>
      <w:r>
        <w:rPr>
          <w:rFonts w:ascii="Arial" w:cs="Arial" w:eastAsia="Arial" w:hAnsi="Arial"/>
          <w:sz w:val="20"/>
          <w:szCs w:val="20"/>
          <w:color w:val="auto"/>
        </w:rPr>
        <w:t>. Each Group Member (a) is duly organized, validly existing and in good standing (if</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where the failure to be so qualified or in good standing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4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b w:val="1"/>
          <w:bCs w:val="1"/>
          <w:color w:val="auto"/>
        </w:rPr>
        <w:t>4.4 Power, Authorization; Enforceable Obligations</w:t>
      </w:r>
      <w:r>
        <w:rPr>
          <w:rFonts w:ascii="Arial" w:cs="Arial" w:eastAsia="Arial" w:hAnsi="Arial"/>
          <w:sz w:val="18"/>
          <w:szCs w:val="18"/>
          <w:color w:val="auto"/>
        </w:rPr>
        <w:t>. Each Loan Party has the power and authority, and the legal right,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Arial" w:cs="Arial" w:eastAsia="Arial" w:hAnsi="Arial"/>
          <w:sz w:val="18"/>
          <w:szCs w:val="18"/>
          <w:u w:val="single" w:color="auto"/>
          <w:color w:val="auto"/>
        </w:rPr>
        <w:t>Schedule 4.4</w:t>
      </w:r>
      <w:r>
        <w:rPr>
          <w:rFonts w:ascii="Arial" w:cs="Arial" w:eastAsia="Arial" w:hAnsi="Arial"/>
          <w:sz w:val="18"/>
          <w:szCs w:val="18"/>
          <w:color w:val="auto"/>
        </w:rPr>
        <w:t xml:space="preserve"> to the Disclosure Letter, which Governmental Approvals, consents, authorizations, filings and notices have been obtained or made and are in full force and effect, and (ii) the filings referred to in </w:t>
      </w:r>
      <w:r>
        <w:rPr>
          <w:rFonts w:ascii="Arial" w:cs="Arial" w:eastAsia="Arial" w:hAnsi="Arial"/>
          <w:sz w:val="18"/>
          <w:szCs w:val="18"/>
          <w:u w:val="single" w:color="auto"/>
          <w:color w:val="auto"/>
        </w:rPr>
        <w:t>Section 4.19</w:t>
      </w:r>
      <w:r>
        <w:rPr>
          <w:rFonts w:ascii="Arial" w:cs="Arial" w:eastAsia="Arial" w:hAnsi="Arial"/>
          <w:sz w:val="18"/>
          <w:szCs w:val="18"/>
          <w:color w:val="auto"/>
        </w:rPr>
        <w: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0"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4.5 No Legal Bar</w:t>
      </w:r>
      <w:r>
        <w:rPr>
          <w:rFonts w:ascii="Arial" w:cs="Arial" w:eastAsia="Arial" w:hAnsi="Arial"/>
          <w:sz w:val="20"/>
          <w:szCs w:val="20"/>
          <w:color w:val="auto"/>
        </w:rPr>
        <w:t>. The execution, delivery and performance of this Agreement and the other Loan Documents, the issuance of</w:t>
      </w:r>
      <w:r>
        <w:rPr>
          <w:rFonts w:ascii="Arial" w:cs="Arial" w:eastAsia="Arial" w:hAnsi="Arial"/>
          <w:sz w:val="20"/>
          <w:szCs w:val="20"/>
          <w:b w:val="1"/>
          <w:bCs w:val="1"/>
          <w:color w:val="auto"/>
        </w:rPr>
        <w:t xml:space="preserve"> </w:t>
      </w:r>
      <w:r>
        <w:rPr>
          <w:rFonts w:ascii="Arial" w:cs="Arial" w:eastAsia="Arial" w:hAnsi="Arial"/>
          <w:sz w:val="20"/>
          <w:szCs w:val="20"/>
          <w:color w:val="auto"/>
        </w:rPr>
        <w:t>Letters of Credit, the borrowings hereunder and the use of the proceeds thereof will not violate any Requirement of Law, any Operating Document of any Loan Party, or any material Contractual Obligation of any Group Member and will not result in, or require, the creation or imposition of any Lien on any of their respective properties or revenues pursuant to any Requirement of Law or any such Contractual Obligation (other than the Liens created by the Security Documents). No Group Member has violated any Requirement of Law or violated or failed to comply with any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40"/>
          </w:cols>
          <w:pgMar w:left="320" w:top="1405" w:right="339" w:bottom="1440" w:gutter="0" w:footer="0" w:header="0"/>
        </w:sectPr>
      </w:pPr>
    </w:p>
    <w:bookmarkStart w:id="283" w:name="page284"/>
    <w:bookmarkEnd w:id="283"/>
    <w:p>
      <w:pPr>
        <w:spacing w:after="0"/>
        <w:rPr>
          <w:sz w:val="20"/>
          <w:szCs w:val="20"/>
          <w:color w:val="auto"/>
        </w:rPr>
      </w:pPr>
      <w:r>
        <w:rPr>
          <w:rFonts w:ascii="Arial" w:cs="Arial" w:eastAsia="Arial" w:hAnsi="Arial"/>
          <w:sz w:val="19"/>
          <w:szCs w:val="19"/>
          <w:color w:val="auto"/>
        </w:rPr>
        <w:t>Obligation applicable to Holdings or any of its Subsidiaries that could reasonably be expected to have a Material Adverse Effect.</w:t>
      </w:r>
    </w:p>
    <w:p>
      <w:pPr>
        <w:spacing w:after="0" w:line="18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4.6 Litigation</w:t>
      </w:r>
      <w:r>
        <w:rPr>
          <w:rFonts w:ascii="Arial" w:cs="Arial" w:eastAsia="Arial" w:hAnsi="Arial"/>
          <w:sz w:val="20"/>
          <w:szCs w:val="20"/>
          <w:color w:val="auto"/>
        </w:rPr>
        <w:t>. No litigation, investigation or proceeding of or before any arbitrator or Governmental Authority is pending or</w:t>
      </w:r>
      <w:r>
        <w:rPr>
          <w:rFonts w:ascii="Arial" w:cs="Arial" w:eastAsia="Arial" w:hAnsi="Arial"/>
          <w:sz w:val="20"/>
          <w:szCs w:val="20"/>
          <w:b w:val="1"/>
          <w:bCs w:val="1"/>
          <w:color w:val="auto"/>
        </w:rPr>
        <w:t xml:space="preserve"> </w:t>
      </w:r>
      <w:r>
        <w:rPr>
          <w:rFonts w:ascii="Arial" w:cs="Arial" w:eastAsia="Arial" w:hAnsi="Arial"/>
          <w:sz w:val="20"/>
          <w:szCs w:val="20"/>
          <w:color w:val="auto"/>
        </w:rPr>
        <w:t>threatened in writing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4.7 No Default</w:t>
      </w:r>
      <w:r>
        <w:rPr>
          <w:rFonts w:ascii="Arial" w:cs="Arial" w:eastAsia="Arial" w:hAnsi="Arial"/>
          <w:sz w:val="20"/>
          <w:szCs w:val="20"/>
          <w:color w:val="auto"/>
        </w:rPr>
        <w:t>. No Group Member is in default under or with respect to any of its Contractual Obligations in any respect that</w:t>
      </w:r>
      <w:r>
        <w:rPr>
          <w:rFonts w:ascii="Arial" w:cs="Arial" w:eastAsia="Arial" w:hAnsi="Arial"/>
          <w:sz w:val="20"/>
          <w:szCs w:val="20"/>
          <w:b w:val="1"/>
          <w:bCs w:val="1"/>
          <w:color w:val="auto"/>
        </w:rPr>
        <w:t xml:space="preserve"> </w:t>
      </w:r>
      <w:r>
        <w:rPr>
          <w:rFonts w:ascii="Arial" w:cs="Arial" w:eastAsia="Arial" w:hAnsi="Arial"/>
          <w:sz w:val="20"/>
          <w:szCs w:val="20"/>
          <w:color w:val="auto"/>
        </w:rPr>
        <w:t>could reasonably be expected to have a Material Adverse Effect. No Default or Event of Default has occurred and is continuing, nor shall either result from the making of a requested credit extension.</w:t>
      </w:r>
    </w:p>
    <w:p>
      <w:pPr>
        <w:spacing w:after="0" w:line="15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4.8 Ownership of Property; Liens; Investments</w:t>
      </w:r>
      <w:r>
        <w:rPr>
          <w:rFonts w:ascii="Arial" w:cs="Arial" w:eastAsia="Arial" w:hAnsi="Arial"/>
          <w:sz w:val="18"/>
          <w:szCs w:val="18"/>
          <w:color w:val="auto"/>
        </w:rPr>
        <w:t>. Each Group Member has title in fee simple to, or a valid leasehold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of its real property, and good title to, or a valid leasehold interest in, all of its other property, and none of such property is subject to any Lien except as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No Loan Party owns any Investment except as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Collateral Information Certificate sets forth a complete and accurate list of all real property owned by each Loan Party as of the Closing Date, if any.</w:t>
      </w:r>
    </w:p>
    <w:p>
      <w:pPr>
        <w:spacing w:after="0" w:line="151"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b w:val="1"/>
          <w:bCs w:val="1"/>
          <w:color w:val="auto"/>
        </w:rPr>
        <w:t>4.9 Intellectual Property</w:t>
      </w:r>
      <w:r>
        <w:rPr>
          <w:rFonts w:ascii="Arial" w:cs="Arial" w:eastAsia="Arial" w:hAnsi="Arial"/>
          <w:sz w:val="20"/>
          <w:szCs w:val="20"/>
          <w:color w:val="auto"/>
        </w:rPr>
        <w:t>. Except as could not reasonably be expected to have a Material Adverse Effect, (a) each Group</w:t>
      </w:r>
      <w:r>
        <w:rPr>
          <w:rFonts w:ascii="Arial" w:cs="Arial" w:eastAsia="Arial" w:hAnsi="Arial"/>
          <w:sz w:val="20"/>
          <w:szCs w:val="20"/>
          <w:b w:val="1"/>
          <w:bCs w:val="1"/>
          <w:color w:val="auto"/>
        </w:rPr>
        <w:t xml:space="preserve"> </w:t>
      </w:r>
      <w:r>
        <w:rPr>
          <w:rFonts w:ascii="Arial" w:cs="Arial" w:eastAsia="Arial" w:hAnsi="Arial"/>
          <w:sz w:val="20"/>
          <w:szCs w:val="20"/>
          <w:color w:val="auto"/>
        </w:rPr>
        <w:t>Member owns, or has the right to use, all Intellectual Property necessary for the conduct of its business as currently conducted; (b) no claim has been asserted in writing and is pending by any Person challenging or questioning any Group Member’s use of any Intellectual Property or the validity or effectiveness of any Group Member’s Intellectual Property, nor does any Loan Party know of any valid basis for any such claim; and (c) to the knowledge of any Loan Party, the use of Intellectual Property by each Group Member, and the conduct of such Group Member’s business, as currently conducted, does not infringe on or otherwise violate the rights of any Person, and there are no claims pending or threatened in writing to such effect.</w:t>
      </w:r>
    </w:p>
    <w:p>
      <w:pPr>
        <w:spacing w:after="0" w:line="1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b w:val="1"/>
          <w:bCs w:val="1"/>
          <w:color w:val="auto"/>
        </w:rPr>
        <w:t>4.10 Taxes</w:t>
      </w:r>
      <w:r>
        <w:rPr>
          <w:rFonts w:ascii="Arial" w:cs="Arial" w:eastAsia="Arial" w:hAnsi="Arial"/>
          <w:sz w:val="18"/>
          <w:szCs w:val="18"/>
          <w:color w:val="auto"/>
        </w:rPr>
        <w:t>. Except to the extent that the failure to do so could not reasonably be expected to have a Material Adverse Effect, each</w:t>
      </w:r>
      <w:r>
        <w:rPr>
          <w:rFonts w:ascii="Arial" w:cs="Arial" w:eastAsia="Arial" w:hAnsi="Arial"/>
          <w:sz w:val="18"/>
          <w:szCs w:val="18"/>
          <w:b w:val="1"/>
          <w:bCs w:val="1"/>
          <w:color w:val="auto"/>
        </w:rPr>
        <w:t xml:space="preserve"> </w:t>
      </w:r>
      <w:r>
        <w:rPr>
          <w:rFonts w:ascii="Arial" w:cs="Arial" w:eastAsia="Arial" w:hAnsi="Arial"/>
          <w:sz w:val="18"/>
          <w:szCs w:val="18"/>
          <w:color w:val="auto"/>
        </w:rPr>
        <w:t>Group Member has filed or caused to be filed all Federal, state and other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relevant Group Member). No tax Lien has been filed, other than Liens permitted hereunder.</w:t>
      </w:r>
    </w:p>
    <w:p>
      <w:pPr>
        <w:spacing w:after="0" w:line="14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b w:val="1"/>
          <w:bCs w:val="1"/>
          <w:color w:val="auto"/>
        </w:rPr>
        <w:t>4.11 Federal Regulations</w:t>
      </w:r>
      <w:r>
        <w:rPr>
          <w:rFonts w:ascii="Arial" w:cs="Arial" w:eastAsia="Arial" w:hAnsi="Arial"/>
          <w:sz w:val="19"/>
          <w:szCs w:val="19"/>
          <w:color w:val="auto"/>
        </w:rPr>
        <w:t>. The Borrower is not engaged and will not engage, principally or as one of its important activities, in</w:t>
      </w:r>
      <w:r>
        <w:rPr>
          <w:rFonts w:ascii="Arial" w:cs="Arial" w:eastAsia="Arial" w:hAnsi="Arial"/>
          <w:sz w:val="19"/>
          <w:szCs w:val="19"/>
          <w:b w:val="1"/>
          <w:bCs w:val="1"/>
          <w:color w:val="auto"/>
        </w:rPr>
        <w:t xml:space="preserve"> </w:t>
      </w:r>
      <w:r>
        <w:rPr>
          <w:rFonts w:ascii="Arial" w:cs="Arial" w:eastAsia="Arial" w:hAnsi="Arial"/>
          <w:sz w:val="19"/>
          <w:szCs w:val="19"/>
          <w:color w:val="auto"/>
        </w:rPr>
        <w:t>the 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5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9"/>
          <w:szCs w:val="19"/>
          <w:b w:val="1"/>
          <w:bCs w:val="1"/>
          <w:color w:val="auto"/>
        </w:rPr>
        <w:t>4.12 Labor Matters</w:t>
      </w:r>
      <w:r>
        <w:rPr>
          <w:rFonts w:ascii="Arial" w:cs="Arial" w:eastAsia="Arial" w:hAnsi="Arial"/>
          <w:sz w:val="19"/>
          <w:szCs w:val="19"/>
          <w:color w:val="auto"/>
        </w:rPr>
        <w:t>. Except as, in the aggregate, could not reasonably be expected to have a Material Adverse Effect: (a) there</w:t>
      </w:r>
      <w:r>
        <w:rPr>
          <w:rFonts w:ascii="Arial" w:cs="Arial" w:eastAsia="Arial" w:hAnsi="Arial"/>
          <w:sz w:val="19"/>
          <w:szCs w:val="19"/>
          <w:b w:val="1"/>
          <w:bCs w:val="1"/>
          <w:color w:val="auto"/>
        </w:rPr>
        <w:t xml:space="preserve"> </w:t>
      </w:r>
      <w:r>
        <w:rPr>
          <w:rFonts w:ascii="Arial" w:cs="Arial" w:eastAsia="Arial" w:hAnsi="Arial"/>
          <w:sz w:val="19"/>
          <w:szCs w:val="19"/>
          <w:color w:val="auto"/>
        </w:rPr>
        <w:t>are no strikes or other labor disputes against any Group Member pending or, to the knowledge of the Loan Parties, threatened; (b) hours worked by and payment made to employees of each Group Member have not been in violation of the Fair Labor Standards Act or any other applicable Requirement of Law dealing with such matters; and (c) all payments due from 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05" w:right="339" w:bottom="1440" w:gutter="0" w:footer="0" w:header="0"/>
        </w:sectPr>
      </w:pPr>
    </w:p>
    <w:bookmarkStart w:id="284" w:name="page285"/>
    <w:bookmarkEnd w:id="284"/>
    <w:p>
      <w:pPr>
        <w:spacing w:after="0" w:line="229" w:lineRule="auto"/>
        <w:rPr>
          <w:sz w:val="20"/>
          <w:szCs w:val="20"/>
          <w:color w:val="auto"/>
        </w:rPr>
      </w:pPr>
      <w:r>
        <w:rPr>
          <w:rFonts w:ascii="Arial" w:cs="Arial" w:eastAsia="Arial" w:hAnsi="Arial"/>
          <w:sz w:val="20"/>
          <w:szCs w:val="20"/>
          <w:color w:val="auto"/>
        </w:rPr>
        <w:t>Member on account of employee health and welfare insurance have been paid or accrued as a liability on the books of the relevant Group Member.</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4.13</w:t>
      </w:r>
      <w:r>
        <w:rPr>
          <w:sz w:val="20"/>
          <w:szCs w:val="20"/>
          <w:color w:val="auto"/>
        </w:rPr>
        <w:tab/>
      </w:r>
      <w:r>
        <w:rPr>
          <w:rFonts w:ascii="Arial" w:cs="Arial" w:eastAsia="Arial" w:hAnsi="Arial"/>
          <w:sz w:val="19"/>
          <w:szCs w:val="19"/>
          <w:b w:val="1"/>
          <w:bCs w:val="1"/>
          <w:color w:val="auto"/>
        </w:rPr>
        <w:t>ERISA</w:t>
      </w:r>
      <w:r>
        <w:rPr>
          <w:rFonts w:ascii="Arial" w:cs="Arial" w:eastAsia="Arial" w:hAnsi="Arial"/>
          <w:sz w:val="19"/>
          <w:szCs w:val="19"/>
          <w:color w:val="auto"/>
        </w:rPr>
        <w:t>.</w:t>
      </w:r>
    </w:p>
    <w:p>
      <w:pPr>
        <w:spacing w:after="0" w:line="181" w:lineRule="exact"/>
        <w:rPr>
          <w:sz w:val="20"/>
          <w:szCs w:val="20"/>
          <w:color w:val="auto"/>
        </w:rPr>
      </w:pPr>
    </w:p>
    <w:p>
      <w:pPr>
        <w:ind w:left="1940" w:hanging="636"/>
        <w:spacing w:after="0"/>
        <w:tabs>
          <w:tab w:leader="none" w:pos="1940" w:val="left"/>
        </w:tabs>
        <w:numPr>
          <w:ilvl w:val="1"/>
          <w:numId w:val="232"/>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932" w:val="left"/>
        </w:tabs>
        <w:numPr>
          <w:ilvl w:val="1"/>
          <w:numId w:val="232"/>
        </w:numPr>
        <w:rPr>
          <w:rFonts w:ascii="Arial" w:cs="Arial" w:eastAsia="Arial" w:hAnsi="Arial"/>
          <w:sz w:val="20"/>
          <w:szCs w:val="20"/>
          <w:color w:val="auto"/>
        </w:rPr>
      </w:pPr>
      <w:r>
        <w:rPr>
          <w:rFonts w:ascii="Arial" w:cs="Arial" w:eastAsia="Arial" w:hAnsi="Arial"/>
          <w:sz w:val="20"/>
          <w:szCs w:val="20"/>
          <w:color w:val="auto"/>
        </w:rPr>
        <w:t>except as in the aggregate could not reasonably be expected to have a Material Adverse Effect, the Borrower and its ERISA Affiliates are in compliance with all applicable provisions and requirements of ERISA with respect to each Plan, and have performed all their obligations under each Plan;</w:t>
      </w:r>
    </w:p>
    <w:p>
      <w:pPr>
        <w:spacing w:after="0" w:line="156" w:lineRule="exact"/>
        <w:rPr>
          <w:rFonts w:ascii="Arial" w:cs="Arial" w:eastAsia="Arial" w:hAnsi="Arial"/>
          <w:sz w:val="20"/>
          <w:szCs w:val="20"/>
          <w:color w:val="auto"/>
        </w:rPr>
      </w:pPr>
    </w:p>
    <w:p>
      <w:pPr>
        <w:ind w:right="20" w:firstLine="1304"/>
        <w:spacing w:after="0" w:line="229" w:lineRule="auto"/>
        <w:tabs>
          <w:tab w:leader="none" w:pos="1934" w:val="left"/>
        </w:tabs>
        <w:numPr>
          <w:ilvl w:val="1"/>
          <w:numId w:val="232"/>
        </w:numPr>
        <w:rPr>
          <w:rFonts w:ascii="Arial" w:cs="Arial" w:eastAsia="Arial" w:hAnsi="Arial"/>
          <w:sz w:val="20"/>
          <w:szCs w:val="20"/>
          <w:color w:val="auto"/>
        </w:rPr>
      </w:pPr>
      <w:r>
        <w:rPr>
          <w:rFonts w:ascii="Arial" w:cs="Arial" w:eastAsia="Arial" w:hAnsi="Arial"/>
          <w:sz w:val="20"/>
          <w:szCs w:val="20"/>
          <w:color w:val="auto"/>
        </w:rPr>
        <w:t>except as in the aggregate could not reasonably be expected to have a Material Adverse Effect, no ERISA Event has occurred or is reasonably expected to occur;</w:t>
      </w:r>
    </w:p>
    <w:p>
      <w:pPr>
        <w:spacing w:after="0" w:line="155" w:lineRule="exact"/>
        <w:rPr>
          <w:rFonts w:ascii="Arial" w:cs="Arial" w:eastAsia="Arial" w:hAnsi="Arial"/>
          <w:sz w:val="20"/>
          <w:szCs w:val="20"/>
          <w:color w:val="auto"/>
        </w:rPr>
      </w:pPr>
    </w:p>
    <w:p>
      <w:pPr>
        <w:jc w:val="both"/>
        <w:ind w:firstLine="1304"/>
        <w:spacing w:after="0" w:line="230" w:lineRule="auto"/>
        <w:tabs>
          <w:tab w:leader="none" w:pos="1932" w:val="left"/>
        </w:tabs>
        <w:numPr>
          <w:ilvl w:val="1"/>
          <w:numId w:val="232"/>
        </w:numPr>
        <w:rPr>
          <w:rFonts w:ascii="Arial" w:cs="Arial" w:eastAsia="Arial" w:hAnsi="Arial"/>
          <w:sz w:val="19"/>
          <w:szCs w:val="19"/>
          <w:color w:val="auto"/>
        </w:rPr>
      </w:pPr>
      <w:r>
        <w:rPr>
          <w:rFonts w:ascii="Arial" w:cs="Arial" w:eastAsia="Arial" w:hAnsi="Arial"/>
          <w:sz w:val="19"/>
          <w:szCs w:val="19"/>
          <w:color w:val="auto"/>
        </w:rPr>
        <w:t>except as in the aggregate could not reasonably be expected to have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54" w:lineRule="exact"/>
        <w:rPr>
          <w:rFonts w:ascii="Arial" w:cs="Arial" w:eastAsia="Arial" w:hAnsi="Arial"/>
          <w:sz w:val="19"/>
          <w:szCs w:val="19"/>
          <w:color w:val="auto"/>
        </w:rPr>
      </w:pPr>
    </w:p>
    <w:p>
      <w:pPr>
        <w:jc w:val="both"/>
        <w:ind w:firstLine="1304"/>
        <w:spacing w:after="0" w:line="244" w:lineRule="auto"/>
        <w:tabs>
          <w:tab w:leader="none" w:pos="193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151" w:lineRule="exact"/>
        <w:rPr>
          <w:rFonts w:ascii="Arial" w:cs="Arial" w:eastAsia="Arial" w:hAnsi="Arial"/>
          <w:sz w:val="18"/>
          <w:szCs w:val="18"/>
          <w:color w:val="auto"/>
        </w:rPr>
      </w:pPr>
    </w:p>
    <w:p>
      <w:pPr>
        <w:jc w:val="both"/>
        <w:ind w:firstLine="1304"/>
        <w:spacing w:after="0" w:line="218" w:lineRule="auto"/>
        <w:tabs>
          <w:tab w:leader="none" w:pos="1939" w:val="left"/>
        </w:tabs>
        <w:numPr>
          <w:ilvl w:val="1"/>
          <w:numId w:val="232"/>
        </w:numPr>
        <w:rPr>
          <w:rFonts w:ascii="Arial" w:cs="Arial" w:eastAsia="Arial" w:hAnsi="Arial"/>
          <w:sz w:val="20"/>
          <w:szCs w:val="20"/>
          <w:color w:val="auto"/>
        </w:rPr>
      </w:pPr>
      <w:r>
        <w:rPr>
          <w:rFonts w:ascii="Arial" w:cs="Arial" w:eastAsia="Arial" w:hAnsi="Arial"/>
          <w:sz w:val="20"/>
          <w:szCs w:val="20"/>
          <w:color w:val="auto"/>
        </w:rPr>
        <w:t>except as in the aggregate could not reasonably be expected to have a Material Adverse Effect and except to the extent required under Section 4980B of the Code, no Plan provides health or welfare benefits (through the purchase of insurance or otherwise) for any retired or former employee of the Borrower or any of its ERISA Affiliates;</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2" w:val="left"/>
        </w:tabs>
        <w:numPr>
          <w:ilvl w:val="1"/>
          <w:numId w:val="232"/>
        </w:numPr>
        <w:rPr>
          <w:rFonts w:ascii="Arial" w:cs="Arial" w:eastAsia="Arial" w:hAnsi="Arial"/>
          <w:sz w:val="20"/>
          <w:szCs w:val="20"/>
          <w:color w:val="auto"/>
        </w:rPr>
      </w:pPr>
      <w:r>
        <w:rPr>
          <w:rFonts w:ascii="Arial" w:cs="Arial" w:eastAsia="Arial" w:hAnsi="Arial"/>
          <w:sz w:val="20"/>
          <w:szCs w:val="20"/>
          <w:color w:val="auto"/>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$25,000,000;</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1"/>
          <w:numId w:val="232"/>
        </w:numPr>
        <w:rPr>
          <w:rFonts w:ascii="Arial" w:cs="Arial" w:eastAsia="Arial" w:hAnsi="Arial"/>
          <w:sz w:val="20"/>
          <w:szCs w:val="20"/>
          <w:color w:val="auto"/>
        </w:rPr>
      </w:pPr>
      <w:r>
        <w:rPr>
          <w:rFonts w:ascii="Arial" w:cs="Arial" w:eastAsia="Arial" w:hAnsi="Arial"/>
          <w:sz w:val="20"/>
          <w:szCs w:val="20"/>
          <w:color w:val="auto"/>
        </w:rPr>
        <w:t>except as in the aggregate could not reasonably be expected to have a Material Adverse Effect, 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spacing w:after="0" w:line="155" w:lineRule="exact"/>
        <w:rPr>
          <w:rFonts w:ascii="Arial" w:cs="Arial" w:eastAsia="Arial" w:hAnsi="Arial"/>
          <w:sz w:val="20"/>
          <w:szCs w:val="20"/>
          <w:color w:val="auto"/>
        </w:rPr>
      </w:pPr>
    </w:p>
    <w:p>
      <w:pPr>
        <w:jc w:val="both"/>
        <w:ind w:firstLine="1304"/>
        <w:spacing w:after="0" w:line="228" w:lineRule="auto"/>
        <w:tabs>
          <w:tab w:leader="none" w:pos="194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all liabilities under each Plan are (i) funded to at least the minimum level required by law or, if higher, to the level required by the terms governing the Plans, except as in the aggregate could not reasonably be expected to have a Material Adverse Effect,</w:t>
      </w:r>
    </w:p>
    <w:p>
      <w:pPr>
        <w:jc w:val="both"/>
        <w:ind w:firstLine="8"/>
        <w:spacing w:after="0" w:line="209" w:lineRule="auto"/>
        <w:tabs>
          <w:tab w:leader="none" w:pos="312" w:val="left"/>
        </w:tabs>
        <w:numPr>
          <w:ilvl w:val="0"/>
          <w:numId w:val="233"/>
        </w:numPr>
        <w:rPr>
          <w:rFonts w:ascii="Arial" w:cs="Arial" w:eastAsia="Arial" w:hAnsi="Arial"/>
          <w:sz w:val="20"/>
          <w:szCs w:val="20"/>
          <w:color w:val="auto"/>
        </w:rPr>
      </w:pPr>
      <w:r>
        <w:rPr>
          <w:rFonts w:ascii="Arial" w:cs="Arial" w:eastAsia="Arial" w:hAnsi="Arial"/>
          <w:sz w:val="20"/>
          <w:szCs w:val="20"/>
          <w:color w:val="auto"/>
        </w:rPr>
        <w:t>insured with a reputable insurance company, except as in the aggregate could not reasonably be expected to have a Material Adverse Effect, or (iii) (A) provided for or recognized in all material respects in the financial statements most recently delivered to the Administrative Agent and the Lenders pursuant hereto or (B) estimated in the formal notes to the financial statements most recently delivered to the Administrative Agent and the Lenders pursuant hereto;</w:t>
      </w:r>
    </w:p>
    <w:p>
      <w:pPr>
        <w:spacing w:after="0" w:line="154" w:lineRule="exact"/>
        <w:rPr>
          <w:rFonts w:ascii="Arial" w:cs="Arial" w:eastAsia="Arial" w:hAnsi="Arial"/>
          <w:sz w:val="20"/>
          <w:szCs w:val="20"/>
          <w:color w:val="auto"/>
        </w:rPr>
      </w:pPr>
    </w:p>
    <w:p>
      <w:pPr>
        <w:jc w:val="both"/>
        <w:ind w:firstLine="1304"/>
        <w:spacing w:after="0" w:line="218" w:lineRule="auto"/>
        <w:tabs>
          <w:tab w:leader="none" w:pos="1942" w:val="left"/>
        </w:tabs>
        <w:numPr>
          <w:ilvl w:val="1"/>
          <w:numId w:val="233"/>
        </w:numPr>
        <w:rPr>
          <w:rFonts w:ascii="Arial" w:cs="Arial" w:eastAsia="Arial" w:hAnsi="Arial"/>
          <w:sz w:val="20"/>
          <w:szCs w:val="20"/>
          <w:color w:val="auto"/>
        </w:rPr>
      </w:pPr>
      <w:r>
        <w:rPr>
          <w:rFonts w:ascii="Arial" w:cs="Arial" w:eastAsia="Arial" w:hAnsi="Arial"/>
          <w:sz w:val="20"/>
          <w:szCs w:val="20"/>
          <w:color w:val="auto"/>
        </w:rPr>
        <w:t>except as in the aggregate could not reasonably be expected to have a Material Adverse Effect, there are no circumstances which may give rise to a liability in relation to any Plan which is not funded, insured, provided for, recognized or estimated in the manner described in clause (i); and</w:t>
      </w:r>
    </w:p>
    <w:p>
      <w:pPr>
        <w:spacing w:after="0" w:line="156" w:lineRule="exact"/>
        <w:rPr>
          <w:rFonts w:ascii="Arial" w:cs="Arial" w:eastAsia="Arial" w:hAnsi="Arial"/>
          <w:sz w:val="20"/>
          <w:szCs w:val="20"/>
          <w:color w:val="auto"/>
        </w:rPr>
      </w:pPr>
    </w:p>
    <w:p>
      <w:pPr>
        <w:ind w:firstLine="1304"/>
        <w:spacing w:after="0" w:line="229" w:lineRule="auto"/>
        <w:tabs>
          <w:tab w:leader="none" w:pos="1932" w:val="left"/>
        </w:tabs>
        <w:numPr>
          <w:ilvl w:val="1"/>
          <w:numId w:val="233"/>
        </w:numPr>
        <w:rPr>
          <w:rFonts w:ascii="Arial" w:cs="Arial" w:eastAsia="Arial" w:hAnsi="Arial"/>
          <w:sz w:val="20"/>
          <w:szCs w:val="20"/>
          <w:color w:val="auto"/>
        </w:rPr>
      </w:pPr>
      <w:r>
        <w:rPr>
          <w:rFonts w:ascii="Arial" w:cs="Arial" w:eastAsia="Arial" w:hAnsi="Arial"/>
          <w:sz w:val="20"/>
          <w:szCs w:val="20"/>
          <w:color w:val="auto"/>
        </w:rPr>
        <w:t>(i) the Borrower is not and will not be a “plan” within the meaning of Section 4975(e) of the Code; (ii) the assets of the Borrower do not and will not constitute “plan assets”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40"/>
          </w:cols>
          <w:pgMar w:left="320" w:top="1405" w:right="3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meaning of the United States Department of Labor Regulations set forth in 29 C.F.R. §2510.3-101 as modified by ERISA Section 3(42);</w:t>
      </w:r>
    </w:p>
    <w:p>
      <w:pPr>
        <w:jc w:val="both"/>
        <w:ind w:firstLine="8"/>
        <w:spacing w:after="0" w:line="213" w:lineRule="auto"/>
        <w:tabs>
          <w:tab w:leader="none" w:pos="361"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14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4.14 Investment Company Act; Other Regulations</w:t>
      </w:r>
      <w:r>
        <w:rPr>
          <w:rFonts w:ascii="Arial" w:cs="Arial" w:eastAsia="Arial" w:hAnsi="Arial"/>
          <w:sz w:val="20"/>
          <w:szCs w:val="20"/>
          <w:color w:val="auto"/>
        </w:rPr>
        <w:t>. No Loan Party is required to register as an “investment company”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the meaning of the Investment Company Act of 1940, as amended. No Loan Party is subject to regulation under any Requirement of Law (other than Regulation X of the Board) that limits its ability to incur Indebtedness or which may otherwise render all or any portion of the Obligations unenforceable.</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4.15</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w:t>
      </w:r>
    </w:p>
    <w:p>
      <w:pPr>
        <w:spacing w:after="0" w:line="181" w:lineRule="exact"/>
        <w:rPr>
          <w:sz w:val="20"/>
          <w:szCs w:val="20"/>
          <w:color w:val="auto"/>
        </w:rPr>
      </w:pPr>
    </w:p>
    <w:p>
      <w:pPr>
        <w:jc w:val="both"/>
        <w:ind w:firstLine="1304"/>
        <w:spacing w:after="0" w:line="210" w:lineRule="auto"/>
        <w:tabs>
          <w:tab w:leader="none" w:pos="1934" w:val="left"/>
        </w:tabs>
        <w:numPr>
          <w:ilvl w:val="1"/>
          <w:numId w:val="235"/>
        </w:numPr>
        <w:rPr>
          <w:rFonts w:ascii="Arial" w:cs="Arial" w:eastAsia="Arial" w:hAnsi="Arial"/>
          <w:sz w:val="20"/>
          <w:szCs w:val="20"/>
          <w:color w:val="auto"/>
        </w:rPr>
      </w:pPr>
      <w:r>
        <w:rPr>
          <w:rFonts w:ascii="Arial" w:cs="Arial" w:eastAsia="Arial" w:hAnsi="Arial"/>
          <w:sz w:val="20"/>
          <w:szCs w:val="20"/>
          <w:color w:val="auto"/>
        </w:rPr>
        <w:t xml:space="preserve">As of the Closing Date, (a) </w:t>
      </w:r>
      <w:r>
        <w:rPr>
          <w:rFonts w:ascii="Arial" w:cs="Arial" w:eastAsia="Arial" w:hAnsi="Arial"/>
          <w:sz w:val="20"/>
          <w:szCs w:val="20"/>
          <w:u w:val="single" w:color="auto"/>
          <w:color w:val="auto"/>
        </w:rPr>
        <w:t>Schedule 4.15</w:t>
      </w:r>
      <w:r>
        <w:rPr>
          <w:rFonts w:ascii="Arial" w:cs="Arial" w:eastAsia="Arial" w:hAnsi="Arial"/>
          <w:sz w:val="20"/>
          <w:szCs w:val="20"/>
          <w:color w:val="auto"/>
        </w:rPr>
        <w:t xml:space="preserve"> to the Disclosure Letter sets forth the name and jurisdiction of organization of each Subsidiary of Holdings and, as to each such Subsidiary, the percentage of each class of Capital Stock owned by any Loan Party, and (b) there are no outstanding subscriptions, options, warrants, calls, rights or other agreements or commitments (other than equity awards granted to employees, consultants or directors and directors’ qualifying shares) of any nature relating to any Capital Stock of any Subsidiary of Holdings, except as may be created by the Loan Documents.</w:t>
      </w:r>
    </w:p>
    <w:p>
      <w:pPr>
        <w:spacing w:after="0" w:line="154" w:lineRule="exact"/>
        <w:rPr>
          <w:rFonts w:ascii="Arial" w:cs="Arial" w:eastAsia="Arial" w:hAnsi="Arial"/>
          <w:sz w:val="20"/>
          <w:szCs w:val="20"/>
          <w:color w:val="auto"/>
        </w:rPr>
      </w:pPr>
    </w:p>
    <w:p>
      <w:pPr>
        <w:jc w:val="both"/>
        <w:ind w:firstLine="1304"/>
        <w:spacing w:after="0" w:line="250" w:lineRule="auto"/>
        <w:tabs>
          <w:tab w:leader="none" w:pos="2023" w:val="left"/>
        </w:tabs>
        <w:numPr>
          <w:ilvl w:val="1"/>
          <w:numId w:val="235"/>
        </w:numPr>
        <w:rPr>
          <w:rFonts w:ascii="Arial" w:cs="Arial" w:eastAsia="Arial" w:hAnsi="Arial"/>
          <w:sz w:val="16"/>
          <w:szCs w:val="16"/>
          <w:color w:val="auto"/>
        </w:rPr>
      </w:pPr>
      <w:r>
        <w:rPr>
          <w:rFonts w:ascii="Arial" w:cs="Arial" w:eastAsia="Arial" w:hAnsi="Arial"/>
          <w:sz w:val="16"/>
          <w:szCs w:val="16"/>
          <w:color w:val="auto"/>
        </w:rPr>
        <w:t xml:space="preserve">No Immaterial Subsidiary (a) holds assets representing more than 10% of Holdings’ consolidated total assets (determined in accordance with GAAP), (b) has generated more than 10% of Holdings’ consolidated total revenues determined in accordance with GAAP for the four fiscal quarter period ending on the last day of the most recent period for which financial statements have been delivered after the Closing Date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Subsidiaries that are individually an Immaterial Subsidiary do not have aggregate consolidated total assets that would represent 20% or more of Holdings’ consolidated total assets nor have generated 20% or more of Holdings’ consolidated total revenues for such four fiscal quarter period, in each case, determined in accordance with GAAP, or</w:t>
      </w:r>
    </w:p>
    <w:p>
      <w:pPr>
        <w:ind w:left="280" w:hanging="272"/>
        <w:spacing w:after="0"/>
        <w:tabs>
          <w:tab w:leader="none" w:pos="28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owns any material Intellectual Property.</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4.16 Use of Proceeds</w:t>
      </w:r>
      <w:r>
        <w:rPr>
          <w:rFonts w:ascii="Arial" w:cs="Arial" w:eastAsia="Arial" w:hAnsi="Arial"/>
          <w:sz w:val="20"/>
          <w:szCs w:val="20"/>
          <w:color w:val="auto"/>
        </w:rPr>
        <w:t>. The proceeds of the Revolving Loans, Swingline Loans and Letters of Credit shall be used to refinance</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Indebtedness, to pay related fees and expenses and for general corporate purposes (including Restricted Payments, Investments, Acquisitions and other transactions permitted hereunder).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4.17</w:t>
      </w:r>
      <w:r>
        <w:rPr>
          <w:sz w:val="20"/>
          <w:szCs w:val="20"/>
          <w:color w:val="auto"/>
        </w:rPr>
        <w:tab/>
      </w:r>
      <w:r>
        <w:rPr>
          <w:rFonts w:ascii="Arial" w:cs="Arial" w:eastAsia="Arial" w:hAnsi="Arial"/>
          <w:sz w:val="16"/>
          <w:szCs w:val="16"/>
          <w:b w:val="1"/>
          <w:bCs w:val="1"/>
          <w:color w:val="auto"/>
        </w:rPr>
        <w:t>Environmental Matters</w:t>
      </w:r>
      <w:r>
        <w:rPr>
          <w:rFonts w:ascii="Arial" w:cs="Arial" w:eastAsia="Arial" w:hAnsi="Arial"/>
          <w:sz w:val="16"/>
          <w:szCs w:val="16"/>
          <w:color w:val="auto"/>
        </w:rPr>
        <w:t>. Except as, in the aggregate, could not reasonably be expected to have a Material Adverse Effect:</w:t>
      </w:r>
    </w:p>
    <w:p>
      <w:pPr>
        <w:spacing w:after="0" w:line="181" w:lineRule="exact"/>
        <w:rPr>
          <w:sz w:val="20"/>
          <w:szCs w:val="20"/>
          <w:color w:val="auto"/>
        </w:rPr>
      </w:pPr>
    </w:p>
    <w:p>
      <w:pPr>
        <w:jc w:val="both"/>
        <w:ind w:firstLine="1304"/>
        <w:spacing w:after="0" w:line="224" w:lineRule="auto"/>
        <w:tabs>
          <w:tab w:leader="none" w:pos="1934" w:val="left"/>
        </w:tabs>
        <w:numPr>
          <w:ilvl w:val="0"/>
          <w:numId w:val="237"/>
        </w:numPr>
        <w:rPr>
          <w:rFonts w:ascii="Arial" w:cs="Arial" w:eastAsia="Arial" w:hAnsi="Arial"/>
          <w:sz w:val="19"/>
          <w:szCs w:val="19"/>
          <w:color w:val="auto"/>
        </w:rPr>
      </w:pPr>
      <w:r>
        <w:rPr>
          <w:rFonts w:ascii="Arial" w:cs="Arial" w:eastAsia="Arial" w:hAnsi="Arial"/>
          <w:sz w:val="19"/>
          <w:szCs w:val="19"/>
          <w:color w:val="auto"/>
        </w:rPr>
        <w:t xml:space="preserve">except as disclosed on </w:t>
      </w:r>
      <w:r>
        <w:rPr>
          <w:rFonts w:ascii="Arial" w:cs="Arial" w:eastAsia="Arial" w:hAnsi="Arial"/>
          <w:sz w:val="19"/>
          <w:szCs w:val="19"/>
          <w:u w:val="single" w:color="auto"/>
          <w:color w:val="auto"/>
        </w:rPr>
        <w:t>Schedule 4.17</w:t>
      </w:r>
      <w:r>
        <w:rPr>
          <w:rFonts w:ascii="Arial" w:cs="Arial" w:eastAsia="Arial" w:hAnsi="Arial"/>
          <w:sz w:val="19"/>
          <w:szCs w:val="19"/>
          <w:color w:val="auto"/>
        </w:rPr>
        <w:t xml:space="preserve"> to the Disclosure Letter, the facilities and properties owned, leased or operated by any Group Member (the “</w:t>
      </w:r>
      <w:r>
        <w:rPr>
          <w:rFonts w:ascii="Arial" w:cs="Arial" w:eastAsia="Arial" w:hAnsi="Arial"/>
          <w:sz w:val="19"/>
          <w:szCs w:val="19"/>
          <w:b w:val="1"/>
          <w:bCs w:val="1"/>
          <w:i w:val="1"/>
          <w:iCs w:val="1"/>
          <w:color w:val="auto"/>
        </w:rPr>
        <w:t>Properties</w:t>
      </w:r>
      <w:r>
        <w:rPr>
          <w:rFonts w:ascii="Arial" w:cs="Arial" w:eastAsia="Arial" w:hAnsi="Arial"/>
          <w:sz w:val="19"/>
          <w:szCs w:val="19"/>
          <w:color w:val="auto"/>
        </w:rPr>
        <w:t>”) do not contain, and, to the knowledge of the Loan Parties, have not previously contained, any Materials of Environmental Concern in amounts or concentrations or under circumstances that constitute or have constituted a violation of, or could reasonably be expected to give rise to liability under, any Environmental Law;</w:t>
      </w:r>
    </w:p>
    <w:p>
      <w:pPr>
        <w:spacing w:after="0" w:line="156"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237"/>
        </w:numPr>
        <w:rPr>
          <w:rFonts w:ascii="Arial" w:cs="Arial" w:eastAsia="Arial" w:hAnsi="Arial"/>
          <w:sz w:val="20"/>
          <w:szCs w:val="20"/>
          <w:color w:val="auto"/>
        </w:rPr>
      </w:pPr>
      <w:r>
        <w:rPr>
          <w:rFonts w:ascii="Arial" w:cs="Arial" w:eastAsia="Arial" w:hAnsi="Arial"/>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nor does any Loan Party have knowledge or reason to believe that any such notice will be received or is being threatened;</w:t>
      </w:r>
    </w:p>
    <w:p>
      <w:pPr>
        <w:spacing w:after="0" w:line="155" w:lineRule="exact"/>
        <w:rPr>
          <w:rFonts w:ascii="Arial" w:cs="Arial" w:eastAsia="Arial" w:hAnsi="Arial"/>
          <w:sz w:val="20"/>
          <w:szCs w:val="20"/>
          <w:color w:val="auto"/>
        </w:rPr>
      </w:pPr>
    </w:p>
    <w:p>
      <w:pPr>
        <w:jc w:val="both"/>
        <w:ind w:firstLine="1304"/>
        <w:spacing w:after="0" w:line="236" w:lineRule="auto"/>
        <w:tabs>
          <w:tab w:leader="none" w:pos="193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Group Member has transported or disposed of Materials of Environmental Concern from the Properties in violation of, or in a manner or to a location that could reasonably be expected to give rise to liability under, any Environmental Law, nor has any Group Member generated, treated, stored or disposed of Materials of Environmental Concern at, on or under any of the Properties in violation of, or in a manner that could be reasonably expected to give rise to liability under, any applicable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240"/>
          </w:cols>
          <w:pgMar w:left="320" w:top="1403" w:right="339" w:bottom="1440" w:gutter="0" w:footer="0" w:header="0"/>
        </w:sectPr>
      </w:pPr>
    </w:p>
    <w:bookmarkStart w:id="286" w:name="page287"/>
    <w:bookmarkEnd w:id="286"/>
    <w:p>
      <w:pPr>
        <w:jc w:val="both"/>
        <w:ind w:firstLine="1304"/>
        <w:spacing w:after="0" w:line="236" w:lineRule="auto"/>
        <w:tabs>
          <w:tab w:leader="none" w:pos="193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any Loan Party,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57" w:lineRule="exact"/>
        <w:rPr>
          <w:rFonts w:ascii="Arial" w:cs="Arial" w:eastAsia="Arial" w:hAnsi="Arial"/>
          <w:sz w:val="18"/>
          <w:szCs w:val="18"/>
          <w:color w:val="auto"/>
        </w:rPr>
      </w:pPr>
    </w:p>
    <w:p>
      <w:pPr>
        <w:jc w:val="both"/>
        <w:ind w:firstLine="1304"/>
        <w:spacing w:after="0" w:line="218" w:lineRule="auto"/>
        <w:tabs>
          <w:tab w:leader="none" w:pos="1934"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give rise to liability under Environmental Laws;</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9"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Arial" w:cs="Arial" w:eastAsia="Arial" w:hAnsi="Arial"/>
          <w:sz w:val="20"/>
          <w:szCs w:val="20"/>
          <w:u w:val="single" w:color="auto"/>
          <w:color w:val="auto"/>
        </w:rPr>
        <w:t>Schedule 4.17</w:t>
      </w:r>
      <w:r>
        <w:rPr>
          <w:rFonts w:ascii="Arial" w:cs="Arial" w:eastAsia="Arial" w:hAnsi="Arial"/>
          <w:sz w:val="20"/>
          <w:szCs w:val="20"/>
          <w:color w:val="auto"/>
        </w:rPr>
        <w:t xml:space="preserve"> to the Disclosure Letter, to the knowledge of the Borrower, there is no contamination at, under or about the Properties or violation of any Environmental Law with respect to the Properties or the Business; and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no Group Member has assumed any liability of any other Person under Environmental Laws.</w:t>
      </w:r>
    </w:p>
    <w:p>
      <w:pPr>
        <w:spacing w:after="0" w:line="16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 xml:space="preserve">4.18 Accuracy of Information, etc. </w:t>
      </w:r>
      <w:r>
        <w:rPr>
          <w:rFonts w:ascii="Arial" w:cs="Arial" w:eastAsia="Arial" w:hAnsi="Arial"/>
          <w:sz w:val="19"/>
          <w:szCs w:val="19"/>
          <w:color w:val="auto"/>
        </w:rPr>
        <w:t>No statement or information contained in this Agreement, any other Loan Document 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The projections and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As of the Closing Date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4.19</w:t>
      </w:r>
      <w:r>
        <w:rPr>
          <w:sz w:val="20"/>
          <w:szCs w:val="20"/>
          <w:color w:val="auto"/>
        </w:rPr>
        <w:tab/>
      </w:r>
      <w:r>
        <w:rPr>
          <w:rFonts w:ascii="Arial" w:cs="Arial" w:eastAsia="Arial" w:hAnsi="Arial"/>
          <w:sz w:val="16"/>
          <w:szCs w:val="16"/>
          <w:b w:val="1"/>
          <w:bCs w:val="1"/>
          <w:color w:val="auto"/>
        </w:rPr>
        <w:t>Security Documents.</w:t>
      </w:r>
    </w:p>
    <w:p>
      <w:pPr>
        <w:spacing w:after="0" w:line="181" w:lineRule="exact"/>
        <w:rPr>
          <w:sz w:val="20"/>
          <w:szCs w:val="20"/>
          <w:color w:val="auto"/>
        </w:rPr>
      </w:pPr>
    </w:p>
    <w:p>
      <w:pPr>
        <w:jc w:val="both"/>
        <w:ind w:firstLine="1304"/>
        <w:spacing w:after="0" w:line="224" w:lineRule="auto"/>
        <w:tabs>
          <w:tab w:leader="none" w:pos="193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(as defined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Arial" w:cs="Arial" w:eastAsia="Arial" w:hAnsi="Arial"/>
          <w:sz w:val="18"/>
          <w:szCs w:val="18"/>
          <w:b w:val="1"/>
          <w:bCs w:val="1"/>
          <w:i w:val="1"/>
          <w:iCs w:val="1"/>
          <w:color w:val="auto"/>
        </w:rPr>
        <w:t>Certificated Securities</w:t>
      </w:r>
      <w:r>
        <w:rPr>
          <w:rFonts w:ascii="Arial" w:cs="Arial" w:eastAsia="Arial" w:hAnsi="Arial"/>
          <w:sz w:val="18"/>
          <w:szCs w:val="18"/>
          <w:color w:val="auto"/>
        </w:rPr>
        <w:t xml:space="preserve">”), when certificates representing such Pledged Stock (which, in the case of a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and other filings specified on </w:t>
      </w: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to the Disclosure Letter in appropriate form are filed in the offices specified on </w:t>
      </w:r>
      <w:r>
        <w:rPr>
          <w:rFonts w:ascii="Arial" w:cs="Arial" w:eastAsia="Arial" w:hAnsi="Arial"/>
          <w:sz w:val="18"/>
          <w:szCs w:val="18"/>
          <w:u w:val="single" w:color="auto"/>
          <w:color w:val="auto"/>
        </w:rPr>
        <w:t>Schedule 4.19(a)</w:t>
      </w:r>
      <w:r>
        <w:rPr>
          <w:rFonts w:ascii="Arial" w:cs="Arial" w:eastAsia="Arial" w:hAnsi="Arial"/>
          <w:sz w:val="18"/>
          <w:szCs w:val="18"/>
          <w:color w:val="auto"/>
        </w:rPr>
        <w:t xml:space="preserve"> to the Disclosure Letter, the Administrative Agent, for the benefit of the Secured Parties, shall have a fully perfected Lien on, and security interest in, all right, title and interest of the Loan Parties in such Collateral and the proceeds thereof, as security for the Obligations, to the extent a security interest may be perfected by such filings, in each case prior and superior in right to any other Person (except, in the case of Collateral other than Pledged Stock, Liens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As of the Closing Date, none of the Loan Parties that is a limited liability company or partnership has any Capital Stock that is a Certificated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05" w:right="339" w:bottom="1440" w:gutter="0" w:footer="0" w:header="0"/>
        </w:sectPr>
      </w:pPr>
    </w:p>
    <w:bookmarkStart w:id="287" w:name="page288"/>
    <w:bookmarkEnd w:id="287"/>
    <w:p>
      <w:pPr>
        <w:jc w:val="both"/>
        <w:ind w:firstLine="1304"/>
        <w:spacing w:after="0" w:line="207" w:lineRule="auto"/>
        <w:tabs>
          <w:tab w:leader="none" w:pos="1932" w:val="left"/>
        </w:tabs>
        <w:numPr>
          <w:ilvl w:val="0"/>
          <w:numId w:val="240"/>
        </w:numPr>
        <w:rPr>
          <w:rFonts w:ascii="Arial" w:cs="Arial" w:eastAsia="Arial" w:hAnsi="Arial"/>
          <w:sz w:val="20"/>
          <w:szCs w:val="20"/>
          <w:color w:val="auto"/>
        </w:rPr>
      </w:pPr>
      <w:r>
        <w:rPr>
          <w:rFonts w:ascii="Arial" w:cs="Arial" w:eastAsia="Arial" w:hAnsi="Arial"/>
          <w:sz w:val="20"/>
          <w:szCs w:val="20"/>
          <w:color w:val="auto"/>
        </w:rPr>
        <w:t>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w:t>
      </w:r>
    </w:p>
    <w:p>
      <w:pPr>
        <w:spacing w:after="0" w:line="1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b w:val="1"/>
          <w:bCs w:val="1"/>
          <w:color w:val="auto"/>
        </w:rPr>
        <w:t>4.20 Solvency; Voidable Transaction</w:t>
      </w:r>
      <w:r>
        <w:rPr>
          <w:rFonts w:ascii="Arial" w:cs="Arial" w:eastAsia="Arial" w:hAnsi="Arial"/>
          <w:sz w:val="18"/>
          <w:szCs w:val="18"/>
          <w:color w:val="auto"/>
        </w:rPr>
        <w:t>. The Loan Parties (taken as a whole) are, and after giving effect to the incurrence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Indebtedness, Obligations and obligations being incurred in connection herewith,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5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4.21 Regulation H</w:t>
      </w:r>
      <w:r>
        <w:rPr>
          <w:rFonts w:ascii="Arial" w:cs="Arial" w:eastAsia="Arial" w:hAnsi="Arial"/>
          <w:sz w:val="20"/>
          <w:szCs w:val="20"/>
          <w:color w:val="auto"/>
        </w:rPr>
        <w:t>. No Mortgage encumbers improved real property that is located in an area that has been identified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Secretary of Housing and Urban Development as an area having special flood hazards and in which flood insurance has not been made available under the National Flood Insurance Act of 1968.</w:t>
      </w:r>
    </w:p>
    <w:p>
      <w:pPr>
        <w:spacing w:after="0" w:line="151"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9"/>
          <w:szCs w:val="19"/>
          <w:b w:val="1"/>
          <w:bCs w:val="1"/>
          <w:color w:val="auto"/>
        </w:rPr>
        <w:t>4.22 Designated Senior Indebtedness</w:t>
      </w:r>
      <w:r>
        <w:rPr>
          <w:rFonts w:ascii="Arial" w:cs="Arial" w:eastAsia="Arial" w:hAnsi="Arial"/>
          <w:sz w:val="19"/>
          <w:szCs w:val="19"/>
          <w:color w:val="auto"/>
        </w:rPr>
        <w:t>. The Loan Documents and all of the Obligations have been deemed “Designated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or a similar concept thereto, if applicable, for purposes of any other Indebtedness of the Loan Parties.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4.23</w:t>
      </w:r>
      <w:r>
        <w:rPr>
          <w:sz w:val="20"/>
          <w:szCs w:val="20"/>
          <w:color w:val="auto"/>
        </w:rPr>
        <w:tab/>
      </w:r>
      <w:r>
        <w:rPr>
          <w:rFonts w:ascii="Arial" w:cs="Arial" w:eastAsia="Arial" w:hAnsi="Arial"/>
          <w:sz w:val="16"/>
          <w:szCs w:val="16"/>
          <w:color w:val="auto"/>
        </w:rPr>
        <w:t>[Reserved].</w:t>
      </w:r>
    </w:p>
    <w:p>
      <w:pPr>
        <w:spacing w:after="0" w:line="17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4.24 Insurance</w:t>
      </w:r>
      <w:r>
        <w:rPr>
          <w:rFonts w:ascii="Arial" w:cs="Arial" w:eastAsia="Arial" w:hAnsi="Arial"/>
          <w:sz w:val="19"/>
          <w:szCs w:val="19"/>
          <w:color w:val="auto"/>
        </w:rPr>
        <w:t>. All insurance maintained by the Loan Parties is in full force and effect, all premiums have been duly paid, no</w:t>
      </w:r>
      <w:r>
        <w:rPr>
          <w:rFonts w:ascii="Arial" w:cs="Arial" w:eastAsia="Arial" w:hAnsi="Arial"/>
          <w:sz w:val="19"/>
          <w:szCs w:val="19"/>
          <w:b w:val="1"/>
          <w:bCs w:val="1"/>
          <w:color w:val="auto"/>
        </w:rPr>
        <w:t xml:space="preserve"> </w:t>
      </w:r>
      <w:r>
        <w:rPr>
          <w:rFonts w:ascii="Arial" w:cs="Arial" w:eastAsia="Arial" w:hAnsi="Arial"/>
          <w:sz w:val="19"/>
          <w:szCs w:val="19"/>
          <w:color w:val="auto"/>
        </w:rPr>
        <w:t>Loan Party has received notice of violation or cancellation thereof, and there exists no default under any requirement of such insurance. Each Loan Party maintains insurance with financially sound and reputable insurance companies on all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5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4.25 No Casualty</w:t>
      </w:r>
      <w:r>
        <w:rPr>
          <w:rFonts w:ascii="Arial" w:cs="Arial" w:eastAsia="Arial" w:hAnsi="Arial"/>
          <w:sz w:val="20"/>
          <w:szCs w:val="20"/>
          <w:color w:val="auto"/>
        </w:rPr>
        <w:t>. No Loan Party has received any notice of, nor does any Loan Party have any knowledge of, the occurrence or</w:t>
      </w:r>
      <w:r>
        <w:rPr>
          <w:rFonts w:ascii="Arial" w:cs="Arial" w:eastAsia="Arial" w:hAnsi="Arial"/>
          <w:sz w:val="20"/>
          <w:szCs w:val="20"/>
          <w:b w:val="1"/>
          <w:bCs w:val="1"/>
          <w:color w:val="auto"/>
        </w:rPr>
        <w:t xml:space="preserve"> </w:t>
      </w:r>
      <w:r>
        <w:rPr>
          <w:rFonts w:ascii="Arial" w:cs="Arial" w:eastAsia="Arial" w:hAnsi="Arial"/>
          <w:sz w:val="20"/>
          <w:szCs w:val="20"/>
          <w:color w:val="auto"/>
        </w:rPr>
        <w:t>pendency or contemplation of any Casualty Event affecting all or any material portion of its property.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4.26</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4.27</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color w:val="auto"/>
        </w:rPr>
        <w:t>4.28 OFAC</w:t>
      </w:r>
      <w:r>
        <w:rPr>
          <w:rFonts w:ascii="Arial" w:cs="Arial" w:eastAsia="Arial" w:hAnsi="Arial"/>
          <w:sz w:val="18"/>
          <w:szCs w:val="18"/>
          <w:color w:val="auto"/>
        </w:rPr>
        <w:t>. Neither Holdings, nor any of its Subsidiaries, nor, to the knowledge of Holdings or any such Subsidiary, any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employee, agent, affiliate, advisor or representative thereof, is an individual or an entity that is, or is owned or controlled by an individual or entity that is (a) currently the subject of any Sanctions, or (b) located, organized or resident in a Designated Jurisdiction.</w:t>
      </w:r>
    </w:p>
    <w:p>
      <w:pPr>
        <w:spacing w:after="0" w:line="14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4.29 Anti-Corruption Laws</w:t>
      </w:r>
      <w:r>
        <w:rPr>
          <w:rFonts w:ascii="Arial" w:cs="Arial" w:eastAsia="Arial" w:hAnsi="Arial"/>
          <w:sz w:val="20"/>
          <w:szCs w:val="20"/>
          <w:color w:val="auto"/>
        </w:rPr>
        <w:t>. Each of Holdings and its Subsidiaries has conducted its business in compliance in all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respects with applicable anti-corruption laws and have instituted and maintained policies and procedures designed to promote and achieve compliance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05" w:right="339" w:bottom="1440" w:gutter="0" w:footer="0" w:header="0"/>
        </w:sectPr>
      </w:pPr>
    </w:p>
    <w:bookmarkStart w:id="288" w:name="page289"/>
    <w:bookmarkEnd w:id="288"/>
    <w:p>
      <w:pPr>
        <w:ind w:left="5260"/>
        <w:spacing w:after="0"/>
        <w:rPr>
          <w:sz w:val="20"/>
          <w:szCs w:val="20"/>
          <w:color w:val="auto"/>
        </w:rPr>
      </w:pPr>
      <w:r>
        <w:rPr>
          <w:rFonts w:ascii="Arial" w:cs="Arial" w:eastAsia="Arial" w:hAnsi="Arial"/>
          <w:sz w:val="20"/>
          <w:szCs w:val="20"/>
          <w:b w:val="1"/>
          <w:bCs w:val="1"/>
          <w:color w:val="auto"/>
        </w:rPr>
        <w:t>SECTION 5</w:t>
      </w:r>
    </w:p>
    <w:p>
      <w:pPr>
        <w:ind w:left="4360"/>
        <w:spacing w:after="0"/>
        <w:rPr>
          <w:sz w:val="20"/>
          <w:szCs w:val="20"/>
          <w:color w:val="auto"/>
        </w:rPr>
      </w:pPr>
      <w:r>
        <w:rPr>
          <w:rFonts w:ascii="Arial" w:cs="Arial" w:eastAsia="Arial" w:hAnsi="Arial"/>
          <w:sz w:val="20"/>
          <w:szCs w:val="20"/>
          <w:b w:val="1"/>
          <w:bCs w:val="1"/>
          <w:color w:val="auto"/>
        </w:rPr>
        <w:t>CONDITIONS PRECEDENT</w:t>
      </w:r>
    </w:p>
    <w:p>
      <w:pPr>
        <w:spacing w:after="0" w:line="15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5.1 Conditions to Initial Extension of Credit</w:t>
      </w:r>
      <w:r>
        <w:rPr>
          <w:rFonts w:ascii="Arial" w:cs="Arial" w:eastAsia="Arial" w:hAnsi="Arial"/>
          <w:sz w:val="20"/>
          <w:szCs w:val="20"/>
          <w:color w:val="auto"/>
        </w:rPr>
        <w:t>. The effectiveness of this Agreement and the obligation of each Lender to make</w:t>
      </w:r>
      <w:r>
        <w:rPr>
          <w:rFonts w:ascii="Arial" w:cs="Arial" w:eastAsia="Arial" w:hAnsi="Arial"/>
          <w:sz w:val="20"/>
          <w:szCs w:val="20"/>
          <w:b w:val="1"/>
          <w:bCs w:val="1"/>
          <w:color w:val="auto"/>
        </w:rPr>
        <w:t xml:space="preserve"> </w:t>
      </w:r>
      <w:r>
        <w:rPr>
          <w:rFonts w:ascii="Arial" w:cs="Arial" w:eastAsia="Arial" w:hAnsi="Arial"/>
          <w:sz w:val="20"/>
          <w:szCs w:val="20"/>
          <w:color w:val="auto"/>
        </w:rPr>
        <w:t>its initial extension of credit hereunder shall be subject to the satisfaction or waiver, prior to or concurrently with the making of such extension of credit on the Closing Date, of the following conditions precedent:</w:t>
      </w:r>
    </w:p>
    <w:p>
      <w:pPr>
        <w:spacing w:after="0" w:line="157" w:lineRule="exact"/>
        <w:rPr>
          <w:sz w:val="20"/>
          <w:szCs w:val="20"/>
          <w:color w:val="auto"/>
        </w:rPr>
      </w:pPr>
    </w:p>
    <w:p>
      <w:pPr>
        <w:ind w:firstLine="1304"/>
        <w:spacing w:after="0" w:line="229" w:lineRule="auto"/>
        <w:tabs>
          <w:tab w:leader="none" w:pos="1934"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Administrative Agent shall have received each of the following, each of which shall be in form and substance satisfactory to the Administrative Agent:</w:t>
      </w:r>
    </w:p>
    <w:p>
      <w:pPr>
        <w:spacing w:after="0" w:line="141" w:lineRule="exact"/>
        <w:rPr>
          <w:rFonts w:ascii="Arial" w:cs="Arial" w:eastAsia="Arial" w:hAnsi="Arial"/>
          <w:sz w:val="20"/>
          <w:szCs w:val="20"/>
          <w:color w:val="auto"/>
        </w:rPr>
      </w:pPr>
    </w:p>
    <w:p>
      <w:pPr>
        <w:ind w:left="2600" w:hanging="648"/>
        <w:spacing w:after="0"/>
        <w:tabs>
          <w:tab w:leader="none" w:pos="260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this Agreement, executed and delivered by the Administrative Agent, Holdings, the Borrower and each</w:t>
      </w:r>
    </w:p>
    <w:p>
      <w:pPr>
        <w:spacing w:after="0"/>
        <w:rPr>
          <w:rFonts w:ascii="Arial" w:cs="Arial" w:eastAsia="Arial" w:hAnsi="Arial"/>
          <w:sz w:val="19"/>
          <w:szCs w:val="19"/>
          <w:color w:val="auto"/>
        </w:rPr>
      </w:pPr>
      <w:r>
        <w:rPr>
          <w:rFonts w:ascii="Arial" w:cs="Arial" w:eastAsia="Arial" w:hAnsi="Arial"/>
          <w:sz w:val="20"/>
          <w:szCs w:val="20"/>
          <w:color w:val="auto"/>
        </w:rPr>
        <w:t xml:space="preserve">Lender listed on </w:t>
      </w:r>
      <w:r>
        <w:rPr>
          <w:rFonts w:ascii="Arial" w:cs="Arial" w:eastAsia="Arial" w:hAnsi="Arial"/>
          <w:sz w:val="20"/>
          <w:szCs w:val="20"/>
          <w:u w:val="single" w:color="auto"/>
          <w:color w:val="auto"/>
        </w:rPr>
        <w:t>Schedule 1.1A</w:t>
      </w:r>
      <w:r>
        <w:rPr>
          <w:rFonts w:ascii="Arial" w:cs="Arial" w:eastAsia="Arial" w:hAnsi="Arial"/>
          <w:sz w:val="20"/>
          <w:szCs w:val="20"/>
          <w:color w:val="auto"/>
        </w:rPr>
        <w:t>;</w:t>
      </w:r>
    </w:p>
    <w:p>
      <w:pPr>
        <w:spacing w:after="0" w:line="157" w:lineRule="exact"/>
        <w:rPr>
          <w:rFonts w:ascii="Arial" w:cs="Arial" w:eastAsia="Arial" w:hAnsi="Arial"/>
          <w:sz w:val="19"/>
          <w:szCs w:val="19"/>
          <w:color w:val="auto"/>
        </w:rPr>
      </w:pPr>
    </w:p>
    <w:p>
      <w:pPr>
        <w:ind w:left="2600" w:hanging="648"/>
        <w:spacing w:after="0"/>
        <w:tabs>
          <w:tab w:leader="none" w:pos="26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Collateral Information Certificate and the Disclosure Letter, each executed by a Responsible Officer of</w:t>
      </w:r>
    </w:p>
    <w:p>
      <w:pPr>
        <w:spacing w:after="0"/>
        <w:rPr>
          <w:rFonts w:ascii="Arial" w:cs="Arial" w:eastAsia="Arial" w:hAnsi="Arial"/>
          <w:sz w:val="18"/>
          <w:szCs w:val="18"/>
          <w:color w:val="auto"/>
        </w:rPr>
      </w:pPr>
      <w:r>
        <w:rPr>
          <w:rFonts w:ascii="Arial" w:cs="Arial" w:eastAsia="Arial" w:hAnsi="Arial"/>
          <w:sz w:val="20"/>
          <w:szCs w:val="20"/>
          <w:color w:val="auto"/>
        </w:rPr>
        <w:t>Holdings;</w:t>
      </w:r>
    </w:p>
    <w:p>
      <w:pPr>
        <w:spacing w:after="0" w:line="145" w:lineRule="exact"/>
        <w:rPr>
          <w:rFonts w:ascii="Arial" w:cs="Arial" w:eastAsia="Arial" w:hAnsi="Arial"/>
          <w:sz w:val="18"/>
          <w:szCs w:val="18"/>
          <w:color w:val="auto"/>
        </w:rPr>
      </w:pPr>
    </w:p>
    <w:p>
      <w:pPr>
        <w:ind w:left="2600" w:hanging="648"/>
        <w:spacing w:after="0"/>
        <w:tabs>
          <w:tab w:leader="none" w:pos="260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if required by any Revolving Lender, a Revolving Loan Note executed by the Borrower in favor of such</w:t>
      </w:r>
    </w:p>
    <w:p>
      <w:pPr>
        <w:spacing w:after="0"/>
        <w:rPr>
          <w:rFonts w:ascii="Arial" w:cs="Arial" w:eastAsia="Arial" w:hAnsi="Arial"/>
          <w:sz w:val="19"/>
          <w:szCs w:val="19"/>
          <w:color w:val="auto"/>
        </w:rPr>
      </w:pPr>
      <w:r>
        <w:rPr>
          <w:rFonts w:ascii="Arial" w:cs="Arial" w:eastAsia="Arial" w:hAnsi="Arial"/>
          <w:sz w:val="20"/>
          <w:szCs w:val="20"/>
          <w:color w:val="auto"/>
        </w:rPr>
        <w:t>Revolving Lender;</w:t>
      </w:r>
    </w:p>
    <w:p>
      <w:pPr>
        <w:spacing w:after="0" w:line="145" w:lineRule="exact"/>
        <w:rPr>
          <w:rFonts w:ascii="Arial" w:cs="Arial" w:eastAsia="Arial" w:hAnsi="Arial"/>
          <w:sz w:val="19"/>
          <w:szCs w:val="19"/>
          <w:color w:val="auto"/>
        </w:rPr>
      </w:pPr>
    </w:p>
    <w:p>
      <w:pPr>
        <w:ind w:left="2580" w:hanging="628"/>
        <w:spacing w:after="0"/>
        <w:tabs>
          <w:tab w:leader="none" w:pos="2580" w:val="left"/>
        </w:tabs>
        <w:numPr>
          <w:ilvl w:val="1"/>
          <w:numId w:val="241"/>
        </w:numPr>
        <w:rPr>
          <w:rFonts w:ascii="Arial" w:cs="Arial" w:eastAsia="Arial" w:hAnsi="Arial"/>
          <w:sz w:val="19"/>
          <w:szCs w:val="19"/>
          <w:color w:val="auto"/>
        </w:rPr>
      </w:pPr>
      <w:r>
        <w:rPr>
          <w:rFonts w:ascii="Arial" w:cs="Arial" w:eastAsia="Arial" w:hAnsi="Arial"/>
          <w:sz w:val="19"/>
          <w:szCs w:val="19"/>
          <w:color w:val="auto"/>
        </w:rPr>
        <w:t>if required by the Swingline Lender, the Swingline Loan Note executed by the Borrower in favor of such</w:t>
      </w:r>
    </w:p>
    <w:p>
      <w:pPr>
        <w:spacing w:after="0"/>
        <w:rPr>
          <w:rFonts w:ascii="Arial" w:cs="Arial" w:eastAsia="Arial" w:hAnsi="Arial"/>
          <w:sz w:val="19"/>
          <w:szCs w:val="19"/>
          <w:color w:val="auto"/>
        </w:rPr>
      </w:pPr>
      <w:r>
        <w:rPr>
          <w:rFonts w:ascii="Arial" w:cs="Arial" w:eastAsia="Arial" w:hAnsi="Arial"/>
          <w:sz w:val="20"/>
          <w:szCs w:val="20"/>
          <w:color w:val="auto"/>
        </w:rPr>
        <w:t>Swingline Lender;</w:t>
      </w:r>
    </w:p>
    <w:p>
      <w:pPr>
        <w:spacing w:after="0" w:line="159" w:lineRule="exact"/>
        <w:rPr>
          <w:rFonts w:ascii="Arial" w:cs="Arial" w:eastAsia="Arial" w:hAnsi="Arial"/>
          <w:sz w:val="19"/>
          <w:szCs w:val="19"/>
          <w:color w:val="auto"/>
        </w:rPr>
      </w:pPr>
    </w:p>
    <w:p>
      <w:pPr>
        <w:ind w:left="2580" w:hanging="628"/>
        <w:spacing w:after="0"/>
        <w:tabs>
          <w:tab w:leader="none" w:pos="25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Guarantee and Collateral Agreement, executed and delivered by the Administrative Agent and each Loan</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Party;</w:t>
      </w:r>
    </w:p>
    <w:p>
      <w:pPr>
        <w:spacing w:after="0" w:line="159" w:lineRule="exact"/>
        <w:rPr>
          <w:rFonts w:ascii="Arial" w:cs="Arial" w:eastAsia="Arial" w:hAnsi="Arial"/>
          <w:sz w:val="16"/>
          <w:szCs w:val="16"/>
          <w:color w:val="auto"/>
        </w:rPr>
      </w:pPr>
    </w:p>
    <w:p>
      <w:pPr>
        <w:ind w:left="2580" w:hanging="628"/>
        <w:spacing w:after="0"/>
        <w:tabs>
          <w:tab w:leader="none" w:pos="25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supplements to each Intellectual Property Security Agreement, executed by the applicable Loan Party related</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thereto.</w:t>
      </w:r>
    </w:p>
    <w:p>
      <w:pPr>
        <w:spacing w:after="0" w:line="159" w:lineRule="exact"/>
        <w:rPr>
          <w:rFonts w:ascii="Arial" w:cs="Arial" w:eastAsia="Arial" w:hAnsi="Arial"/>
          <w:sz w:val="16"/>
          <w:szCs w:val="16"/>
          <w:color w:val="auto"/>
        </w:rPr>
      </w:pPr>
    </w:p>
    <w:p>
      <w:pPr>
        <w:ind w:left="1940" w:hanging="636"/>
        <w:spacing w:after="0"/>
        <w:tabs>
          <w:tab w:leader="none" w:pos="1940"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241"/>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Except for the Governmental Approvals described on Schedule </w:t>
      </w:r>
      <w:r>
        <w:rPr>
          <w:rFonts w:ascii="Arial" w:cs="Arial" w:eastAsia="Arial" w:hAnsi="Arial"/>
          <w:sz w:val="20"/>
          <w:szCs w:val="20"/>
          <w:u w:val="single" w:color="auto"/>
          <w:color w:val="auto"/>
        </w:rPr>
        <w:t>4.4</w:t>
      </w:r>
      <w:r>
        <w:rPr>
          <w:rFonts w:ascii="Arial" w:cs="Arial" w:eastAsia="Arial" w:hAnsi="Arial"/>
          <w:sz w:val="20"/>
          <w:szCs w:val="20"/>
          <w:color w:val="auto"/>
        </w:rPr>
        <w:t xml:space="preserve"> to the Disclosure Letter, all Governmental Approvals and consents and approvals of, or notices to, any other Person (including the holders of any Capital Stock issued by any Loan Party) required in connection with the execution and performance of the Loan Documents, and the consummation of the transactions contemplated hereby, shall have been obtained and be in full force and effect.</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Secretary’s or Managing Member’s Certificates; Certified Operating Documents; Good Standing Certificates.</w:t>
      </w:r>
      <w:r>
        <w:rPr>
          <w:rFonts w:ascii="Arial" w:cs="Arial" w:eastAsia="Arial" w:hAnsi="Arial"/>
          <w:sz w:val="19"/>
          <w:szCs w:val="19"/>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good standing certificate for each Loan Party from its respective jurisdiction of organization, and (iii) certificates for foreign qualification from each jurisdiction where the failure of a Loan Party to be qualified could reasonably be expected to have a Material Adverse Effect.</w:t>
      </w:r>
    </w:p>
    <w:p>
      <w:pPr>
        <w:spacing w:after="0" w:line="162" w:lineRule="exact"/>
        <w:rPr>
          <w:rFonts w:ascii="Arial" w:cs="Arial" w:eastAsia="Arial" w:hAnsi="Arial"/>
          <w:sz w:val="19"/>
          <w:szCs w:val="19"/>
          <w:color w:val="auto"/>
        </w:rPr>
      </w:pPr>
    </w:p>
    <w:p>
      <w:pPr>
        <w:jc w:val="both"/>
        <w:ind w:firstLine="1304"/>
        <w:spacing w:after="0" w:line="244" w:lineRule="auto"/>
        <w:tabs>
          <w:tab w:leader="none" w:pos="193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Responsible Officer’s Certificates</w:t>
      </w:r>
      <w:r>
        <w:rPr>
          <w:rFonts w:ascii="Arial" w:cs="Arial" w:eastAsia="Arial" w:hAnsi="Arial"/>
          <w:sz w:val="18"/>
          <w:szCs w:val="18"/>
          <w:color w:val="auto"/>
        </w:rPr>
        <w:t xml:space="preserve">. The Administrative Agent shall have received a certificate signed by a Responsible Officer of Holdings, dated as of the Closing Date and in form and substance reasonably satisfactory to it, certifying (A) that the conditions specified in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have been satisfied, and (B) that there has been no event or circumstance since January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380" w:right="339" w:bottom="1440" w:gutter="0" w:footer="0" w:header="0"/>
        </w:sectPr>
      </w:pPr>
    </w:p>
    <w:bookmarkStart w:id="289" w:name="page290"/>
    <w:bookmarkEnd w:id="289"/>
    <w:p>
      <w:pPr>
        <w:spacing w:after="0"/>
        <w:rPr>
          <w:sz w:val="20"/>
          <w:szCs w:val="20"/>
          <w:color w:val="auto"/>
        </w:rPr>
      </w:pPr>
      <w:r>
        <w:rPr>
          <w:rFonts w:ascii="Arial" w:cs="Arial" w:eastAsia="Arial" w:hAnsi="Arial"/>
          <w:sz w:val="19"/>
          <w:szCs w:val="19"/>
          <w:color w:val="auto"/>
        </w:rPr>
        <w:t>2020, that has had or that could reasonably be expected to have, either individually or in the aggregate, a Material Adverse Effect.</w:t>
      </w:r>
    </w:p>
    <w:p>
      <w:pPr>
        <w:spacing w:after="0" w:line="187" w:lineRule="exact"/>
        <w:rPr>
          <w:sz w:val="20"/>
          <w:szCs w:val="20"/>
          <w:color w:val="auto"/>
        </w:rPr>
      </w:pPr>
    </w:p>
    <w:p>
      <w:pPr>
        <w:jc w:val="both"/>
        <w:ind w:firstLine="1304"/>
        <w:spacing w:after="0" w:line="236" w:lineRule="auto"/>
        <w:tabs>
          <w:tab w:leader="none" w:pos="1939"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xml:space="preserve"> The Administrative Agent and each Lender shall have received, to the extent requested five (5) Business Days prior to the Closing Date, all documentation and other information requested to comply with applicable “know your customer” and anti-money-laundering rules and regulations, including the Patriot Act and the Beneficial Ownership Regulation (including the Beneficial Ownership Certificate), and a properly completed and signed IRS Form W-8 or W-9, as applicable, for each Loan Party.</w:t>
      </w:r>
    </w:p>
    <w:p>
      <w:pPr>
        <w:spacing w:after="0" w:line="157"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Existing Obligations</w:t>
      </w:r>
      <w:r>
        <w:rPr>
          <w:rFonts w:ascii="Arial" w:cs="Arial" w:eastAsia="Arial" w:hAnsi="Arial"/>
          <w:sz w:val="20"/>
          <w:szCs w:val="20"/>
          <w:color w:val="auto"/>
        </w:rPr>
        <w:t>. The Borrower shall have repaid in respect of the Existing Revolving Loans and obligations under the Existing Credit Agreement, (i) all accrued and unpaid interest thereon, (ii) the accrued and unpaid Commitment Fee and (ii) the accrued and unpaid Letter of Credit Fees.</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Collateral Matters.</w:t>
      </w:r>
    </w:p>
    <w:p>
      <w:pPr>
        <w:spacing w:after="0" w:line="175" w:lineRule="exact"/>
        <w:rPr>
          <w:rFonts w:ascii="Arial" w:cs="Arial" w:eastAsia="Arial" w:hAnsi="Arial"/>
          <w:sz w:val="20"/>
          <w:szCs w:val="20"/>
          <w:color w:val="auto"/>
        </w:rPr>
      </w:pPr>
    </w:p>
    <w:p>
      <w:pPr>
        <w:jc w:val="both"/>
        <w:ind w:firstLine="1952"/>
        <w:spacing w:after="0" w:line="244" w:lineRule="auto"/>
        <w:tabs>
          <w:tab w:leader="none" w:pos="2590"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xml:space="preserve">. The Administrative Agent shall have received the results of recent lien, judgment and litigation searches in each of the jurisdictions reasonably required by the Administrative Agent, and such searches shall reveal no liens on any of the assets of the Loan Parties except for Liens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or Liens to be discharged on or prior to the Closing Date.</w:t>
      </w:r>
    </w:p>
    <w:p>
      <w:pPr>
        <w:spacing w:after="0" w:line="151" w:lineRule="exact"/>
        <w:rPr>
          <w:rFonts w:ascii="Arial" w:cs="Arial" w:eastAsia="Arial" w:hAnsi="Arial"/>
          <w:sz w:val="18"/>
          <w:szCs w:val="18"/>
          <w:color w:val="auto"/>
        </w:rPr>
      </w:pPr>
    </w:p>
    <w:p>
      <w:pPr>
        <w:jc w:val="both"/>
        <w:ind w:firstLine="1952"/>
        <w:spacing w:after="0" w:line="207" w:lineRule="auto"/>
        <w:tabs>
          <w:tab w:leader="none" w:pos="2591"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Pledged Stock; Stock Powers; Pledged Notes</w:t>
      </w:r>
      <w:r>
        <w:rPr>
          <w:rFonts w:ascii="Arial" w:cs="Arial" w:eastAsia="Arial" w:hAnsi="Arial"/>
          <w:sz w:val="20"/>
          <w:szCs w:val="20"/>
          <w:color w:val="auto"/>
        </w:rPr>
        <w:t>. The Administrative Agent shall have received (A) the certificates representing the shares of Capital Stock pledged to the Administrative Agent (for the benefit of the Secured Parties) pursuant to the Guarantee and Collateral Agreement, together with an undated stock power for each such certificate executed in blank by a duly authorized officer of the pledgor thereof, and (B) each promissory note (if any) pledged to the Administrative Agent (for the benefit of the Secured Parties) pursuant to the Guarantee and Collateral Agreement, endorsed (without recourse) in blank (or accompanied by an executed transfer form in blank) by the pledgor thereof.</w:t>
      </w:r>
    </w:p>
    <w:p>
      <w:pPr>
        <w:spacing w:after="0" w:line="159" w:lineRule="exact"/>
        <w:rPr>
          <w:rFonts w:ascii="Arial" w:cs="Arial" w:eastAsia="Arial" w:hAnsi="Arial"/>
          <w:sz w:val="20"/>
          <w:szCs w:val="20"/>
          <w:color w:val="auto"/>
        </w:rPr>
      </w:pPr>
    </w:p>
    <w:p>
      <w:pPr>
        <w:jc w:val="both"/>
        <w:ind w:firstLine="1952"/>
        <w:spacing w:after="0" w:line="207" w:lineRule="auto"/>
        <w:tabs>
          <w:tab w:leader="none" w:pos="2592" w:val="left"/>
        </w:tabs>
        <w:numPr>
          <w:ilvl w:val="1"/>
          <w:numId w:val="242"/>
        </w:numPr>
        <w:rPr>
          <w:rFonts w:ascii="Arial" w:cs="Arial" w:eastAsia="Arial" w:hAnsi="Arial"/>
          <w:sz w:val="20"/>
          <w:szCs w:val="20"/>
          <w:color w:val="auto"/>
        </w:rPr>
      </w:pPr>
      <w:r>
        <w:rPr>
          <w:rFonts w:ascii="Arial" w:cs="Arial" w:eastAsia="Arial" w:hAnsi="Arial"/>
          <w:sz w:val="20"/>
          <w:szCs w:val="20"/>
          <w:u w:val="single" w:color="auto"/>
          <w:color w:val="auto"/>
        </w:rPr>
        <w:t>Filings, Registrations, Recordings, Agreements, Etc.</w:t>
      </w:r>
      <w:r>
        <w:rPr>
          <w:rFonts w:ascii="Arial" w:cs="Arial" w:eastAsia="Arial" w:hAnsi="Arial"/>
          <w:sz w:val="20"/>
          <w:szCs w:val="20"/>
          <w:color w:val="auto"/>
        </w:rPr>
        <w:t xml:space="preserve"> Each document (including any UCC financing statements)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 shall have been executed and delivered to the Administrative Agent or, as applicable, be in proper form for filing, registration or recordation.</w:t>
      </w:r>
    </w:p>
    <w:p>
      <w:pPr>
        <w:spacing w:after="0" w:line="159"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Except as set forth in </w:t>
      </w:r>
      <w:r>
        <w:rPr>
          <w:rFonts w:ascii="Arial" w:cs="Arial" w:eastAsia="Arial" w:hAnsi="Arial"/>
          <w:sz w:val="20"/>
          <w:szCs w:val="20"/>
          <w:u w:val="single" w:color="auto"/>
          <w:color w:val="auto"/>
        </w:rPr>
        <w:t>Section 5.3</w:t>
      </w:r>
      <w:r>
        <w:rPr>
          <w:rFonts w:ascii="Arial" w:cs="Arial" w:eastAsia="Arial" w:hAnsi="Arial"/>
          <w:sz w:val="20"/>
          <w:szCs w:val="20"/>
          <w:color w:val="auto"/>
        </w:rPr>
        <w:t>, the Administrative Agent shall have received evidence of customary insurance naming the Administrative Agent as an additional insured and/or lender loss payee, as the case may be, under all property and liability insurance policies maintained with respect to the Collateral.</w:t>
      </w:r>
    </w:p>
    <w:p>
      <w:pPr>
        <w:spacing w:after="0" w:line="156" w:lineRule="exact"/>
        <w:rPr>
          <w:rFonts w:ascii="Arial" w:cs="Arial" w:eastAsia="Arial" w:hAnsi="Arial"/>
          <w:sz w:val="20"/>
          <w:szCs w:val="20"/>
          <w:color w:val="auto"/>
        </w:rPr>
      </w:pPr>
    </w:p>
    <w:p>
      <w:pPr>
        <w:jc w:val="both"/>
        <w:ind w:firstLine="1304"/>
        <w:spacing w:after="0" w:line="224" w:lineRule="auto"/>
        <w:tabs>
          <w:tab w:leader="none" w:pos="1942"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The Lenders and the Administrative Agent shall have received all fees required to be paid on or prior to the Closing Date (including pursuant to the Fee Letter), and all reasonable and documented fees and expenses of the Administrative Agent for which invoices have been presented at least one Business Day prior to the Closing Date (including the reasonable and documented fees and expenses of legal counsel to the Administrative Agent) for payment on or before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05" w:right="339" w:bottom="1440" w:gutter="0" w:footer="0" w:header="0"/>
        </w:sectPr>
      </w:pPr>
    </w:p>
    <w:bookmarkStart w:id="290" w:name="page291"/>
    <w:bookmarkEnd w:id="290"/>
    <w:p>
      <w:pPr>
        <w:ind w:firstLine="1304"/>
        <w:spacing w:after="0" w:line="229" w:lineRule="auto"/>
        <w:tabs>
          <w:tab w:leader="none" w:pos="1933"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executed legal opinion of Davis Polk &amp; Wardwell LLP, counsel to the Loan Parties, in form and substance reasonably satisfactory to the Administrative Agent.</w:t>
      </w:r>
    </w:p>
    <w:p>
      <w:pPr>
        <w:spacing w:after="0" w:line="149" w:lineRule="exact"/>
        <w:rPr>
          <w:rFonts w:ascii="Arial" w:cs="Arial" w:eastAsia="Arial" w:hAnsi="Arial"/>
          <w:sz w:val="20"/>
          <w:szCs w:val="20"/>
          <w:color w:val="auto"/>
        </w:rPr>
      </w:pPr>
    </w:p>
    <w:p>
      <w:pPr>
        <w:jc w:val="both"/>
        <w:ind w:right="20" w:firstLine="1304"/>
        <w:spacing w:after="0" w:line="276" w:lineRule="auto"/>
        <w:tabs>
          <w:tab w:leader="none" w:pos="193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Borrowing Notices</w:t>
      </w:r>
      <w:r>
        <w:rPr>
          <w:rFonts w:ascii="Arial" w:cs="Arial" w:eastAsia="Arial" w:hAnsi="Arial"/>
          <w:sz w:val="18"/>
          <w:szCs w:val="18"/>
          <w:b w:val="1"/>
          <w:bCs w:val="1"/>
          <w:color w:val="auto"/>
        </w:rPr>
        <w:t>.</w:t>
      </w:r>
      <w:r>
        <w:rPr>
          <w:rFonts w:ascii="Arial" w:cs="Arial" w:eastAsia="Arial" w:hAnsi="Arial"/>
          <w:sz w:val="18"/>
          <w:szCs w:val="18"/>
          <w:color w:val="auto"/>
        </w:rPr>
        <w:t xml:space="preserve"> The Administrative Agent shall have received, in respect of any Revolving Loans to be made on the Closing Date, a completed Notice of Borrowing executed by the Borrower and otherwise complying with the requirements of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ind w:firstLine="1304"/>
        <w:spacing w:after="0" w:line="229" w:lineRule="auto"/>
        <w:tabs>
          <w:tab w:leader="none" w:pos="1932"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Solvency Certificate from the chief financial officer or treasurer of Holdings.</w:t>
      </w:r>
    </w:p>
    <w:p>
      <w:pPr>
        <w:spacing w:after="0" w:line="155" w:lineRule="exact"/>
        <w:rPr>
          <w:rFonts w:ascii="Arial" w:cs="Arial" w:eastAsia="Arial" w:hAnsi="Arial"/>
          <w:sz w:val="20"/>
          <w:szCs w:val="20"/>
          <w:color w:val="auto"/>
        </w:rPr>
      </w:pPr>
    </w:p>
    <w:p>
      <w:pPr>
        <w:ind w:right="20" w:firstLine="1304"/>
        <w:spacing w:after="0" w:line="229" w:lineRule="auto"/>
        <w:tabs>
          <w:tab w:leader="none" w:pos="1932"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There shall not have occurred since January 31, 2020, any event or condition that has had or could be reasonably expected to have, individually or in the aggregate, a Material Adverse Effect.</w:t>
      </w:r>
    </w:p>
    <w:p>
      <w:pPr>
        <w:spacing w:after="0" w:line="155" w:lineRule="exact"/>
        <w:rPr>
          <w:rFonts w:ascii="Arial" w:cs="Arial" w:eastAsia="Arial" w:hAnsi="Arial"/>
          <w:sz w:val="20"/>
          <w:szCs w:val="20"/>
          <w:color w:val="auto"/>
        </w:rPr>
      </w:pPr>
    </w:p>
    <w:p>
      <w:pPr>
        <w:ind w:firstLine="1304"/>
        <w:spacing w:after="0" w:line="269" w:lineRule="auto"/>
        <w:tabs>
          <w:tab w:leader="none" w:pos="193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No litigation, investigation or proceeding of or before any arbitrator or Governmental Authority is pending or, to the knowledge of any Group Member, threatened, that could reasonably be expected to have a Material Adverse Effect.</w:t>
      </w:r>
    </w:p>
    <w:p>
      <w:pPr>
        <w:spacing w:after="0" w:line="130"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Revolving Percentage of such requested extension of credit.</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b w:val="1"/>
          <w:bCs w:val="1"/>
          <w:color w:val="auto"/>
        </w:rPr>
        <w:t>5.2 Conditions to Each Extension of Credit</w:t>
      </w:r>
      <w:r>
        <w:rPr>
          <w:rFonts w:ascii="Arial" w:cs="Arial" w:eastAsia="Arial" w:hAnsi="Arial"/>
          <w:sz w:val="19"/>
          <w:szCs w:val="19"/>
          <w:color w:val="auto"/>
        </w:rPr>
        <w:t>. The agreement of each Lender to make any extension of credit requested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made by it on any date (including its initial extension of credit, but excluding any Revolving Loan Conversion and any conversion or continuation of Loans pursuant to Section 2.13) is subject to the satisfaction of the following conditions precedent:</w:t>
      </w:r>
    </w:p>
    <w:p>
      <w:pPr>
        <w:spacing w:after="0" w:line="155" w:lineRule="exact"/>
        <w:rPr>
          <w:sz w:val="20"/>
          <w:szCs w:val="20"/>
          <w:color w:val="auto"/>
        </w:rPr>
      </w:pPr>
    </w:p>
    <w:p>
      <w:pPr>
        <w:jc w:val="both"/>
        <w:ind w:firstLine="1304"/>
        <w:spacing w:after="0" w:line="221" w:lineRule="auto"/>
        <w:tabs>
          <w:tab w:leader="none" w:pos="1934"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as of such earlier date, subject to the limitations set forth in </w:t>
      </w:r>
      <w:r>
        <w:rPr>
          <w:rFonts w:ascii="Arial" w:cs="Arial" w:eastAsia="Arial" w:hAnsi="Arial"/>
          <w:sz w:val="19"/>
          <w:szCs w:val="19"/>
          <w:u w:val="single" w:color="auto"/>
          <w:color w:val="auto"/>
        </w:rPr>
        <w:t>Section 2.27</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firstLine="1304"/>
        <w:spacing w:after="0" w:line="229" w:lineRule="auto"/>
        <w:tabs>
          <w:tab w:leader="none" w:pos="1932"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With respect to any requests for any Revolving Extensions of Credit, after giving effect to such Revolving Extension of Credit, the availability and borrowing limitations specified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be complied with.</w:t>
      </w:r>
    </w:p>
    <w:p>
      <w:pPr>
        <w:spacing w:after="0" w:line="155" w:lineRule="exact"/>
        <w:rPr>
          <w:rFonts w:ascii="Arial" w:cs="Arial" w:eastAsia="Arial" w:hAnsi="Arial"/>
          <w:sz w:val="20"/>
          <w:szCs w:val="20"/>
          <w:color w:val="auto"/>
        </w:rPr>
      </w:pPr>
    </w:p>
    <w:p>
      <w:pPr>
        <w:ind w:firstLine="1304"/>
        <w:spacing w:after="0" w:line="229" w:lineRule="auto"/>
        <w:tabs>
          <w:tab w:leader="none" w:pos="1934" w:val="left"/>
        </w:tabs>
        <w:numPr>
          <w:ilvl w:val="0"/>
          <w:numId w:val="244"/>
        </w:numPr>
        <w:rPr>
          <w:rFonts w:ascii="Arial" w:cs="Arial" w:eastAsia="Arial" w:hAnsi="Arial"/>
          <w:sz w:val="20"/>
          <w:szCs w:val="20"/>
          <w:color w:val="auto"/>
        </w:rPr>
      </w:pPr>
      <w:r>
        <w:rPr>
          <w:rFonts w:ascii="Arial" w:cs="Arial" w:eastAsia="Arial" w:hAnsi="Arial"/>
          <w:sz w:val="20"/>
          <w:szCs w:val="20"/>
          <w:u w:val="single" w:color="auto"/>
          <w:color w:val="auto"/>
        </w:rPr>
        <w:t>Notices of Borrowing.</w:t>
      </w:r>
      <w:r>
        <w:rPr>
          <w:rFonts w:ascii="Arial" w:cs="Arial" w:eastAsia="Arial" w:hAnsi="Arial"/>
          <w:sz w:val="20"/>
          <w:szCs w:val="20"/>
          <w:color w:val="auto"/>
        </w:rPr>
        <w:t xml:space="preserve"> The Administrative Agent shall have received a Notice of Borrowing in connection with any such request for extension of credit which complies with the requirements hereof.</w:t>
      </w:r>
    </w:p>
    <w:p>
      <w:pPr>
        <w:spacing w:after="0" w:line="155" w:lineRule="exact"/>
        <w:rPr>
          <w:rFonts w:ascii="Arial" w:cs="Arial" w:eastAsia="Arial" w:hAnsi="Arial"/>
          <w:sz w:val="20"/>
          <w:szCs w:val="20"/>
          <w:color w:val="auto"/>
        </w:rPr>
      </w:pPr>
    </w:p>
    <w:p>
      <w:pPr>
        <w:jc w:val="both"/>
        <w:ind w:firstLine="1304"/>
        <w:spacing w:after="0" w:line="224" w:lineRule="auto"/>
        <w:tabs>
          <w:tab w:leader="none" w:pos="1932"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xml:space="preserve"> No Default or Event of Default shall have occurred and be continuing as of or on such date or after giving effect to the extensions of credit requested to be made on such date (other than in connection with Limited Condition Acquisitions as set forth in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in which case there shall be no Default or Event of Default as of the LCA Test Date and no Event of Default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on the date of or after giving effect to such requested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05" w:right="339" w:bottom="1440" w:gutter="0" w:footer="0" w:header="0"/>
        </w:sectPr>
      </w:pPr>
    </w:p>
    <w:bookmarkStart w:id="291" w:name="page292"/>
    <w:bookmarkEnd w:id="291"/>
    <w:p>
      <w:pPr>
        <w:jc w:val="both"/>
        <w:ind w:firstLine="648"/>
        <w:spacing w:after="0" w:line="218" w:lineRule="auto"/>
        <w:rPr>
          <w:sz w:val="20"/>
          <w:szCs w:val="20"/>
          <w:color w:val="auto"/>
        </w:rPr>
      </w:pPr>
      <w:r>
        <w:rPr>
          <w:rFonts w:ascii="Arial" w:cs="Arial" w:eastAsia="Arial" w:hAnsi="Arial"/>
          <w:sz w:val="20"/>
          <w:szCs w:val="20"/>
          <w:color w:val="auto"/>
        </w:rPr>
        <w:t xml:space="preserve">Each borrowing by and issuance of a Letter of Credit on behalf of the Borrower hereunder and each Revolving Loan Conversion shall constitute a representation and warranty by the Borrower as of the date of such extension of credit, or Revolving Loan Conversion, as applicable, that the conditions contained in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have been satisfied.</w:t>
      </w:r>
    </w:p>
    <w:p>
      <w:pPr>
        <w:spacing w:after="0" w:line="15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 xml:space="preserve">5.3 Post-Closing Conditions </w:t>
      </w:r>
      <w:r>
        <w:rPr>
          <w:rFonts w:ascii="Arial" w:cs="Arial" w:eastAsia="Arial" w:hAnsi="Arial"/>
          <w:sz w:val="20"/>
          <w:szCs w:val="20"/>
          <w:color w:val="auto"/>
        </w:rPr>
        <w:t>. The Borrower shall satisfy each of the conditions subsequent to the Closing Date specified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5.3</w:t>
      </w:r>
      <w:r>
        <w:rPr>
          <w:rFonts w:ascii="Arial" w:cs="Arial" w:eastAsia="Arial" w:hAnsi="Arial"/>
          <w:sz w:val="20"/>
          <w:szCs w:val="20"/>
          <w:color w:val="auto"/>
        </w:rPr>
        <w:t xml:space="preserve"> to the reasonable satisfaction of the Administrative Agent, in each case, by no later than the date specified for such condition below (or such later date as the Administrative Agent shall agree in its sole discretion):</w:t>
      </w:r>
    </w:p>
    <w:p>
      <w:pPr>
        <w:spacing w:after="0" w:line="157" w:lineRule="exact"/>
        <w:rPr>
          <w:sz w:val="20"/>
          <w:szCs w:val="20"/>
          <w:color w:val="auto"/>
        </w:rPr>
      </w:pPr>
    </w:p>
    <w:p>
      <w:pPr>
        <w:jc w:val="both"/>
        <w:ind w:firstLine="1304"/>
        <w:spacing w:after="0" w:line="244" w:lineRule="auto"/>
        <w:tabs>
          <w:tab w:leader="none" w:pos="193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within 30 days after the Closing Date, the Administrative Agent shall have received evidence of customary insurance naming the Administrative Agent as an additional insured and/or lender loss payee, as the case may be, under all property and liability insurance policies maintained with respect to the Collateral, in form and substance reasonably satisfactory to the Administrative Agent; and</w:t>
      </w:r>
    </w:p>
    <w:p>
      <w:pPr>
        <w:spacing w:after="0" w:line="151"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within 60 days after the Closing Date, the Administrative Agent shall have received Control Agreements with respect to all Deposit Accounts and Securities Accounts to the extent necessary to comply with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and the Guarantee and Collateral Agreement.</w:t>
      </w:r>
    </w:p>
    <w:p>
      <w:pPr>
        <w:spacing w:after="0" w:line="131"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6</w:t>
      </w:r>
    </w:p>
    <w:p>
      <w:pPr>
        <w:ind w:left="4280"/>
        <w:spacing w:after="0"/>
        <w:rPr>
          <w:sz w:val="20"/>
          <w:szCs w:val="20"/>
          <w:color w:val="auto"/>
        </w:rPr>
      </w:pPr>
      <w:r>
        <w:rPr>
          <w:rFonts w:ascii="Arial" w:cs="Arial" w:eastAsia="Arial" w:hAnsi="Arial"/>
          <w:sz w:val="20"/>
          <w:szCs w:val="20"/>
          <w:b w:val="1"/>
          <w:bCs w:val="1"/>
          <w:color w:val="auto"/>
        </w:rPr>
        <w:t>AFFIRMATIVE COVENANTS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Holdings and the Borrower hereby jointly and severally agree that, at all times prior to the Discharge of Obligations, each of the</w:t>
      </w:r>
    </w:p>
    <w:p>
      <w:pPr>
        <w:spacing w:after="0"/>
        <w:rPr>
          <w:sz w:val="20"/>
          <w:szCs w:val="20"/>
          <w:color w:val="auto"/>
        </w:rPr>
      </w:pPr>
      <w:r>
        <w:rPr>
          <w:rFonts w:ascii="Arial" w:cs="Arial" w:eastAsia="Arial" w:hAnsi="Arial"/>
          <w:sz w:val="20"/>
          <w:szCs w:val="20"/>
          <w:color w:val="auto"/>
        </w:rPr>
        <w:t>Loan Parties shall, and, where applicable, shall cause each of its Subsidiaries to:</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Financial Statements</w:t>
      </w:r>
      <w:r>
        <w:rPr>
          <w:rFonts w:ascii="Arial" w:cs="Arial" w:eastAsia="Arial" w:hAnsi="Arial"/>
          <w:sz w:val="18"/>
          <w:szCs w:val="18"/>
          <w:color w:val="auto"/>
        </w:rPr>
        <w:t>. Furnish to the Administrative Agent for distribution to each Lender:</w:t>
      </w:r>
    </w:p>
    <w:p>
      <w:pPr>
        <w:spacing w:after="0" w:line="181" w:lineRule="exact"/>
        <w:rPr>
          <w:sz w:val="20"/>
          <w:szCs w:val="20"/>
          <w:color w:val="auto"/>
        </w:rPr>
      </w:pPr>
    </w:p>
    <w:p>
      <w:pPr>
        <w:jc w:val="both"/>
        <w:ind w:firstLine="1304"/>
        <w:spacing w:after="0" w:line="216" w:lineRule="auto"/>
        <w:tabs>
          <w:tab w:leader="none" w:pos="193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as soon as available, but in any event within (i) 90 days after the end of each fiscal year of Holdings or (ii) if Holdings has been granted an extension by the SEC with respect to any fiscal year of Holdings permitting the late filing by Holdings of any annual report on form 10-K, the earlier of (x) 90 days after the end of such fiscal year of Holdings and (y) the last day of such extension period, a copy of the audited consolidated balance sheet of Holdings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by PricewaterhouseCoopers LLP or other independent certified public accountants of nationally recognized standing and reasonably acceptable to the Administrative Agent; and</w:t>
      </w:r>
    </w:p>
    <w:p>
      <w:pPr>
        <w:spacing w:after="0" w:line="154" w:lineRule="exact"/>
        <w:rPr>
          <w:rFonts w:ascii="Arial" w:cs="Arial" w:eastAsia="Arial" w:hAnsi="Arial"/>
          <w:sz w:val="19"/>
          <w:szCs w:val="19"/>
          <w:color w:val="auto"/>
        </w:rPr>
      </w:pPr>
    </w:p>
    <w:p>
      <w:pPr>
        <w:jc w:val="both"/>
        <w:ind w:firstLine="1304"/>
        <w:spacing w:after="0" w:line="205" w:lineRule="auto"/>
        <w:tabs>
          <w:tab w:leader="none" w:pos="1932" w:val="left"/>
        </w:tabs>
        <w:numPr>
          <w:ilvl w:val="0"/>
          <w:numId w:val="246"/>
        </w:numPr>
        <w:rPr>
          <w:rFonts w:ascii="Arial" w:cs="Arial" w:eastAsia="Arial" w:hAnsi="Arial"/>
          <w:sz w:val="20"/>
          <w:szCs w:val="20"/>
          <w:color w:val="auto"/>
        </w:rPr>
      </w:pPr>
      <w:r>
        <w:rPr>
          <w:rFonts w:ascii="Arial" w:cs="Arial" w:eastAsia="Arial" w:hAnsi="Arial"/>
          <w:sz w:val="20"/>
          <w:szCs w:val="20"/>
          <w:color w:val="auto"/>
        </w:rPr>
        <w:t>as soon as available, but in any event within (i) 45 days after the end of each of the first three quarters occurring during each fiscal year of Holdings or (ii) if Holdings has been granted an extension by the SEC with respect to any fiscal quarter of Holdings permitting the late filing by Holdings of any quarterly report on form 10-Q, the earlier of (x) 45 days after the end of such fiscal quarter of Holdings and (y) the last day of such extension period, the unaudited consolidated balance sheet of Holdings and its consolidated Subsidiaries as at the end of such quarter and the related unaudited consolidated statements of income and of cash flows for such month and the trailing 12 months, setting forth in each case in comparative form the figures for the previous year, certified by a Responsible Officer of Holdings as being fairly stated in all material respects (subject to normal year-end audit adjustments and the absence of year-end audit footnotes).</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05" w:right="339" w:bottom="1440" w:gutter="0" w:footer="0" w:header="0"/>
        </w:sectPr>
      </w:pPr>
    </w:p>
    <w:bookmarkStart w:id="292" w:name="page293"/>
    <w:bookmarkEnd w:id="292"/>
    <w:p>
      <w:pPr>
        <w:jc w:val="both"/>
        <w:spacing w:after="0" w:line="213" w:lineRule="auto"/>
        <w:rPr>
          <w:sz w:val="20"/>
          <w:szCs w:val="20"/>
          <w:color w:val="auto"/>
        </w:rPr>
      </w:pPr>
      <w:r>
        <w:rPr>
          <w:rFonts w:ascii="Arial" w:cs="Arial" w:eastAsia="Arial" w:hAnsi="Arial"/>
          <w:sz w:val="19"/>
          <w:szCs w:val="19"/>
          <w:color w:val="auto"/>
        </w:rPr>
        <w:t xml:space="preserve">Additionally, documents required to be delivered pursuant to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6.2(e)</w:t>
      </w:r>
      <w:r>
        <w:rPr>
          <w:rFonts w:ascii="Arial" w:cs="Arial" w:eastAsia="Arial" w:hAnsi="Arial"/>
          <w:sz w:val="19"/>
          <w:szCs w:val="19"/>
          <w:color w:val="auto"/>
        </w:rPr>
        <w:t xml:space="preserve"> (to the extent any such documents are included in materials otherwise filed with the SEC) may be delivered electronically and if so, shall be deemed to have been delivered on the date on which the Borrower posts such documents, or provides a link thereto, either: (i) on the Borrower’s website on the Internet at the website address listed in </w:t>
      </w:r>
      <w:r>
        <w:rPr>
          <w:rFonts w:ascii="Arial" w:cs="Arial" w:eastAsia="Arial" w:hAnsi="Arial"/>
          <w:sz w:val="19"/>
          <w:szCs w:val="19"/>
          <w:u w:val="single" w:color="auto"/>
          <w:color w:val="auto"/>
        </w:rPr>
        <w:t>Section 10.2</w:t>
      </w:r>
      <w:r>
        <w:rPr>
          <w:rFonts w:ascii="Arial" w:cs="Arial" w:eastAsia="Arial" w:hAnsi="Arial"/>
          <w:sz w:val="19"/>
          <w:szCs w:val="19"/>
          <w:color w:val="auto"/>
        </w:rPr>
        <w:t>; or (ii) when such documents are posted electronically on the Borrower’s behalf on an internet or intranet website to which each Lender and the Administrative Agent have access (whether a commercial, third-party website or whether sponsored by the Administrative Agent), if any; provided that the Borrower shall deliver paper copies of such documents to the Administrative Agent or any Lender upon its request to the Borrower to deliver such paper copies until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5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b w:val="1"/>
          <w:bCs w:val="1"/>
          <w:color w:val="auto"/>
        </w:rPr>
        <w:t>6.2 Certificates; Reports; Other Information</w:t>
      </w:r>
      <w:r>
        <w:rPr>
          <w:rFonts w:ascii="Arial" w:cs="Arial" w:eastAsia="Arial" w:hAnsi="Arial"/>
          <w:sz w:val="19"/>
          <w:szCs w:val="19"/>
          <w:color w:val="auto"/>
        </w:rPr>
        <w:t>. Furnish (or, in the case of clause (a), use commercially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furnish) to the Administrative Agent, for distribution to each Lender (or, in the case of clause (g), to the relevant Lender):</w:t>
      </w:r>
    </w:p>
    <w:p>
      <w:pPr>
        <w:spacing w:after="0" w:line="147" w:lineRule="exact"/>
        <w:rPr>
          <w:sz w:val="20"/>
          <w:szCs w:val="20"/>
          <w:color w:val="auto"/>
        </w:rPr>
      </w:pPr>
    </w:p>
    <w:p>
      <w:pPr>
        <w:ind w:left="1940" w:hanging="636"/>
        <w:spacing w:after="0"/>
        <w:tabs>
          <w:tab w:leader="none" w:pos="19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304"/>
        <w:spacing w:after="0" w:line="215" w:lineRule="auto"/>
        <w:tabs>
          <w:tab w:leader="none" w:pos="193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any financial statements pursuant to (i)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(x) a Compliance Certificate containing all information and calculations necessary for determining compliance by each Loan Party with the provisions of this Agreement referred to therein as of the last day of the applicable fiscal period of Holdings and (y) to the extent not previously disclosed to the Administrative Agent, a description of any change in the jurisdiction of organization of any Loan Party, and (ii) </w:t>
      </w:r>
      <w:r>
        <w:rPr>
          <w:rFonts w:ascii="Arial" w:cs="Arial" w:eastAsia="Arial" w:hAnsi="Arial"/>
          <w:sz w:val="19"/>
          <w:szCs w:val="19"/>
          <w:u w:val="single" w:color="auto"/>
          <w:color w:val="auto"/>
        </w:rPr>
        <w:t>Section 6.1(a)</w:t>
      </w:r>
      <w:r>
        <w:rPr>
          <w:rFonts w:ascii="Arial" w:cs="Arial" w:eastAsia="Arial" w:hAnsi="Arial"/>
          <w:sz w:val="19"/>
          <w:szCs w:val="19"/>
          <w:color w:val="auto"/>
        </w:rPr>
        <w:t>, starting with the financial statements to be delivered for fiscal year 2021, to the extent not previously disclosed to the Administrative Agent, a list of any U.S. registered Intellectual Property issued to, applied for, or acquired by any Loan Party since the date of the most recent report delivered pursuant to this clause (or, in the case of the first such report so delivered, since the Closing Date) (excluding any Excluded Assets and any issuances or registrations of Intellectual Property on applications that were included in a previous Intellectual Property Security Agreement or a previous report delivered pursuant to this clause);</w:t>
      </w:r>
    </w:p>
    <w:p>
      <w:pPr>
        <w:spacing w:after="0" w:line="155" w:lineRule="exact"/>
        <w:rPr>
          <w:rFonts w:ascii="Arial" w:cs="Arial" w:eastAsia="Arial" w:hAnsi="Arial"/>
          <w:sz w:val="19"/>
          <w:szCs w:val="19"/>
          <w:color w:val="auto"/>
        </w:rPr>
      </w:pPr>
    </w:p>
    <w:p>
      <w:pPr>
        <w:ind w:left="1940" w:hanging="636"/>
        <w:spacing w:after="0"/>
        <w:tabs>
          <w:tab w:leader="none" w:pos="194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304"/>
        <w:spacing w:after="0" w:line="210" w:lineRule="auto"/>
        <w:tabs>
          <w:tab w:leader="none" w:pos="1932" w:val="left"/>
        </w:tabs>
        <w:numPr>
          <w:ilvl w:val="0"/>
          <w:numId w:val="247"/>
        </w:numPr>
        <w:rPr>
          <w:rFonts w:ascii="Arial" w:cs="Arial" w:eastAsia="Arial" w:hAnsi="Arial"/>
          <w:sz w:val="20"/>
          <w:szCs w:val="20"/>
          <w:color w:val="auto"/>
        </w:rPr>
      </w:pPr>
      <w:r>
        <w:rPr>
          <w:rFonts w:ascii="Arial" w:cs="Arial" w:eastAsia="Arial" w:hAnsi="Arial"/>
          <w:sz w:val="20"/>
          <w:szCs w:val="20"/>
          <w:color w:val="auto"/>
        </w:rPr>
        <w:t>promptly, and in any event within five (5) Business Days after receipt thereof by any Loan Party or any Subsidiary thereof,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 thereof (other than routine comment letters from the staff of the SEC relating to Holdings’ filings with the SEC);</w:t>
      </w:r>
    </w:p>
    <w:p>
      <w:pPr>
        <w:spacing w:after="0" w:line="154" w:lineRule="exact"/>
        <w:rPr>
          <w:rFonts w:ascii="Arial" w:cs="Arial" w:eastAsia="Arial" w:hAnsi="Arial"/>
          <w:sz w:val="20"/>
          <w:szCs w:val="20"/>
          <w:color w:val="auto"/>
        </w:rPr>
      </w:pPr>
    </w:p>
    <w:p>
      <w:pPr>
        <w:jc w:val="both"/>
        <w:ind w:firstLine="1304"/>
        <w:spacing w:after="0" w:line="221" w:lineRule="auto"/>
        <w:tabs>
          <w:tab w:leader="none" w:pos="1934" w:val="left"/>
        </w:tabs>
        <w:numPr>
          <w:ilvl w:val="0"/>
          <w:numId w:val="247"/>
        </w:numPr>
        <w:rPr>
          <w:rFonts w:ascii="Arial" w:cs="Arial" w:eastAsia="Arial" w:hAnsi="Arial"/>
          <w:sz w:val="19"/>
          <w:szCs w:val="19"/>
          <w:color w:val="auto"/>
        </w:rPr>
      </w:pPr>
      <w:r>
        <w:rPr>
          <w:rFonts w:ascii="Arial" w:cs="Arial" w:eastAsia="Arial" w:hAnsi="Arial"/>
          <w:sz w:val="19"/>
          <w:szCs w:val="19"/>
          <w:color w:val="auto"/>
        </w:rPr>
        <w:t>within five days after the same are sent, copies of each annual report, proxy or financial statement or other material report that Holdings or the Borrower sends to the holders of any class of any Group Member’s debt securities or public equity securities and, within five days after the same are filed, copies of all annual, regular, periodic and special reports and registration statements which Holdings or the Borrower may file with the SEC under Section 13 or 15(d) of the Exchange Act, or with any national securities exchange, and not otherwise required to be delivered to the Administrative Agent pursuant hereto;</w:t>
      </w:r>
    </w:p>
    <w:p>
      <w:pPr>
        <w:spacing w:after="0" w:line="155" w:lineRule="exact"/>
        <w:rPr>
          <w:rFonts w:ascii="Arial" w:cs="Arial" w:eastAsia="Arial" w:hAnsi="Arial"/>
          <w:sz w:val="19"/>
          <w:szCs w:val="19"/>
          <w:color w:val="auto"/>
        </w:rPr>
      </w:pPr>
    </w:p>
    <w:p>
      <w:pPr>
        <w:jc w:val="both"/>
        <w:ind w:firstLine="1304"/>
        <w:spacing w:after="0" w:line="224" w:lineRule="auto"/>
        <w:tabs>
          <w:tab w:leader="none" w:pos="193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upon reasonable request by the Administrative Agent, within five days after the same are sent or received, copies of all correspondence, reports, documents and other filings with any Governmental Authority regarding compliance with or maintenance of Governmental Approvals or Requirements of Law that could reasonably be expected to have a Material Adverse Effect on any of the Governmental Approvals or otherwise on the operations of the Group Members;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05" w:right="339" w:bottom="1440" w:gutter="0" w:footer="0" w:header="0"/>
        </w:sectPr>
      </w:pPr>
    </w:p>
    <w:bookmarkStart w:id="293" w:name="page294"/>
    <w:bookmarkEnd w:id="293"/>
    <w:p>
      <w:pPr>
        <w:ind w:firstLine="1304"/>
        <w:spacing w:after="0" w:line="269" w:lineRule="auto"/>
        <w:tabs>
          <w:tab w:leader="none" w:pos="193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Administrative Agent or any Lender making such request through the Administrative Agent may from time to time reasonably request with respect to Holdings and its Subsidiaries.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6"/>
          <w:szCs w:val="16"/>
          <w:b w:val="1"/>
          <w:bCs w:val="1"/>
          <w:color w:val="auto"/>
        </w:rPr>
        <w:t>[Reserved].</w:t>
      </w:r>
    </w:p>
    <w:p>
      <w:pPr>
        <w:spacing w:after="0" w:line="17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6.4 Payment of Obligations</w:t>
      </w:r>
      <w:r>
        <w:rPr>
          <w:rFonts w:ascii="Arial" w:cs="Arial" w:eastAsia="Arial" w:hAnsi="Arial"/>
          <w:sz w:val="20"/>
          <w:szCs w:val="20"/>
          <w:color w:val="auto"/>
        </w:rPr>
        <w:t>. Pay, discharge or otherwise satisfy at or before maturity or before they become delinquent, as the</w:t>
      </w:r>
      <w:r>
        <w:rPr>
          <w:rFonts w:ascii="Arial" w:cs="Arial" w:eastAsia="Arial" w:hAnsi="Arial"/>
          <w:sz w:val="20"/>
          <w:szCs w:val="20"/>
          <w:b w:val="1"/>
          <w:bCs w:val="1"/>
          <w:color w:val="auto"/>
        </w:rPr>
        <w:t xml:space="preserve"> </w:t>
      </w:r>
      <w:r>
        <w:rPr>
          <w:rFonts w:ascii="Arial" w:cs="Arial" w:eastAsia="Arial" w:hAnsi="Arial"/>
          <w:sz w:val="20"/>
          <w:szCs w:val="20"/>
          <w:color w:val="auto"/>
        </w:rPr>
        <w:t>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w:t>
      </w:r>
    </w:p>
    <w:p>
      <w:pPr>
        <w:spacing w:after="0" w:line="15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color w:val="auto"/>
        </w:rPr>
        <w:t>6.5 Maintenance of Existence; Compliance</w:t>
      </w:r>
      <w:r>
        <w:rPr>
          <w:rFonts w:ascii="Arial" w:cs="Arial" w:eastAsia="Arial" w:hAnsi="Arial"/>
          <w:sz w:val="18"/>
          <w:szCs w:val="18"/>
          <w:color w:val="auto"/>
        </w:rPr>
        <w:t>. (a)(i) Preserve, renew and keep in full force and effect its organizational existence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and except, in the case of clause (ii) above, to the extent that failure to do so could not reasonably be expected to have a Material Adverse Effect; (b) comply with all Contractual Obligations and Requirements of Law except, in each case,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 the applicable provisions of ERISA, the Code or other Federal or state law; (2) cause each Qualified Plan to maintain its qualified status under Section 401(a) of the Code; (3) not become a party to any Multiemployer Plan; (4) ensure that all liabilities under each Plan are either (x) 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 and (5) take commercially reasonable actions to ensure that the contributions or premium payments to or in respect of each Plan are paid at no less than the rates required under the rules of such Plan and in accordance with the most recent actuarial advice received in relation to such Plan and applicable law.</w:t>
      </w:r>
    </w:p>
    <w:p>
      <w:pPr>
        <w:spacing w:after="0" w:line="14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6.6 Maintenance of Property; Insurance</w:t>
      </w:r>
      <w:r>
        <w:rPr>
          <w:rFonts w:ascii="Arial" w:cs="Arial" w:eastAsia="Arial" w:hAnsi="Arial"/>
          <w:sz w:val="19"/>
          <w:szCs w:val="19"/>
          <w:color w:val="auto"/>
        </w:rPr>
        <w:t>. (a) Keep all property useful and necessary in its business in good working order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condition, ordinary wear and tear and casualty excepted,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and (c) maintain flood insurance on all real property subject to a Mortgage as required under </w:t>
      </w:r>
      <w:r>
        <w:rPr>
          <w:rFonts w:ascii="Arial" w:cs="Arial" w:eastAsia="Arial" w:hAnsi="Arial"/>
          <w:sz w:val="19"/>
          <w:szCs w:val="19"/>
          <w:u w:val="single" w:color="auto"/>
          <w:color w:val="auto"/>
        </w:rPr>
        <w:t>Section 6.12(b)</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6.7 Inspection of Books and Records; Discussions</w:t>
      </w:r>
      <w:r>
        <w:rPr>
          <w:rFonts w:ascii="Arial" w:cs="Arial" w:eastAsia="Arial" w:hAnsi="Arial"/>
          <w:sz w:val="18"/>
          <w:szCs w:val="18"/>
          <w:color w:val="auto"/>
        </w:rPr>
        <w:t>. (a) Keep proper books of records and account in which full,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correct entries in conformity with GAAP and all Requirements of Law shall be made of all dealings and transactions in relation to its business and activities and (b) on 5 Business Days’ notice (provided that no notice shall be required if an Event of Default has occurred and is continuing) permit representatives and independent contractors of the Administrative Agent (who may be accompanied by any Lender) to examine and make abstracts from any of its books and records at any reasonable time and as often as may reasonably be desired and to discuss the business, operations, properties and financial and other condition of the Group Members with officers, directors and employees of the Group Members and with their independent certified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inspections shall not be undertaken more frequently than once every 12 months unless an Event of Default has occurred and is continuing, and (ii)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require any Group Member to take any action that would violate a confidentiality agreement (to the extent not created in contemplation of such Group Member’s obligations hereunder) or waive any attorney-client or similar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240"/>
          </w:cols>
          <w:pgMar w:left="320" w:top="1405" w:right="339" w:bottom="1440" w:gutter="0" w:footer="0" w:header="0"/>
        </w:sectPr>
      </w:pPr>
    </w:p>
    <w:bookmarkStart w:id="294" w:name="page295"/>
    <w:bookmarkEnd w:id="294"/>
    <w:p>
      <w:pPr>
        <w:ind w:left="660"/>
        <w:spacing w:after="0"/>
        <w:tabs>
          <w:tab w:leader="none" w:pos="128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6"/>
          <w:szCs w:val="16"/>
          <w:b w:val="1"/>
          <w:bCs w:val="1"/>
          <w:color w:val="auto"/>
        </w:rPr>
        <w:t>Notices. Give prompt written notice to the Administrative Agent of:</w:t>
      </w:r>
    </w:p>
    <w:p>
      <w:pPr>
        <w:spacing w:after="0" w:line="181" w:lineRule="exact"/>
        <w:rPr>
          <w:sz w:val="20"/>
          <w:szCs w:val="20"/>
          <w:color w:val="auto"/>
        </w:rPr>
      </w:pPr>
    </w:p>
    <w:p>
      <w:pPr>
        <w:ind w:left="1940" w:hanging="636"/>
        <w:spacing w:after="0"/>
        <w:tabs>
          <w:tab w:leader="none" w:pos="1940" w:val="left"/>
        </w:tabs>
        <w:numPr>
          <w:ilvl w:val="1"/>
          <w:numId w:val="249"/>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175" w:lineRule="exact"/>
        <w:rPr>
          <w:rFonts w:ascii="Arial" w:cs="Arial" w:eastAsia="Arial" w:hAnsi="Arial"/>
          <w:sz w:val="20"/>
          <w:szCs w:val="20"/>
          <w:color w:val="auto"/>
        </w:rPr>
      </w:pPr>
    </w:p>
    <w:p>
      <w:pPr>
        <w:jc w:val="both"/>
        <w:ind w:firstLine="1304"/>
        <w:spacing w:after="0" w:line="230" w:lineRule="auto"/>
        <w:tabs>
          <w:tab w:leader="none" w:pos="1932" w:val="left"/>
        </w:tabs>
        <w:numPr>
          <w:ilvl w:val="1"/>
          <w:numId w:val="249"/>
        </w:numPr>
        <w:rPr>
          <w:rFonts w:ascii="Arial" w:cs="Arial" w:eastAsia="Arial" w:hAnsi="Arial"/>
          <w:sz w:val="19"/>
          <w:szCs w:val="19"/>
          <w:color w:val="auto"/>
        </w:rPr>
      </w:pPr>
      <w:r>
        <w:rPr>
          <w:rFonts w:ascii="Arial" w:cs="Arial" w:eastAsia="Arial" w:hAnsi="Arial"/>
          <w:sz w:val="19"/>
          <w:szCs w:val="19"/>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54" w:lineRule="exact"/>
        <w:rPr>
          <w:rFonts w:ascii="Arial" w:cs="Arial" w:eastAsia="Arial" w:hAnsi="Arial"/>
          <w:sz w:val="19"/>
          <w:szCs w:val="19"/>
          <w:color w:val="auto"/>
        </w:rPr>
      </w:pPr>
    </w:p>
    <w:p>
      <w:pPr>
        <w:ind w:firstLine="1304"/>
        <w:spacing w:after="0" w:line="229" w:lineRule="auto"/>
        <w:tabs>
          <w:tab w:leader="none" w:pos="1934" w:val="left"/>
        </w:tabs>
        <w:numPr>
          <w:ilvl w:val="1"/>
          <w:numId w:val="249"/>
        </w:numPr>
        <w:rPr>
          <w:rFonts w:ascii="Arial" w:cs="Arial" w:eastAsia="Arial" w:hAnsi="Arial"/>
          <w:sz w:val="20"/>
          <w:szCs w:val="20"/>
          <w:color w:val="auto"/>
        </w:rPr>
      </w:pPr>
      <w:r>
        <w:rPr>
          <w:rFonts w:ascii="Arial" w:cs="Arial" w:eastAsia="Arial" w:hAnsi="Arial"/>
          <w:sz w:val="20"/>
          <w:szCs w:val="20"/>
          <w:color w:val="auto"/>
        </w:rPr>
        <w:t>any litigation or proceeding affecting any Group Member which (i) could reasonably be expected to have a Material Adverse Effect or (ii) relates to any Loan Document;</w:t>
      </w:r>
    </w:p>
    <w:p>
      <w:pPr>
        <w:spacing w:after="0" w:line="155" w:lineRule="exact"/>
        <w:rPr>
          <w:rFonts w:ascii="Arial" w:cs="Arial" w:eastAsia="Arial" w:hAnsi="Arial"/>
          <w:sz w:val="20"/>
          <w:szCs w:val="20"/>
          <w:color w:val="auto"/>
        </w:rPr>
      </w:pPr>
    </w:p>
    <w:p>
      <w:pPr>
        <w:jc w:val="both"/>
        <w:ind w:firstLine="1304"/>
        <w:spacing w:after="0" w:line="222" w:lineRule="auto"/>
        <w:tabs>
          <w:tab w:leader="none" w:pos="193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 promptly after the Borrower has knowledge or becomes aware of the occurrence of any of the following ERISA Events affecting the Borrower or any ERISA Affiliate (but in no event more than ten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w:t>
      </w:r>
    </w:p>
    <w:p>
      <w:pPr>
        <w:spacing w:after="0" w:line="3" w:lineRule="exact"/>
        <w:rPr>
          <w:rFonts w:ascii="Arial" w:cs="Arial" w:eastAsia="Arial" w:hAnsi="Arial"/>
          <w:sz w:val="18"/>
          <w:szCs w:val="18"/>
          <w:color w:val="auto"/>
        </w:rPr>
      </w:pPr>
    </w:p>
    <w:p>
      <w:pPr>
        <w:jc w:val="both"/>
        <w:ind w:firstLine="8"/>
        <w:spacing w:after="0" w:line="224" w:lineRule="auto"/>
        <w:tabs>
          <w:tab w:leader="none" w:pos="333"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adoption of any amendment to a Pension Plan, if such amendment will result in a material increase in contribution obligations or unfunded benefit liabilities (as defined in Section 4001(a)(18) of ERISA), or (D) the commencement of contributions by the Borrower or any ERISA Affiliate to any Plan that is subject to Title IV of ERISA or Section 412 of the Code; and</w:t>
      </w:r>
    </w:p>
    <w:p>
      <w:pPr>
        <w:spacing w:after="0" w:line="155" w:lineRule="exact"/>
        <w:rPr>
          <w:rFonts w:ascii="Arial" w:cs="Arial" w:eastAsia="Arial" w:hAnsi="Arial"/>
          <w:sz w:val="19"/>
          <w:szCs w:val="19"/>
          <w:color w:val="auto"/>
        </w:rPr>
      </w:pPr>
    </w:p>
    <w:p>
      <w:pPr>
        <w:jc w:val="both"/>
        <w:ind w:firstLine="1952"/>
        <w:spacing w:after="0" w:line="206" w:lineRule="auto"/>
        <w:tabs>
          <w:tab w:leader="none" w:pos="2438" w:val="left"/>
        </w:tabs>
        <w:numPr>
          <w:ilvl w:val="2"/>
          <w:numId w:val="250"/>
        </w:numPr>
        <w:rPr>
          <w:rFonts w:ascii="Arial" w:cs="Arial" w:eastAsia="Arial" w:hAnsi="Arial"/>
          <w:sz w:val="20"/>
          <w:szCs w:val="20"/>
          <w:color w:val="auto"/>
        </w:rPr>
      </w:pPr>
      <w:r>
        <w:rPr>
          <w:rFonts w:ascii="Arial" w:cs="Arial" w:eastAsia="Arial" w:hAnsi="Arial"/>
          <w:sz w:val="20"/>
          <w:szCs w:val="20"/>
          <w:color w:val="auto"/>
        </w:rPr>
        <w:t xml:space="preserve">(A)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Pension Plan or Multiemployer Plan as the Administrative Agent shall reasonably request; and (B), without limiting the generality of the foregoing, such certifications or other evidence of compliance with the provisions of </w:t>
      </w:r>
      <w:r>
        <w:rPr>
          <w:rFonts w:ascii="Arial" w:cs="Arial" w:eastAsia="Arial" w:hAnsi="Arial"/>
          <w:sz w:val="20"/>
          <w:szCs w:val="20"/>
          <w:u w:val="single" w:color="auto"/>
          <w:color w:val="auto"/>
        </w:rPr>
        <w:t>Sections 4.13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7.9</w:t>
      </w:r>
      <w:r>
        <w:rPr>
          <w:rFonts w:ascii="Arial" w:cs="Arial" w:eastAsia="Arial" w:hAnsi="Arial"/>
          <w:sz w:val="20"/>
          <w:szCs w:val="20"/>
          <w:color w:val="auto"/>
        </w:rPr>
        <w:t xml:space="preserve"> as any Lender (through the Administrative Agent) may from time to time reasonably request;</w:t>
      </w:r>
    </w:p>
    <w:p>
      <w:pPr>
        <w:spacing w:after="0" w:line="157" w:lineRule="exact"/>
        <w:rPr>
          <w:rFonts w:ascii="Arial" w:cs="Arial" w:eastAsia="Arial" w:hAnsi="Arial"/>
          <w:sz w:val="20"/>
          <w:szCs w:val="20"/>
          <w:color w:val="auto"/>
        </w:rPr>
      </w:pPr>
    </w:p>
    <w:p>
      <w:pPr>
        <w:ind w:left="1940" w:hanging="636"/>
        <w:spacing w:after="0"/>
        <w:tabs>
          <w:tab w:leader="none" w:pos="19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material change in the information provided in the most recently delivered Beneficial Ownership Certification.</w:t>
      </w:r>
    </w:p>
    <w:p>
      <w:pPr>
        <w:spacing w:after="0" w:line="198" w:lineRule="exact"/>
        <w:rPr>
          <w:rFonts w:ascii="Arial" w:cs="Arial" w:eastAsia="Arial" w:hAnsi="Arial"/>
          <w:sz w:val="18"/>
          <w:szCs w:val="18"/>
          <w:color w:val="auto"/>
        </w:rPr>
      </w:pPr>
    </w:p>
    <w:p>
      <w:pPr>
        <w:ind w:left="1940" w:hanging="636"/>
        <w:spacing w:after="0"/>
        <w:tabs>
          <w:tab w:leader="none" w:pos="194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any material change in accounting policies or financial reporting practices by any Loan Party; and</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250"/>
        </w:numPr>
        <w:rPr>
          <w:rFonts w:ascii="Arial" w:cs="Arial" w:eastAsia="Arial" w:hAnsi="Arial"/>
          <w:sz w:val="19"/>
          <w:szCs w:val="19"/>
          <w:color w:val="auto"/>
        </w:rPr>
      </w:pPr>
      <w:r>
        <w:rPr>
          <w:rFonts w:ascii="Arial" w:cs="Arial" w:eastAsia="Arial" w:hAnsi="Arial"/>
          <w:sz w:val="19"/>
          <w:szCs w:val="19"/>
          <w:color w:val="auto"/>
        </w:rPr>
        <w:t>any development or event that has had or could reasonably be expected to have a Material Adverse Effect.</w:t>
      </w:r>
    </w:p>
    <w:p>
      <w:pPr>
        <w:spacing w:after="0" w:line="1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6.8</w:t>
      </w:r>
      <w:r>
        <w:rPr>
          <w:rFonts w:ascii="Arial" w:cs="Arial" w:eastAsia="Arial" w:hAnsi="Arial"/>
          <w:sz w:val="20"/>
          <w:szCs w:val="20"/>
          <w:color w:val="auto"/>
        </w:rPr>
        <w:t xml:space="preserve"> shall be accompanied by a statement of a Responsible Officer of Holdings or the Borrower setting forth details of the occurrence referred to therein and stating what action the relevant Group Member proposes to take with respect thereto.</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18"/>
          <w:szCs w:val="18"/>
          <w:b w:val="1"/>
          <w:bCs w:val="1"/>
          <w:color w:val="auto"/>
        </w:rPr>
        <w:t>Environmental Laws.</w:t>
      </w:r>
    </w:p>
    <w:p>
      <w:pPr>
        <w:spacing w:after="0" w:line="181" w:lineRule="exact"/>
        <w:rPr>
          <w:sz w:val="20"/>
          <w:szCs w:val="20"/>
          <w:color w:val="auto"/>
        </w:rPr>
      </w:pPr>
    </w:p>
    <w:p>
      <w:pPr>
        <w:jc w:val="both"/>
        <w:ind w:firstLine="1304"/>
        <w:spacing w:after="0" w:line="213" w:lineRule="auto"/>
        <w:tabs>
          <w:tab w:leader="none" w:pos="1934" w:val="left"/>
        </w:tabs>
        <w:numPr>
          <w:ilvl w:val="0"/>
          <w:numId w:val="251"/>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comply with, and ensure compliance by all tenants and subtenants, if any, with, all applicable Environmental Laws, and obtain and comply with and maintain, and ensure that all tenants and subtenants obtain and comply with and maintain, any and all licenses, approvals, notifications, registrations or permits required by applicable Environmental Laws.</w:t>
      </w:r>
    </w:p>
    <w:p>
      <w:pPr>
        <w:spacing w:after="0" w:line="155" w:lineRule="exact"/>
        <w:rPr>
          <w:rFonts w:ascii="Arial" w:cs="Arial" w:eastAsia="Arial" w:hAnsi="Arial"/>
          <w:sz w:val="20"/>
          <w:szCs w:val="20"/>
          <w:color w:val="auto"/>
        </w:rPr>
      </w:pPr>
    </w:p>
    <w:p>
      <w:pPr>
        <w:ind w:firstLine="1304"/>
        <w:spacing w:after="0" w:line="229" w:lineRule="auto"/>
        <w:tabs>
          <w:tab w:leader="none" w:pos="1932" w:val="left"/>
        </w:tabs>
        <w:numPr>
          <w:ilvl w:val="0"/>
          <w:numId w:val="251"/>
        </w:numPr>
        <w:rPr>
          <w:rFonts w:ascii="Arial" w:cs="Arial" w:eastAsia="Arial" w:hAnsi="Arial"/>
          <w:sz w:val="20"/>
          <w:szCs w:val="20"/>
          <w:color w:val="auto"/>
        </w:rPr>
      </w:pPr>
      <w:r>
        <w:rPr>
          <w:rFonts w:ascii="Arial" w:cs="Arial" w:eastAsia="Arial" w:hAnsi="Arial"/>
          <w:sz w:val="20"/>
          <w:szCs w:val="20"/>
          <w:color w:val="auto"/>
        </w:rPr>
        <w:t>Except as could not reasonably be expected to result in a Material Adverse Effect, conduct and complete all investigations, studies, sampling and testing, and all remedial,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240"/>
          </w:cols>
          <w:pgMar w:left="320" w:top="1399" w:right="339" w:bottom="1440" w:gutter="0" w:footer="0" w:header="0"/>
        </w:sectPr>
      </w:pPr>
    </w:p>
    <w:bookmarkStart w:id="295" w:name="page296"/>
    <w:bookmarkEnd w:id="295"/>
    <w:p>
      <w:pPr>
        <w:ind w:right="20"/>
        <w:spacing w:after="0" w:line="229" w:lineRule="auto"/>
        <w:rPr>
          <w:sz w:val="20"/>
          <w:szCs w:val="20"/>
          <w:color w:val="auto"/>
        </w:rPr>
      </w:pPr>
      <w:r>
        <w:rPr>
          <w:rFonts w:ascii="Arial" w:cs="Arial" w:eastAsia="Arial" w:hAnsi="Arial"/>
          <w:sz w:val="20"/>
          <w:szCs w:val="20"/>
          <w:color w:val="auto"/>
        </w:rPr>
        <w:t>and other actions required under Environmental Laws and promptly comply with all lawful orders and directives of all Governmental Authorities regarding Environmental Laws.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6.10</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8"/>
          <w:szCs w:val="18"/>
          <w:b w:val="1"/>
          <w:bCs w:val="1"/>
          <w:color w:val="auto"/>
        </w:rPr>
        <w:t>Additional Collateral, Etc.</w:t>
      </w:r>
    </w:p>
    <w:p>
      <w:pPr>
        <w:spacing w:after="0" w:line="181" w:lineRule="exact"/>
        <w:rPr>
          <w:sz w:val="20"/>
          <w:szCs w:val="20"/>
          <w:color w:val="auto"/>
        </w:rPr>
      </w:pPr>
    </w:p>
    <w:p>
      <w:pPr>
        <w:jc w:val="both"/>
        <w:ind w:firstLine="1304"/>
        <w:spacing w:after="0" w:line="216" w:lineRule="auto"/>
        <w:tabs>
          <w:tab w:leader="none" w:pos="1934"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With respect to any property (to the extent included in the definition of Collateral) acquired after the Closing Date by any Loan Party (other than (x) any property described in paragraph (b), (c), (d) or (e) below, and (y) any property subject to a Lien expressly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as to which the Administrative Agent, for the benefit of the Secured Parties, does not have a perfected Lien, promptly (and in any event within ten Business Days or such later date as the Administrative Agent may agree in its sole discretion) take all actions necessary or advisable in the opinion of the Administrative Agent to grant to the Administrative Agent, for the benefit of the Secured Parties, a perfected first priority (except as expressly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spacing w:after="0" w:line="154" w:lineRule="exact"/>
        <w:rPr>
          <w:rFonts w:ascii="Arial" w:cs="Arial" w:eastAsia="Arial" w:hAnsi="Arial"/>
          <w:sz w:val="19"/>
          <w:szCs w:val="19"/>
          <w:color w:val="auto"/>
        </w:rPr>
      </w:pPr>
    </w:p>
    <w:p>
      <w:pPr>
        <w:jc w:val="both"/>
        <w:ind w:firstLine="1304"/>
        <w:spacing w:after="0" w:line="221" w:lineRule="auto"/>
        <w:tabs>
          <w:tab w:leader="none" w:pos="19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With respect to any fee interest in any real property having a fair market value (together with improvements thereof) of at least $20,000,000 acquired after the Closing Date by any Loan Party (other than any such real property subject to a Lien expressly permitted by </w:t>
      </w:r>
      <w:r>
        <w:rPr>
          <w:rFonts w:ascii="Arial" w:cs="Arial" w:eastAsia="Arial" w:hAnsi="Arial"/>
          <w:sz w:val="18"/>
          <w:szCs w:val="18"/>
          <w:u w:val="single" w:color="auto"/>
          <w:color w:val="auto"/>
        </w:rPr>
        <w:t>Section 7.3(g)</w:t>
      </w:r>
      <w:r>
        <w:rPr>
          <w:rFonts w:ascii="Arial" w:cs="Arial" w:eastAsia="Arial" w:hAnsi="Arial"/>
          <w:sz w:val="18"/>
          <w:szCs w:val="18"/>
          <w:color w:val="auto"/>
        </w:rPr>
        <w:t xml:space="preserve">),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 and delivered pursuant to this </w:t>
      </w:r>
      <w:r>
        <w:rPr>
          <w:rFonts w:ascii="Arial" w:cs="Arial" w:eastAsia="Arial" w:hAnsi="Arial"/>
          <w:sz w:val="18"/>
          <w:szCs w:val="18"/>
          <w:u w:val="single" w:color="auto"/>
          <w:color w:val="auto"/>
        </w:rPr>
        <w:t>Section 6.12</w:t>
      </w:r>
      <w:r>
        <w:rPr>
          <w:rFonts w:ascii="Arial" w:cs="Arial" w:eastAsia="Arial" w:hAnsi="Arial"/>
          <w:sz w:val="18"/>
          <w:szCs w:val="18"/>
          <w:color w:val="auto"/>
        </w:rPr>
        <w:t>, in order to comply with the Flood Laws, the Administrative Agent (for delivery to each Lender) shall have received the following documents (collectively, the “</w:t>
      </w:r>
      <w:r>
        <w:rPr>
          <w:rFonts w:ascii="Arial" w:cs="Arial" w:eastAsia="Arial" w:hAnsi="Arial"/>
          <w:sz w:val="18"/>
          <w:szCs w:val="18"/>
          <w:b w:val="1"/>
          <w:bCs w:val="1"/>
          <w:i w:val="1"/>
          <w:iCs w:val="1"/>
          <w:color w:val="auto"/>
        </w:rPr>
        <w:t>Flood Documents</w:t>
      </w:r>
      <w:r>
        <w:rPr>
          <w:rFonts w:ascii="Arial" w:cs="Arial" w:eastAsia="Arial" w:hAnsi="Arial"/>
          <w:sz w:val="18"/>
          <w:szCs w:val="18"/>
          <w:color w:val="auto"/>
        </w:rPr>
        <w:t>”): (A) a completed standard “life of loan” flood hazard determination form (a “</w:t>
      </w:r>
      <w:r>
        <w:rPr>
          <w:rFonts w:ascii="Arial" w:cs="Arial" w:eastAsia="Arial" w:hAnsi="Arial"/>
          <w:sz w:val="18"/>
          <w:szCs w:val="18"/>
          <w:b w:val="1"/>
          <w:bCs w:val="1"/>
          <w:i w:val="1"/>
          <w:iCs w:val="1"/>
          <w:color w:val="auto"/>
        </w:rPr>
        <w:t>Flood Determination Form</w:t>
      </w:r>
      <w:r>
        <w:rPr>
          <w:rFonts w:ascii="Arial" w:cs="Arial" w:eastAsia="Arial" w:hAnsi="Arial"/>
          <w:sz w:val="18"/>
          <w:szCs w:val="18"/>
          <w:color w:val="auto"/>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Arial" w:cs="Arial" w:eastAsia="Arial" w:hAnsi="Arial"/>
          <w:sz w:val="18"/>
          <w:szCs w:val="18"/>
          <w:b w:val="1"/>
          <w:bCs w:val="1"/>
          <w:i w:val="1"/>
          <w:iCs w:val="1"/>
          <w:color w:val="auto"/>
        </w:rPr>
        <w:t>Loan Party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that flood insurance coverage under the National Flood Insurance Program (“</w:t>
      </w:r>
      <w:r>
        <w:rPr>
          <w:rFonts w:ascii="Arial" w:cs="Arial" w:eastAsia="Arial" w:hAnsi="Arial"/>
          <w:sz w:val="18"/>
          <w:szCs w:val="18"/>
          <w:b w:val="1"/>
          <w:bCs w:val="1"/>
          <w:i w:val="1"/>
          <w:iCs w:val="1"/>
          <w:color w:val="auto"/>
        </w:rPr>
        <w:t>NFIP</w:t>
      </w:r>
      <w:r>
        <w:rPr>
          <w:rFonts w:ascii="Arial" w:cs="Arial" w:eastAsia="Arial" w:hAnsi="Arial"/>
          <w:sz w:val="18"/>
          <w:szCs w:val="18"/>
          <w:color w:val="auto"/>
        </w:rPr>
        <w:t>”) is not available because the community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Arial" w:cs="Arial" w:eastAsia="Arial" w:hAnsi="Arial"/>
          <w:sz w:val="18"/>
          <w:szCs w:val="18"/>
          <w:b w:val="1"/>
          <w:bCs w:val="1"/>
          <w:i w:val="1"/>
          <w:iCs w:val="1"/>
          <w:color w:val="auto"/>
        </w:rPr>
        <w:t>Evidence of Flood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Notwithstanding anything contained herein to the contrary, no Mortgage will be executed and delivered until each Lender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Revolving Commitments (including the provision of any Increase or any other incremental credit facilities hereunder, but excluding (i) any continuation or conversion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405" w:right="339" w:bottom="1440" w:gutter="0" w:footer="0" w:header="0"/>
        </w:sectPr>
      </w:pPr>
    </w:p>
    <w:bookmarkStart w:id="296" w:name="page297"/>
    <w:bookmarkEnd w:id="296"/>
    <w:p>
      <w:pPr>
        <w:jc w:val="both"/>
        <w:spacing w:after="0" w:line="236" w:lineRule="auto"/>
        <w:rPr>
          <w:sz w:val="20"/>
          <w:szCs w:val="20"/>
          <w:color w:val="auto"/>
        </w:rPr>
      </w:pPr>
      <w:r>
        <w:rPr>
          <w:rFonts w:ascii="Arial" w:cs="Arial" w:eastAsia="Arial" w:hAnsi="Arial"/>
          <w:sz w:val="18"/>
          <w:szCs w:val="18"/>
          <w:color w:val="auto"/>
        </w:rPr>
        <w:t>borrowings, (ii) the making of any Revolving Loans or (iii) 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 that such Lender has satisfactorily completed its flood insurance due diligence and compliance requirements.</w:t>
      </w:r>
    </w:p>
    <w:p>
      <w:pPr>
        <w:spacing w:after="0" w:line="158" w:lineRule="exact"/>
        <w:rPr>
          <w:sz w:val="20"/>
          <w:szCs w:val="20"/>
          <w:color w:val="auto"/>
        </w:rPr>
      </w:pPr>
    </w:p>
    <w:p>
      <w:pPr>
        <w:jc w:val="both"/>
        <w:ind w:firstLine="1304"/>
        <w:spacing w:after="0" w:line="223" w:lineRule="auto"/>
        <w:tabs>
          <w:tab w:leader="none" w:pos="193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With respect to any new Subsidiary (other than an Excluded Subsidiary) created or acquired after the Closing Date by any Loan Party (including pursuant to an Acquisition) or if an Excluded Subsidiary ceases to qualify as an Excluded Subsidiary, then except to the extent compliance with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is prohibited by existing Contractual Obligations (so long as such prohibition is not incurred in contemplation of such acquisition or the obligations hereunder) or Requirements of Law binding on such Subsidiary or its properties, promptly (i) execute and deliver to the Administrative Agent such amendments to the Guarantee and Collateral Agreement as the Administrative Agent reasonably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reasonably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56" w:lineRule="exact"/>
        <w:rPr>
          <w:rFonts w:ascii="Arial" w:cs="Arial" w:eastAsia="Arial" w:hAnsi="Arial"/>
          <w:sz w:val="18"/>
          <w:szCs w:val="18"/>
          <w:color w:val="auto"/>
        </w:rPr>
      </w:pPr>
    </w:p>
    <w:p>
      <w:pPr>
        <w:jc w:val="both"/>
        <w:ind w:firstLine="1304"/>
        <w:spacing w:after="0" w:line="225" w:lineRule="auto"/>
        <w:tabs>
          <w:tab w:leader="none" w:pos="1932" w:val="left"/>
        </w:tabs>
        <w:numPr>
          <w:ilvl w:val="1"/>
          <w:numId w:val="253"/>
        </w:numPr>
        <w:rPr>
          <w:rFonts w:ascii="Arial" w:cs="Arial" w:eastAsia="Arial" w:hAnsi="Arial"/>
          <w:sz w:val="18"/>
          <w:szCs w:val="18"/>
          <w:color w:val="auto"/>
        </w:rPr>
      </w:pPr>
      <w:r>
        <w:rPr>
          <w:rFonts w:ascii="Arial" w:cs="Arial" w:eastAsia="Arial" w:hAnsi="Arial"/>
          <w:sz w:val="18"/>
          <w:szCs w:val="18"/>
          <w:color w:val="auto"/>
        </w:rPr>
        <w:t xml:space="preserve">With respect to any direct Foreign Subsidiary or direct Foreign Subsidiary Holding Company that is not an Immaterial Subsidiary created or acquired after the Closing Date by any Loan Party or if any direct Foreign Subsidiary or direct Foreign Subsidiary Holdings Company no longer qualifies as an Immaterial Subsidiary, then except to the extent compliance with this </w:t>
      </w:r>
      <w:r>
        <w:rPr>
          <w:rFonts w:ascii="Arial" w:cs="Arial" w:eastAsia="Arial" w:hAnsi="Arial"/>
          <w:sz w:val="18"/>
          <w:szCs w:val="18"/>
          <w:u w:val="single" w:color="auto"/>
          <w:color w:val="auto"/>
        </w:rPr>
        <w:t>Section 6.12</w:t>
      </w:r>
    </w:p>
    <w:p>
      <w:pPr>
        <w:jc w:val="both"/>
        <w:ind w:firstLine="8"/>
        <w:spacing w:after="0" w:line="212" w:lineRule="auto"/>
        <w:tabs>
          <w:tab w:leader="none" w:pos="29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is prohibited by existing Contractual Obligations (so long as such prohibition is not incurred in contemplation of such acquisition or the obligations hereunder) or Requirements of Law binding on such Subsidiary or its properties, or (y) could reasonably be expected to result in liability to the directors or officers of any such Foreign Subsidiary under applicable Requirements of Law, promptly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Foreign Subsidiary or Foreign Subsidiary Holding Company that is directly owned by any such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more than 65% of the total outstanding voting Capital Stock of any such Foreign Subsidiary or Foreign Subsidiary Holding Company be required to be so pledged) and (ii) deliver to the Administrative Agent the certificates representing such Capital Stock (if certificated), together with undated stock powers, in blank, executed and delivered by a duly authorized officer of the relevant Loan Party, and take such other action as may be necessary or, in the opinion of the Administrative Agent, desirable to perfect the Administrative Agent’s security interest therein.</w:t>
      </w:r>
    </w:p>
    <w:p>
      <w:pPr>
        <w:spacing w:after="0" w:line="156" w:lineRule="exact"/>
        <w:rPr>
          <w:rFonts w:ascii="Arial" w:cs="Arial" w:eastAsia="Arial" w:hAnsi="Arial"/>
          <w:sz w:val="19"/>
          <w:szCs w:val="19"/>
          <w:color w:val="auto"/>
        </w:rPr>
      </w:pPr>
    </w:p>
    <w:p>
      <w:pPr>
        <w:jc w:val="both"/>
        <w:ind w:firstLine="1304"/>
        <w:spacing w:after="0" w:line="213" w:lineRule="auto"/>
        <w:tabs>
          <w:tab w:leader="none" w:pos="1934" w:val="left"/>
        </w:tabs>
        <w:numPr>
          <w:ilvl w:val="1"/>
          <w:numId w:val="254"/>
        </w:numPr>
        <w:rPr>
          <w:rFonts w:ascii="Arial" w:cs="Arial" w:eastAsia="Arial" w:hAnsi="Arial"/>
          <w:sz w:val="20"/>
          <w:szCs w:val="20"/>
          <w:color w:val="auto"/>
        </w:rPr>
      </w:pPr>
      <w:r>
        <w:rPr>
          <w:rFonts w:ascii="Arial" w:cs="Arial" w:eastAsia="Arial" w:hAnsi="Arial"/>
          <w:sz w:val="20"/>
          <w:szCs w:val="20"/>
          <w:color w:val="auto"/>
        </w:rPr>
        <w:t>With respect to any U.S. registered Intellectual Property requiring notification to the Administrative Agent pursuant to Section 6.2(b), deliver within the time period specified in Section 6.2(b) intellectual property security agreements for filing with the USPTO and/or USCRO (as applicable) pursuant to the terms of the Guarantee and Collateral Agreement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240"/>
          </w:cols>
          <w:pgMar w:left="320" w:top="1405" w:right="339" w:bottom="1440" w:gutter="0" w:footer="0" w:header="0"/>
        </w:sectPr>
      </w:pPr>
    </w:p>
    <w:bookmarkStart w:id="297" w:name="page298"/>
    <w:bookmarkEnd w:id="297"/>
    <w:p>
      <w:pPr>
        <w:jc w:val="both"/>
        <w:ind w:firstLine="1304"/>
        <w:spacing w:after="0" w:line="213" w:lineRule="auto"/>
        <w:tabs>
          <w:tab w:leader="none" w:pos="1939" w:val="left"/>
        </w:tabs>
        <w:numPr>
          <w:ilvl w:val="0"/>
          <w:numId w:val="255"/>
        </w:numPr>
        <w:rPr>
          <w:rFonts w:ascii="Arial" w:cs="Arial" w:eastAsia="Arial" w:hAnsi="Arial"/>
          <w:sz w:val="20"/>
          <w:szCs w:val="20"/>
          <w:color w:val="auto"/>
        </w:rPr>
      </w:pPr>
      <w:r>
        <w:rPr>
          <w:rFonts w:ascii="Arial" w:cs="Arial" w:eastAsia="Arial" w:hAnsi="Arial"/>
          <w:sz w:val="20"/>
          <w:szCs w:val="20"/>
          <w:color w:val="auto"/>
        </w:rPr>
        <w:t>Notwithstanding anything herein to the contrary, no foreign law Security Documents or other action to perfect a Lien in favor of the Administrative Agent under the laws of any foreign jurisdiction shall be required and there shall be no control, lockbox or similar requirements nor any control agreements relating to Holdings’ and its Subsidiaries’ bank accounts (including deposit, securities or commodities accounts).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16"/>
          <w:szCs w:val="16"/>
          <w:b w:val="1"/>
          <w:bCs w:val="1"/>
          <w:color w:val="auto"/>
        </w:rPr>
        <w:t>Use of Proceeds</w:t>
      </w:r>
      <w:r>
        <w:rPr>
          <w:rFonts w:ascii="Arial" w:cs="Arial" w:eastAsia="Arial" w:hAnsi="Arial"/>
          <w:sz w:val="16"/>
          <w:szCs w:val="16"/>
          <w:color w:val="auto"/>
        </w:rPr>
        <w:t>. Use the proceeds of each credit extension only for the purposes specified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b w:val="1"/>
          <w:bCs w:val="1"/>
          <w:color w:val="auto"/>
        </w:rPr>
        <w:t>6.15 Designated Senior Indebtedness</w:t>
      </w:r>
      <w:r>
        <w:rPr>
          <w:rFonts w:ascii="Arial" w:cs="Arial" w:eastAsia="Arial" w:hAnsi="Arial"/>
          <w:sz w:val="19"/>
          <w:szCs w:val="19"/>
          <w:color w:val="auto"/>
        </w:rPr>
        <w:t>. Cause the Loan Documents and all of the Obligations to be deemed “Designated Senior</w:t>
      </w:r>
      <w:r>
        <w:rPr>
          <w:rFonts w:ascii="Arial" w:cs="Arial" w:eastAsia="Arial" w:hAnsi="Arial"/>
          <w:sz w:val="19"/>
          <w:szCs w:val="19"/>
          <w:b w:val="1"/>
          <w:bCs w:val="1"/>
          <w:color w:val="auto"/>
        </w:rPr>
        <w:t xml:space="preserve"> </w:t>
      </w:r>
      <w:r>
        <w:rPr>
          <w:rFonts w:ascii="Arial" w:cs="Arial" w:eastAsia="Arial" w:hAnsi="Arial"/>
          <w:sz w:val="19"/>
          <w:szCs w:val="19"/>
          <w:color w:val="auto"/>
        </w:rPr>
        <w:t>Indebtedness” or a similar concept thereto, if applicable, for purposes of any Indebtedness of the Loan Parties.</w:t>
      </w:r>
    </w:p>
    <w:p>
      <w:pPr>
        <w:spacing w:after="0" w:line="14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6.16 Anti-Corruption Laws</w:t>
      </w:r>
      <w:r>
        <w:rPr>
          <w:rFonts w:ascii="Arial" w:cs="Arial" w:eastAsia="Arial" w:hAnsi="Arial"/>
          <w:sz w:val="20"/>
          <w:szCs w:val="20"/>
          <w:color w:val="auto"/>
        </w:rPr>
        <w:t>. Conduct its business in compliance in all material respects with all applicable anti-corruption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maintain policies and procedures designated to promote and achieve compliance with such laws.</w:t>
      </w:r>
    </w:p>
    <w:p>
      <w:pPr>
        <w:spacing w:after="0" w:line="14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6.17 Further Assurances</w:t>
      </w:r>
      <w:r>
        <w:rPr>
          <w:rFonts w:ascii="Arial" w:cs="Arial" w:eastAsia="Arial" w:hAnsi="Arial"/>
          <w:sz w:val="20"/>
          <w:szCs w:val="20"/>
          <w:color w:val="auto"/>
        </w:rPr>
        <w:t>. Execute any further instruments and take such further action as the Administrative Agent reasonably</w:t>
      </w:r>
      <w:r>
        <w:rPr>
          <w:rFonts w:ascii="Arial" w:cs="Arial" w:eastAsia="Arial" w:hAnsi="Arial"/>
          <w:sz w:val="20"/>
          <w:szCs w:val="20"/>
          <w:b w:val="1"/>
          <w:bCs w:val="1"/>
          <w:color w:val="auto"/>
        </w:rPr>
        <w:t xml:space="preserve"> </w:t>
      </w:r>
      <w:r>
        <w:rPr>
          <w:rFonts w:ascii="Arial" w:cs="Arial" w:eastAsia="Arial" w:hAnsi="Arial"/>
          <w:sz w:val="20"/>
          <w:szCs w:val="20"/>
          <w:color w:val="auto"/>
        </w:rPr>
        <w:t>deems necessary to perfect, protect, ensure the priority of or continue the Administrative Agent’s Lien on the Collateral or to effect the purposes of this Agreement.</w:t>
      </w:r>
    </w:p>
    <w:p>
      <w:pPr>
        <w:spacing w:after="0" w:line="13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7</w:t>
      </w:r>
    </w:p>
    <w:p>
      <w:pPr>
        <w:ind w:left="4460"/>
        <w:spacing w:after="0"/>
        <w:rPr>
          <w:sz w:val="20"/>
          <w:szCs w:val="20"/>
          <w:color w:val="auto"/>
        </w:rPr>
      </w:pPr>
      <w:r>
        <w:rPr>
          <w:rFonts w:ascii="Arial" w:cs="Arial" w:eastAsia="Arial" w:hAnsi="Arial"/>
          <w:sz w:val="20"/>
          <w:szCs w:val="20"/>
          <w:b w:val="1"/>
          <w:bCs w:val="1"/>
          <w:color w:val="auto"/>
        </w:rPr>
        <w:t>NEGATIVE COVENANTS</w:t>
      </w:r>
    </w:p>
    <w:p>
      <w:pPr>
        <w:spacing w:after="0" w:line="15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Holdings and the Borrower hereby jointly and severally agrees that, at all times prior to the Discharge of Obligations, no Loan Party shall, nor shall any Loan Party permit any of its respective Subsidiaries to, directly or indirectly:</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6"/>
          <w:szCs w:val="16"/>
          <w:b w:val="1"/>
          <w:bCs w:val="1"/>
          <w:color w:val="auto"/>
        </w:rPr>
        <w:t>Financial Condition Covenants.</w:t>
      </w:r>
    </w:p>
    <w:p>
      <w:pPr>
        <w:spacing w:after="0" w:line="181" w:lineRule="exact"/>
        <w:rPr>
          <w:sz w:val="20"/>
          <w:szCs w:val="20"/>
          <w:color w:val="auto"/>
        </w:rPr>
      </w:pPr>
    </w:p>
    <w:p>
      <w:pPr>
        <w:jc w:val="both"/>
        <w:ind w:firstLine="1304"/>
        <w:spacing w:after="0" w:line="218" w:lineRule="auto"/>
        <w:tabs>
          <w:tab w:leader="none" w:pos="1934"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Minimum Consolidated Interest Coverage Ratio</w:t>
      </w:r>
      <w:r>
        <w:rPr>
          <w:rFonts w:ascii="Arial" w:cs="Arial" w:eastAsia="Arial" w:hAnsi="Arial"/>
          <w:sz w:val="20"/>
          <w:szCs w:val="20"/>
          <w:color w:val="auto"/>
        </w:rPr>
        <w:t>. Permit the Consolidated Interest Coverage Ratio, as at the last day of any period of four consecutive trailing fiscal quarters of Holdings, commencing with the four consecutive trailing fiscal quarter period of Holdings ending January 31, 2021, to be less than 3.00:1.00.</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256"/>
        </w:numPr>
        <w:rPr>
          <w:rFonts w:ascii="Arial" w:cs="Arial" w:eastAsia="Arial" w:hAnsi="Arial"/>
          <w:sz w:val="20"/>
          <w:szCs w:val="20"/>
          <w:color w:val="auto"/>
        </w:rPr>
      </w:pPr>
      <w:r>
        <w:rPr>
          <w:rFonts w:ascii="Arial" w:cs="Arial" w:eastAsia="Arial" w:hAnsi="Arial"/>
          <w:sz w:val="20"/>
          <w:szCs w:val="20"/>
          <w:u w:val="single" w:color="auto"/>
          <w:color w:val="auto"/>
        </w:rPr>
        <w:t>Maximum Consolidated Senior Secured Leverage Ratio</w:t>
      </w:r>
      <w:r>
        <w:rPr>
          <w:rFonts w:ascii="Arial" w:cs="Arial" w:eastAsia="Arial" w:hAnsi="Arial"/>
          <w:sz w:val="20"/>
          <w:szCs w:val="20"/>
          <w:color w:val="auto"/>
        </w:rPr>
        <w:t>. Permit the Consolidated Senior Secured Leverage Ratio, as at the last day of any period of four consecutive trailing fiscal quarters of Holdings, commencing with the four consecutive trailing fiscal quarter period ending January 31, 2021 and continuing through the four consecutive trailing fiscal quarter period ending January 31, 2023, to be greater than 3.00:1.00.</w:t>
      </w:r>
    </w:p>
    <w:p>
      <w:pPr>
        <w:spacing w:after="0" w:line="155" w:lineRule="exact"/>
        <w:rPr>
          <w:rFonts w:ascii="Arial" w:cs="Arial" w:eastAsia="Arial" w:hAnsi="Arial"/>
          <w:sz w:val="20"/>
          <w:szCs w:val="20"/>
          <w:color w:val="auto"/>
        </w:rPr>
      </w:pPr>
    </w:p>
    <w:p>
      <w:pPr>
        <w:ind w:firstLine="1304"/>
        <w:spacing w:after="0" w:line="242" w:lineRule="auto"/>
        <w:tabs>
          <w:tab w:leader="none" w:pos="1934" w:val="left"/>
        </w:tabs>
        <w:numPr>
          <w:ilvl w:val="0"/>
          <w:numId w:val="256"/>
        </w:numPr>
        <w:rPr>
          <w:rFonts w:ascii="Arial" w:cs="Arial" w:eastAsia="Arial" w:hAnsi="Arial"/>
          <w:sz w:val="19"/>
          <w:szCs w:val="19"/>
          <w:color w:val="auto"/>
        </w:rPr>
      </w:pPr>
      <w:r>
        <w:rPr>
          <w:rFonts w:ascii="Arial" w:cs="Arial" w:eastAsia="Arial" w:hAnsi="Arial"/>
          <w:sz w:val="19"/>
          <w:szCs w:val="19"/>
          <w:u w:val="single" w:color="auto"/>
          <w:color w:val="auto"/>
        </w:rPr>
        <w:t>Maximum Consolidated Total Leverage Ratio</w:t>
      </w:r>
      <w:r>
        <w:rPr>
          <w:rFonts w:ascii="Arial" w:cs="Arial" w:eastAsia="Arial" w:hAnsi="Arial"/>
          <w:sz w:val="19"/>
          <w:szCs w:val="19"/>
          <w:color w:val="auto"/>
        </w:rPr>
        <w:t>. Permit the Consolidated Total Leverage Ratio, as at the last day of any period of four consecutive trailing fiscal quarters of Holdings to be greater than the ratio set forth below opposite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240"/>
          </w:cols>
          <w:pgMar w:left="320" w:top="1405" w:right="339" w:bottom="1440" w:gutter="0" w:footer="0" w:header="0"/>
        </w:sectPr>
      </w:pPr>
    </w:p>
    <w:bookmarkStart w:id="298" w:name="page299"/>
    <w:bookmarkEnd w:id="298"/>
    <w:p>
      <w:pPr>
        <w:spacing w:after="0" w:line="3" w:lineRule="exact"/>
        <w:rPr>
          <w:sz w:val="20"/>
          <w:szCs w:val="20"/>
          <w:color w:val="auto"/>
        </w:rPr>
      </w:pPr>
    </w:p>
    <w:tbl>
      <w:tblPr>
        <w:tblLayout w:type="fixed"/>
        <w:tblInd w:w="550" w:type="dxa"/>
        <w:tblCellMar>
          <w:top w:w="0" w:type="dxa"/>
          <w:left w:w="0" w:type="dxa"/>
          <w:bottom w:w="0" w:type="dxa"/>
          <w:right w:w="0" w:type="dxa"/>
        </w:tblCellMar>
      </w:tblPr>
      <w:tr>
        <w:trPr>
          <w:trHeight w:val="257"/>
        </w:trPr>
        <w:tc>
          <w:tcPr>
            <w:tcW w:w="1020" w:type="dxa"/>
            <w:vAlign w:val="bottom"/>
            <w:tcBorders>
              <w:top w:val="single" w:sz="8" w:color="auto"/>
              <w:left w:val="single" w:sz="8" w:color="auto"/>
              <w:bottom w:val="single" w:sz="8" w:color="auto"/>
            </w:tcBorders>
            <w:shd w:val="clear" w:color="auto" w:fill="D9D9D9"/>
          </w:tcPr>
          <w:p>
            <w:pPr>
              <w:spacing w:after="0"/>
              <w:rPr>
                <w:sz w:val="22"/>
                <w:szCs w:val="22"/>
                <w:color w:val="auto"/>
              </w:rPr>
            </w:pPr>
          </w:p>
        </w:tc>
        <w:tc>
          <w:tcPr>
            <w:tcW w:w="402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Arial" w:cs="Arial" w:eastAsia="Arial" w:hAnsi="Arial"/>
                <w:sz w:val="20"/>
                <w:szCs w:val="20"/>
                <w:b w:val="1"/>
                <w:bCs w:val="1"/>
                <w:color w:val="auto"/>
              </w:rPr>
              <w:t>Four Fiscal Quarter Period Ending</w:t>
            </w:r>
          </w:p>
        </w:tc>
        <w:tc>
          <w:tcPr>
            <w:tcW w:w="220" w:type="dxa"/>
            <w:vAlign w:val="bottom"/>
            <w:tcBorders>
              <w:top w:val="single" w:sz="8" w:color="auto"/>
              <w:bottom w:val="single" w:sz="8" w:color="auto"/>
            </w:tcBorders>
            <w:shd w:val="clear" w:color="auto" w:fill="D9D9D9"/>
          </w:tcPr>
          <w:p>
            <w:pPr>
              <w:spacing w:after="0"/>
              <w:rPr>
                <w:sz w:val="22"/>
                <w:szCs w:val="22"/>
                <w:color w:val="auto"/>
              </w:rPr>
            </w:pPr>
          </w:p>
        </w:tc>
        <w:tc>
          <w:tcPr>
            <w:tcW w:w="4120" w:type="dxa"/>
            <w:vAlign w:val="bottom"/>
            <w:tcBorders>
              <w:top w:val="single" w:sz="8" w:color="auto"/>
              <w:bottom w:val="single" w:sz="8" w:color="auto"/>
              <w:right w:val="single" w:sz="8" w:color="auto"/>
            </w:tcBorders>
            <w:gridSpan w:val="2"/>
            <w:shd w:val="clear" w:color="auto" w:fill="D9D9D9"/>
          </w:tcPr>
          <w:p>
            <w:pPr>
              <w:spacing w:after="0" w:line="216" w:lineRule="exact"/>
              <w:rPr>
                <w:sz w:val="20"/>
                <w:szCs w:val="20"/>
                <w:color w:val="auto"/>
              </w:rPr>
            </w:pPr>
            <w:r>
              <w:rPr>
                <w:rFonts w:ascii="Arial" w:cs="Arial" w:eastAsia="Arial" w:hAnsi="Arial"/>
                <w:sz w:val="20"/>
                <w:szCs w:val="20"/>
                <w:b w:val="1"/>
                <w:bCs w:val="1"/>
                <w:color w:val="auto"/>
                <w:w w:val="95"/>
              </w:rPr>
              <w:t>Maximum Consolidated Total Leverage Ratio</w:t>
            </w:r>
          </w:p>
        </w:tc>
      </w:tr>
      <w:tr>
        <w:trPr>
          <w:trHeight w:val="237"/>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January 31, 2021</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5.50:1.00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April 30, 2021</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5.50:1.00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July 31, 2021</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5.00:1.00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October 31, 2021</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5.00:1.00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January 31, 2022</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4.50:1.00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April 30, 2022</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4.50:1.00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7"/>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July 31, 2022</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4.00:1.00</w:t>
            </w:r>
          </w:p>
        </w:tc>
        <w:tc>
          <w:tcPr>
            <w:tcW w:w="260" w:type="dxa"/>
            <w:vAlign w:val="bottom"/>
            <w:tcBorders>
              <w:bottom w:val="single" w:sz="8" w:color="auto"/>
              <w:right w:val="single" w:sz="8" w:color="auto"/>
            </w:tcBorders>
          </w:tcPr>
          <w:p>
            <w:pPr>
              <w:spacing w:after="0"/>
              <w:rPr>
                <w:sz w:val="20"/>
                <w:szCs w:val="20"/>
                <w:color w:val="auto"/>
              </w:rPr>
            </w:pPr>
          </w:p>
        </w:tc>
      </w:tr>
      <w:tr>
        <w:trPr>
          <w:trHeight w:val="236"/>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October 31, 2022</w:t>
            </w:r>
          </w:p>
        </w:tc>
        <w:tc>
          <w:tcPr>
            <w:tcW w:w="4080" w:type="dxa"/>
            <w:vAlign w:val="bottom"/>
            <w:tcBorders>
              <w:bottom w:val="single" w:sz="8" w:color="auto"/>
            </w:tcBorders>
            <w:gridSpan w:val="2"/>
          </w:tcPr>
          <w:p>
            <w:pPr>
              <w:jc w:val="right"/>
              <w:ind w:right="3141"/>
              <w:spacing w:after="0"/>
              <w:rPr>
                <w:sz w:val="20"/>
                <w:szCs w:val="20"/>
                <w:color w:val="auto"/>
              </w:rPr>
            </w:pPr>
            <w:r>
              <w:rPr>
                <w:rFonts w:ascii="Arial" w:cs="Arial" w:eastAsia="Arial" w:hAnsi="Arial"/>
                <w:sz w:val="20"/>
                <w:szCs w:val="20"/>
                <w:color w:val="auto"/>
                <w:w w:val="98"/>
              </w:rPr>
              <w:t>4.00:1.00</w:t>
            </w:r>
          </w:p>
        </w:tc>
        <w:tc>
          <w:tcPr>
            <w:tcW w:w="260" w:type="dxa"/>
            <w:vAlign w:val="bottom"/>
            <w:tcBorders>
              <w:bottom w:val="single" w:sz="8" w:color="auto"/>
              <w:right w:val="single" w:sz="8" w:color="auto"/>
            </w:tcBorders>
          </w:tcPr>
          <w:p>
            <w:pPr>
              <w:spacing w:after="0"/>
              <w:rPr>
                <w:sz w:val="20"/>
                <w:szCs w:val="20"/>
                <w:color w:val="auto"/>
              </w:rPr>
            </w:pPr>
          </w:p>
        </w:tc>
      </w:tr>
      <w:tr>
        <w:trPr>
          <w:trHeight w:val="192"/>
        </w:trPr>
        <w:tc>
          <w:tcPr>
            <w:tcW w:w="5040" w:type="dxa"/>
            <w:vAlign w:val="bottom"/>
            <w:tcBorders>
              <w:left w:val="single" w:sz="8" w:color="auto"/>
              <w:right w:val="single" w:sz="8" w:color="auto"/>
            </w:tcBorders>
            <w:gridSpan w:val="3"/>
          </w:tcPr>
          <w:p>
            <w:pPr>
              <w:ind w:left="20"/>
              <w:spacing w:after="0" w:line="192" w:lineRule="exact"/>
              <w:rPr>
                <w:sz w:val="20"/>
                <w:szCs w:val="20"/>
                <w:color w:val="auto"/>
              </w:rPr>
            </w:pPr>
            <w:r>
              <w:rPr>
                <w:rFonts w:ascii="Arial" w:cs="Arial" w:eastAsia="Arial" w:hAnsi="Arial"/>
                <w:sz w:val="20"/>
                <w:szCs w:val="20"/>
                <w:color w:val="auto"/>
              </w:rPr>
              <w:t>January 31, 2023 and the last day of each fiscal quarter</w:t>
            </w:r>
          </w:p>
        </w:tc>
        <w:tc>
          <w:tcPr>
            <w:tcW w:w="4080" w:type="dxa"/>
            <w:vAlign w:val="bottom"/>
            <w:gridSpan w:val="2"/>
          </w:tcPr>
          <w:p>
            <w:pPr>
              <w:jc w:val="right"/>
              <w:ind w:right="3141"/>
              <w:spacing w:after="0" w:line="192" w:lineRule="exact"/>
              <w:rPr>
                <w:sz w:val="20"/>
                <w:szCs w:val="20"/>
                <w:color w:val="auto"/>
              </w:rPr>
            </w:pPr>
            <w:r>
              <w:rPr>
                <w:rFonts w:ascii="Arial" w:cs="Arial" w:eastAsia="Arial" w:hAnsi="Arial"/>
                <w:sz w:val="20"/>
                <w:szCs w:val="20"/>
                <w:color w:val="auto"/>
                <w:w w:val="98"/>
              </w:rPr>
              <w:t>3.50:1.00</w:t>
            </w:r>
          </w:p>
        </w:tc>
        <w:tc>
          <w:tcPr>
            <w:tcW w:w="260" w:type="dxa"/>
            <w:vAlign w:val="bottom"/>
            <w:tcBorders>
              <w:right w:val="single" w:sz="8" w:color="auto"/>
            </w:tcBorders>
          </w:tcPr>
          <w:p>
            <w:pPr>
              <w:spacing w:after="0"/>
              <w:rPr>
                <w:sz w:val="16"/>
                <w:szCs w:val="16"/>
                <w:color w:val="auto"/>
              </w:rPr>
            </w:pPr>
          </w:p>
        </w:tc>
      </w:tr>
      <w:tr>
        <w:trPr>
          <w:trHeight w:val="233"/>
        </w:trPr>
        <w:tc>
          <w:tcPr>
            <w:tcW w:w="50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thereafter</w:t>
            </w:r>
          </w:p>
        </w:tc>
        <w:tc>
          <w:tcPr>
            <w:tcW w:w="2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23" w:lineRule="exact"/>
        <w:rPr>
          <w:sz w:val="20"/>
          <w:szCs w:val="20"/>
          <w:color w:val="auto"/>
        </w:rPr>
      </w:pPr>
    </w:p>
    <w:p>
      <w:pPr>
        <w:jc w:val="both"/>
        <w:ind w:firstLine="1296"/>
        <w:spacing w:after="0" w:line="228" w:lineRule="auto"/>
        <w:rPr>
          <w:sz w:val="20"/>
          <w:szCs w:val="20"/>
          <w:color w:val="auto"/>
        </w:rPr>
      </w:pPr>
      <w:r>
        <w:rPr>
          <w:rFonts w:ascii="Arial" w:cs="Arial" w:eastAsia="Arial" w:hAnsi="Arial"/>
          <w:sz w:val="18"/>
          <w:szCs w:val="18"/>
          <w:color w:val="auto"/>
        </w:rPr>
        <w:t xml:space="preserve">Notwithstanding the foregoing, if a Group Member consummates a Qualified Acquisition during any fiscal quarter (or, in the case of any test hereunder calculated on a Pro Forma Basis, subsequent to the last day of such period and on or prior to the date of such test), the Borrower may elect to increase each of the applicable Consolidated Senior Secured Leverage Ratio and Consolidated Total Leverage Ratio covenant levels by 0.50:1.00 for the purposes of determining compliance with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as of the last day of each fiscal quarter ending during the four quarters following such Qualified Acquisition (or, in the case of any test hereunder calculated on a Pro Forma Basis, as of the last day of the fiscal quarter used in calculating such test) (an “</w:t>
      </w:r>
      <w:r>
        <w:rPr>
          <w:rFonts w:ascii="Arial" w:cs="Arial" w:eastAsia="Arial" w:hAnsi="Arial"/>
          <w:sz w:val="18"/>
          <w:szCs w:val="18"/>
          <w:b w:val="1"/>
          <w:bCs w:val="1"/>
          <w:i w:val="1"/>
          <w:iCs w:val="1"/>
          <w:color w:val="auto"/>
        </w:rPr>
        <w:t>Increased Leverage Threshold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not be permitted to elect an Increased Leverage Threshold Period if, at the end of either of the two fiscal quarters preceding the consummation of such Qualified Acquisition, an Increased Leverage Threshold Period was then in effect.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issue, incur, assume, become liable in respect of or suffer to exist any Indebtedness, except:</w:t>
      </w:r>
    </w:p>
    <w:p>
      <w:pPr>
        <w:spacing w:after="0" w:line="181" w:lineRule="exact"/>
        <w:rPr>
          <w:sz w:val="20"/>
          <w:szCs w:val="20"/>
          <w:color w:val="auto"/>
        </w:rPr>
      </w:pPr>
    </w:p>
    <w:p>
      <w:pPr>
        <w:ind w:left="1940" w:hanging="636"/>
        <w:spacing w:after="0"/>
        <w:tabs>
          <w:tab w:leader="none" w:pos="19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Indebtedness of any Loan Party pursuant to any Loan Document and under any Cash Management Agreement;</w:t>
      </w:r>
    </w:p>
    <w:p>
      <w:pPr>
        <w:spacing w:after="0" w:line="198" w:lineRule="exact"/>
        <w:rPr>
          <w:rFonts w:ascii="Arial" w:cs="Arial" w:eastAsia="Arial" w:hAnsi="Arial"/>
          <w:sz w:val="18"/>
          <w:szCs w:val="18"/>
          <w:color w:val="auto"/>
        </w:rPr>
      </w:pPr>
    </w:p>
    <w:p>
      <w:pPr>
        <w:jc w:val="both"/>
        <w:ind w:firstLine="1304"/>
        <w:spacing w:after="0" w:line="207" w:lineRule="auto"/>
        <w:tabs>
          <w:tab w:leader="none" w:pos="1932" w:val="left"/>
        </w:tabs>
        <w:numPr>
          <w:ilvl w:val="0"/>
          <w:numId w:val="257"/>
        </w:numPr>
        <w:rPr>
          <w:rFonts w:ascii="Arial" w:cs="Arial" w:eastAsia="Arial" w:hAnsi="Arial"/>
          <w:sz w:val="20"/>
          <w:szCs w:val="20"/>
          <w:color w:val="auto"/>
        </w:rPr>
      </w:pPr>
      <w:r>
        <w:rPr>
          <w:rFonts w:ascii="Arial" w:cs="Arial" w:eastAsia="Arial" w:hAnsi="Arial"/>
          <w:sz w:val="20"/>
          <w:szCs w:val="20"/>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Arial" w:cs="Arial" w:eastAsia="Arial" w:hAnsi="Arial"/>
          <w:sz w:val="20"/>
          <w:szCs w:val="20"/>
          <w:u w:val="single" w:color="auto"/>
          <w:color w:val="auto"/>
        </w:rPr>
        <w:t>Section 7.8(f)(iii)</w:t>
      </w:r>
      <w:r>
        <w:rPr>
          <w:rFonts w:ascii="Arial" w:cs="Arial" w:eastAsia="Arial" w:hAnsi="Arial"/>
          <w:sz w:val="20"/>
          <w:szCs w:val="20"/>
          <w:color w:val="auto"/>
        </w:rPr>
        <w:t>; provided, that, such Indebtedness owing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spacing w:after="0" w:line="159" w:lineRule="exact"/>
        <w:rPr>
          <w:rFonts w:ascii="Arial" w:cs="Arial" w:eastAsia="Arial" w:hAnsi="Arial"/>
          <w:sz w:val="20"/>
          <w:szCs w:val="20"/>
          <w:color w:val="auto"/>
        </w:rPr>
      </w:pPr>
    </w:p>
    <w:p>
      <w:pPr>
        <w:jc w:val="both"/>
        <w:ind w:firstLine="1304"/>
        <w:spacing w:after="0" w:line="231" w:lineRule="auto"/>
        <w:tabs>
          <w:tab w:leader="none" w:pos="193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Guarantee Obligations (i) of any Loan Party of the Indebtedness of any other Loan Party; (ii) of any Group Member (which is not a Loan Party) of the Indebtedness of any Loan Party (unless such Indebtedness is not permitted to be an obligation of a Group Member that is not a Loan Party pursuant to the terms hereof);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Arial" w:cs="Arial" w:eastAsia="Arial" w:hAnsi="Arial"/>
          <w:sz w:val="18"/>
          <w:szCs w:val="18"/>
          <w:u w:val="single" w:color="auto"/>
          <w:color w:val="auto"/>
        </w:rPr>
        <w:t>Section 7.8(f)(iii)</w:t>
      </w:r>
      <w:r>
        <w:rPr>
          <w:rFonts w:ascii="Arial" w:cs="Arial" w:eastAsia="Arial" w:hAnsi="Arial"/>
          <w:sz w:val="18"/>
          <w:szCs w:val="18"/>
          <w:color w:val="auto"/>
        </w:rPr>
        <w:t>; provided that, in any case of clauses (i), (ii), (iii) or (iv), the underlying Indebtedness so guaranteed is otherwise permitted by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240"/>
          </w:cols>
          <w:pgMar w:left="320" w:top="1440" w:right="339" w:bottom="1440" w:gutter="0" w:footer="0" w:header="0"/>
        </w:sectPr>
      </w:pPr>
    </w:p>
    <w:bookmarkStart w:id="299" w:name="page300"/>
    <w:bookmarkEnd w:id="299"/>
    <w:p>
      <w:pPr>
        <w:ind w:left="1940" w:hanging="636"/>
        <w:spacing w:after="0"/>
        <w:tabs>
          <w:tab w:leader="none" w:pos="1940"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Indebtedness outstanding on the date hereof and listed on </w:t>
      </w:r>
      <w:r>
        <w:rPr>
          <w:rFonts w:ascii="Arial" w:cs="Arial" w:eastAsia="Arial" w:hAnsi="Arial"/>
          <w:sz w:val="19"/>
          <w:szCs w:val="19"/>
          <w:u w:val="single" w:color="auto"/>
          <w:color w:val="auto"/>
        </w:rPr>
        <w:t>Schedule 7.2(d)</w:t>
      </w:r>
      <w:r>
        <w:rPr>
          <w:rFonts w:ascii="Arial" w:cs="Arial" w:eastAsia="Arial" w:hAnsi="Arial"/>
          <w:sz w:val="19"/>
          <w:szCs w:val="19"/>
          <w:color w:val="auto"/>
        </w:rPr>
        <w:t xml:space="preserve"> and Permitted Refinancing thereof;</w:t>
      </w:r>
    </w:p>
    <w:p>
      <w:pPr>
        <w:spacing w:after="0" w:line="186" w:lineRule="exact"/>
        <w:rPr>
          <w:rFonts w:ascii="Arial" w:cs="Arial" w:eastAsia="Arial" w:hAnsi="Arial"/>
          <w:sz w:val="19"/>
          <w:szCs w:val="19"/>
          <w:color w:val="auto"/>
        </w:rPr>
      </w:pPr>
    </w:p>
    <w:p>
      <w:pPr>
        <w:jc w:val="both"/>
        <w:ind w:firstLine="1304"/>
        <w:spacing w:after="0" w:line="218" w:lineRule="auto"/>
        <w:tabs>
          <w:tab w:leader="none" w:pos="1934"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Indebtedness (including, without limitation, Capital Lease Obligations and purchase money financing) secured by Liens permitted by </w:t>
      </w:r>
      <w:r>
        <w:rPr>
          <w:rFonts w:ascii="Arial" w:cs="Arial" w:eastAsia="Arial" w:hAnsi="Arial"/>
          <w:sz w:val="20"/>
          <w:szCs w:val="20"/>
          <w:u w:val="single" w:color="auto"/>
          <w:color w:val="auto"/>
        </w:rPr>
        <w:t>Section 7.3(g)</w:t>
      </w:r>
      <w:r>
        <w:rPr>
          <w:rFonts w:ascii="Arial" w:cs="Arial" w:eastAsia="Arial" w:hAnsi="Arial"/>
          <w:sz w:val="20"/>
          <w:szCs w:val="20"/>
          <w:color w:val="auto"/>
        </w:rPr>
        <w:t xml:space="preserve"> in an aggregate principal amount not to exceed $50,000,000 at any one time outstanding and any Permitted Refinancing thereof;</w:t>
      </w:r>
    </w:p>
    <w:p>
      <w:pPr>
        <w:spacing w:after="0" w:line="156" w:lineRule="exact"/>
        <w:rPr>
          <w:rFonts w:ascii="Arial" w:cs="Arial" w:eastAsia="Arial" w:hAnsi="Arial"/>
          <w:sz w:val="20"/>
          <w:szCs w:val="20"/>
          <w:color w:val="auto"/>
        </w:rPr>
      </w:pPr>
    </w:p>
    <w:p>
      <w:pPr>
        <w:ind w:firstLine="1304"/>
        <w:spacing w:after="0" w:line="229" w:lineRule="auto"/>
        <w:tabs>
          <w:tab w:leader="none" w:pos="1939"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Subordinated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Indebtedness shall not have a maturity date that is earlier than 180 days after the Revolving Termination Date;</w:t>
      </w:r>
    </w:p>
    <w:p>
      <w:pPr>
        <w:spacing w:after="0" w:line="155" w:lineRule="exact"/>
        <w:rPr>
          <w:rFonts w:ascii="Arial" w:cs="Arial" w:eastAsia="Arial" w:hAnsi="Arial"/>
          <w:sz w:val="20"/>
          <w:szCs w:val="20"/>
          <w:color w:val="auto"/>
        </w:rPr>
      </w:pPr>
    </w:p>
    <w:p>
      <w:pPr>
        <w:ind w:firstLine="1304"/>
        <w:spacing w:after="0" w:line="242" w:lineRule="auto"/>
        <w:tabs>
          <w:tab w:leader="none" w:pos="1932"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Surety Indebtedness and any other Indebtedness in respect of letters of credit, banker’s acceptances or similar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any such Indebtedness outstanding at any time shall not exceed $10,000,000;</w:t>
      </w:r>
    </w:p>
    <w:p>
      <w:pPr>
        <w:spacing w:after="0" w:line="153" w:lineRule="exact"/>
        <w:rPr>
          <w:rFonts w:ascii="Arial" w:cs="Arial" w:eastAsia="Arial" w:hAnsi="Arial"/>
          <w:sz w:val="19"/>
          <w:szCs w:val="19"/>
          <w:color w:val="auto"/>
        </w:rPr>
      </w:pPr>
    </w:p>
    <w:p>
      <w:pPr>
        <w:jc w:val="both"/>
        <w:ind w:firstLine="1304"/>
        <w:spacing w:after="0" w:line="215" w:lineRule="auto"/>
        <w:tabs>
          <w:tab w:leader="none" w:pos="1932" w:val="left"/>
        </w:tabs>
        <w:numPr>
          <w:ilvl w:val="0"/>
          <w:numId w:val="258"/>
        </w:numPr>
        <w:rPr>
          <w:rFonts w:ascii="Arial" w:cs="Arial" w:eastAsia="Arial" w:hAnsi="Arial"/>
          <w:sz w:val="19"/>
          <w:szCs w:val="19"/>
          <w:color w:val="auto"/>
        </w:rPr>
      </w:pPr>
      <w:r>
        <w:rPr>
          <w:rFonts w:ascii="Arial" w:cs="Arial" w:eastAsia="Arial" w:hAnsi="Arial"/>
          <w:sz w:val="19"/>
          <w:szCs w:val="19"/>
          <w:color w:val="auto"/>
        </w:rPr>
        <w:t xml:space="preserve">Unsecured Notes so long as (i) immediately prior to and after giving effect to the incurrence thereof, no Event of Default has occurred and is continuing, and (ii) immediately after giving effect to the incurrence thereof, the Group Members shall be in compliance with each of the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(provided that each of the Consolidated Senior Secured Leverage Ratio and the Consolidated Total Leverage Ratio shall be calculated without netting Unrestricted Cash constituting the proceeds of such Indebtedness from the numerator of such definitions) giving pro forma effect to the incurrence of such Indebtedness and the application of the proceeds thereof as of the most recent quarter for which financial statements were required to be delivered hereunder (or if such Indebtedness is incurred prior to the date that financial statements for the fiscal year ending January 31, 2021 have been delivered, the same covenant levels applicable to the trailing four quarter period ending on January 31, 2021 shall be tested as of October 31, 2020) and any Permitted Refinancing thereof; and</w:t>
      </w:r>
    </w:p>
    <w:p>
      <w:pPr>
        <w:spacing w:after="0" w:line="155" w:lineRule="exact"/>
        <w:rPr>
          <w:rFonts w:ascii="Arial" w:cs="Arial" w:eastAsia="Arial" w:hAnsi="Arial"/>
          <w:sz w:val="19"/>
          <w:szCs w:val="19"/>
          <w:color w:val="auto"/>
        </w:rPr>
      </w:pPr>
    </w:p>
    <w:p>
      <w:pPr>
        <w:jc w:val="both"/>
        <w:ind w:firstLine="1304"/>
        <w:spacing w:after="0" w:line="218" w:lineRule="auto"/>
        <w:tabs>
          <w:tab w:leader="none" w:pos="1942"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obligations (contingent or otherwise) of Holdings or any of its Subsidiaries existing or arising under any Swap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obligations are (or were) entered into by such Person in accordance with </w:t>
      </w:r>
      <w:r>
        <w:rPr>
          <w:rFonts w:ascii="Arial" w:cs="Arial" w:eastAsia="Arial" w:hAnsi="Arial"/>
          <w:sz w:val="20"/>
          <w:szCs w:val="20"/>
          <w:u w:val="single" w:color="auto"/>
          <w:color w:val="auto"/>
        </w:rPr>
        <w:t>Section 7.13</w:t>
      </w:r>
      <w:r>
        <w:rPr>
          <w:rFonts w:ascii="Arial" w:cs="Arial" w:eastAsia="Arial" w:hAnsi="Arial"/>
          <w:sz w:val="20"/>
          <w:szCs w:val="20"/>
          <w:color w:val="auto"/>
        </w:rPr>
        <w:t xml:space="preserve"> and not for purposes of speculation;</w:t>
      </w:r>
    </w:p>
    <w:p>
      <w:pPr>
        <w:spacing w:after="0" w:line="156" w:lineRule="exact"/>
        <w:rPr>
          <w:rFonts w:ascii="Arial" w:cs="Arial" w:eastAsia="Arial" w:hAnsi="Arial"/>
          <w:sz w:val="20"/>
          <w:szCs w:val="20"/>
          <w:color w:val="auto"/>
        </w:rPr>
      </w:pPr>
    </w:p>
    <w:p>
      <w:pPr>
        <w:jc w:val="both"/>
        <w:ind w:firstLine="1304"/>
        <w:spacing w:after="0" w:line="206" w:lineRule="auto"/>
        <w:tabs>
          <w:tab w:leader="none" w:pos="1942"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Indebtedness of a Person (other than a Loan Party or an existing Subsidiary) existing at the time such Person is merged with or into a Loan Party or a Subsidiary or becomes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was not, in any case, incurred by such other Person in connection with, or in contemplation of, such merger or acquisition, (ii) such merger or acquisition constitutes a permitted Investment, (iii) with respect to any such Person who becomes a Subsidiary, (A) such Subsidiary and any of its Subsidiaries are the only obligors in respect of such Indebtedness, and (B) to the extent such Indebtedness is permitted to be secured hereunder, only the assets of such Subsidiary and any of its Subsidiaries secure such Indebtedness, and (iv) the aggregate amount of such Indebtedness does not exceed $50,000,000 in the aggregate;</w:t>
      </w:r>
    </w:p>
    <w:p>
      <w:pPr>
        <w:spacing w:after="0" w:line="157" w:lineRule="exact"/>
        <w:rPr>
          <w:rFonts w:ascii="Arial" w:cs="Arial" w:eastAsia="Arial" w:hAnsi="Arial"/>
          <w:sz w:val="20"/>
          <w:szCs w:val="20"/>
          <w:color w:val="auto"/>
        </w:rPr>
      </w:pPr>
    </w:p>
    <w:p>
      <w:pPr>
        <w:ind w:left="1940" w:hanging="636"/>
        <w:spacing w:after="0"/>
        <w:tabs>
          <w:tab w:leader="none" w:pos="19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98" w:lineRule="exact"/>
        <w:rPr>
          <w:rFonts w:ascii="Arial" w:cs="Arial" w:eastAsia="Arial" w:hAnsi="Arial"/>
          <w:sz w:val="18"/>
          <w:szCs w:val="18"/>
          <w:color w:val="auto"/>
        </w:rPr>
      </w:pPr>
    </w:p>
    <w:p>
      <w:pPr>
        <w:jc w:val="both"/>
        <w:ind w:firstLine="1304"/>
        <w:spacing w:after="0" w:line="236" w:lineRule="auto"/>
        <w:tabs>
          <w:tab w:leader="none" w:pos="194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Indebtedness in the form of purchase price adjustments, earn outs, deferred compensation, or other arrangements representing acquisition consideration or deferred payments of a similar nature incurred in connection with Investments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7.8</w:t>
      </w:r>
      <w:r>
        <w:rPr>
          <w:rFonts w:ascii="Arial" w:cs="Arial" w:eastAsia="Arial" w:hAnsi="Arial"/>
          <w:sz w:val="18"/>
          <w:szCs w:val="18"/>
          <w:color w:val="auto"/>
        </w:rPr>
        <w:t>; provided that the amount of such obligation shall be deemed part of the cost of such Investment (the amount of which shall be deemed to be the amount required to be accrued as a liability in accordance with GAAP or the amount actually paid);</w:t>
      </w:r>
    </w:p>
    <w:p>
      <w:pPr>
        <w:spacing w:after="0" w:line="157" w:lineRule="exact"/>
        <w:rPr>
          <w:rFonts w:ascii="Arial" w:cs="Arial" w:eastAsia="Arial" w:hAnsi="Arial"/>
          <w:sz w:val="18"/>
          <w:szCs w:val="18"/>
          <w:color w:val="auto"/>
        </w:rPr>
      </w:pPr>
    </w:p>
    <w:p>
      <w:pPr>
        <w:ind w:left="1940" w:hanging="636"/>
        <w:spacing w:after="0"/>
        <w:tabs>
          <w:tab w:leader="none" w:pos="194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Indebtedness consisting of the financing of insurance premiums;</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Indebtedness incurred with corporate credit cards, in an aggregate amount not to exceed $5,000,000 at any one time</w:t>
      </w:r>
    </w:p>
    <w:p>
      <w:pPr>
        <w:spacing w:after="0" w:line="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outstanding;</w:t>
      </w:r>
    </w:p>
    <w:p>
      <w:pPr>
        <w:spacing w:after="0" w:line="159" w:lineRule="exact"/>
        <w:rPr>
          <w:rFonts w:ascii="Arial" w:cs="Arial" w:eastAsia="Arial" w:hAnsi="Arial"/>
          <w:sz w:val="16"/>
          <w:szCs w:val="16"/>
          <w:color w:val="auto"/>
        </w:rPr>
      </w:pPr>
    </w:p>
    <w:p>
      <w:pPr>
        <w:jc w:val="both"/>
        <w:ind w:firstLine="1304"/>
        <w:spacing w:after="0" w:line="218" w:lineRule="auto"/>
        <w:tabs>
          <w:tab w:leader="none" w:pos="1932" w:val="left"/>
        </w:tabs>
        <w:numPr>
          <w:ilvl w:val="0"/>
          <w:numId w:val="258"/>
        </w:numPr>
        <w:rPr>
          <w:rFonts w:ascii="Arial" w:cs="Arial" w:eastAsia="Arial" w:hAnsi="Arial"/>
          <w:sz w:val="20"/>
          <w:szCs w:val="20"/>
          <w:color w:val="auto"/>
        </w:rPr>
      </w:pPr>
      <w:r>
        <w:rPr>
          <w:rFonts w:ascii="Arial" w:cs="Arial" w:eastAsia="Arial" w:hAnsi="Arial"/>
          <w:sz w:val="20"/>
          <w:szCs w:val="20"/>
          <w:color w:val="auto"/>
        </w:rPr>
        <w:t>Ratio Debt so long as (i) immediately prior to and after giving effect to the incurrence thereof, no Event of Default has occurred and is continuing, and (ii) immediately after giving effect to the incurrence thereof, the Group Members shall be in compliance with each of the covenants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240"/>
          </w:cols>
          <w:pgMar w:left="320" w:top="1405" w:right="339" w:bottom="1440" w:gutter="0" w:footer="0" w:header="0"/>
        </w:sectPr>
      </w:pPr>
    </w:p>
    <w:bookmarkStart w:id="300" w:name="page301"/>
    <w:bookmarkEnd w:id="300"/>
    <w:p>
      <w:pPr>
        <w:jc w:val="both"/>
        <w:spacing w:after="0" w:line="231" w:lineRule="auto"/>
        <w:rPr>
          <w:sz w:val="20"/>
          <w:szCs w:val="20"/>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(provided that each of the Consolidated Senior Secured Leverage Ratio and the Consolidated Total Leverage Ratio shall be calculated without netting Unrestricted Cash constituting the proceeds of such Indebtedness from the numerator of such definitions) giving pro forma effect to the incurrence of such Indebtedness and the application of the proceeds thereof as of the most recent quarter for which financial statements were required to be delivered hereunder (or if such Indebtedness is incurred prior to the date that financial statements for the fiscal year ending January 31, 2021 have been delivered, the same covenant levels applicable to the trailing four quarter period ending on January 31, 2021 shall be tested as of October 31, 2020) and any Permitted Refinancing thereof; and</w:t>
      </w:r>
    </w:p>
    <w:p>
      <w:pPr>
        <w:spacing w:after="0" w:line="14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9"/>
          <w:szCs w:val="19"/>
          <w:color w:val="auto"/>
        </w:rPr>
        <w:t>(p)</w:t>
      </w:r>
      <w:r>
        <w:rPr>
          <w:sz w:val="20"/>
          <w:szCs w:val="20"/>
          <w:color w:val="auto"/>
        </w:rPr>
        <w:tab/>
      </w:r>
      <w:r>
        <w:rPr>
          <w:rFonts w:ascii="Arial" w:cs="Arial" w:eastAsia="Arial" w:hAnsi="Arial"/>
          <w:sz w:val="19"/>
          <w:szCs w:val="19"/>
          <w:color w:val="auto"/>
        </w:rPr>
        <w:t>Indebtedness not otherwise permitted by this Section in an aggregate amount not to $25,000,000 at any time</w:t>
      </w:r>
    </w:p>
    <w:p>
      <w:pPr>
        <w:spacing w:after="0"/>
        <w:rPr>
          <w:sz w:val="20"/>
          <w:szCs w:val="20"/>
          <w:color w:val="auto"/>
        </w:rPr>
      </w:pPr>
      <w:r>
        <w:rPr>
          <w:rFonts w:ascii="Arial" w:cs="Arial" w:eastAsia="Arial" w:hAnsi="Arial"/>
          <w:sz w:val="20"/>
          <w:szCs w:val="20"/>
          <w:color w:val="auto"/>
        </w:rPr>
        <w:t>outstanding.</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Liens</w:t>
      </w:r>
      <w:r>
        <w:rPr>
          <w:rFonts w:ascii="Arial" w:cs="Arial" w:eastAsia="Arial" w:hAnsi="Arial"/>
          <w:sz w:val="18"/>
          <w:szCs w:val="18"/>
          <w:color w:val="auto"/>
        </w:rPr>
        <w:t>. Create, incur, assume or suffer to exist any Lien upon any of its property, whether now owned or hereafter acquired,</w:t>
      </w:r>
    </w:p>
    <w:p>
      <w:pPr>
        <w:spacing w:after="0"/>
        <w:rPr>
          <w:sz w:val="20"/>
          <w:szCs w:val="20"/>
          <w:color w:val="auto"/>
        </w:rPr>
      </w:pPr>
      <w:r>
        <w:rPr>
          <w:rFonts w:ascii="Arial" w:cs="Arial" w:eastAsia="Arial" w:hAnsi="Arial"/>
          <w:sz w:val="20"/>
          <w:szCs w:val="20"/>
          <w:color w:val="auto"/>
        </w:rPr>
        <w:t>except:</w:t>
      </w:r>
    </w:p>
    <w:p>
      <w:pPr>
        <w:spacing w:after="0" w:line="159" w:lineRule="exact"/>
        <w:rPr>
          <w:sz w:val="20"/>
          <w:szCs w:val="20"/>
          <w:color w:val="auto"/>
        </w:rPr>
      </w:pPr>
    </w:p>
    <w:p>
      <w:pPr>
        <w:ind w:firstLine="1304"/>
        <w:spacing w:after="0" w:line="242" w:lineRule="auto"/>
        <w:tabs>
          <w:tab w:leader="none" w:pos="1934"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Liens for taxes not yet due or that are being contested in good faith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adequate reserves with respect thereto are maintained on the books of the applicable Group Member in conformity with GAAP;</w:t>
      </w:r>
    </w:p>
    <w:p>
      <w:pPr>
        <w:spacing w:after="0" w:line="153" w:lineRule="exact"/>
        <w:rPr>
          <w:rFonts w:ascii="Arial" w:cs="Arial" w:eastAsia="Arial" w:hAnsi="Arial"/>
          <w:sz w:val="19"/>
          <w:szCs w:val="19"/>
          <w:color w:val="auto"/>
        </w:rPr>
      </w:pPr>
    </w:p>
    <w:p>
      <w:pPr>
        <w:ind w:firstLine="1304"/>
        <w:spacing w:after="0" w:line="229" w:lineRule="auto"/>
        <w:tabs>
          <w:tab w:leader="none" w:pos="1932" w:val="left"/>
        </w:tabs>
        <w:numPr>
          <w:ilvl w:val="0"/>
          <w:numId w:val="259"/>
        </w:numPr>
        <w:rPr>
          <w:rFonts w:ascii="Arial" w:cs="Arial" w:eastAsia="Arial" w:hAnsi="Arial"/>
          <w:sz w:val="20"/>
          <w:szCs w:val="20"/>
          <w:color w:val="auto"/>
        </w:rPr>
      </w:pPr>
      <w:r>
        <w:rPr>
          <w:rFonts w:ascii="Arial" w:cs="Arial" w:eastAsia="Arial" w:hAnsi="Arial"/>
          <w:sz w:val="20"/>
          <w:szCs w:val="20"/>
          <w:color w:val="auto"/>
        </w:rPr>
        <w:t>carriers’, warehousemen’s, landlord’s, mechanics’, materialmen’s, repairmen’s or other like Liens arising in the ordinary course of business;</w:t>
      </w:r>
    </w:p>
    <w:p>
      <w:pPr>
        <w:spacing w:after="0" w:line="153" w:lineRule="exact"/>
        <w:rPr>
          <w:rFonts w:ascii="Arial" w:cs="Arial" w:eastAsia="Arial" w:hAnsi="Arial"/>
          <w:sz w:val="20"/>
          <w:szCs w:val="20"/>
          <w:color w:val="auto"/>
        </w:rPr>
      </w:pPr>
    </w:p>
    <w:p>
      <w:pPr>
        <w:ind w:left="1940" w:hanging="636"/>
        <w:spacing w:after="0"/>
        <w:tabs>
          <w:tab w:leader="none" w:pos="19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w:t>
      </w:r>
    </w:p>
    <w:p>
      <w:pPr>
        <w:spacing w:after="0"/>
        <w:rPr>
          <w:rFonts w:ascii="Arial" w:cs="Arial" w:eastAsia="Arial" w:hAnsi="Arial"/>
          <w:sz w:val="18"/>
          <w:szCs w:val="18"/>
          <w:color w:val="auto"/>
        </w:rPr>
      </w:pPr>
      <w:r>
        <w:rPr>
          <w:rFonts w:ascii="Arial" w:cs="Arial" w:eastAsia="Arial" w:hAnsi="Arial"/>
          <w:sz w:val="20"/>
          <w:szCs w:val="20"/>
          <w:color w:val="auto"/>
        </w:rPr>
        <w:t>legislation;</w:t>
      </w:r>
    </w:p>
    <w:p>
      <w:pPr>
        <w:spacing w:after="0" w:line="159" w:lineRule="exact"/>
        <w:rPr>
          <w:rFonts w:ascii="Arial" w:cs="Arial" w:eastAsia="Arial" w:hAnsi="Arial"/>
          <w:sz w:val="18"/>
          <w:szCs w:val="18"/>
          <w:color w:val="auto"/>
        </w:rPr>
      </w:pPr>
    </w:p>
    <w:p>
      <w:pPr>
        <w:jc w:val="both"/>
        <w:ind w:firstLine="1304"/>
        <w:spacing w:after="0" w:line="230" w:lineRule="auto"/>
        <w:tabs>
          <w:tab w:leader="none" w:pos="1932" w:val="left"/>
        </w:tabs>
        <w:numPr>
          <w:ilvl w:val="0"/>
          <w:numId w:val="259"/>
        </w:numPr>
        <w:rPr>
          <w:rFonts w:ascii="Arial" w:cs="Arial" w:eastAsia="Arial" w:hAnsi="Arial"/>
          <w:sz w:val="19"/>
          <w:szCs w:val="19"/>
          <w:color w:val="auto"/>
        </w:rPr>
      </w:pPr>
      <w:r>
        <w:rPr>
          <w:rFonts w:ascii="Arial" w:cs="Arial" w:eastAsia="Arial" w:hAnsi="Arial"/>
          <w:sz w:val="19"/>
          <w:szCs w:val="19"/>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 or deposits made in connection with permitted Investments;</w:t>
      </w:r>
    </w:p>
    <w:p>
      <w:pPr>
        <w:spacing w:after="0" w:line="154" w:lineRule="exact"/>
        <w:rPr>
          <w:rFonts w:ascii="Arial" w:cs="Arial" w:eastAsia="Arial" w:hAnsi="Arial"/>
          <w:sz w:val="19"/>
          <w:szCs w:val="19"/>
          <w:color w:val="auto"/>
        </w:rPr>
      </w:pPr>
    </w:p>
    <w:p>
      <w:pPr>
        <w:jc w:val="both"/>
        <w:ind w:right="20" w:firstLine="1304"/>
        <w:spacing w:after="0" w:line="218" w:lineRule="auto"/>
        <w:tabs>
          <w:tab w:leader="none" w:pos="1934" w:val="left"/>
        </w:tabs>
        <w:numPr>
          <w:ilvl w:val="0"/>
          <w:numId w:val="259"/>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9"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Liens in existence on the date hereof listed on </w:t>
      </w:r>
      <w:r>
        <w:rPr>
          <w:rFonts w:ascii="Arial" w:cs="Arial" w:eastAsia="Arial" w:hAnsi="Arial"/>
          <w:sz w:val="20"/>
          <w:szCs w:val="20"/>
          <w:u w:val="single" w:color="auto"/>
          <w:color w:val="auto"/>
        </w:rPr>
        <w:t>Schedule 7.3(f)</w:t>
      </w:r>
      <w:r>
        <w:rPr>
          <w:rFonts w:ascii="Arial" w:cs="Arial" w:eastAsia="Arial" w:hAnsi="Arial"/>
          <w:sz w:val="20"/>
          <w:szCs w:val="20"/>
          <w:color w:val="auto"/>
        </w:rPr>
        <w:t xml:space="preserve"> to the Disclosure Letter;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such Lien is spread to cover any additional property after the Closing Date, (ii) the amount of Indebtedness or obligations secured or benefitted thereby is not increased, (iii) the direct or any contingent obligor with respect thereto is not changed, and (iv) any renewal or extension of the obligations secured thereby is permitted by </w:t>
      </w:r>
      <w:r>
        <w:rPr>
          <w:rFonts w:ascii="Arial" w:cs="Arial" w:eastAsia="Arial" w:hAnsi="Arial"/>
          <w:sz w:val="20"/>
          <w:szCs w:val="20"/>
          <w:u w:val="single" w:color="auto"/>
          <w:color w:val="auto"/>
        </w:rPr>
        <w:t>Section 7.2(d)</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36" w:lineRule="auto"/>
        <w:tabs>
          <w:tab w:leader="none" w:pos="193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7.2(e)</w:t>
      </w:r>
      <w:r>
        <w:rPr>
          <w:rFonts w:ascii="Arial" w:cs="Arial" w:eastAsia="Arial" w:hAnsi="Arial"/>
          <w:sz w:val="18"/>
          <w:szCs w:val="18"/>
          <w:color w:val="auto"/>
        </w:rPr>
        <w:t xml:space="preserve"> to finance the acquisition of fixed or capital assets; provided that (i) such Liens shall be created substantially simultaneously with, or within ninety (90) days after, the acquisition of such fixed or capital assets, (ii) such Liens do not at any time encumber any property other than the property financed by such Indebtedness, and (iii) the amount of Indebtedness secured thereby is not increased, except by an amount permitted by </w:t>
      </w:r>
      <w:r>
        <w:rPr>
          <w:rFonts w:ascii="Arial" w:cs="Arial" w:eastAsia="Arial" w:hAnsi="Arial"/>
          <w:sz w:val="18"/>
          <w:szCs w:val="18"/>
          <w:u w:val="single" w:color="auto"/>
          <w:color w:val="auto"/>
        </w:rPr>
        <w:t>Section 7.2(e)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1940" w:hanging="636"/>
        <w:spacing w:after="0"/>
        <w:tabs>
          <w:tab w:leader="none" w:pos="1940" w:val="left"/>
        </w:tabs>
        <w:numPr>
          <w:ilvl w:val="0"/>
          <w:numId w:val="259"/>
        </w:numPr>
        <w:rPr>
          <w:rFonts w:ascii="Arial" w:cs="Arial" w:eastAsia="Arial" w:hAnsi="Arial"/>
          <w:sz w:val="20"/>
          <w:szCs w:val="20"/>
          <w:color w:val="auto"/>
        </w:rPr>
      </w:pPr>
      <w:r>
        <w:rPr>
          <w:rFonts w:ascii="Arial" w:cs="Arial" w:eastAsia="Arial" w:hAnsi="Arial"/>
          <w:sz w:val="20"/>
          <w:szCs w:val="20"/>
          <w:color w:val="auto"/>
        </w:rPr>
        <w:t>Liens created pursuant to the Security Documents;</w:t>
      </w:r>
    </w:p>
    <w:p>
      <w:pPr>
        <w:spacing w:after="0" w:line="175" w:lineRule="exact"/>
        <w:rPr>
          <w:rFonts w:ascii="Arial" w:cs="Arial" w:eastAsia="Arial" w:hAnsi="Arial"/>
          <w:sz w:val="20"/>
          <w:szCs w:val="20"/>
          <w:color w:val="auto"/>
        </w:rPr>
      </w:pPr>
    </w:p>
    <w:p>
      <w:pPr>
        <w:jc w:val="both"/>
        <w:ind w:firstLine="1304"/>
        <w:spacing w:after="0" w:line="213" w:lineRule="auto"/>
        <w:tabs>
          <w:tab w:leader="none" w:pos="1942" w:val="left"/>
        </w:tabs>
        <w:numPr>
          <w:ilvl w:val="0"/>
          <w:numId w:val="259"/>
        </w:numPr>
        <w:rPr>
          <w:rFonts w:ascii="Arial" w:cs="Arial" w:eastAsia="Arial" w:hAnsi="Arial"/>
          <w:sz w:val="20"/>
          <w:szCs w:val="20"/>
          <w:color w:val="auto"/>
        </w:rPr>
      </w:pPr>
      <w:r>
        <w:rPr>
          <w:rFonts w:ascii="Arial" w:cs="Arial" w:eastAsia="Arial" w:hAnsi="Arial"/>
          <w:sz w:val="20"/>
          <w:szCs w:val="20"/>
          <w:color w:val="auto"/>
        </w:rPr>
        <w:t>(x) any interest or title of a lessor or licensor under any lease or license entered into by a Group Member in the ordinary course of its business and covering only the assets so leased or licensed, (y) leases, licenses, subleases and sublicenses of real property granted to others in the ordinary course of business and (z) non-exclusive licenses or sublicenses of Intellectual Property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240"/>
          </w:cols>
          <w:pgMar w:left="320" w:top="1405" w:right="339" w:bottom="1440" w:gutter="0" w:footer="0" w:header="0"/>
        </w:sectPr>
      </w:pPr>
    </w:p>
    <w:bookmarkStart w:id="301" w:name="page302"/>
    <w:bookmarkEnd w:id="301"/>
    <w:p>
      <w:pPr>
        <w:ind w:left="1940" w:hanging="636"/>
        <w:spacing w:after="0"/>
        <w:tabs>
          <w:tab w:leader="none" w:pos="19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judgment Liens that do not constitute a Default or an Event of Default under </w:t>
      </w:r>
      <w:r>
        <w:rPr>
          <w:rFonts w:ascii="Arial" w:cs="Arial" w:eastAsia="Arial" w:hAnsi="Arial"/>
          <w:sz w:val="19"/>
          <w:szCs w:val="19"/>
          <w:u w:val="single" w:color="auto"/>
          <w:color w:val="auto"/>
        </w:rPr>
        <w:t>Section 8.1(h)</w:t>
      </w:r>
      <w:r>
        <w:rPr>
          <w:rFonts w:ascii="Arial" w:cs="Arial" w:eastAsia="Arial" w:hAnsi="Arial"/>
          <w:sz w:val="19"/>
          <w:szCs w:val="19"/>
          <w:color w:val="auto"/>
        </w:rPr>
        <w:t xml:space="preserve"> of this Agreement;</w:t>
      </w:r>
    </w:p>
    <w:p>
      <w:pPr>
        <w:spacing w:after="0" w:line="186" w:lineRule="exact"/>
        <w:rPr>
          <w:rFonts w:ascii="Arial" w:cs="Arial" w:eastAsia="Arial" w:hAnsi="Arial"/>
          <w:sz w:val="19"/>
          <w:szCs w:val="19"/>
          <w:color w:val="auto"/>
        </w:rPr>
      </w:pPr>
    </w:p>
    <w:p>
      <w:pPr>
        <w:jc w:val="both"/>
        <w:ind w:firstLine="1304"/>
        <w:spacing w:after="0" w:line="233" w:lineRule="auto"/>
        <w:tabs>
          <w:tab w:leader="none" w:pos="19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56" w:lineRule="exact"/>
        <w:rPr>
          <w:rFonts w:ascii="Arial" w:cs="Arial" w:eastAsia="Arial" w:hAnsi="Arial"/>
          <w:sz w:val="18"/>
          <w:szCs w:val="18"/>
          <w:color w:val="auto"/>
        </w:rPr>
      </w:pPr>
    </w:p>
    <w:p>
      <w:pPr>
        <w:jc w:val="both"/>
        <w:ind w:firstLine="1304"/>
        <w:spacing w:after="0" w:line="213" w:lineRule="auto"/>
        <w:tabs>
          <w:tab w:leader="none" w:pos="194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 xml:space="preserve">(i) cash deposits and liens on cash and Cash Equivalents pledged to secure Indebtedness permitted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7.2(g)</w:t>
      </w:r>
      <w:r>
        <w:rPr>
          <w:rFonts w:ascii="Arial" w:cs="Arial" w:eastAsia="Arial" w:hAnsi="Arial"/>
          <w:sz w:val="20"/>
          <w:szCs w:val="20"/>
          <w:color w:val="auto"/>
        </w:rPr>
        <w:t xml:space="preserve">, (ii) Liens securing reimbursement obligations with respect to letters of credit permitted by </w:t>
      </w:r>
      <w:r>
        <w:rPr>
          <w:rFonts w:ascii="Arial" w:cs="Arial" w:eastAsia="Arial" w:hAnsi="Arial"/>
          <w:sz w:val="20"/>
          <w:szCs w:val="20"/>
          <w:u w:val="single" w:color="auto"/>
          <w:color w:val="auto"/>
        </w:rPr>
        <w:t>Section 7.2(g)</w:t>
      </w:r>
      <w:r>
        <w:rPr>
          <w:rFonts w:ascii="Arial" w:cs="Arial" w:eastAsia="Arial" w:hAnsi="Arial"/>
          <w:sz w:val="20"/>
          <w:szCs w:val="20"/>
          <w:color w:val="auto"/>
        </w:rPr>
        <w:t xml:space="preserve"> that encumber documents and other property relating to such letters of credit, and (iii) Liens securing Obligations under any Specified Swap Agreements permitted by </w:t>
      </w:r>
      <w:r>
        <w:rPr>
          <w:rFonts w:ascii="Arial" w:cs="Arial" w:eastAsia="Arial" w:hAnsi="Arial"/>
          <w:sz w:val="20"/>
          <w:szCs w:val="20"/>
          <w:u w:val="single" w:color="auto"/>
          <w:color w:val="auto"/>
        </w:rPr>
        <w:t>Section 7.2(i)</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 xml:space="preserve">Liens securing Subordinated Indebtedness incurrent pursuant to </w:t>
      </w:r>
      <w:r>
        <w:rPr>
          <w:rFonts w:ascii="Arial" w:cs="Arial" w:eastAsia="Arial" w:hAnsi="Arial"/>
          <w:sz w:val="20"/>
          <w:szCs w:val="20"/>
          <w:u w:val="single" w:color="auto"/>
          <w:color w:val="auto"/>
        </w:rPr>
        <w:t>Section 7.2(f)</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304"/>
        <w:spacing w:after="0" w:line="236" w:lineRule="auto"/>
        <w:tabs>
          <w:tab w:leader="none" w:pos="193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acquired by, merged into or consolidated with a Group Member or becomes a Subsidiary of a Group Member or acquired by a Group Member;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were not created in contemplation of such acquisition, merger, consolidation or Investment, (ii) such Liens do not extend to any assets other than those of such Person, and (iii) the applicable Indebtedness or obligation secured by such Lien is not prohibited under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Liens not otherwise permitted by this Section so long as neither (i) the aggregate outstanding principal amount of the obligations secured thereby nor (ii) the aggregate fair market value (determined as of the date such Lien is incurred) of the assets subject thereto exceeds (as to all Group Members) $25,000,000 at any one time;</w:t>
      </w:r>
    </w:p>
    <w:p>
      <w:pPr>
        <w:spacing w:after="0" w:line="142" w:lineRule="exact"/>
        <w:rPr>
          <w:rFonts w:ascii="Arial" w:cs="Arial" w:eastAsia="Arial" w:hAnsi="Arial"/>
          <w:sz w:val="20"/>
          <w:szCs w:val="20"/>
          <w:color w:val="auto"/>
        </w:rPr>
      </w:pPr>
    </w:p>
    <w:p>
      <w:pPr>
        <w:ind w:left="1940" w:hanging="636"/>
        <w:spacing w:after="0"/>
        <w:tabs>
          <w:tab w:leader="none" w:pos="194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Liens on insurance proceeds in favor of insurance companies granted solely to secured financed insurance</w:t>
      </w:r>
    </w:p>
    <w:p>
      <w:pPr>
        <w:spacing w:after="0"/>
        <w:rPr>
          <w:rFonts w:ascii="Arial" w:cs="Arial" w:eastAsia="Arial" w:hAnsi="Arial"/>
          <w:sz w:val="19"/>
          <w:szCs w:val="19"/>
          <w:color w:val="auto"/>
        </w:rPr>
      </w:pPr>
      <w:r>
        <w:rPr>
          <w:rFonts w:ascii="Arial" w:cs="Arial" w:eastAsia="Arial" w:hAnsi="Arial"/>
          <w:sz w:val="20"/>
          <w:szCs w:val="20"/>
          <w:color w:val="auto"/>
        </w:rPr>
        <w:t>premiums;</w:t>
      </w:r>
    </w:p>
    <w:p>
      <w:pPr>
        <w:spacing w:after="0" w:line="159" w:lineRule="exact"/>
        <w:rPr>
          <w:rFonts w:ascii="Arial" w:cs="Arial" w:eastAsia="Arial" w:hAnsi="Arial"/>
          <w:sz w:val="19"/>
          <w:szCs w:val="19"/>
          <w:color w:val="auto"/>
        </w:rPr>
      </w:pPr>
    </w:p>
    <w:p>
      <w:pPr>
        <w:ind w:firstLine="1304"/>
        <w:spacing w:after="0" w:line="229" w:lineRule="auto"/>
        <w:tabs>
          <w:tab w:leader="none" w:pos="1939" w:val="left"/>
        </w:tabs>
        <w:numPr>
          <w:ilvl w:val="0"/>
          <w:numId w:val="260"/>
        </w:numPr>
        <w:rPr>
          <w:rFonts w:ascii="Arial" w:cs="Arial" w:eastAsia="Arial" w:hAnsi="Arial"/>
          <w:sz w:val="20"/>
          <w:szCs w:val="20"/>
          <w:color w:val="auto"/>
        </w:rPr>
      </w:pPr>
      <w:r>
        <w:rPr>
          <w:rFonts w:ascii="Arial" w:cs="Arial" w:eastAsia="Arial" w:hAnsi="Arial"/>
          <w:sz w:val="20"/>
          <w:szCs w:val="20"/>
          <w:color w:val="auto"/>
        </w:rPr>
        <w:t>Liens in favor of custom and revenue authorities arising as a matter of law to secure the payment of custom duties in connection with the importation of goods;</w:t>
      </w:r>
    </w:p>
    <w:p>
      <w:pPr>
        <w:spacing w:after="0" w:line="155" w:lineRule="exact"/>
        <w:rPr>
          <w:rFonts w:ascii="Arial" w:cs="Arial" w:eastAsia="Arial" w:hAnsi="Arial"/>
          <w:sz w:val="20"/>
          <w:szCs w:val="20"/>
          <w:color w:val="auto"/>
        </w:rPr>
      </w:pPr>
    </w:p>
    <w:p>
      <w:pPr>
        <w:ind w:firstLine="1304"/>
        <w:spacing w:after="0" w:line="229" w:lineRule="auto"/>
        <w:tabs>
          <w:tab w:leader="none" w:pos="1937" w:val="left"/>
        </w:tabs>
        <w:numPr>
          <w:ilvl w:val="0"/>
          <w:numId w:val="260"/>
        </w:numPr>
        <w:rPr>
          <w:rFonts w:ascii="Arial" w:cs="Arial" w:eastAsia="Arial" w:hAnsi="Arial"/>
          <w:sz w:val="20"/>
          <w:szCs w:val="20"/>
          <w:color w:val="auto"/>
        </w:rPr>
      </w:pPr>
      <w:r>
        <w:rPr>
          <w:rFonts w:ascii="Arial" w:cs="Arial" w:eastAsia="Arial" w:hAnsi="Arial"/>
          <w:sz w:val="20"/>
          <w:szCs w:val="20"/>
          <w:color w:val="auto"/>
        </w:rPr>
        <w:t>Liens on any earnest money deposits required in connection with a permitted Investment or consisting of earnest money deposits required in connection with an acquisition of property not otherwise prohibited hereunder; and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by </w:t>
      </w:r>
      <w:r>
        <w:rPr>
          <w:rFonts w:ascii="Arial" w:cs="Arial" w:eastAsia="Arial" w:hAnsi="Arial"/>
          <w:sz w:val="20"/>
          <w:szCs w:val="20"/>
          <w:u w:val="single" w:color="auto"/>
          <w:color w:val="auto"/>
        </w:rPr>
        <w:t>Section 7.2(p)</w:t>
      </w:r>
      <w:r>
        <w:rPr>
          <w:rFonts w:ascii="Arial" w:cs="Arial" w:eastAsia="Arial" w:hAnsi="Arial"/>
          <w:sz w:val="20"/>
          <w:szCs w:val="20"/>
          <w:color w:val="auto"/>
        </w:rPr>
        <w:t>.</w:t>
      </w:r>
    </w:p>
    <w:p>
      <w:pPr>
        <w:spacing w:after="0" w:line="16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b w:val="1"/>
          <w:bCs w:val="1"/>
          <w:color w:val="auto"/>
        </w:rPr>
        <w:t>7.4 Fundamental Changes</w:t>
      </w:r>
      <w:r>
        <w:rPr>
          <w:rFonts w:ascii="Arial" w:cs="Arial" w:eastAsia="Arial" w:hAnsi="Arial"/>
          <w:sz w:val="19"/>
          <w:szCs w:val="19"/>
          <w:color w:val="auto"/>
        </w:rPr>
        <w:t>. Consummate any merger, consolidation, amalgamation, division of or by a limited company, or an</w:t>
      </w:r>
      <w:r>
        <w:rPr>
          <w:rFonts w:ascii="Arial" w:cs="Arial" w:eastAsia="Arial" w:hAnsi="Arial"/>
          <w:sz w:val="19"/>
          <w:szCs w:val="19"/>
          <w:b w:val="1"/>
          <w:bCs w:val="1"/>
          <w:color w:val="auto"/>
        </w:rPr>
        <w:t xml:space="preserve"> </w:t>
      </w:r>
      <w:r>
        <w:rPr>
          <w:rFonts w:ascii="Arial" w:cs="Arial" w:eastAsia="Arial" w:hAnsi="Arial"/>
          <w:sz w:val="19"/>
          <w:szCs w:val="19"/>
          <w:color w:val="auto"/>
        </w:rPr>
        <w:t>allocation of assets to a series of a limited liability company (or the unwinding of such division or allocation), or liquidate, wind up or dissolve itself (or suffer any liquidation or dissolution), or Dispose of all or substantially all of its property or business, except that:</w:t>
      </w:r>
    </w:p>
    <w:p>
      <w:pPr>
        <w:spacing w:after="0" w:line="155" w:lineRule="exact"/>
        <w:rPr>
          <w:sz w:val="20"/>
          <w:szCs w:val="20"/>
          <w:color w:val="auto"/>
        </w:rPr>
      </w:pPr>
    </w:p>
    <w:p>
      <w:pPr>
        <w:jc w:val="both"/>
        <w:ind w:firstLine="1304"/>
        <w:spacing w:after="0" w:line="224" w:lineRule="auto"/>
        <w:tabs>
          <w:tab w:leader="none" w:pos="1934" w:val="left"/>
        </w:tabs>
        <w:numPr>
          <w:ilvl w:val="0"/>
          <w:numId w:val="261"/>
        </w:numPr>
        <w:rPr>
          <w:rFonts w:ascii="Arial" w:cs="Arial" w:eastAsia="Arial" w:hAnsi="Arial"/>
          <w:sz w:val="19"/>
          <w:szCs w:val="19"/>
          <w:color w:val="auto"/>
        </w:rPr>
      </w:pPr>
      <w:r>
        <w:rPr>
          <w:rFonts w:ascii="Arial" w:cs="Arial" w:eastAsia="Arial" w:hAnsi="Arial"/>
          <w:sz w:val="19"/>
          <w:szCs w:val="19"/>
          <w:color w:val="auto"/>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other than Holdings may be merged, amalgamated or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240"/>
          </w:cols>
          <w:pgMar w:left="320" w:top="1405" w:right="339" w:bottom="1440" w:gutter="0" w:footer="0" w:header="0"/>
        </w:sectPr>
      </w:pPr>
    </w:p>
    <w:bookmarkStart w:id="302" w:name="page303"/>
    <w:bookmarkEnd w:id="302"/>
    <w:p>
      <w:pPr>
        <w:spacing w:after="0" w:line="229" w:lineRule="auto"/>
        <w:rPr>
          <w:sz w:val="20"/>
          <w:szCs w:val="20"/>
          <w:color w:val="auto"/>
        </w:rPr>
      </w:pPr>
      <w:r>
        <w:rPr>
          <w:rFonts w:ascii="Arial" w:cs="Arial" w:eastAsia="Arial" w:hAnsi="Arial"/>
          <w:sz w:val="20"/>
          <w:szCs w:val="20"/>
          <w:color w:val="auto"/>
        </w:rPr>
        <w:t>with or into with any other Loan Party (provided that if such merger, amalgamation or consolidation involves the Borrower, the Borrower shall be the continuing or surviving Person);</w:t>
      </w:r>
    </w:p>
    <w:p>
      <w:pPr>
        <w:spacing w:after="0" w:line="155" w:lineRule="exact"/>
        <w:rPr>
          <w:sz w:val="20"/>
          <w:szCs w:val="20"/>
          <w:color w:val="auto"/>
        </w:rPr>
      </w:pPr>
    </w:p>
    <w:p>
      <w:pPr>
        <w:jc w:val="both"/>
        <w:ind w:firstLine="1304"/>
        <w:spacing w:after="0" w:line="224" w:lineRule="auto"/>
        <w:tabs>
          <w:tab w:leader="none" w:pos="1932"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and (ii) any Loan Party (other than the Borrower or Holdings) may Dispose of any or all of its assets (including upon voluntary liquidation, dissolution or otherwise) (A) to any other Loan Party or (B) pursuant to a Disposition permitted by </w:t>
      </w:r>
      <w:r>
        <w:rPr>
          <w:rFonts w:ascii="Arial" w:cs="Arial" w:eastAsia="Arial" w:hAnsi="Arial"/>
          <w:sz w:val="19"/>
          <w:szCs w:val="19"/>
          <w:u w:val="single" w:color="auto"/>
          <w:color w:val="auto"/>
        </w:rPr>
        <w:t>Section 7.5</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ind w:left="1940" w:hanging="636"/>
        <w:spacing w:after="0"/>
        <w:tabs>
          <w:tab w:leader="none" w:pos="19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any Investment expressly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may be structured as a merger, consolidation or amalgamation;</w:t>
      </w: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59" w:lineRule="exact"/>
        <w:rPr>
          <w:rFonts w:ascii="Arial" w:cs="Arial" w:eastAsia="Arial" w:hAnsi="Arial"/>
          <w:sz w:val="18"/>
          <w:szCs w:val="18"/>
          <w:color w:val="auto"/>
        </w:rPr>
      </w:pPr>
    </w:p>
    <w:p>
      <w:pPr>
        <w:ind w:firstLine="1304"/>
        <w:spacing w:after="0" w:line="269" w:lineRule="auto"/>
        <w:tabs>
          <w:tab w:leader="none" w:pos="193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Subsidiary that is a limited liability company may consummate a Division as the Dividing Person if, immediately upon the consummation of the Division, the assets of the applicable Dividing Person are held by one or more Loan Parties.</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8"/>
          <w:szCs w:val="18"/>
          <w:b w:val="1"/>
          <w:bCs w:val="1"/>
          <w:color w:val="auto"/>
        </w:rPr>
        <w:t>Disposition of Property</w:t>
      </w:r>
      <w:r>
        <w:rPr>
          <w:rFonts w:ascii="Arial" w:cs="Arial" w:eastAsia="Arial" w:hAnsi="Arial"/>
          <w:sz w:val="18"/>
          <w:szCs w:val="18"/>
          <w:color w:val="auto"/>
        </w:rPr>
        <w:t>. Dispose of any of its property, whether now owned or hereafter acquired, or, in the case of any</w:t>
      </w:r>
    </w:p>
    <w:p>
      <w:pPr>
        <w:spacing w:after="0"/>
        <w:rPr>
          <w:sz w:val="20"/>
          <w:szCs w:val="20"/>
          <w:color w:val="auto"/>
        </w:rPr>
      </w:pPr>
      <w:r>
        <w:rPr>
          <w:rFonts w:ascii="Arial" w:cs="Arial" w:eastAsia="Arial" w:hAnsi="Arial"/>
          <w:sz w:val="20"/>
          <w:szCs w:val="20"/>
          <w:color w:val="auto"/>
        </w:rPr>
        <w:t>Subsidiary of Holdings, issue or sell any shares of such Subsidiary’s Capital Stock to any Person, except:</w:t>
      </w:r>
    </w:p>
    <w:p>
      <w:pPr>
        <w:spacing w:after="0" w:line="159" w:lineRule="exact"/>
        <w:rPr>
          <w:sz w:val="20"/>
          <w:szCs w:val="20"/>
          <w:color w:val="auto"/>
        </w:rPr>
      </w:pPr>
    </w:p>
    <w:p>
      <w:pPr>
        <w:ind w:left="1940" w:hanging="636"/>
        <w:spacing w:after="0"/>
        <w:tabs>
          <w:tab w:leader="none" w:pos="1940" w:val="left"/>
        </w:tabs>
        <w:numPr>
          <w:ilvl w:val="1"/>
          <w:numId w:val="263"/>
        </w:numPr>
        <w:rPr>
          <w:rFonts w:ascii="Arial" w:cs="Arial" w:eastAsia="Arial" w:hAnsi="Arial"/>
          <w:sz w:val="20"/>
          <w:szCs w:val="20"/>
          <w:color w:val="auto"/>
        </w:rPr>
      </w:pPr>
      <w:r>
        <w:rPr>
          <w:rFonts w:ascii="Arial" w:cs="Arial" w:eastAsia="Arial" w:hAnsi="Arial"/>
          <w:sz w:val="20"/>
          <w:szCs w:val="20"/>
          <w:color w:val="auto"/>
        </w:rPr>
        <w:t>Dispositions of obsolete, worn out or surplus property in the ordinary course of business;</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263"/>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263"/>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Sections 7.4(b)(i)(A)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(b)(ii)(A)</w:t>
      </w:r>
      <w:r>
        <w:rPr>
          <w:rFonts w:ascii="Arial" w:cs="Arial" w:eastAsia="Arial" w:hAnsi="Arial"/>
          <w:sz w:val="20"/>
          <w:szCs w:val="20"/>
          <w:color w:val="auto"/>
        </w:rPr>
        <w:t>;</w:t>
      </w:r>
    </w:p>
    <w:p>
      <w:pPr>
        <w:spacing w:after="0" w:line="173" w:lineRule="exact"/>
        <w:rPr>
          <w:rFonts w:ascii="Arial" w:cs="Arial" w:eastAsia="Arial" w:hAnsi="Arial"/>
          <w:sz w:val="20"/>
          <w:szCs w:val="20"/>
          <w:color w:val="auto"/>
        </w:rPr>
      </w:pPr>
    </w:p>
    <w:p>
      <w:pPr>
        <w:ind w:left="1940" w:hanging="636"/>
        <w:spacing w:after="0"/>
        <w:tabs>
          <w:tab w:leader="none" w:pos="19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sale or issuance of the Capital Stock of a Subsidiary of Holdings (i) to the Borrower or any other Loan Party, or</w:t>
      </w:r>
    </w:p>
    <w:p>
      <w:pPr>
        <w:ind w:right="20" w:firstLine="8"/>
        <w:spacing w:after="0" w:line="220" w:lineRule="auto"/>
        <w:tabs>
          <w:tab w:leader="none" w:pos="294" w:val="left"/>
        </w:tabs>
        <w:numPr>
          <w:ilvl w:val="0"/>
          <w:numId w:val="264"/>
        </w:numPr>
        <w:rPr>
          <w:rFonts w:ascii="Arial" w:cs="Arial" w:eastAsia="Arial" w:hAnsi="Arial"/>
          <w:sz w:val="20"/>
          <w:szCs w:val="20"/>
          <w:color w:val="auto"/>
        </w:rPr>
      </w:pPr>
      <w:r>
        <w:rPr>
          <w:rFonts w:ascii="Arial" w:cs="Arial" w:eastAsia="Arial" w:hAnsi="Arial"/>
          <w:sz w:val="20"/>
          <w:szCs w:val="20"/>
          <w:color w:val="auto"/>
        </w:rPr>
        <w:t>by a Subsidiary that is not a Loan Party to another Subsidiary that is not a Loan Party or (iii) in connection with any transaction that does not result in a Change of Control;</w:t>
      </w:r>
    </w:p>
    <w:p>
      <w:pPr>
        <w:spacing w:after="0" w:line="156" w:lineRule="exact"/>
        <w:rPr>
          <w:rFonts w:ascii="Arial" w:cs="Arial" w:eastAsia="Arial" w:hAnsi="Arial"/>
          <w:sz w:val="20"/>
          <w:szCs w:val="20"/>
          <w:color w:val="auto"/>
        </w:rPr>
      </w:pPr>
    </w:p>
    <w:p>
      <w:pPr>
        <w:ind w:firstLine="1304"/>
        <w:spacing w:after="0" w:line="229" w:lineRule="auto"/>
        <w:tabs>
          <w:tab w:leader="none" w:pos="1934" w:val="left"/>
        </w:tabs>
        <w:numPr>
          <w:ilvl w:val="1"/>
          <w:numId w:val="264"/>
        </w:numPr>
        <w:rPr>
          <w:rFonts w:ascii="Arial" w:cs="Arial" w:eastAsia="Arial" w:hAnsi="Arial"/>
          <w:sz w:val="20"/>
          <w:szCs w:val="20"/>
          <w:color w:val="auto"/>
        </w:rPr>
      </w:pPr>
      <w:r>
        <w:rPr>
          <w:rFonts w:ascii="Arial" w:cs="Arial" w:eastAsia="Arial" w:hAnsi="Arial"/>
          <w:sz w:val="20"/>
          <w:szCs w:val="20"/>
          <w:color w:val="auto"/>
        </w:rPr>
        <w:t>the use or transfer of money, cash or Cash Equivalents in a manner that is not prohibited by the terms of this Agreement or the other Loan Documents;</w:t>
      </w:r>
    </w:p>
    <w:p>
      <w:pPr>
        <w:spacing w:after="0" w:line="155" w:lineRule="exact"/>
        <w:rPr>
          <w:rFonts w:ascii="Arial" w:cs="Arial" w:eastAsia="Arial" w:hAnsi="Arial"/>
          <w:sz w:val="20"/>
          <w:szCs w:val="20"/>
          <w:color w:val="auto"/>
        </w:rPr>
      </w:pPr>
    </w:p>
    <w:p>
      <w:pPr>
        <w:ind w:firstLine="1304"/>
        <w:spacing w:after="0" w:line="229" w:lineRule="auto"/>
        <w:tabs>
          <w:tab w:leader="none" w:pos="1939" w:val="left"/>
        </w:tabs>
        <w:numPr>
          <w:ilvl w:val="1"/>
          <w:numId w:val="264"/>
        </w:numPr>
        <w:rPr>
          <w:rFonts w:ascii="Arial" w:cs="Arial" w:eastAsia="Arial" w:hAnsi="Arial"/>
          <w:sz w:val="20"/>
          <w:szCs w:val="20"/>
          <w:color w:val="auto"/>
        </w:rPr>
      </w:pPr>
      <w:r>
        <w:rPr>
          <w:rFonts w:ascii="Arial" w:cs="Arial" w:eastAsia="Arial" w:hAnsi="Arial"/>
          <w:sz w:val="20"/>
          <w:szCs w:val="20"/>
          <w:color w:val="auto"/>
        </w:rPr>
        <w:t>the non-exclusive licensing or sublicensing of patents, trademarks, copyrights, and other Intellectual Property rights in the ordinary course of business;</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2" w:val="left"/>
        </w:tabs>
        <w:numPr>
          <w:ilvl w:val="1"/>
          <w:numId w:val="264"/>
        </w:numPr>
        <w:rPr>
          <w:rFonts w:ascii="Arial" w:cs="Arial" w:eastAsia="Arial" w:hAnsi="Arial"/>
          <w:sz w:val="20"/>
          <w:szCs w:val="20"/>
          <w:color w:val="auto"/>
        </w:rPr>
      </w:pPr>
      <w:r>
        <w:rPr>
          <w:rFonts w:ascii="Arial" w:cs="Arial" w:eastAsia="Arial" w:hAnsi="Arial"/>
          <w:sz w:val="20"/>
          <w:szCs w:val="20"/>
          <w:color w:val="auto"/>
        </w:rPr>
        <w:t>the Disposition of property (i) from any Loan Party to any other Loan Party, and (ii) from any Group Member (which is not a Loan Party) to any other Group Member; provided that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Dispositions of property subject to a Casualty Event;</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leases or subleases of real property;</w:t>
      </w:r>
    </w:p>
    <w:p>
      <w:pPr>
        <w:spacing w:after="0" w:line="175" w:lineRule="exact"/>
        <w:rPr>
          <w:rFonts w:ascii="Arial" w:cs="Arial" w:eastAsia="Arial" w:hAnsi="Arial"/>
          <w:sz w:val="20"/>
          <w:szCs w:val="20"/>
          <w:color w:val="auto"/>
        </w:rPr>
      </w:pPr>
    </w:p>
    <w:p>
      <w:pPr>
        <w:ind w:firstLine="1304"/>
        <w:spacing w:after="0" w:line="229" w:lineRule="auto"/>
        <w:tabs>
          <w:tab w:leader="none" w:pos="1942" w:val="left"/>
        </w:tabs>
        <w:numPr>
          <w:ilvl w:val="1"/>
          <w:numId w:val="264"/>
        </w:numPr>
        <w:rPr>
          <w:rFonts w:ascii="Arial" w:cs="Arial" w:eastAsia="Arial" w:hAnsi="Arial"/>
          <w:sz w:val="20"/>
          <w:szCs w:val="20"/>
          <w:color w:val="auto"/>
        </w:rPr>
      </w:pPr>
      <w:r>
        <w:rPr>
          <w:rFonts w:ascii="Arial" w:cs="Arial" w:eastAsia="Arial" w:hAnsi="Arial"/>
          <w:sz w:val="20"/>
          <w:szCs w:val="20"/>
          <w:color w:val="auto"/>
        </w:rPr>
        <w:t>the sale or discount without recourse of accounts receivable arising in the ordinary course of business in connection with the compromise or collection thereof;</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2" w:val="left"/>
        </w:tabs>
        <w:numPr>
          <w:ilvl w:val="1"/>
          <w:numId w:val="264"/>
        </w:numPr>
        <w:rPr>
          <w:rFonts w:ascii="Arial" w:cs="Arial" w:eastAsia="Arial" w:hAnsi="Arial"/>
          <w:sz w:val="20"/>
          <w:szCs w:val="20"/>
          <w:color w:val="auto"/>
        </w:rPr>
      </w:pPr>
      <w:r>
        <w:rPr>
          <w:rFonts w:ascii="Arial" w:cs="Arial" w:eastAsia="Arial" w:hAnsi="Arial"/>
          <w:sz w:val="20"/>
          <w:szCs w:val="20"/>
          <w:color w:val="auto"/>
        </w:rPr>
        <w:t>any abandonment, lapse,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240"/>
          </w:cols>
          <w:pgMar w:left="320" w:top="1405" w:right="339" w:bottom="1440" w:gutter="0" w:footer="0" w:header="0"/>
        </w:sectPr>
      </w:pPr>
    </w:p>
    <w:bookmarkStart w:id="303" w:name="page304"/>
    <w:bookmarkEnd w:id="303"/>
    <w:p>
      <w:pPr>
        <w:jc w:val="both"/>
        <w:ind w:firstLine="1304"/>
        <w:spacing w:after="0" w:line="207" w:lineRule="auto"/>
        <w:tabs>
          <w:tab w:leader="none" w:pos="1942" w:val="left"/>
        </w:tabs>
        <w:numPr>
          <w:ilvl w:val="0"/>
          <w:numId w:val="265"/>
        </w:numPr>
        <w:rPr>
          <w:rFonts w:ascii="Arial" w:cs="Arial" w:eastAsia="Arial" w:hAnsi="Arial"/>
          <w:sz w:val="20"/>
          <w:szCs w:val="20"/>
          <w:color w:val="auto"/>
        </w:rPr>
      </w:pPr>
      <w:r>
        <w:rPr>
          <w:rFonts w:ascii="Arial" w:cs="Arial" w:eastAsia="Arial" w:hAnsi="Arial"/>
          <w:sz w:val="20"/>
          <w:szCs w:val="20"/>
          <w:color w:val="auto"/>
        </w:rPr>
        <w:t xml:space="preserve">Dispositions of other property,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at the time of any such Disposition, no Event of Default shall have occurred and be continuing or would result from such Disposition and (ii) in the case of Dispositions of other property having a book value exceeding 5.0% of Consolidated Tangible Assets of Holdings and its consolidated Subsidiaries in the aggregate for any fiscal year of Holdings (x) the Group Member shall have received at least 75% of the consideration for such Disposition in the form of cash or Cash Equivalents, and (y) such Disposition shall be for fair market value of the assets Disposed of (as reasonably determined by the Loan Parties in good faith); and</w:t>
      </w:r>
    </w:p>
    <w:p>
      <w:pPr>
        <w:spacing w:after="0" w:line="157" w:lineRule="exact"/>
        <w:rPr>
          <w:rFonts w:ascii="Arial" w:cs="Arial" w:eastAsia="Arial" w:hAnsi="Arial"/>
          <w:sz w:val="20"/>
          <w:szCs w:val="20"/>
          <w:color w:val="auto"/>
        </w:rPr>
      </w:pPr>
    </w:p>
    <w:p>
      <w:pPr>
        <w:ind w:left="1940" w:hanging="636"/>
        <w:spacing w:after="0"/>
        <w:tabs>
          <w:tab w:leader="none" w:pos="19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Restricted Payments permitted by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and Liens permitted by </w:t>
      </w:r>
      <w:r>
        <w:rPr>
          <w:rFonts w:ascii="Arial" w:cs="Arial" w:eastAsia="Arial" w:hAnsi="Arial"/>
          <w:sz w:val="18"/>
          <w:szCs w:val="18"/>
          <w:u w:val="single" w:color="auto"/>
          <w:color w:val="auto"/>
        </w:rPr>
        <w:t>Section</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7.3</w:t>
      </w:r>
      <w:r>
        <w:rPr>
          <w:rFonts w:ascii="Arial" w:cs="Arial" w:eastAsia="Arial" w:hAnsi="Arial"/>
          <w:sz w:val="20"/>
          <w:szCs w:val="20"/>
          <w:color w:val="auto"/>
        </w:rPr>
        <w:t>.</w:t>
      </w:r>
    </w:p>
    <w:p>
      <w:pPr>
        <w:spacing w:after="0" w:line="153"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7.6 Restricted Payments</w:t>
      </w:r>
      <w:r>
        <w:rPr>
          <w:rFonts w:ascii="Arial" w:cs="Arial" w:eastAsia="Arial" w:hAnsi="Arial"/>
          <w:sz w:val="19"/>
          <w:szCs w:val="19"/>
          <w:color w:val="auto"/>
        </w:rPr>
        <w:t>. Declare or pay any dividend (other than dividends payable solely in Capital Stock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Arial" w:cs="Arial" w:eastAsia="Arial" w:hAnsi="Arial"/>
          <w:sz w:val="19"/>
          <w:szCs w:val="19"/>
          <w:b w:val="1"/>
          <w:bCs w:val="1"/>
          <w:i w:val="1"/>
          <w:iCs w:val="1"/>
          <w:color w:val="auto"/>
        </w:rPr>
        <w:t>Restricted Payments</w:t>
      </w:r>
      <w:r>
        <w:rPr>
          <w:rFonts w:ascii="Arial" w:cs="Arial" w:eastAsia="Arial" w:hAnsi="Arial"/>
          <w:sz w:val="19"/>
          <w:szCs w:val="19"/>
          <w:color w:val="auto"/>
        </w:rPr>
        <w:t>”), except that:</w:t>
      </w:r>
    </w:p>
    <w:p>
      <w:pPr>
        <w:spacing w:after="0" w:line="156" w:lineRule="exact"/>
        <w:rPr>
          <w:sz w:val="20"/>
          <w:szCs w:val="20"/>
          <w:color w:val="auto"/>
        </w:rPr>
      </w:pPr>
    </w:p>
    <w:p>
      <w:pPr>
        <w:jc w:val="both"/>
        <w:ind w:firstLine="1304"/>
        <w:spacing w:after="0" w:line="218" w:lineRule="auto"/>
        <w:tabs>
          <w:tab w:leader="none" w:pos="193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any Group Member may make Restricted Payments to any Loan Party (including dividends to Holdings to pay any taxes that are due and payable by Holdings, including by Holdings and the Borrower as part of a consolidated group) and any Group Member that is not a Loan Party may make Restricted Payments to any other Group Member;</w:t>
      </w:r>
    </w:p>
    <w:p>
      <w:pPr>
        <w:spacing w:after="0" w:line="156" w:lineRule="exact"/>
        <w:rPr>
          <w:rFonts w:ascii="Arial" w:cs="Arial" w:eastAsia="Arial" w:hAnsi="Arial"/>
          <w:sz w:val="20"/>
          <w:szCs w:val="20"/>
          <w:color w:val="auto"/>
        </w:rPr>
      </w:pPr>
    </w:p>
    <w:p>
      <w:pPr>
        <w:jc w:val="both"/>
        <w:ind w:firstLine="1304"/>
        <w:spacing w:after="0" w:line="233" w:lineRule="auto"/>
        <w:tabs>
          <w:tab w:leader="none" w:pos="19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at the time of any such Restricted Payment or would result therefrom, each Loan Party may (i) purchase Capital Stock from present or former officers, directors or employees of any Group Member upon the death, disability or termination of employment of such officer, director or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payments made under this clause (i) shall not exceed $10,000,000 during any fiscal year of Holdings, and (ii) declare and make dividend payments or other distributions payable solely in Capital Stock (other than Disqualified Stock) of Holdings;</w:t>
      </w:r>
    </w:p>
    <w:p>
      <w:pPr>
        <w:spacing w:after="0" w:line="156" w:lineRule="exact"/>
        <w:rPr>
          <w:rFonts w:ascii="Arial" w:cs="Arial" w:eastAsia="Arial" w:hAnsi="Arial"/>
          <w:sz w:val="18"/>
          <w:szCs w:val="18"/>
          <w:color w:val="auto"/>
        </w:rPr>
      </w:pPr>
    </w:p>
    <w:p>
      <w:pPr>
        <w:jc w:val="both"/>
        <w:ind w:firstLine="1304"/>
        <w:spacing w:after="0" w:line="218" w:lineRule="auto"/>
        <w:tabs>
          <w:tab w:leader="none" w:pos="193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each Group Member may purchase, redeem or otherwise acquire Capital Stock issued by it with the proceeds received from the substantially concurrent issue of new shares of its Capital Stock (other than Disqualified Stock);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issuance is otherwise permitted hereunder (including by </w:t>
      </w:r>
      <w:r>
        <w:rPr>
          <w:rFonts w:ascii="Arial" w:cs="Arial" w:eastAsia="Arial" w:hAnsi="Arial"/>
          <w:sz w:val="20"/>
          <w:szCs w:val="20"/>
          <w:u w:val="single" w:color="auto"/>
          <w:color w:val="auto"/>
        </w:rPr>
        <w:t>Section 7.5(d)</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jc w:val="both"/>
        <w:ind w:firstLine="1304"/>
        <w:spacing w:after="0" w:line="210" w:lineRule="auto"/>
        <w:tabs>
          <w:tab w:leader="none" w:pos="193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w:t>
      </w:r>
    </w:p>
    <w:p>
      <w:pPr>
        <w:spacing w:after="0" w:line="154" w:lineRule="exact"/>
        <w:rPr>
          <w:rFonts w:ascii="Arial" w:cs="Arial" w:eastAsia="Arial" w:hAnsi="Arial"/>
          <w:sz w:val="20"/>
          <w:szCs w:val="20"/>
          <w:color w:val="auto"/>
        </w:rPr>
      </w:pPr>
    </w:p>
    <w:p>
      <w:pPr>
        <w:ind w:firstLine="1304"/>
        <w:spacing w:after="0" w:line="242" w:lineRule="auto"/>
        <w:tabs>
          <w:tab w:leader="none" w:pos="1934"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each Group Member may deliver its common Capital Stock upon conversion of any convertible Indebtedness having been issued by Holding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is otherwise permitted by </w:t>
      </w:r>
      <w:r>
        <w:rPr>
          <w:rFonts w:ascii="Arial" w:cs="Arial" w:eastAsia="Arial" w:hAnsi="Arial"/>
          <w:sz w:val="19"/>
          <w:szCs w:val="19"/>
          <w:u w:val="single" w:color="auto"/>
          <w:color w:val="auto"/>
        </w:rPr>
        <w:t>Section 7.2</w:t>
      </w:r>
      <w:r>
        <w:rPr>
          <w:rFonts w:ascii="Arial" w:cs="Arial" w:eastAsia="Arial" w:hAnsi="Arial"/>
          <w:sz w:val="19"/>
          <w:szCs w:val="19"/>
          <w:color w:val="auto"/>
        </w:rPr>
        <w:t>; and</w:t>
      </w:r>
    </w:p>
    <w:p>
      <w:pPr>
        <w:spacing w:after="0" w:line="151" w:lineRule="exact"/>
        <w:rPr>
          <w:rFonts w:ascii="Arial" w:cs="Arial" w:eastAsia="Arial" w:hAnsi="Arial"/>
          <w:sz w:val="19"/>
          <w:szCs w:val="19"/>
          <w:color w:val="auto"/>
        </w:rPr>
      </w:pPr>
    </w:p>
    <w:p>
      <w:pPr>
        <w:ind w:left="1940" w:hanging="636"/>
        <w:spacing w:after="0"/>
        <w:tabs>
          <w:tab w:leader="none" w:pos="19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Group Members may make payments in respect of Subordinated Indebtedness solely to the extent permitted by</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7.22</w:t>
      </w:r>
      <w:r>
        <w:rPr>
          <w:rFonts w:ascii="Arial" w:cs="Arial" w:eastAsia="Arial" w:hAnsi="Arial"/>
          <w:sz w:val="20"/>
          <w:szCs w:val="20"/>
          <w:color w:val="auto"/>
        </w:rPr>
        <w:t>;</w:t>
      </w:r>
    </w:p>
    <w:p>
      <w:pPr>
        <w:spacing w:after="0" w:line="159" w:lineRule="exact"/>
        <w:rPr>
          <w:rFonts w:ascii="Arial" w:cs="Arial" w:eastAsia="Arial" w:hAnsi="Arial"/>
          <w:sz w:val="18"/>
          <w:szCs w:val="18"/>
          <w:color w:val="auto"/>
        </w:rPr>
      </w:pPr>
    </w:p>
    <w:p>
      <w:pPr>
        <w:ind w:left="1940" w:hanging="636"/>
        <w:spacing w:after="0"/>
        <w:tabs>
          <w:tab w:leader="none" w:pos="194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 xml:space="preserve">Restricted Payments in an aggregate principal amount not to exceed the Available Amount, so long as (i) after giving effect thereto on a Pro Forma Basis as if such Restricted Payment had been made on the last day of the most recent fiscal quarter of Holdings for which financial statements have been delivered hereunder, the Borrower would have been in compliance with the covenants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(or if such payment is made prior to the date that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240"/>
          </w:cols>
          <w:pgMar w:left="320" w:top="1405" w:right="339" w:bottom="1440" w:gutter="0" w:footer="0" w:header="0"/>
        </w:sectPr>
      </w:pPr>
    </w:p>
    <w:bookmarkStart w:id="304" w:name="page305"/>
    <w:bookmarkEnd w:id="304"/>
    <w:p>
      <w:pPr>
        <w:jc w:val="both"/>
        <w:spacing w:after="0" w:line="207" w:lineRule="auto"/>
        <w:rPr>
          <w:sz w:val="20"/>
          <w:szCs w:val="20"/>
          <w:color w:val="auto"/>
        </w:rPr>
      </w:pPr>
      <w:r>
        <w:rPr>
          <w:rFonts w:ascii="Arial" w:cs="Arial" w:eastAsia="Arial" w:hAnsi="Arial"/>
          <w:sz w:val="20"/>
          <w:szCs w:val="20"/>
          <w:color w:val="auto"/>
        </w:rPr>
        <w:t>for the fiscal year ending January 31, 2021 have been delivered, the same covenant levels applicable to the trailing four quarter period ending on January 31, 2021 shall be tested as of October 31, 2020), (ii) no Event of Default has occurred and is continuing or would immediately result therefrom, and (iii) the Borrower shall have delivered five (5) Business Days prior to making such Restricted Payment (x) an Available Amount Certificate and (y) a certificate signed by a Responsible Officer of the Borrower certifying the conditions specified in the foregoing clauses (h)(i) and (ii) have been satisfied and containing all information and calculations necessary for determining compliance with the foregoing clause (h)(i);</w:t>
      </w:r>
    </w:p>
    <w:p>
      <w:pPr>
        <w:spacing w:after="0" w:line="160" w:lineRule="exact"/>
        <w:rPr>
          <w:sz w:val="20"/>
          <w:szCs w:val="20"/>
          <w:color w:val="auto"/>
        </w:rPr>
      </w:pPr>
    </w:p>
    <w:p>
      <w:pPr>
        <w:ind w:right="20" w:firstLine="1304"/>
        <w:spacing w:after="0" w:line="229" w:lineRule="auto"/>
        <w:tabs>
          <w:tab w:leader="none" w:pos="1942" w:val="left"/>
        </w:tabs>
        <w:numPr>
          <w:ilvl w:val="0"/>
          <w:numId w:val="267"/>
        </w:numPr>
        <w:rPr>
          <w:rFonts w:ascii="Arial" w:cs="Arial" w:eastAsia="Arial" w:hAnsi="Arial"/>
          <w:sz w:val="20"/>
          <w:szCs w:val="20"/>
          <w:color w:val="auto"/>
        </w:rPr>
      </w:pPr>
      <w:r>
        <w:rPr>
          <w:rFonts w:ascii="Arial" w:cs="Arial" w:eastAsia="Arial" w:hAnsi="Arial"/>
          <w:sz w:val="20"/>
          <w:szCs w:val="20"/>
          <w:color w:val="auto"/>
        </w:rPr>
        <w:t>so long as no Event of Default shall have occurred and be continuing at the time of any such Restricted Payment or would result therefrom, Restricted Payments not to exceed $10,000,000 during any fiscal year of Holdings; and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other Restricted Payments so long as immediately after giving effect thereto, the Payment Conditions are satisfied.</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b w:val="1"/>
          <w:bCs w:val="1"/>
          <w:color w:val="auto"/>
        </w:rPr>
        <w:t>7.8 Investments</w:t>
      </w:r>
      <w:r>
        <w:rPr>
          <w:rFonts w:ascii="Arial" w:cs="Arial" w:eastAsia="Arial" w:hAnsi="Arial"/>
          <w:sz w:val="19"/>
          <w:szCs w:val="19"/>
          <w:color w:val="auto"/>
        </w:rPr>
        <w:t>. Make any advance, loan, extension of credit (by way of guarantee or otherwise) or capital contribution to, or</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any Capital Stock, bonds, notes, debentures or other debt securities of, or any assets constituting a business unit of, or make any other investment in, any Person (all of the foregoing, “</w:t>
      </w:r>
      <w:r>
        <w:rPr>
          <w:rFonts w:ascii="Arial" w:cs="Arial" w:eastAsia="Arial" w:hAnsi="Arial"/>
          <w:sz w:val="19"/>
          <w:szCs w:val="19"/>
          <w:b w:val="1"/>
          <w:bCs w:val="1"/>
          <w:i w:val="1"/>
          <w:iCs w:val="1"/>
          <w:color w:val="auto"/>
        </w:rPr>
        <w:t>Investments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in the case of any Investment in the form of a loan and any return of capital or return on Investment in the case of any equity Investment (whether as a distribution, dividend, redemption or sale)), except:</w:t>
      </w:r>
    </w:p>
    <w:p>
      <w:pPr>
        <w:spacing w:after="0" w:line="156" w:lineRule="exact"/>
        <w:rPr>
          <w:sz w:val="20"/>
          <w:szCs w:val="20"/>
          <w:color w:val="auto"/>
        </w:rPr>
      </w:pPr>
    </w:p>
    <w:p>
      <w:pPr>
        <w:ind w:left="1940" w:hanging="636"/>
        <w:spacing w:after="0"/>
        <w:tabs>
          <w:tab w:leader="none" w:pos="19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extensions of trade credit in the ordinary course of business;</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175" w:lineRule="exact"/>
        <w:rPr>
          <w:rFonts w:ascii="Arial" w:cs="Arial" w:eastAsia="Arial" w:hAnsi="Arial"/>
          <w:sz w:val="20"/>
          <w:szCs w:val="20"/>
          <w:color w:val="auto"/>
        </w:rPr>
      </w:pPr>
    </w:p>
    <w:p>
      <w:pPr>
        <w:ind w:firstLine="1304"/>
        <w:spacing w:after="0" w:line="229" w:lineRule="auto"/>
        <w:tabs>
          <w:tab w:leader="none" w:pos="1934"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Guarantee Obligations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 xml:space="preserve"> and Guarantee Obligations of obligations not constituting Indebtedness in the ordinary course of business;</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loans and advances to employees, officers, consultants and directors of any Group Member in the ordinary course of business (including for travel, entertainment and relocation expenses) in an aggregate amount for all Group Members not to exceed $5,000,000 at any one time outstanding;</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 xml:space="preserve">Investments existing on the Closing Date and set forth on </w:t>
      </w:r>
      <w:r>
        <w:rPr>
          <w:rFonts w:ascii="Arial" w:cs="Arial" w:eastAsia="Arial" w:hAnsi="Arial"/>
          <w:sz w:val="20"/>
          <w:szCs w:val="20"/>
          <w:u w:val="single" w:color="auto"/>
          <w:color w:val="auto"/>
        </w:rPr>
        <w:t>Schedule 7.8</w:t>
      </w:r>
      <w:r>
        <w:rPr>
          <w:rFonts w:ascii="Arial" w:cs="Arial" w:eastAsia="Arial" w:hAnsi="Arial"/>
          <w:sz w:val="20"/>
          <w:szCs w:val="20"/>
          <w:color w:val="auto"/>
        </w:rPr>
        <w:t xml:space="preserve"> to the Disclosure Letter;</w:t>
      </w:r>
    </w:p>
    <w:p>
      <w:pPr>
        <w:spacing w:after="0" w:line="175" w:lineRule="exact"/>
        <w:rPr>
          <w:rFonts w:ascii="Arial" w:cs="Arial" w:eastAsia="Arial" w:hAnsi="Arial"/>
          <w:sz w:val="20"/>
          <w:szCs w:val="20"/>
          <w:color w:val="auto"/>
        </w:rPr>
      </w:pPr>
    </w:p>
    <w:p>
      <w:pPr>
        <w:jc w:val="both"/>
        <w:ind w:firstLine="1304"/>
        <w:spacing w:after="0" w:line="230" w:lineRule="auto"/>
        <w:tabs>
          <w:tab w:leader="none" w:pos="193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intercompany Investments by (i) any Loan Party in any other Loan Party, (ii) any Group Member that is not a Loan Party in any other Group Member, or (iii) any Loan Party in any Group Member that is not a Loan Party to the extent (x) no Default or Event of Defaults exists or would result therefrom, and (y) such Investments do not exceed $25,000,000 at any time;</w:t>
      </w:r>
    </w:p>
    <w:p>
      <w:pPr>
        <w:spacing w:after="0" w:line="152" w:lineRule="exact"/>
        <w:rPr>
          <w:rFonts w:ascii="Arial" w:cs="Arial" w:eastAsia="Arial" w:hAnsi="Arial"/>
          <w:sz w:val="19"/>
          <w:szCs w:val="19"/>
          <w:color w:val="auto"/>
        </w:rPr>
      </w:pPr>
    </w:p>
    <w:p>
      <w:pPr>
        <w:ind w:left="1940" w:hanging="636"/>
        <w:spacing w:after="0"/>
        <w:tabs>
          <w:tab w:leader="none" w:pos="19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of negotiable instruments for collection or</w:t>
      </w:r>
    </w:p>
    <w:p>
      <w:pPr>
        <w:spacing w:after="0"/>
        <w:rPr>
          <w:rFonts w:ascii="Arial" w:cs="Arial" w:eastAsia="Arial" w:hAnsi="Arial"/>
          <w:sz w:val="18"/>
          <w:szCs w:val="18"/>
          <w:color w:val="auto"/>
        </w:rPr>
      </w:pPr>
      <w:r>
        <w:rPr>
          <w:rFonts w:ascii="Arial" w:cs="Arial" w:eastAsia="Arial" w:hAnsi="Arial"/>
          <w:sz w:val="20"/>
          <w:szCs w:val="20"/>
          <w:color w:val="auto"/>
        </w:rPr>
        <w:t>deposit;</w:t>
      </w:r>
    </w:p>
    <w:p>
      <w:pPr>
        <w:spacing w:after="0" w:line="159"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268"/>
        </w:numPr>
        <w:rPr>
          <w:rFonts w:ascii="Arial" w:cs="Arial" w:eastAsia="Arial" w:hAnsi="Arial"/>
          <w:sz w:val="20"/>
          <w:szCs w:val="20"/>
          <w:color w:val="auto"/>
        </w:rPr>
      </w:pPr>
      <w:r>
        <w:rPr>
          <w:rFonts w:ascii="Arial" w:cs="Arial" w:eastAsia="Arial" w:hAnsi="Arial"/>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240"/>
          </w:cols>
          <w:pgMar w:left="320" w:top="1405" w:right="339" w:bottom="1440" w:gutter="0" w:footer="0" w:header="0"/>
        </w:sectPr>
      </w:pPr>
    </w:p>
    <w:bookmarkStart w:id="305" w:name="page306"/>
    <w:bookmarkEnd w:id="305"/>
    <w:p>
      <w:pPr>
        <w:jc w:val="both"/>
        <w:ind w:firstLine="1304"/>
        <w:spacing w:after="0" w:line="224" w:lineRule="auto"/>
        <w:tabs>
          <w:tab w:leader="none" w:pos="1942"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Investments held by any Person as of the date such Person is acquired in connection with a permitted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Investments were not made, in any case, by such Person in connection with, or in contemplation of, such permitted Investment, and (B) with respect to any such Person which becomes a Subsidiary as a result of such permitted Investment, such Subsidiary remains the only holder of such Investment (except in the case of Cash Equivalents);</w:t>
      </w:r>
    </w:p>
    <w:p>
      <w:pPr>
        <w:spacing w:after="0" w:line="156" w:lineRule="exact"/>
        <w:rPr>
          <w:rFonts w:ascii="Arial" w:cs="Arial" w:eastAsia="Arial" w:hAnsi="Arial"/>
          <w:sz w:val="19"/>
          <w:szCs w:val="19"/>
          <w:color w:val="auto"/>
        </w:rPr>
      </w:pPr>
    </w:p>
    <w:p>
      <w:pPr>
        <w:ind w:left="1940" w:hanging="636"/>
        <w:spacing w:after="0"/>
        <w:tabs>
          <w:tab w:leader="none" w:pos="1940" w:val="left"/>
        </w:tabs>
        <w:numPr>
          <w:ilvl w:val="1"/>
          <w:numId w:val="269"/>
        </w:numPr>
        <w:rPr>
          <w:rFonts w:ascii="Arial" w:cs="Arial" w:eastAsia="Arial" w:hAnsi="Arial"/>
          <w:sz w:val="20"/>
          <w:szCs w:val="20"/>
          <w:color w:val="auto"/>
        </w:rPr>
      </w:pPr>
      <w:r>
        <w:rPr>
          <w:rFonts w:ascii="Arial" w:cs="Arial" w:eastAsia="Arial" w:hAnsi="Arial"/>
          <w:sz w:val="20"/>
          <w:szCs w:val="20"/>
          <w:color w:val="auto"/>
        </w:rPr>
        <w:t>Investments, if immediately after giving effect to such Investment, the Payment Conditions are satisfied;</w:t>
      </w:r>
    </w:p>
    <w:p>
      <w:pPr>
        <w:spacing w:after="0" w:line="175" w:lineRule="exact"/>
        <w:rPr>
          <w:rFonts w:ascii="Arial" w:cs="Arial" w:eastAsia="Arial" w:hAnsi="Arial"/>
          <w:sz w:val="20"/>
          <w:szCs w:val="20"/>
          <w:color w:val="auto"/>
        </w:rPr>
      </w:pPr>
    </w:p>
    <w:p>
      <w:pPr>
        <w:ind w:firstLine="1304"/>
        <w:spacing w:after="0" w:line="229" w:lineRule="auto"/>
        <w:tabs>
          <w:tab w:leader="none" w:pos="1932" w:val="left"/>
        </w:tabs>
        <w:numPr>
          <w:ilvl w:val="1"/>
          <w:numId w:val="269"/>
        </w:numPr>
        <w:rPr>
          <w:rFonts w:ascii="Arial" w:cs="Arial" w:eastAsia="Arial" w:hAnsi="Arial"/>
          <w:sz w:val="20"/>
          <w:szCs w:val="20"/>
          <w:color w:val="auto"/>
        </w:rPr>
      </w:pPr>
      <w:r>
        <w:rPr>
          <w:rFonts w:ascii="Arial" w:cs="Arial" w:eastAsia="Arial" w:hAnsi="Arial"/>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firstLine="1304"/>
        <w:spacing w:after="0" w:line="229" w:lineRule="auto"/>
        <w:tabs>
          <w:tab w:leader="none" w:pos="1942" w:val="left"/>
        </w:tabs>
        <w:numPr>
          <w:ilvl w:val="1"/>
          <w:numId w:val="269"/>
        </w:numPr>
        <w:rPr>
          <w:rFonts w:ascii="Arial" w:cs="Arial" w:eastAsia="Arial" w:hAnsi="Arial"/>
          <w:sz w:val="20"/>
          <w:szCs w:val="20"/>
          <w:color w:val="auto"/>
        </w:rPr>
      </w:pPr>
      <w:r>
        <w:rPr>
          <w:rFonts w:ascii="Arial" w:cs="Arial" w:eastAsia="Arial" w:hAnsi="Arial"/>
          <w:sz w:val="20"/>
          <w:szCs w:val="20"/>
          <w:color w:val="auto"/>
        </w:rPr>
        <w:t>the licensing or contribution of Intellectual Property pursuant to joint marketing or joint venture arrangements with other Persons in the ordinary course of business;</w:t>
      </w:r>
    </w:p>
    <w:p>
      <w:pPr>
        <w:spacing w:after="0" w:line="155" w:lineRule="exact"/>
        <w:rPr>
          <w:rFonts w:ascii="Arial" w:cs="Arial" w:eastAsia="Arial" w:hAnsi="Arial"/>
          <w:sz w:val="20"/>
          <w:szCs w:val="20"/>
          <w:color w:val="auto"/>
        </w:rPr>
      </w:pPr>
    </w:p>
    <w:p>
      <w:pPr>
        <w:jc w:val="both"/>
        <w:ind w:firstLine="1304"/>
        <w:spacing w:after="0" w:line="218" w:lineRule="auto"/>
        <w:tabs>
          <w:tab w:leader="none" w:pos="1933" w:val="left"/>
        </w:tabs>
        <w:numPr>
          <w:ilvl w:val="1"/>
          <w:numId w:val="269"/>
        </w:numPr>
        <w:rPr>
          <w:rFonts w:ascii="Arial" w:cs="Arial" w:eastAsia="Arial" w:hAnsi="Arial"/>
          <w:sz w:val="20"/>
          <w:szCs w:val="20"/>
          <w:color w:val="auto"/>
        </w:rPr>
      </w:pPr>
      <w:r>
        <w:rPr>
          <w:rFonts w:ascii="Arial" w:cs="Arial" w:eastAsia="Arial" w:hAnsi="Arial"/>
          <w:sz w:val="20"/>
          <w:szCs w:val="20"/>
          <w:color w:val="auto"/>
        </w:rPr>
        <w:t xml:space="preserve">promissory notes and other non-cash consideration received in connection with Dispositions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to the extent not exceeding the limits specified therein with respect to the receipt of non-cash consideration in connection with such Dispositions; and</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Investments in an aggregate principal amount not to exceed the Available Amount, so long as (i) after giving effect thereto on a Pro Forma Basis as if such Investment had been made on the last day of the most recent fiscal quarter of Holdings for which financial statements have been delivered hereunder, the Borrower would have been in compliance with the covenants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if such Investment is made prior to the date that financial statements for the fiscal year ending January 31, 2021 have been delivered, the same covenant levels applicable to the trailing four quarter period ending on January 31, 2021 shall be tested as of October 31, 2020), (ii) no Event of Default has occurred and is continuing or would immediately result therefrom (other than in connection with a Limited Condition Acquisition, in which case there shall be no Event of Default as of the LCA Test Date and no Event of Default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as of the date of such acquisition) and (iii) the Borrower shall have delivered five (5) Business Days prior to making such Investment (x) an Available Amount Certificate and (y) a certificate signed by a Responsible Officer of the Borrower certifying the conditions specified in the foregoing clauses (n)(i) and (ii) have been satisfied and containing all information and calculations necessary for determining compliance with the foregoing clause (n)(i);</w:t>
      </w:r>
    </w:p>
    <w:p>
      <w:pPr>
        <w:spacing w:after="0" w:line="162" w:lineRule="exact"/>
        <w:rPr>
          <w:rFonts w:ascii="Arial" w:cs="Arial" w:eastAsia="Arial" w:hAnsi="Arial"/>
          <w:sz w:val="19"/>
          <w:szCs w:val="19"/>
          <w:color w:val="auto"/>
        </w:rPr>
      </w:pPr>
    </w:p>
    <w:p>
      <w:pPr>
        <w:jc w:val="both"/>
        <w:ind w:firstLine="1304"/>
        <w:spacing w:after="0" w:line="218" w:lineRule="auto"/>
        <w:tabs>
          <w:tab w:leader="none" w:pos="1932" w:val="left"/>
        </w:tabs>
        <w:numPr>
          <w:ilvl w:val="1"/>
          <w:numId w:val="269"/>
        </w:numPr>
        <w:rPr>
          <w:rFonts w:ascii="Arial" w:cs="Arial" w:eastAsia="Arial" w:hAnsi="Arial"/>
          <w:sz w:val="20"/>
          <w:szCs w:val="20"/>
          <w:color w:val="auto"/>
        </w:rPr>
      </w:pPr>
      <w:r>
        <w:rPr>
          <w:rFonts w:ascii="Arial" w:cs="Arial" w:eastAsia="Arial" w:hAnsi="Arial"/>
          <w:sz w:val="20"/>
          <w:szCs w:val="20"/>
          <w:color w:val="auto"/>
        </w:rPr>
        <w:t>Investments in any Similar Business in an aggregate amount not to exceed the greater of $132,000,000 and 25% of Consolidated EBITDA as of the last day of the most recent trailing four fiscal quarter period of Holdings calculated on a Pro Forma Basis as of such time;</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1"/>
          <w:numId w:val="269"/>
        </w:numPr>
        <w:rPr>
          <w:rFonts w:ascii="Arial" w:cs="Arial" w:eastAsia="Arial" w:hAnsi="Arial"/>
          <w:sz w:val="20"/>
          <w:szCs w:val="20"/>
          <w:color w:val="auto"/>
        </w:rPr>
      </w:pPr>
      <w:r>
        <w:rPr>
          <w:rFonts w:ascii="Arial" w:cs="Arial" w:eastAsia="Arial" w:hAnsi="Arial"/>
          <w:sz w:val="20"/>
          <w:szCs w:val="20"/>
          <w:color w:val="auto"/>
        </w:rPr>
        <w:t xml:space="preserve">purchases or other acquisitions by any Group Member of the Capital Stock in a Person that, upon the consummation thereof, will be a wholly-owned Subsidiary (other than qualifying director shares pursuant to applicable Requirements of Law) (including as a result of a merger or consolidation) or all or substantially all of the assets of, or assets constituting one or more business units of, any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each such purchase or other acquisition:</w:t>
      </w:r>
    </w:p>
    <w:p>
      <w:pPr>
        <w:spacing w:after="0" w:line="153" w:lineRule="exact"/>
        <w:rPr>
          <w:rFonts w:ascii="Arial" w:cs="Arial" w:eastAsia="Arial" w:hAnsi="Arial"/>
          <w:sz w:val="20"/>
          <w:szCs w:val="20"/>
          <w:color w:val="auto"/>
        </w:rPr>
      </w:pPr>
    </w:p>
    <w:p>
      <w:pPr>
        <w:ind w:left="2600" w:hanging="648"/>
        <w:spacing w:after="0"/>
        <w:tabs>
          <w:tab w:leader="none" w:pos="260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the newly-created or acquired Subsidiary (or assets acquired in connection with such asset sale) shall be</w:t>
      </w:r>
    </w:p>
    <w:p>
      <w:pPr>
        <w:ind w:firstLine="8"/>
        <w:spacing w:after="0" w:line="220" w:lineRule="auto"/>
        <w:tabs>
          <w:tab w:leader="none" w:pos="291" w:val="left"/>
        </w:tabs>
        <w:numPr>
          <w:ilvl w:val="0"/>
          <w:numId w:val="270"/>
        </w:numPr>
        <w:rPr>
          <w:rFonts w:ascii="Arial" w:cs="Arial" w:eastAsia="Arial" w:hAnsi="Arial"/>
          <w:sz w:val="20"/>
          <w:szCs w:val="20"/>
          <w:color w:val="auto"/>
        </w:rPr>
      </w:pPr>
      <w:r>
        <w:rPr>
          <w:rFonts w:ascii="Arial" w:cs="Arial" w:eastAsia="Arial" w:hAnsi="Arial"/>
          <w:sz w:val="20"/>
          <w:szCs w:val="20"/>
          <w:color w:val="auto"/>
        </w:rPr>
        <w:t xml:space="preserve">in the same or a related line of business as that conducted by the Borrower on the date hereof, or (y) in a business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7.17</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firstLine="1952"/>
        <w:spacing w:after="0" w:line="229" w:lineRule="auto"/>
        <w:tabs>
          <w:tab w:leader="none" w:pos="2591" w:val="left"/>
        </w:tabs>
        <w:numPr>
          <w:ilvl w:val="2"/>
          <w:numId w:val="270"/>
        </w:numPr>
        <w:rPr>
          <w:rFonts w:ascii="Arial" w:cs="Arial" w:eastAsia="Arial" w:hAnsi="Arial"/>
          <w:sz w:val="20"/>
          <w:szCs w:val="20"/>
          <w:color w:val="auto"/>
        </w:rPr>
      </w:pPr>
      <w:r>
        <w:rPr>
          <w:rFonts w:ascii="Arial" w:cs="Arial" w:eastAsia="Arial" w:hAnsi="Arial"/>
          <w:sz w:val="20"/>
          <w:szCs w:val="20"/>
          <w:color w:val="auto"/>
        </w:rPr>
        <w:t>all transactions related to such purchase or acquisition shall be consummated in all material respects in accordance with all Requirements of Law;</w:t>
      </w:r>
    </w:p>
    <w:p>
      <w:pPr>
        <w:spacing w:after="0" w:line="155" w:lineRule="exact"/>
        <w:rPr>
          <w:rFonts w:ascii="Arial" w:cs="Arial" w:eastAsia="Arial" w:hAnsi="Arial"/>
          <w:sz w:val="20"/>
          <w:szCs w:val="20"/>
          <w:color w:val="auto"/>
        </w:rPr>
      </w:pPr>
    </w:p>
    <w:p>
      <w:pPr>
        <w:jc w:val="both"/>
        <w:ind w:firstLine="1952"/>
        <w:spacing w:after="0" w:line="210" w:lineRule="auto"/>
        <w:tabs>
          <w:tab w:leader="none" w:pos="2592" w:val="left"/>
        </w:tabs>
        <w:numPr>
          <w:ilvl w:val="2"/>
          <w:numId w:val="270"/>
        </w:numPr>
        <w:rPr>
          <w:rFonts w:ascii="Arial" w:cs="Arial" w:eastAsia="Arial" w:hAnsi="Arial"/>
          <w:sz w:val="20"/>
          <w:szCs w:val="20"/>
          <w:color w:val="auto"/>
        </w:rPr>
      </w:pPr>
      <w:r>
        <w:rPr>
          <w:rFonts w:ascii="Arial" w:cs="Arial" w:eastAsia="Arial" w:hAnsi="Arial"/>
          <w:sz w:val="20"/>
          <w:szCs w:val="20"/>
          <w:color w:val="auto"/>
        </w:rPr>
        <w:t xml:space="preserve">(x) immediately before and immediately after giving effect to any such purchase or other acquisition, no Event of Default shall have occurred and be continuing (other than in connection with a Limited Condition Acquisition, in which case there shall be no Default or Event of Default as of the LCA Test Date and no Event of Default under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 xml:space="preserve"> on the date of such purchase) and (y) immediately after giving effect to such purchase or other acquisition (other than in connection with a Limited Condition Acquisition, in which case as of the LCA Test Date), Holdings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240"/>
          </w:cols>
          <w:pgMar w:left="320" w:top="1405" w:right="339" w:bottom="1440" w:gutter="0" w:footer="0" w:header="0"/>
        </w:sectPr>
      </w:pPr>
    </w:p>
    <w:bookmarkStart w:id="306" w:name="page307"/>
    <w:bookmarkEnd w:id="306"/>
    <w:p>
      <w:pPr>
        <w:jc w:val="both"/>
        <w:spacing w:after="0" w:line="213" w:lineRule="auto"/>
        <w:rPr>
          <w:sz w:val="20"/>
          <w:szCs w:val="20"/>
          <w:color w:val="auto"/>
        </w:rPr>
      </w:pPr>
      <w:r>
        <w:rPr>
          <w:rFonts w:ascii="Arial" w:cs="Arial" w:eastAsia="Arial" w:hAnsi="Arial"/>
          <w:sz w:val="20"/>
          <w:szCs w:val="20"/>
          <w:color w:val="auto"/>
        </w:rPr>
        <w:t xml:space="preserve">the Borrower and its Subsidiaries shall on a pro forma basis be in compliance with each of the covenants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(or if such purchase or acquisition is made or consummated prior to the date that financial statements for the fiscal year ending January 31, 2021 have been delivered, the same covenant levels applicable to the trailing four quarter period ending on January 31, 2021 shall be tested as of October 31, 2020); and</w:t>
      </w:r>
    </w:p>
    <w:p>
      <w:pPr>
        <w:spacing w:after="0" w:line="156" w:lineRule="exact"/>
        <w:rPr>
          <w:sz w:val="20"/>
          <w:szCs w:val="20"/>
          <w:color w:val="auto"/>
        </w:rPr>
      </w:pPr>
    </w:p>
    <w:p>
      <w:pPr>
        <w:ind w:left="2580" w:hanging="628"/>
        <w:spacing w:after="0"/>
        <w:tabs>
          <w:tab w:leader="none" w:pos="2580" w:val="left"/>
        </w:tabs>
        <w:numPr>
          <w:ilvl w:val="1"/>
          <w:numId w:val="271"/>
        </w:numPr>
        <w:rPr>
          <w:rFonts w:ascii="Arial" w:cs="Arial" w:eastAsia="Arial" w:hAnsi="Arial"/>
          <w:sz w:val="20"/>
          <w:szCs w:val="20"/>
          <w:color w:val="auto"/>
        </w:rPr>
      </w:pPr>
      <w:r>
        <w:rPr>
          <w:rFonts w:ascii="Arial" w:cs="Arial" w:eastAsia="Arial" w:hAnsi="Arial"/>
          <w:sz w:val="20"/>
          <w:szCs w:val="20"/>
          <w:color w:val="auto"/>
        </w:rPr>
        <w:t>such purchase or acquisition shall not constitute an Unfriendly Acquisition;</w:t>
      </w:r>
    </w:p>
    <w:p>
      <w:pPr>
        <w:spacing w:after="0" w:line="175" w:lineRule="exact"/>
        <w:rPr>
          <w:rFonts w:ascii="Arial" w:cs="Arial" w:eastAsia="Arial" w:hAnsi="Arial"/>
          <w:sz w:val="20"/>
          <w:szCs w:val="20"/>
          <w:color w:val="auto"/>
        </w:rPr>
      </w:pPr>
    </w:p>
    <w:p>
      <w:pPr>
        <w:ind w:firstLine="1304"/>
        <w:spacing w:after="0" w:line="229" w:lineRule="auto"/>
        <w:tabs>
          <w:tab w:leader="none" w:pos="1932" w:val="left"/>
        </w:tabs>
        <w:numPr>
          <w:ilvl w:val="0"/>
          <w:numId w:val="272"/>
        </w:numPr>
        <w:rPr>
          <w:rFonts w:ascii="Arial" w:cs="Arial" w:eastAsia="Arial" w:hAnsi="Arial"/>
          <w:sz w:val="20"/>
          <w:szCs w:val="20"/>
          <w:color w:val="auto"/>
        </w:rPr>
      </w:pPr>
      <w:r>
        <w:rPr>
          <w:rFonts w:ascii="Arial" w:cs="Arial" w:eastAsia="Arial" w:hAnsi="Arial"/>
          <w:sz w:val="20"/>
          <w:szCs w:val="20"/>
          <w:color w:val="auto"/>
        </w:rPr>
        <w:t>to the extent constituting Investments, advances in respect of transfer pricing and cost-sharing arrangements (i.e. "cost-plus" arrangements) that are in the ordinary course of business; and</w:t>
      </w:r>
    </w:p>
    <w:p>
      <w:pPr>
        <w:spacing w:after="0" w:line="155" w:lineRule="exact"/>
        <w:rPr>
          <w:rFonts w:ascii="Arial" w:cs="Arial" w:eastAsia="Arial" w:hAnsi="Arial"/>
          <w:sz w:val="20"/>
          <w:szCs w:val="20"/>
          <w:color w:val="auto"/>
        </w:rPr>
      </w:pPr>
    </w:p>
    <w:p>
      <w:pPr>
        <w:jc w:val="both"/>
        <w:ind w:firstLine="1304"/>
        <w:spacing w:after="0" w:line="230" w:lineRule="auto"/>
        <w:tabs>
          <w:tab w:leader="none" w:pos="1939"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other Investments;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at the time any such Investment is made the aggregate amount of Investments made in reliance on this clause (r) shall not exceed the greater of $238,000,000 and 45% of Consolidated EBITDA as of the last day of the most recent trailing four fiscal quarter period of Holdings calculated on a Pro Forma Basis as of such time.</w:t>
      </w:r>
    </w:p>
    <w:p>
      <w:pPr>
        <w:spacing w:after="0" w:line="149"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b w:val="1"/>
          <w:bCs w:val="1"/>
          <w:color w:val="auto"/>
        </w:rPr>
        <w:t>7.9 ERISA</w:t>
      </w:r>
      <w:r>
        <w:rPr>
          <w:rFonts w:ascii="Arial" w:cs="Arial" w:eastAsia="Arial" w:hAnsi="Arial"/>
          <w:sz w:val="19"/>
          <w:szCs w:val="19"/>
          <w:color w:val="auto"/>
        </w:rPr>
        <w:t>. The Borrower shall not, and shall not permit any of its ERISA Affiliates to: (a) terminate any Pension Plan so as to</w:t>
      </w:r>
      <w:r>
        <w:rPr>
          <w:rFonts w:ascii="Arial" w:cs="Arial" w:eastAsia="Arial" w:hAnsi="Arial"/>
          <w:sz w:val="19"/>
          <w:szCs w:val="19"/>
          <w:b w:val="1"/>
          <w:bCs w:val="1"/>
          <w:color w:val="auto"/>
        </w:rPr>
        <w:t xml:space="preserve"> </w:t>
      </w:r>
      <w:r>
        <w:rPr>
          <w:rFonts w:ascii="Arial" w:cs="Arial" w:eastAsia="Arial" w:hAnsi="Arial"/>
          <w:sz w:val="19"/>
          <w:szCs w:val="19"/>
          <w:color w:val="auto"/>
        </w:rPr>
        <w:t>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Pension Plan or Multiemployer Plan or modify any existing Pension Plan or Multiemployer Plan so as to increase its obligations thereunder which could be reasonably likely to result in material liability to any ERISA Affiliate or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(e)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Section 406 of ERISA or Section 4975 of the Code with respect to a Plan.</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7.10</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b w:val="1"/>
          <w:bCs w:val="1"/>
          <w:color w:val="auto"/>
        </w:rPr>
        <w:t>7.11 Transactions with Affiliates</w:t>
      </w:r>
      <w:r>
        <w:rPr>
          <w:rFonts w:ascii="Arial" w:cs="Arial" w:eastAsia="Arial" w:hAnsi="Arial"/>
          <w:sz w:val="18"/>
          <w:szCs w:val="18"/>
          <w:color w:val="auto"/>
        </w:rPr>
        <w:t>. Enter into any transaction, including any purchase, sale, lease or exchange of property,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rendering of any service or the payment of any management, advisory or similar fees, with any Affiliate (other than any other Loan Party) unless such transaction is (a) (i) otherwise permitted under this Agreement and (ii) upon fair and reasonable terms no less favorable to the relevant Group Member than it would obtain in a comparable arm’s length transaction with a Person that is not an Affiliate, (b) a Restricted Payment permitted by </w:t>
      </w:r>
      <w:r>
        <w:rPr>
          <w:rFonts w:ascii="Arial" w:cs="Arial" w:eastAsia="Arial" w:hAnsi="Arial"/>
          <w:sz w:val="18"/>
          <w:szCs w:val="18"/>
          <w:u w:val="single" w:color="auto"/>
          <w:color w:val="auto"/>
        </w:rPr>
        <w:t>Section 7.6</w:t>
      </w:r>
      <w:r>
        <w:rPr>
          <w:rFonts w:ascii="Arial" w:cs="Arial" w:eastAsia="Arial" w:hAnsi="Arial"/>
          <w:sz w:val="18"/>
          <w:szCs w:val="18"/>
          <w:color w:val="auto"/>
        </w:rPr>
        <w:t>, or (c)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Holdings or its Subsidiaries.</w:t>
      </w:r>
    </w:p>
    <w:p>
      <w:pPr>
        <w:spacing w:after="0" w:line="15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7.12 Sale Leaseback Transactions</w:t>
      </w:r>
      <w:r>
        <w:rPr>
          <w:rFonts w:ascii="Arial" w:cs="Arial" w:eastAsia="Arial" w:hAnsi="Arial"/>
          <w:sz w:val="20"/>
          <w:szCs w:val="20"/>
          <w:color w:val="auto"/>
        </w:rPr>
        <w:t>. Enter into any Sale Leaseback Transaction, except in connection with transactions that would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permitted under </w:t>
      </w:r>
      <w:r>
        <w:rPr>
          <w:rFonts w:ascii="Arial" w:cs="Arial" w:eastAsia="Arial" w:hAnsi="Arial"/>
          <w:sz w:val="20"/>
          <w:szCs w:val="20"/>
          <w:u w:val="single" w:color="auto"/>
          <w:color w:val="auto"/>
        </w:rPr>
        <w:t>Sections 7.2(e)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7.3(g)</w:t>
      </w:r>
      <w:r>
        <w:rPr>
          <w:rFonts w:ascii="Arial" w:cs="Arial" w:eastAsia="Arial" w:hAnsi="Arial"/>
          <w:sz w:val="20"/>
          <w:szCs w:val="20"/>
          <w:color w:val="auto"/>
        </w:rPr>
        <w:t>.</w:t>
      </w:r>
    </w:p>
    <w:p>
      <w:pPr>
        <w:spacing w:after="0" w:line="14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7.13 Swap Agreements</w:t>
      </w:r>
      <w:r>
        <w:rPr>
          <w:rFonts w:ascii="Arial" w:cs="Arial" w:eastAsia="Arial" w:hAnsi="Arial"/>
          <w:sz w:val="20"/>
          <w:szCs w:val="20"/>
          <w:color w:val="auto"/>
        </w:rPr>
        <w:t>. Enter into any Swap Agreement, except Swap Agreements which are entered into by a Group Member</w:t>
      </w:r>
      <w:r>
        <w:rPr>
          <w:rFonts w:ascii="Arial" w:cs="Arial" w:eastAsia="Arial" w:hAnsi="Arial"/>
          <w:sz w:val="20"/>
          <w:szCs w:val="20"/>
          <w:b w:val="1"/>
          <w:bCs w:val="1"/>
          <w:color w:val="auto"/>
        </w:rPr>
        <w:t xml:space="preserve"> </w:t>
      </w:r>
      <w:r>
        <w:rPr>
          <w:rFonts w:ascii="Arial" w:cs="Arial" w:eastAsia="Arial" w:hAnsi="Arial"/>
          <w:sz w:val="20"/>
          <w:szCs w:val="20"/>
          <w:color w:val="auto"/>
        </w:rPr>
        <w:t>to (a) hedge or mitigate risks to which such Group Member has actual exposure, or (b) effectively cap, collar or exchange interest rates (from fixed to floating rates, from one floating rate to another floating rate or otherwise) with respect to any interest-bearing liability or investment of such Group Member.</w:t>
      </w:r>
    </w:p>
    <w:p>
      <w:pPr>
        <w:spacing w:after="0" w:line="152"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7.14 Accounting Changes</w:t>
      </w:r>
      <w:r>
        <w:rPr>
          <w:rFonts w:ascii="Arial" w:cs="Arial" w:eastAsia="Arial" w:hAnsi="Arial"/>
          <w:sz w:val="20"/>
          <w:szCs w:val="20"/>
          <w:color w:val="auto"/>
        </w:rPr>
        <w:t>. Make any change in its (a) accounting policies or reporting practices, except as required by GAAP, or</w:t>
      </w:r>
      <w:r>
        <w:rPr>
          <w:rFonts w:ascii="Arial" w:cs="Arial" w:eastAsia="Arial" w:hAnsi="Arial"/>
          <w:sz w:val="20"/>
          <w:szCs w:val="20"/>
          <w:b w:val="1"/>
          <w:bCs w:val="1"/>
          <w:color w:val="auto"/>
        </w:rPr>
        <w:t xml:space="preserve"> </w:t>
      </w:r>
      <w:r>
        <w:rPr>
          <w:rFonts w:ascii="Arial" w:cs="Arial" w:eastAsia="Arial" w:hAnsi="Arial"/>
          <w:sz w:val="20"/>
          <w:szCs w:val="20"/>
          <w:color w:val="auto"/>
        </w:rPr>
        <w:t>(b)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240"/>
          </w:cols>
          <w:pgMar w:left="320" w:top="1405" w:right="339" w:bottom="1440" w:gutter="0" w:footer="0" w:header="0"/>
        </w:sectPr>
      </w:pPr>
    </w:p>
    <w:bookmarkStart w:id="307" w:name="page308"/>
    <w:bookmarkEnd w:id="307"/>
    <w:p>
      <w:pPr>
        <w:jc w:val="both"/>
        <w:ind w:firstLine="648"/>
        <w:spacing w:after="0" w:line="224" w:lineRule="auto"/>
        <w:rPr>
          <w:sz w:val="20"/>
          <w:szCs w:val="20"/>
          <w:color w:val="auto"/>
        </w:rPr>
      </w:pPr>
      <w:r>
        <w:rPr>
          <w:rFonts w:ascii="Arial" w:cs="Arial" w:eastAsia="Arial" w:hAnsi="Arial"/>
          <w:sz w:val="18"/>
          <w:szCs w:val="18"/>
          <w:b w:val="1"/>
          <w:bCs w:val="1"/>
          <w:color w:val="auto"/>
        </w:rPr>
        <w:t>7.15 Negative Pledge Clauses</w:t>
      </w:r>
      <w:r>
        <w:rPr>
          <w:rFonts w:ascii="Arial" w:cs="Arial" w:eastAsia="Arial" w:hAnsi="Arial"/>
          <w:sz w:val="18"/>
          <w:szCs w:val="18"/>
          <w:color w:val="auto"/>
        </w:rPr>
        <w:t>. Enter into or suffer to exist or become effective any agreement that prohibits or limits the ability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Loan Party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Arial" w:cs="Arial" w:eastAsia="Arial" w:hAnsi="Arial"/>
          <w:sz w:val="18"/>
          <w:szCs w:val="18"/>
          <w:u w:val="single" w:color="auto"/>
          <w:color w:val="auto"/>
        </w:rPr>
        <w:t>Sections 7.3(c</w:t>
      </w:r>
      <w:r>
        <w:rPr>
          <w:rFonts w:ascii="Arial" w:cs="Arial" w:eastAsia="Arial" w:hAnsi="Arial"/>
          <w:sz w:val="18"/>
          <w:szCs w:val="18"/>
          <w:color w:val="auto"/>
        </w:rPr>
        <w:t>)</w:t>
      </w:r>
      <w:r>
        <w:rPr>
          <w:rFonts w:ascii="Arial" w:cs="Arial" w:eastAsia="Arial" w:hAnsi="Arial"/>
          <w:sz w:val="18"/>
          <w:szCs w:val="18"/>
          <w:u w:val="single" w:color="auto"/>
          <w:color w:val="auto"/>
        </w:rPr>
        <w:t>, (d), (f), (g),</w:t>
      </w:r>
      <w:r>
        <w:rPr>
          <w:rFonts w:ascii="Arial" w:cs="Arial" w:eastAsia="Arial" w:hAnsi="Arial"/>
          <w:sz w:val="18"/>
          <w:szCs w:val="18"/>
          <w:color w:val="auto"/>
        </w:rPr>
        <w:t xml:space="preserve"> </w:t>
      </w:r>
      <w:r>
        <w:rPr>
          <w:rFonts w:ascii="Arial" w:cs="Arial" w:eastAsia="Arial" w:hAnsi="Arial"/>
          <w:sz w:val="18"/>
          <w:szCs w:val="18"/>
          <w:u w:val="single" w:color="auto"/>
          <w:color w:val="auto"/>
        </w:rPr>
        <w:t>(l), (m), (n), (o), (s)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t>
      </w:r>
      <w:r>
        <w:rPr>
          <w:rFonts w:ascii="Arial" w:cs="Arial" w:eastAsia="Arial" w:hAnsi="Arial"/>
          <w:sz w:val="18"/>
          <w:szCs w:val="18"/>
          <w:color w:val="auto"/>
        </w:rPr>
        <w:t xml:space="preserve"> or any agreement or option to Dispose any asset of any Group Member, the Disposition of which is permitted by any other provision of this Agreements (in each case,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relates only to the assets or property subject to such Lien or being Disposed).</w:t>
      </w:r>
    </w:p>
    <w:p>
      <w:pPr>
        <w:spacing w:after="0" w:line="15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b w:val="1"/>
          <w:bCs w:val="1"/>
          <w:color w:val="auto"/>
        </w:rPr>
        <w:t>7.16 Clauses Restricting Subsidiary Distributions</w:t>
      </w:r>
      <w:r>
        <w:rPr>
          <w:rFonts w:ascii="Arial" w:cs="Arial" w:eastAsia="Arial" w:hAnsi="Arial"/>
          <w:sz w:val="18"/>
          <w:szCs w:val="18"/>
          <w:color w:val="auto"/>
        </w:rPr>
        <w:t>. Enter into or suffer to exist or become effective any consensual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encumbrance or restriction on the ability of any Subsidiary of Holdings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 (v) 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restrictions under any Subordinated Debt Documents, (vii) restrictions on the transfer of any asset pending the close of the sale of such asset and customary restrictions contained in purchase agreements and acquisition agreements (including by way of merger, acquisition or 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Holdings and its Subsidiaries to meet their ongoing obligations under the Loan Documents, (ix) 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or (xii) any restriction pursuant to any document, agreement or instrument governing or relating to any Lien permitted under </w:t>
      </w:r>
      <w:r>
        <w:rPr>
          <w:rFonts w:ascii="Arial" w:cs="Arial" w:eastAsia="Arial" w:hAnsi="Arial"/>
          <w:sz w:val="18"/>
          <w:szCs w:val="18"/>
          <w:u w:val="single" w:color="auto"/>
          <w:color w:val="auto"/>
        </w:rPr>
        <w:t>Sections 7.3(c</w:t>
      </w:r>
      <w:r>
        <w:rPr>
          <w:rFonts w:ascii="Arial" w:cs="Arial" w:eastAsia="Arial" w:hAnsi="Arial"/>
          <w:sz w:val="18"/>
          <w:szCs w:val="18"/>
          <w:color w:val="auto"/>
        </w:rPr>
        <w:t>)</w:t>
      </w:r>
      <w:r>
        <w:rPr>
          <w:rFonts w:ascii="Arial" w:cs="Arial" w:eastAsia="Arial" w:hAnsi="Arial"/>
          <w:sz w:val="18"/>
          <w:szCs w:val="18"/>
          <w:u w:val="single" w:color="auto"/>
          <w:color w:val="auto"/>
        </w:rPr>
        <w:t>, (d), (f), (g), (l), (m), (n), (o), (s)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relates only to the assets or property subject to such Lien or being Disposed).</w:t>
      </w:r>
    </w:p>
    <w:p>
      <w:pPr>
        <w:spacing w:after="0" w:line="15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7.17 Lines of Business</w:t>
      </w:r>
      <w:r>
        <w:rPr>
          <w:rFonts w:ascii="Arial" w:cs="Arial" w:eastAsia="Arial" w:hAnsi="Arial"/>
          <w:sz w:val="20"/>
          <w:szCs w:val="20"/>
          <w:color w:val="auto"/>
        </w:rPr>
        <w:t>. Enter into any business, either directly or through any Subsidiary, except for those businesses in which</w:t>
      </w:r>
      <w:r>
        <w:rPr>
          <w:rFonts w:ascii="Arial" w:cs="Arial" w:eastAsia="Arial" w:hAnsi="Arial"/>
          <w:sz w:val="20"/>
          <w:szCs w:val="20"/>
          <w:b w:val="1"/>
          <w:bCs w:val="1"/>
          <w:color w:val="auto"/>
        </w:rPr>
        <w:t xml:space="preserve"> </w:t>
      </w:r>
      <w:r>
        <w:rPr>
          <w:rFonts w:ascii="Arial" w:cs="Arial" w:eastAsia="Arial" w:hAnsi="Arial"/>
          <w:sz w:val="20"/>
          <w:szCs w:val="20"/>
          <w:color w:val="auto"/>
        </w:rPr>
        <w:t>Holdings and its Subsidiaries are engaged on the date of this Agreement or that are reasonably related, complementary, synergistic, ancillary or incidental thereto.</w:t>
      </w:r>
    </w:p>
    <w:p>
      <w:pPr>
        <w:spacing w:after="0" w:line="15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0"/>
          <w:szCs w:val="20"/>
          <w:b w:val="1"/>
          <w:bCs w:val="1"/>
          <w:color w:val="auto"/>
        </w:rPr>
        <w:t>7.18 Designation of other Indebtedness</w:t>
      </w:r>
      <w:r>
        <w:rPr>
          <w:rFonts w:ascii="Arial" w:cs="Arial" w:eastAsia="Arial" w:hAnsi="Arial"/>
          <w:sz w:val="20"/>
          <w:szCs w:val="20"/>
          <w:color w:val="auto"/>
        </w:rPr>
        <w:t>. Designate any Indebtedness or indebtedness other than the Obligations as “Designated</w:t>
      </w:r>
      <w:r>
        <w:rPr>
          <w:rFonts w:ascii="Arial" w:cs="Arial" w:eastAsia="Arial" w:hAnsi="Arial"/>
          <w:sz w:val="20"/>
          <w:szCs w:val="20"/>
          <w:b w:val="1"/>
          <w:bCs w:val="1"/>
          <w:color w:val="auto"/>
        </w:rPr>
        <w:t xml:space="preserve"> </w:t>
      </w:r>
      <w:r>
        <w:rPr>
          <w:rFonts w:ascii="Arial" w:cs="Arial" w:eastAsia="Arial" w:hAnsi="Arial"/>
          <w:sz w:val="20"/>
          <w:szCs w:val="20"/>
          <w:color w:val="auto"/>
        </w:rPr>
        <w:t>Senior Indebtedness” or a similar concept thereto,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240"/>
          </w:cols>
          <w:pgMar w:left="320" w:top="1399" w:right="339" w:bottom="1440" w:gutter="0" w:footer="0" w:header="0"/>
        </w:sectPr>
      </w:pPr>
    </w:p>
    <w:bookmarkStart w:id="308" w:name="page309"/>
    <w:bookmarkEnd w:id="308"/>
    <w:p>
      <w:pPr>
        <w:ind w:left="660"/>
        <w:spacing w:after="0"/>
        <w:tabs>
          <w:tab w:leader="none" w:pos="1280" w:val="left"/>
        </w:tabs>
        <w:rPr>
          <w:sz w:val="20"/>
          <w:szCs w:val="20"/>
          <w:color w:val="auto"/>
        </w:rPr>
      </w:pPr>
      <w:r>
        <w:rPr>
          <w:rFonts w:ascii="Arial" w:cs="Arial" w:eastAsia="Arial" w:hAnsi="Arial"/>
          <w:sz w:val="20"/>
          <w:szCs w:val="20"/>
          <w:b w:val="1"/>
          <w:bCs w:val="1"/>
          <w:color w:val="auto"/>
        </w:rPr>
        <w:t>7.19</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b w:val="1"/>
          <w:bCs w:val="1"/>
          <w:color w:val="auto"/>
        </w:rPr>
        <w:t xml:space="preserve">7.20 Amendments to Organizational Agreements </w:t>
      </w:r>
      <w:r>
        <w:rPr>
          <w:rFonts w:ascii="Arial" w:cs="Arial" w:eastAsia="Arial" w:hAnsi="Arial"/>
          <w:sz w:val="19"/>
          <w:szCs w:val="19"/>
          <w:color w:val="auto"/>
        </w:rPr>
        <w:t>. Amend or permit any amendments to any Loan Party’s organizational</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if such amendment could reasonably be expected to be materially adverse to Administrative Agent or the Lenders.</w:t>
      </w:r>
    </w:p>
    <w:p>
      <w:pPr>
        <w:spacing w:after="0" w:line="141"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b w:val="1"/>
          <w:bCs w:val="1"/>
          <w:color w:val="auto"/>
        </w:rPr>
        <w:t>7.21 Use of Proceeds</w:t>
      </w:r>
      <w:r>
        <w:rPr>
          <w:rFonts w:ascii="Arial" w:cs="Arial" w:eastAsia="Arial" w:hAnsi="Arial"/>
          <w:sz w:val="19"/>
          <w:szCs w:val="19"/>
          <w:color w:val="auto"/>
        </w:rPr>
        <w:t>. Use the proceeds of any Loan or extension of credit hereunder, whether directly or indirectly, (a)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Lender, Swingline Lender,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7.22</w:t>
      </w:r>
      <w:r>
        <w:rPr>
          <w:sz w:val="20"/>
          <w:szCs w:val="20"/>
          <w:color w:val="auto"/>
        </w:rPr>
        <w:tab/>
      </w:r>
      <w:r>
        <w:rPr>
          <w:rFonts w:ascii="Arial" w:cs="Arial" w:eastAsia="Arial" w:hAnsi="Arial"/>
          <w:sz w:val="16"/>
          <w:szCs w:val="16"/>
          <w:b w:val="1"/>
          <w:bCs w:val="1"/>
          <w:color w:val="auto"/>
        </w:rPr>
        <w:t>Subordinated Indebtedness.</w:t>
      </w:r>
    </w:p>
    <w:p>
      <w:pPr>
        <w:spacing w:after="0" w:line="181" w:lineRule="exact"/>
        <w:rPr>
          <w:sz w:val="20"/>
          <w:szCs w:val="20"/>
          <w:color w:val="auto"/>
        </w:rPr>
      </w:pPr>
    </w:p>
    <w:p>
      <w:pPr>
        <w:jc w:val="both"/>
        <w:ind w:firstLine="1304"/>
        <w:spacing w:after="0" w:line="244" w:lineRule="auto"/>
        <w:tabs>
          <w:tab w:leader="none" w:pos="1934"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Amend, modify, supplement, waive compliance with, or consent to noncompliance with, any Subordinated Debt Document (if any), unless the amendment, modification, supplement, waiver or consent is in compliance with the subordination provisions therein and any subordination agreement with respect thereto in favor of the Administrative Agent and the Lenders.</w:t>
      </w:r>
    </w:p>
    <w:p>
      <w:pPr>
        <w:spacing w:after="0" w:line="151" w:lineRule="exact"/>
        <w:rPr>
          <w:rFonts w:ascii="Arial" w:cs="Arial" w:eastAsia="Arial" w:hAnsi="Arial"/>
          <w:sz w:val="18"/>
          <w:szCs w:val="18"/>
          <w:color w:val="auto"/>
        </w:rPr>
      </w:pPr>
    </w:p>
    <w:p>
      <w:pPr>
        <w:jc w:val="both"/>
        <w:ind w:firstLine="1304"/>
        <w:spacing w:after="0" w:line="221" w:lineRule="auto"/>
        <w:tabs>
          <w:tab w:leader="none" w:pos="1932" w:val="left"/>
        </w:tabs>
        <w:numPr>
          <w:ilvl w:val="1"/>
          <w:numId w:val="273"/>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Make any payment, prepayment or repayment on, redemption, exchange or acquisition for value of, or any sinking fund or similar payment with respect to, any Subordinated Indebtedness, except as expressly permitted by the subordination provisions in the applicable Subordinated Debt Documents and any subordination agreement with respect thereto in favor of the Administrative Agent and the Lenders; provided that the foregoing limitation shall not apply if either (i) such payment does not exceed the Available Amount and (A) after giving effect thereto on a Pro Forma Basis as if such payment had been made on the last day of the most recent fiscal quarter of Holdings for which financial statements have been delivered hereunder, the Borrower would have been in compliance with the covenants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if such payment is made prior to the date that financial statements for the fiscal year ending January 31, 2021 have been delivered, the same covenant levels applicable to the trailing four quarter period ending on January 31, 2021 shall be tested as of October 31, 2020), (B) no Event of Default has occurred and is continuing or would immediately result therefrom, and</w:t>
      </w:r>
    </w:p>
    <w:p>
      <w:pPr>
        <w:spacing w:after="0" w:line="1" w:lineRule="exact"/>
        <w:rPr>
          <w:rFonts w:ascii="Arial" w:cs="Arial" w:eastAsia="Arial" w:hAnsi="Arial"/>
          <w:sz w:val="18"/>
          <w:szCs w:val="18"/>
          <w:color w:val="auto"/>
        </w:rPr>
      </w:pPr>
    </w:p>
    <w:p>
      <w:pPr>
        <w:jc w:val="both"/>
        <w:ind w:firstLine="8"/>
        <w:spacing w:after="0" w:line="227" w:lineRule="auto"/>
        <w:tabs>
          <w:tab w:leader="none" w:pos="32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Borrower shall have delivered five (5) Business Days prior to making such payment (x) an Available Amount Certificate and (y) a certificate signed by a Responsible Officer of the Borrower certifying the conditions specified in the foregoing clauses (b)(i)(A) and (B) have been satisfied and containing all information and calculations necessary for determining compliance with the foregoing clause (b)(i)(A), (ii) the Payment Conditions have been satisfied, (iii) such payment is made in connection with a Permitted Refinancing of the applicable Subordinated Indebtedness, or (iv) such payment is made in connection with a refinancing of such Subordinated Indebtedness with the proceeds of the issuance of Subordinated Indebtedness or Capital Stock (other than Disqualified Stock).</w:t>
      </w:r>
    </w:p>
    <w:p>
      <w:pPr>
        <w:spacing w:after="0" w:line="153"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 xml:space="preserve">7.23 Anti-Terrorism Laws. </w:t>
      </w:r>
      <w:r>
        <w:rPr>
          <w:rFonts w:ascii="Arial" w:cs="Arial" w:eastAsia="Arial" w:hAnsi="Arial"/>
          <w:sz w:val="20"/>
          <w:szCs w:val="20"/>
          <w:color w:val="auto"/>
        </w:rPr>
        <w:t>Conduct, deal in or engage in or permit any Affiliate or agent of any Loan Party within its control to</w:t>
      </w:r>
      <w:r>
        <w:rPr>
          <w:rFonts w:ascii="Arial" w:cs="Arial" w:eastAsia="Arial" w:hAnsi="Arial"/>
          <w:sz w:val="20"/>
          <w:szCs w:val="20"/>
          <w:b w:val="1"/>
          <w:bCs w:val="1"/>
          <w:color w:val="auto"/>
        </w:rPr>
        <w:t xml:space="preserve"> </w:t>
      </w:r>
      <w:r>
        <w:rPr>
          <w:rFonts w:ascii="Arial" w:cs="Arial" w:eastAsia="Arial" w:hAnsi="Arial"/>
          <w:sz w:val="20"/>
          <w:szCs w:val="20"/>
          <w:color w:val="auto"/>
        </w:rPr>
        <w:t>conduct, deal in or engage in any of the following activities: (a) conduct any business or engage in any transaction or dealing with any person blocked pursuant to Executive Order No. 13224 (a “</w:t>
      </w:r>
      <w:r>
        <w:rPr>
          <w:rFonts w:ascii="Arial" w:cs="Arial" w:eastAsia="Arial" w:hAnsi="Arial"/>
          <w:sz w:val="20"/>
          <w:szCs w:val="20"/>
          <w:b w:val="1"/>
          <w:bCs w:val="1"/>
          <w:i w:val="1"/>
          <w:iCs w:val="1"/>
          <w:color w:val="auto"/>
        </w:rPr>
        <w:t>Blocked Person</w:t>
      </w:r>
      <w:r>
        <w:rPr>
          <w:rFonts w:ascii="Arial" w:cs="Arial" w:eastAsia="Arial" w:hAnsi="Arial"/>
          <w:sz w:val="20"/>
          <w:szCs w:val="20"/>
          <w:color w:val="auto"/>
        </w:rPr>
        <w:t>”), including the making or receiving of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240"/>
          </w:cols>
          <w:pgMar w:left="320" w:top="1399" w:right="339" w:bottom="1440" w:gutter="0" w:footer="0" w:header="0"/>
        </w:sectPr>
      </w:pPr>
    </w:p>
    <w:bookmarkStart w:id="309" w:name="page310"/>
    <w:bookmarkEnd w:id="309"/>
    <w:p>
      <w:pPr>
        <w:spacing w:after="0"/>
        <w:rPr>
          <w:sz w:val="20"/>
          <w:szCs w:val="20"/>
          <w:color w:val="auto"/>
        </w:rPr>
      </w:pPr>
      <w:r>
        <w:rPr>
          <w:rFonts w:ascii="Arial" w:cs="Arial" w:eastAsia="Arial" w:hAnsi="Arial"/>
          <w:sz w:val="19"/>
          <w:szCs w:val="19"/>
          <w:color w:val="auto"/>
        </w:rPr>
        <w:t>purpose of evading or avoiding, or attempts to violate, any of the prohibitions set forth in Executive Order No. 13224 or the Patriot Act.</w:t>
      </w:r>
    </w:p>
    <w:p>
      <w:pPr>
        <w:spacing w:after="0" w:line="16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8</w:t>
      </w:r>
    </w:p>
    <w:p>
      <w:pPr>
        <w:ind w:left="4580"/>
        <w:spacing w:after="0"/>
        <w:rPr>
          <w:sz w:val="20"/>
          <w:szCs w:val="20"/>
          <w:color w:val="auto"/>
        </w:rPr>
      </w:pPr>
      <w:r>
        <w:rPr>
          <w:rFonts w:ascii="Arial" w:cs="Arial" w:eastAsia="Arial" w:hAnsi="Arial"/>
          <w:sz w:val="20"/>
          <w:szCs w:val="20"/>
          <w:b w:val="1"/>
          <w:bCs w:val="1"/>
          <w:color w:val="auto"/>
        </w:rPr>
        <w:t>EVENTS OF DEFAULT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The occurrence of any of the following shall constitute an Event of Default:</w:t>
      </w:r>
    </w:p>
    <w:p>
      <w:pPr>
        <w:spacing w:after="0" w:line="181" w:lineRule="exact"/>
        <w:rPr>
          <w:sz w:val="20"/>
          <w:szCs w:val="20"/>
          <w:color w:val="auto"/>
        </w:rPr>
      </w:pPr>
    </w:p>
    <w:p>
      <w:pPr>
        <w:jc w:val="both"/>
        <w:ind w:firstLine="1304"/>
        <w:spacing w:after="0" w:line="244" w:lineRule="auto"/>
        <w:tabs>
          <w:tab w:leader="none" w:pos="193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five (5) Business Days after any such interest or other amount becomes due in accordance with the terms hereof; or</w:t>
      </w:r>
    </w:p>
    <w:p>
      <w:pPr>
        <w:spacing w:after="0" w:line="151" w:lineRule="exact"/>
        <w:rPr>
          <w:rFonts w:ascii="Arial" w:cs="Arial" w:eastAsia="Arial" w:hAnsi="Arial"/>
          <w:sz w:val="18"/>
          <w:szCs w:val="18"/>
          <w:color w:val="auto"/>
        </w:rPr>
      </w:pPr>
    </w:p>
    <w:p>
      <w:pPr>
        <w:jc w:val="both"/>
        <w:ind w:firstLine="1304"/>
        <w:spacing w:after="0" w:line="225" w:lineRule="auto"/>
        <w:tabs>
          <w:tab w:leader="none" w:pos="193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w:t>
      </w:r>
    </w:p>
    <w:p>
      <w:pPr>
        <w:jc w:val="both"/>
        <w:ind w:firstLine="8"/>
        <w:spacing w:after="0" w:line="220" w:lineRule="auto"/>
        <w:tabs>
          <w:tab w:leader="none" w:pos="297"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if not qualified by materiality, shall be incorrect or misleading in any material respect when made or deemed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breach of a representation or warranty is capable of being cured, an Event of Default under this clause (b) with respect to such representation or warranty shall not occur unless such representation or warranty remains incorrect or misleading in any material respect (or all respects, as applicable) for 30 days after the making of such representation or warranty; or</w:t>
      </w:r>
    </w:p>
    <w:p>
      <w:pPr>
        <w:spacing w:after="0" w:line="154" w:lineRule="exact"/>
        <w:rPr>
          <w:rFonts w:ascii="Arial" w:cs="Arial" w:eastAsia="Arial" w:hAnsi="Arial"/>
          <w:sz w:val="19"/>
          <w:szCs w:val="19"/>
          <w:color w:val="auto"/>
        </w:rPr>
      </w:pPr>
    </w:p>
    <w:p>
      <w:pPr>
        <w:jc w:val="both"/>
        <w:ind w:firstLine="1304"/>
        <w:spacing w:after="0" w:line="218" w:lineRule="auto"/>
        <w:tabs>
          <w:tab w:leader="none" w:pos="1934" w:val="left"/>
        </w:tabs>
        <w:numPr>
          <w:ilvl w:val="1"/>
          <w:numId w:val="276"/>
        </w:numPr>
        <w:rPr>
          <w:rFonts w:ascii="Arial" w:cs="Arial" w:eastAsia="Arial" w:hAnsi="Arial"/>
          <w:sz w:val="20"/>
          <w:szCs w:val="20"/>
          <w:color w:val="auto"/>
        </w:rPr>
      </w:pPr>
      <w:r>
        <w:rPr>
          <w:rFonts w:ascii="Arial" w:cs="Arial" w:eastAsia="Arial" w:hAnsi="Arial"/>
          <w:sz w:val="20"/>
          <w:szCs w:val="20"/>
          <w:color w:val="auto"/>
        </w:rPr>
        <w:t xml:space="preserve">(i) any Loan Party shall default in the observance or performance of any agreement contained in, clause (i) of </w:t>
      </w:r>
      <w:r>
        <w:rPr>
          <w:rFonts w:ascii="Arial" w:cs="Arial" w:eastAsia="Arial" w:hAnsi="Arial"/>
          <w:sz w:val="20"/>
          <w:szCs w:val="20"/>
          <w:u w:val="single" w:color="auto"/>
          <w:color w:val="auto"/>
        </w:rPr>
        <w:t>Section 6.5(a)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6.8(a)</w:t>
      </w:r>
      <w:r>
        <w:rPr>
          <w:rFonts w:ascii="Arial" w:cs="Arial" w:eastAsia="Arial" w:hAnsi="Arial"/>
          <w:sz w:val="20"/>
          <w:szCs w:val="20"/>
          <w:color w:val="auto"/>
        </w:rPr>
        <w:t xml:space="preserve"> and such default shall continue unremedied three (3) Business Days thereafter, or (ii)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Agreement; or</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2" w:val="left"/>
        </w:tabs>
        <w:numPr>
          <w:ilvl w:val="1"/>
          <w:numId w:val="276"/>
        </w:numPr>
        <w:rPr>
          <w:rFonts w:ascii="Arial" w:cs="Arial" w:eastAsia="Arial" w:hAnsi="Arial"/>
          <w:sz w:val="20"/>
          <w:szCs w:val="20"/>
          <w:color w:val="auto"/>
        </w:rPr>
      </w:pPr>
      <w:r>
        <w:rPr>
          <w:rFonts w:ascii="Arial" w:cs="Arial" w:eastAsia="Arial" w:hAnsi="Arial"/>
          <w:sz w:val="20"/>
          <w:szCs w:val="20"/>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thereafter; or</w:t>
      </w:r>
    </w:p>
    <w:p>
      <w:pPr>
        <w:spacing w:after="0" w:line="156" w:lineRule="exact"/>
        <w:rPr>
          <w:rFonts w:ascii="Arial" w:cs="Arial" w:eastAsia="Arial" w:hAnsi="Arial"/>
          <w:sz w:val="20"/>
          <w:szCs w:val="20"/>
          <w:color w:val="auto"/>
        </w:rPr>
      </w:pPr>
    </w:p>
    <w:p>
      <w:pPr>
        <w:jc w:val="both"/>
        <w:ind w:firstLine="1304"/>
        <w:spacing w:after="0" w:line="222" w:lineRule="auto"/>
        <w:tabs>
          <w:tab w:leader="none" w:pos="193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 xml:space="preserve">any Group Member shall (i) default in making any payment of any principal of any Indebtedness (including any Guarantee Obligation, but excluding the Loans) on the scheduled or original due date with respect thereto; (ii) default in making any payment of any interest on any such Indebtedness beyond the period of grace, if any, provided in the instrument or agreement under which such Indebtedness was created; (iii) default in making any payment or delivery under any such Indebtedness constituting a Swap Agreement beyond the period of grace, if any, provided in such Swap Agreement; or (iv)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(A)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(B) to cause, with the giving of notice if required, any Group Member to purchase, redeem, mandatorily prepay or make an offer to purchase, redeem or mandatorily prepay such Indebtedness prior to its stated maturity; provided that this clause (iv) shall not apply to secured Indebtedness that becomes due as a result of the voluntary sale or transfer of the property or assets securing such Indebtedness if such sale or transfer is permitted hereunder and under the documents providing for such Indebtedness; provided further, that a default, event or condition described in clauses (i), (ii), (iii), or (iv)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8.1(e)</w:t>
      </w:r>
      <w:r>
        <w:rPr>
          <w:rFonts w:ascii="Arial" w:cs="Arial" w:eastAsia="Arial" w:hAnsi="Arial"/>
          <w:sz w:val="18"/>
          <w:szCs w:val="18"/>
          <w:color w:val="auto"/>
        </w:rPr>
        <w:t xml:space="preserve"> shall not at any time constitute an Event of Default unless, at such time, one or more defaults, events or conditions of the type described in any of clauses (i), (ii), (iii), or (iv) of this </w:t>
      </w:r>
      <w:r>
        <w:rPr>
          <w:rFonts w:ascii="Arial" w:cs="Arial" w:eastAsia="Arial" w:hAnsi="Arial"/>
          <w:sz w:val="18"/>
          <w:szCs w:val="18"/>
          <w:u w:val="single" w:color="auto"/>
          <w:color w:val="auto"/>
        </w:rPr>
        <w:t>Section 8.1(e)</w:t>
      </w:r>
      <w:r>
        <w:rPr>
          <w:rFonts w:ascii="Arial" w:cs="Arial" w:eastAsia="Arial" w:hAnsi="Arial"/>
          <w:sz w:val="18"/>
          <w:szCs w:val="18"/>
          <w:color w:val="auto"/>
        </w:rPr>
        <w:t xml:space="preserve"> shall have occurred with respect to Indebtedness, the outstanding principal amount (and, in the case of Swap Agreements, the Swap Termination Value) of which, individually or in the aggregate for all such Indebtedness, exceeds $50,000,000;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240"/>
          </w:cols>
          <w:pgMar w:left="320" w:top="1405" w:right="339" w:bottom="1440" w:gutter="0" w:footer="0" w:header="0"/>
        </w:sectPr>
      </w:pPr>
    </w:p>
    <w:bookmarkStart w:id="310" w:name="page311"/>
    <w:bookmarkEnd w:id="310"/>
    <w:p>
      <w:pPr>
        <w:jc w:val="both"/>
        <w:ind w:firstLine="1304"/>
        <w:spacing w:after="0" w:line="224" w:lineRule="auto"/>
        <w:tabs>
          <w:tab w:leader="none" w:pos="193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60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such 60 day period, no Loan shall be advanced or Letters of Credit issued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such 60 day period, no Loan shall be advanced or Letters of Credit issued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57" w:lineRule="exact"/>
        <w:rPr>
          <w:rFonts w:ascii="Arial" w:cs="Arial" w:eastAsia="Arial" w:hAnsi="Arial"/>
          <w:sz w:val="18"/>
          <w:szCs w:val="18"/>
          <w:color w:val="auto"/>
        </w:rPr>
      </w:pPr>
    </w:p>
    <w:p>
      <w:pPr>
        <w:jc w:val="both"/>
        <w:ind w:firstLine="1304"/>
        <w:spacing w:after="0" w:line="210" w:lineRule="auto"/>
        <w:tabs>
          <w:tab w:leader="none" w:pos="193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there shall occur one or more ERISA Events which individually or in the aggregate results in or otherwise is associated with liability of any Loan Party or any ERISA Affiliate thereof in excess of $50,000,000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$50,000,000; or</w:t>
      </w:r>
    </w:p>
    <w:p>
      <w:pPr>
        <w:spacing w:after="0" w:line="154" w:lineRule="exact"/>
        <w:rPr>
          <w:rFonts w:ascii="Arial" w:cs="Arial" w:eastAsia="Arial" w:hAnsi="Arial"/>
          <w:sz w:val="20"/>
          <w:szCs w:val="20"/>
          <w:color w:val="auto"/>
        </w:rPr>
      </w:pPr>
    </w:p>
    <w:p>
      <w:pPr>
        <w:jc w:val="both"/>
        <w:ind w:firstLine="1304"/>
        <w:spacing w:after="0" w:line="207" w:lineRule="auto"/>
        <w:tabs>
          <w:tab w:leader="none" w:pos="193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45 days from the entry thereof; or</w:t>
      </w:r>
    </w:p>
    <w:p>
      <w:pPr>
        <w:spacing w:after="0" w:line="159" w:lineRule="exact"/>
        <w:rPr>
          <w:rFonts w:ascii="Arial" w:cs="Arial" w:eastAsia="Arial" w:hAnsi="Arial"/>
          <w:sz w:val="20"/>
          <w:szCs w:val="20"/>
          <w:color w:val="auto"/>
        </w:rPr>
      </w:pPr>
    </w:p>
    <w:p>
      <w:pPr>
        <w:jc w:val="both"/>
        <w:ind w:firstLine="1304"/>
        <w:spacing w:after="0" w:line="218" w:lineRule="auto"/>
        <w:tabs>
          <w:tab w:leader="none" w:pos="215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154" w:lineRule="exact"/>
        <w:rPr>
          <w:rFonts w:ascii="Arial" w:cs="Arial" w:eastAsia="Arial" w:hAnsi="Arial"/>
          <w:sz w:val="20"/>
          <w:szCs w:val="20"/>
          <w:color w:val="auto"/>
        </w:rPr>
      </w:pPr>
    </w:p>
    <w:p>
      <w:pPr>
        <w:ind w:left="2600" w:hanging="648"/>
        <w:spacing w:after="0"/>
        <w:tabs>
          <w:tab w:leader="none" w:pos="26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any court order enjoins, restrains or prevents a Loan Party from conducting all or any material part of its</w:t>
      </w:r>
    </w:p>
    <w:p>
      <w:pPr>
        <w:spacing w:after="0"/>
        <w:rPr>
          <w:rFonts w:ascii="Arial" w:cs="Arial" w:eastAsia="Arial" w:hAnsi="Arial"/>
          <w:sz w:val="18"/>
          <w:szCs w:val="18"/>
          <w:color w:val="auto"/>
        </w:rPr>
      </w:pPr>
      <w:r>
        <w:rPr>
          <w:rFonts w:ascii="Arial" w:cs="Arial" w:eastAsia="Arial" w:hAnsi="Arial"/>
          <w:sz w:val="20"/>
          <w:szCs w:val="20"/>
          <w:color w:val="auto"/>
        </w:rPr>
        <w:t>business; or</w:t>
      </w:r>
    </w:p>
    <w:p>
      <w:pPr>
        <w:spacing w:after="0" w:line="159" w:lineRule="exact"/>
        <w:rPr>
          <w:rFonts w:ascii="Arial" w:cs="Arial" w:eastAsia="Arial" w:hAnsi="Arial"/>
          <w:sz w:val="18"/>
          <w:szCs w:val="18"/>
          <w:color w:val="auto"/>
        </w:rPr>
      </w:pPr>
    </w:p>
    <w:p>
      <w:pPr>
        <w:ind w:right="20" w:firstLine="1304"/>
        <w:spacing w:after="0" w:line="229" w:lineRule="auto"/>
        <w:tabs>
          <w:tab w:leader="none" w:pos="194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the guarantee contained in Section 2 of the Guarantee and Collateral Agreement shall cease, for any reason, to be in full force and effect or any Loan Party shall so assert; or</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a Change of Control shall occur; or</w:t>
      </w:r>
    </w:p>
    <w:p>
      <w:pPr>
        <w:spacing w:after="0" w:line="175" w:lineRule="exact"/>
        <w:rPr>
          <w:rFonts w:ascii="Arial" w:cs="Arial" w:eastAsia="Arial" w:hAnsi="Arial"/>
          <w:sz w:val="20"/>
          <w:szCs w:val="20"/>
          <w:color w:val="auto"/>
        </w:rPr>
      </w:pPr>
    </w:p>
    <w:p>
      <w:pPr>
        <w:jc w:val="both"/>
        <w:ind w:firstLine="1304"/>
        <w:spacing w:after="0" w:line="207" w:lineRule="auto"/>
        <w:tabs>
          <w:tab w:leader="none" w:pos="194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 xml:space="preserve">any Loan Document (including the subordination provisions of any subordination agreement or intercreditor agreement governing Subordinated Indebtedness) not otherwise referenced in </w:t>
      </w:r>
      <w:r>
        <w:rPr>
          <w:rFonts w:ascii="Arial" w:cs="Arial" w:eastAsia="Arial" w:hAnsi="Arial"/>
          <w:sz w:val="20"/>
          <w:szCs w:val="20"/>
          <w:u w:val="single" w:color="auto"/>
          <w:color w:val="auto"/>
        </w:rPr>
        <w:t>Section 8.1(i)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at any time after its execution and delivery and for any reason other than as expressly permitted hereunder or thereunder or the Discharge of Obligations, ceases to be in full force and effect; or any Loan Party contests in any manner the validity or enforceability of any Loan Document; or any Loan Party denies that it has any liability or obligation under any Loan Document to which it is a party, or purports to revoke, terminate or rescind any such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40"/>
          </w:cols>
          <w:pgMar w:left="320" w:top="1405" w:right="339" w:bottom="1440" w:gutter="0" w:footer="0" w:header="0"/>
        </w:sectPr>
      </w:pPr>
    </w:p>
    <w:bookmarkStart w:id="311" w:name="page312"/>
    <w:bookmarkEnd w:id="311"/>
    <w:p>
      <w:pPr>
        <w:ind w:firstLine="648"/>
        <w:spacing w:after="0" w:line="232" w:lineRule="auto"/>
        <w:rPr>
          <w:sz w:val="20"/>
          <w:szCs w:val="20"/>
          <w:color w:val="auto"/>
        </w:rPr>
      </w:pPr>
      <w:r>
        <w:rPr>
          <w:rFonts w:ascii="Arial" w:cs="Arial" w:eastAsia="Arial" w:hAnsi="Arial"/>
          <w:sz w:val="20"/>
          <w:szCs w:val="20"/>
          <w:b w:val="1"/>
          <w:bCs w:val="1"/>
          <w:color w:val="auto"/>
        </w:rPr>
        <w:t>8.2 Remedies Upon Event of Default</w:t>
      </w:r>
      <w:r>
        <w:rPr>
          <w:rFonts w:ascii="Arial" w:cs="Arial" w:eastAsia="Arial" w:hAnsi="Arial"/>
          <w:sz w:val="20"/>
          <w:szCs w:val="20"/>
          <w:color w:val="auto"/>
        </w:rPr>
        <w:t>. If any Event of Default occurs and is continuing, the Administrative Agent shall, 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of, or may, with the consent of, the Required Lenders, take any or all of the following actions:</w:t>
      </w:r>
    </w:p>
    <w:p>
      <w:pPr>
        <w:spacing w:after="0" w:line="155" w:lineRule="exact"/>
        <w:rPr>
          <w:sz w:val="20"/>
          <w:szCs w:val="20"/>
          <w:color w:val="auto"/>
        </w:rPr>
      </w:pPr>
    </w:p>
    <w:p>
      <w:pPr>
        <w:jc w:val="both"/>
        <w:ind w:firstLine="1304"/>
        <w:spacing w:after="0" w:line="230" w:lineRule="auto"/>
        <w:tabs>
          <w:tab w:leader="none" w:pos="1934"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if such event is an Event of Default specified in clause (i) or (ii) of paragraph (f) of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54"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278"/>
        </w:numPr>
        <w:rPr>
          <w:rFonts w:ascii="Arial" w:cs="Arial" w:eastAsia="Arial" w:hAnsi="Arial"/>
          <w:sz w:val="19"/>
          <w:szCs w:val="19"/>
          <w:color w:val="auto"/>
        </w:rPr>
      </w:pPr>
      <w:r>
        <w:rPr>
          <w:rFonts w:ascii="Arial" w:cs="Arial" w:eastAsia="Arial" w:hAnsi="Arial"/>
          <w:sz w:val="19"/>
          <w:szCs w:val="19"/>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Swingline Commitments and the L/C Commitments to be terminated forthwith, whereupon the Revolving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Loan Parties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57"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 xml:space="preserve">With respect to all Letters of Credit with respect to which presentment for honor shall not have occurred at the time of an acceleration pursuant to this paragraph, the Borrower shall Cash Collateralize an amount equal to 105%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Arial" w:cs="Arial" w:eastAsia="Arial" w:hAnsi="Arial"/>
          <w:sz w:val="20"/>
          <w:szCs w:val="20"/>
          <w:u w:val="single" w:color="auto"/>
          <w:color w:val="auto"/>
        </w:rPr>
        <w:t>Section 8.3</w:t>
      </w:r>
      <w:r>
        <w:rPr>
          <w:rFonts w:ascii="Arial" w:cs="Arial" w:eastAsia="Arial" w:hAnsi="Arial"/>
          <w:sz w:val="20"/>
          <w:szCs w:val="20"/>
          <w:color w:val="auto"/>
        </w:rPr>
        <w:t>.</w:t>
      </w:r>
    </w:p>
    <w:p>
      <w:pPr>
        <w:spacing w:after="0" w:line="160"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 xml:space="preserve">In addition, (x) the Borrower shall also cash collateralize the full amount of any Swingline Loans then outstanding, and (y) 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155" w:lineRule="exact"/>
        <w:rPr>
          <w:sz w:val="20"/>
          <w:szCs w:val="20"/>
          <w:color w:val="auto"/>
        </w:rPr>
      </w:pPr>
    </w:p>
    <w:p>
      <w:pPr>
        <w:jc w:val="both"/>
        <w:ind w:firstLine="1304"/>
        <w:spacing w:after="0" w:line="218" w:lineRule="auto"/>
        <w:tabs>
          <w:tab w:leader="none" w:pos="1934" w:val="left"/>
        </w:tabs>
        <w:numPr>
          <w:ilvl w:val="0"/>
          <w:numId w:val="279"/>
        </w:numPr>
        <w:rPr>
          <w:rFonts w:ascii="Arial" w:cs="Arial" w:eastAsia="Arial" w:hAnsi="Arial"/>
          <w:sz w:val="19"/>
          <w:szCs w:val="19"/>
          <w:color w:val="auto"/>
        </w:rPr>
      </w:pPr>
      <w:r>
        <w:rPr>
          <w:rFonts w:ascii="Arial" w:cs="Arial" w:eastAsia="Arial" w:hAnsi="Arial"/>
          <w:sz w:val="19"/>
          <w:szCs w:val="19"/>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20"/>
          <w:szCs w:val="20"/>
          <w:b w:val="1"/>
          <w:bCs w:val="1"/>
          <w:color w:val="auto"/>
        </w:rPr>
        <w:t>Application of Funds</w:t>
      </w:r>
      <w:r>
        <w:rPr>
          <w:rFonts w:ascii="Arial" w:cs="Arial" w:eastAsia="Arial" w:hAnsi="Arial"/>
          <w:sz w:val="20"/>
          <w:szCs w:val="20"/>
          <w:color w:val="auto"/>
        </w:rPr>
        <w:t>. After the exercise of remedies provided for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8.2</w:t>
      </w:r>
      <w:r>
        <w:rPr>
          <w:rFonts w:ascii="Arial" w:cs="Arial" w:eastAsia="Arial" w:hAnsi="Arial"/>
          <w:sz w:val="20"/>
          <w:szCs w:val="20"/>
          <w:color w:val="auto"/>
        </w:rPr>
        <w:t>, any amounts received by the</w:t>
      </w:r>
    </w:p>
    <w:p>
      <w:pPr>
        <w:spacing w:after="0"/>
        <w:rPr>
          <w:sz w:val="20"/>
          <w:szCs w:val="20"/>
          <w:color w:val="auto"/>
        </w:rPr>
      </w:pPr>
      <w:r>
        <w:rPr>
          <w:rFonts w:ascii="Arial" w:cs="Arial" w:eastAsia="Arial" w:hAnsi="Arial"/>
          <w:sz w:val="20"/>
          <w:szCs w:val="20"/>
          <w:color w:val="auto"/>
        </w:rPr>
        <w:t>Administrative Agent on account of the Obligations shall be applied by the Administrative Agent in the following order:</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the payment of that portion of the Obligations constituting fees, indemnities, expenses and other amounts (other than principal and interest but including any Collateral-Related Expenses, fees, charges and disbursements of counsel to the Administrative Agent and amounts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240"/>
          </w:cols>
          <w:pgMar w:left="320" w:top="1399" w:right="339" w:bottom="1440" w:gutter="0" w:footer="0" w:header="0"/>
        </w:sectPr>
      </w:pPr>
    </w:p>
    <w:bookmarkStart w:id="312" w:name="page313"/>
    <w:bookmarkEnd w:id="312"/>
    <w:p>
      <w:pPr>
        <w:spacing w:after="0"/>
        <w:rPr>
          <w:sz w:val="20"/>
          <w:szCs w:val="20"/>
          <w:color w:val="auto"/>
        </w:rPr>
      </w:pPr>
      <w:r>
        <w:rPr>
          <w:rFonts w:ascii="Arial" w:cs="Arial" w:eastAsia="Arial" w:hAnsi="Arial"/>
          <w:sz w:val="20"/>
          <w:szCs w:val="20"/>
          <w:color w:val="auto"/>
        </w:rPr>
        <w:t xml:space="preserve">under </w:t>
      </w:r>
      <w:r>
        <w:rPr>
          <w:rFonts w:ascii="Arial" w:cs="Arial" w:eastAsia="Arial" w:hAnsi="Arial"/>
          <w:sz w:val="20"/>
          <w:szCs w:val="20"/>
          <w:u w:val="single" w:color="auto"/>
          <w:color w:val="auto"/>
        </w:rPr>
        <w:t>Sections 2.19</w:t>
      </w:r>
      <w:r>
        <w:rPr>
          <w:rFonts w:ascii="Arial" w:cs="Arial" w:eastAsia="Arial" w:hAnsi="Arial"/>
          <w:sz w:val="20"/>
          <w:szCs w:val="20"/>
          <w:color w:val="auto"/>
        </w:rPr>
        <w:t xml:space="preserve">, </w:t>
      </w:r>
      <w:r>
        <w:rPr>
          <w:rFonts w:ascii="Arial" w:cs="Arial" w:eastAsia="Arial" w:hAnsi="Arial"/>
          <w:sz w:val="20"/>
          <w:szCs w:val="20"/>
          <w:u w:val="single" w:color="auto"/>
          <w:color w:val="auto"/>
        </w:rPr>
        <w:t>2.20</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2.21</w:t>
      </w:r>
      <w:r>
        <w:rPr>
          <w:rFonts w:ascii="Arial" w:cs="Arial" w:eastAsia="Arial" w:hAnsi="Arial"/>
          <w:sz w:val="20"/>
          <w:szCs w:val="20"/>
          <w:color w:val="auto"/>
        </w:rPr>
        <w:t xml:space="preserve"> (including interest thereon)) payable to the Administrative Agent, in its capacity as such;</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and documented out-of-pocket fees, charges and disbursements of counsel to the respective Lenders and the Issuing Lender, and amounts payable under </w:t>
      </w:r>
      <w:r>
        <w:rPr>
          <w:rFonts w:ascii="Arial" w:cs="Arial" w:eastAsia="Arial" w:hAnsi="Arial"/>
          <w:sz w:val="19"/>
          <w:szCs w:val="19"/>
          <w:u w:val="single" w:color="auto"/>
          <w:color w:val="auto"/>
        </w:rPr>
        <w:t>Sections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in each case,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w:t>
      </w:r>
    </w:p>
    <w:p>
      <w:pPr>
        <w:spacing w:after="0" w:line="159"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and payable to them;</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u w:val="single" w:color="auto"/>
          <w:color w:val="auto"/>
        </w:rPr>
        <w:t>Sixth</w:t>
      </w:r>
      <w:r>
        <w:rPr>
          <w:rFonts w:ascii="Arial" w:cs="Arial" w:eastAsia="Arial" w:hAnsi="Arial"/>
          <w:sz w:val="20"/>
          <w:szCs w:val="20"/>
          <w:color w:val="auto"/>
        </w:rPr>
        <w:t xml:space="preserve">, to the Administrative Agent for the account of the Issuing Lender, to Cash Collateralize that portion of the L/C Exposure comprised of the aggregate undrawn amount of Letters of Credit pursuant to </w:t>
      </w:r>
      <w:r>
        <w:rPr>
          <w:rFonts w:ascii="Arial" w:cs="Arial" w:eastAsia="Arial" w:hAnsi="Arial"/>
          <w:sz w:val="20"/>
          <w:szCs w:val="20"/>
          <w:u w:val="single" w:color="auto"/>
          <w:color w:val="auto"/>
        </w:rPr>
        <w:t>Section 3.10</w:t>
      </w:r>
      <w:r>
        <w:rPr>
          <w:rFonts w:ascii="Arial" w:cs="Arial" w:eastAsia="Arial" w:hAnsi="Arial"/>
          <w:sz w:val="20"/>
          <w:szCs w:val="20"/>
          <w:color w:val="auto"/>
        </w:rPr>
        <w:t>;</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Arial" w:cs="Arial" w:eastAsia="Arial" w:hAnsi="Arial"/>
          <w:sz w:val="20"/>
          <w:szCs w:val="20"/>
          <w:u w:val="single" w:color="auto"/>
          <w:color w:val="auto"/>
        </w:rPr>
        <w:t>Seventh</w:t>
      </w:r>
      <w:r>
        <w:rPr>
          <w:rFonts w:ascii="Arial" w:cs="Arial" w:eastAsia="Arial" w:hAnsi="Arial"/>
          <w:sz w:val="20"/>
          <w:szCs w:val="20"/>
          <w:color w:val="auto"/>
        </w:rPr>
        <w:t xml:space="preserve"> payable to them;</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Arial" w:cs="Arial" w:eastAsia="Arial" w:hAnsi="Arial"/>
          <w:sz w:val="20"/>
          <w:szCs w:val="20"/>
          <w:u w:val="single" w:color="auto"/>
          <w:color w:val="auto"/>
        </w:rPr>
        <w:t>Eight</w:t>
      </w:r>
      <w:r>
        <w:rPr>
          <w:rFonts w:ascii="Arial" w:cs="Arial" w:eastAsia="Arial" w:hAnsi="Arial"/>
          <w:sz w:val="20"/>
          <w:szCs w:val="20"/>
          <w:color w:val="auto"/>
        </w:rPr>
        <w:t xml:space="preserve"> and payable to them;</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the Discharge of Obligations, to the Borrower or as otherwise required by Law.</w:t>
      </w:r>
    </w:p>
    <w:p>
      <w:pPr>
        <w:spacing w:after="0" w:line="17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2.24(a)</w:t>
      </w:r>
      <w:r>
        <w:rPr>
          <w:rFonts w:ascii="Arial" w:cs="Arial" w:eastAsia="Arial" w:hAnsi="Arial"/>
          <w:sz w:val="20"/>
          <w:szCs w:val="20"/>
          <w:color w:val="auto"/>
        </w:rPr>
        <w:t xml:space="preserve">, </w:t>
      </w:r>
      <w:r>
        <w:rPr>
          <w:rFonts w:ascii="Arial" w:cs="Arial" w:eastAsia="Arial" w:hAnsi="Arial"/>
          <w:sz w:val="20"/>
          <w:szCs w:val="20"/>
          <w:u w:val="single" w:color="auto"/>
          <w:color w:val="auto"/>
        </w:rPr>
        <w:t>3.4</w:t>
      </w:r>
      <w:r>
        <w:rPr>
          <w:rFonts w:ascii="Arial" w:cs="Arial" w:eastAsia="Arial" w:hAnsi="Arial"/>
          <w:sz w:val="20"/>
          <w:szCs w:val="20"/>
          <w:color w:val="auto"/>
        </w:rPr>
        <w:t xml:space="preserve">,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3.10</w:t>
      </w:r>
      <w:r>
        <w:rPr>
          <w:rFonts w:ascii="Arial" w:cs="Arial" w:eastAsia="Arial" w:hAnsi="Arial"/>
          <w:sz w:val="20"/>
          <w:szCs w:val="20"/>
          <w:color w:val="auto"/>
        </w:rPr>
        <w:t xml:space="preserve">, amounts used to Cash Collateralize the aggregate undrawn amount of Letters of Credit pursuant to clause </w:t>
      </w:r>
      <w:r>
        <w:rPr>
          <w:rFonts w:ascii="Arial" w:cs="Arial" w:eastAsia="Arial" w:hAnsi="Arial"/>
          <w:sz w:val="20"/>
          <w:szCs w:val="20"/>
          <w:u w:val="single" w:color="auto"/>
          <w:color w:val="auto"/>
        </w:rPr>
        <w:t>Sixth</w:t>
      </w:r>
      <w:r>
        <w:rPr>
          <w:rFonts w:ascii="Arial" w:cs="Arial" w:eastAsia="Arial" w:hAnsi="Arial"/>
          <w:sz w:val="20"/>
          <w:szCs w:val="20"/>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240"/>
          </w:cols>
          <w:pgMar w:left="320" w:top="1405" w:right="339" w:bottom="1440" w:gutter="0" w:footer="0" w:header="0"/>
        </w:sectPr>
      </w:pPr>
    </w:p>
    <w:bookmarkStart w:id="313" w:name="page314"/>
    <w:bookmarkEnd w:id="313"/>
    <w:p>
      <w:pPr>
        <w:jc w:val="both"/>
        <w:ind w:firstLine="648"/>
        <w:spacing w:after="0" w:line="218" w:lineRule="auto"/>
        <w:rPr>
          <w:sz w:val="20"/>
          <w:szCs w:val="20"/>
          <w:color w:val="auto"/>
        </w:rPr>
      </w:pPr>
      <w:r>
        <w:rPr>
          <w:rFonts w:ascii="Arial" w:cs="Arial" w:eastAsia="Arial" w:hAnsi="Arial"/>
          <w:sz w:val="19"/>
          <w:szCs w:val="19"/>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Arial" w:cs="Arial" w:eastAsia="Arial" w:hAnsi="Arial"/>
          <w:sz w:val="19"/>
          <w:szCs w:val="19"/>
          <w:u w:val="single" w:color="auto"/>
          <w:color w:val="auto"/>
        </w:rPr>
        <w:t>Section 8.3</w:t>
      </w:r>
      <w:r>
        <w:rPr>
          <w:rFonts w:ascii="Arial" w:cs="Arial" w:eastAsia="Arial" w:hAnsi="Arial"/>
          <w:sz w:val="19"/>
          <w:szCs w:val="19"/>
          <w:color w:val="auto"/>
        </w:rPr>
        <w:t>.</w:t>
      </w:r>
    </w:p>
    <w:p>
      <w:pPr>
        <w:spacing w:after="0" w:line="200" w:lineRule="exact"/>
        <w:rPr>
          <w:sz w:val="20"/>
          <w:szCs w:val="20"/>
          <w:color w:val="auto"/>
        </w:rPr>
      </w:pPr>
    </w:p>
    <w:p>
      <w:pPr>
        <w:spacing w:after="0" w:line="393"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SECTION 9</w:t>
      </w:r>
    </w:p>
    <w:p>
      <w:pPr>
        <w:ind w:left="4140"/>
        <w:spacing w:after="0"/>
        <w:rPr>
          <w:sz w:val="20"/>
          <w:szCs w:val="20"/>
          <w:color w:val="auto"/>
        </w:rPr>
      </w:pPr>
      <w:r>
        <w:rPr>
          <w:rFonts w:ascii="Arial" w:cs="Arial" w:eastAsia="Arial" w:hAnsi="Arial"/>
          <w:sz w:val="20"/>
          <w:szCs w:val="20"/>
          <w:b w:val="1"/>
          <w:bCs w:val="1"/>
          <w:color w:val="auto"/>
        </w:rPr>
        <w:t>THE ADMINISTRATIVE AGENT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Appointment and Authority.</w:t>
      </w:r>
    </w:p>
    <w:p>
      <w:pPr>
        <w:spacing w:after="0" w:line="181" w:lineRule="exact"/>
        <w:rPr>
          <w:sz w:val="20"/>
          <w:szCs w:val="20"/>
          <w:color w:val="auto"/>
        </w:rPr>
      </w:pPr>
    </w:p>
    <w:p>
      <w:pPr>
        <w:jc w:val="both"/>
        <w:ind w:firstLine="1304"/>
        <w:spacing w:after="0" w:line="213" w:lineRule="auto"/>
        <w:tabs>
          <w:tab w:leader="none" w:pos="1934" w:val="left"/>
        </w:tabs>
        <w:numPr>
          <w:ilvl w:val="0"/>
          <w:numId w:val="280"/>
        </w:numPr>
        <w:rPr>
          <w:rFonts w:ascii="Arial" w:cs="Arial" w:eastAsia="Arial" w:hAnsi="Arial"/>
          <w:sz w:val="20"/>
          <w:szCs w:val="20"/>
          <w:color w:val="auto"/>
        </w:rPr>
      </w:pPr>
      <w:r>
        <w:rPr>
          <w:rFonts w:ascii="Arial" w:cs="Arial" w:eastAsia="Arial" w:hAnsi="Arial"/>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55" w:lineRule="exact"/>
        <w:rPr>
          <w:rFonts w:ascii="Arial" w:cs="Arial" w:eastAsia="Arial" w:hAnsi="Arial"/>
          <w:sz w:val="20"/>
          <w:szCs w:val="20"/>
          <w:color w:val="auto"/>
        </w:rPr>
      </w:pPr>
    </w:p>
    <w:p>
      <w:pPr>
        <w:jc w:val="both"/>
        <w:ind w:firstLine="1304"/>
        <w:spacing w:after="0" w:line="227" w:lineRule="auto"/>
        <w:tabs>
          <w:tab w:leader="none" w:pos="193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5" w:lineRule="exact"/>
        <w:rPr>
          <w:rFonts w:ascii="Arial" w:cs="Arial" w:eastAsia="Arial" w:hAnsi="Arial"/>
          <w:sz w:val="18"/>
          <w:szCs w:val="18"/>
          <w:color w:val="auto"/>
        </w:rPr>
      </w:pPr>
    </w:p>
    <w:p>
      <w:pPr>
        <w:jc w:val="both"/>
        <w:ind w:firstLine="1304"/>
        <w:spacing w:after="0" w:line="223" w:lineRule="auto"/>
        <w:tabs>
          <w:tab w:leader="none" w:pos="193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or intercreditor agreements contemplated hereby,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9.7</w:t>
      </w:r>
      <w:r>
        <w:rPr>
          <w:rFonts w:ascii="Arial" w:cs="Arial" w:eastAsia="Arial" w:hAnsi="Arial"/>
          <w:sz w:val="18"/>
          <w:szCs w:val="18"/>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6758305</wp:posOffset>
            </wp:positionH>
            <wp:positionV relativeFrom="paragraph">
              <wp:posOffset>-1623695</wp:posOffset>
            </wp:positionV>
            <wp:extent cx="29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29210" cy="8255"/>
                    </a:xfrm>
                    <a:prstGeom prst="rect">
                      <a:avLst/>
                    </a:prstGeom>
                    <a:noFill/>
                  </pic:spPr>
                </pic:pic>
              </a:graphicData>
            </a:graphic>
          </wp:anchor>
        </w:drawing>
      </w:r>
    </w:p>
    <w:p>
      <w:pPr>
        <w:spacing w:after="0" w:line="140"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b w:val="1"/>
          <w:bCs w:val="1"/>
          <w:color w:val="auto"/>
        </w:rPr>
        <w:t>9.2 Delegation of Duties</w:t>
      </w:r>
      <w:r>
        <w:rPr>
          <w:rFonts w:ascii="Arial" w:cs="Arial" w:eastAsia="Arial" w:hAnsi="Arial"/>
          <w:sz w:val="20"/>
          <w:szCs w:val="20"/>
          <w:color w:val="auto"/>
        </w:rPr>
        <w:t>. The Administrative Agent may perform any and all of its duties and exercise its rights and powers</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or under any other Loan Document by or through any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240"/>
          </w:cols>
          <w:pgMar w:left="320" w:top="1405" w:right="339" w:bottom="1440" w:gutter="0" w:footer="0" w:header="0"/>
        </w:sectPr>
      </w:pPr>
    </w:p>
    <w:bookmarkStart w:id="314" w:name="page315"/>
    <w:bookmarkEnd w:id="314"/>
    <w:p>
      <w:pPr>
        <w:jc w:val="both"/>
        <w:spacing w:after="0" w:line="217" w:lineRule="auto"/>
        <w:rPr>
          <w:sz w:val="20"/>
          <w:szCs w:val="20"/>
          <w:color w:val="auto"/>
        </w:rPr>
      </w:pPr>
      <w:r>
        <w:rPr>
          <w:rFonts w:ascii="Arial" w:cs="Arial" w:eastAsia="Arial" w:hAnsi="Arial"/>
          <w:sz w:val="19"/>
          <w:szCs w:val="19"/>
          <w:color w:val="auto"/>
        </w:rPr>
        <w:t>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bad faith, gross negligence or willful misconduct in the selection of such sub agents.</w:t>
      </w:r>
    </w:p>
    <w:p>
      <w:pPr>
        <w:spacing w:after="0" w:line="15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9.3 Exculpatory Provisions</w:t>
      </w:r>
      <w:r>
        <w:rPr>
          <w:rFonts w:ascii="Arial" w:cs="Arial" w:eastAsia="Arial" w:hAnsi="Arial"/>
          <w:sz w:val="20"/>
          <w:szCs w:val="20"/>
          <w:color w:val="auto"/>
        </w:rPr>
        <w:t>. The Administrative Agent shall have no duties or obligations except those expressly set forth</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and in the other Loan Documents, and its duties hereunder and thereunder shall be administrative in nature. Without limiting the generality of the foregoing, the Administrative Agent shall not:</w:t>
      </w:r>
    </w:p>
    <w:p>
      <w:pPr>
        <w:spacing w:after="0" w:line="157" w:lineRule="exact"/>
        <w:rPr>
          <w:sz w:val="20"/>
          <w:szCs w:val="20"/>
          <w:color w:val="auto"/>
        </w:rPr>
      </w:pPr>
    </w:p>
    <w:p>
      <w:pPr>
        <w:ind w:firstLine="1304"/>
        <w:spacing w:after="0" w:line="229" w:lineRule="auto"/>
        <w:tabs>
          <w:tab w:leader="none" w:pos="1934" w:val="left"/>
        </w:tabs>
        <w:numPr>
          <w:ilvl w:val="0"/>
          <w:numId w:val="281"/>
        </w:numPr>
        <w:rPr>
          <w:rFonts w:ascii="Arial" w:cs="Arial" w:eastAsia="Arial" w:hAnsi="Arial"/>
          <w:sz w:val="20"/>
          <w:szCs w:val="20"/>
          <w:color w:val="auto"/>
        </w:rPr>
      </w:pPr>
      <w:r>
        <w:rPr>
          <w:rFonts w:ascii="Arial" w:cs="Arial" w:eastAsia="Arial" w:hAnsi="Arial"/>
          <w:sz w:val="20"/>
          <w:szCs w:val="20"/>
          <w:color w:val="auto"/>
        </w:rPr>
        <w:t>be subject to any fiduciary or other implied duties, regardless of whether any Default or any Event of Default has occurred and is continuing;</w:t>
      </w:r>
    </w:p>
    <w:p>
      <w:pPr>
        <w:spacing w:after="0" w:line="155" w:lineRule="exact"/>
        <w:rPr>
          <w:rFonts w:ascii="Arial" w:cs="Arial" w:eastAsia="Arial" w:hAnsi="Arial"/>
          <w:sz w:val="20"/>
          <w:szCs w:val="20"/>
          <w:color w:val="auto"/>
        </w:rPr>
      </w:pPr>
    </w:p>
    <w:p>
      <w:pPr>
        <w:jc w:val="both"/>
        <w:ind w:firstLine="1304"/>
        <w:spacing w:after="0" w:line="229" w:lineRule="auto"/>
        <w:tabs>
          <w:tab w:leader="none" w:pos="193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6" w:lineRule="exact"/>
        <w:rPr>
          <w:rFonts w:ascii="Arial" w:cs="Arial" w:eastAsia="Arial" w:hAnsi="Arial"/>
          <w:sz w:val="18"/>
          <w:szCs w:val="18"/>
          <w:color w:val="auto"/>
        </w:rPr>
      </w:pPr>
    </w:p>
    <w:p>
      <w:pPr>
        <w:jc w:val="both"/>
        <w:ind w:firstLine="1304"/>
        <w:spacing w:after="0" w:line="218" w:lineRule="auto"/>
        <w:tabs>
          <w:tab w:leader="none" w:pos="1934" w:val="left"/>
        </w:tabs>
        <w:numPr>
          <w:ilvl w:val="0"/>
          <w:numId w:val="281"/>
        </w:numPr>
        <w:rPr>
          <w:rFonts w:ascii="Arial" w:cs="Arial" w:eastAsia="Arial" w:hAnsi="Arial"/>
          <w:sz w:val="20"/>
          <w:szCs w:val="20"/>
          <w:color w:val="auto"/>
        </w:rPr>
      </w:pPr>
      <w:r>
        <w:rPr>
          <w:rFonts w:ascii="Arial" w:cs="Arial" w:eastAsia="Arial" w:hAnsi="Arial"/>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w:t>
      </w:r>
      <w:r>
        <w:rPr>
          <w:rFonts w:ascii="Arial" w:cs="Arial" w:eastAsia="Arial" w:hAnsi="Arial"/>
          <w:sz w:val="19"/>
          <w:szCs w:val="19"/>
          <w:color w:val="auto"/>
        </w:rPr>
        <w:t>), or (ii) in the absence of its own gross negligence or willful misconduct as determined by a court of competent jurisdiction by final and nonappealable judgment.</w:t>
      </w:r>
    </w:p>
    <w:p>
      <w:pPr>
        <w:spacing w:after="0" w:line="15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Section 5.1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50"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9.4 Reliance by Administrative Agent</w:t>
      </w:r>
      <w:r>
        <w:rPr>
          <w:rFonts w:ascii="Arial" w:cs="Arial" w:eastAsia="Arial" w:hAnsi="Arial"/>
          <w:sz w:val="20"/>
          <w:szCs w:val="20"/>
          <w:color w:val="auto"/>
        </w:rPr>
        <w:t>. The Administrative Agent shall be entitled to rely upon, and shall not incur any liability</w:t>
      </w:r>
      <w:r>
        <w:rPr>
          <w:rFonts w:ascii="Arial" w:cs="Arial" w:eastAsia="Arial" w:hAnsi="Arial"/>
          <w:sz w:val="20"/>
          <w:szCs w:val="20"/>
          <w:b w:val="1"/>
          <w:bCs w:val="1"/>
          <w:color w:val="auto"/>
        </w:rPr>
        <w:t xml:space="preserve"> </w:t>
      </w:r>
      <w:r>
        <w:rPr>
          <w:rFonts w:ascii="Arial" w:cs="Arial" w:eastAsia="Arial" w:hAnsi="Arial"/>
          <w:sz w:val="20"/>
          <w:szCs w:val="20"/>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40"/>
          </w:cols>
          <w:pgMar w:left="320" w:top="1405" w:right="339" w:bottom="1440" w:gutter="0" w:footer="0" w:header="0"/>
        </w:sectPr>
      </w:pPr>
    </w:p>
    <w:bookmarkStart w:id="315" w:name="page316"/>
    <w:bookmarkEnd w:id="315"/>
    <w:p>
      <w:pPr>
        <w:jc w:val="both"/>
        <w:spacing w:after="0" w:line="224" w:lineRule="auto"/>
        <w:rPr>
          <w:sz w:val="20"/>
          <w:szCs w:val="20"/>
          <w:color w:val="auto"/>
        </w:rPr>
      </w:pPr>
      <w:r>
        <w:rPr>
          <w:rFonts w:ascii="Arial" w:cs="Arial" w:eastAsia="Arial" w:hAnsi="Arial"/>
          <w:sz w:val="18"/>
          <w:szCs w:val="18"/>
          <w:color w:val="auto"/>
        </w:rPr>
        <w:t>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5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b w:val="1"/>
          <w:bCs w:val="1"/>
          <w:color w:val="auto"/>
        </w:rPr>
        <w:t>9.5 Notice of Default</w:t>
      </w:r>
      <w:r>
        <w:rPr>
          <w:rFonts w:ascii="Arial" w:cs="Arial" w:eastAsia="Arial" w:hAnsi="Arial"/>
          <w:sz w:val="19"/>
          <w:szCs w:val="19"/>
          <w:color w:val="auto"/>
        </w:rPr>
        <w:t>. The Administrative Agent shall not be deemed to have knowledge or notice of the occurrence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or Event of Default unless the Administrative Agent has received notice in writing from a Lender, Holdings, or the Borrower referring to this Agreement, describing such Default or Event of Default and stating that such notice is a “</w:t>
      </w:r>
      <w:r>
        <w:rPr>
          <w:rFonts w:ascii="Arial" w:cs="Arial" w:eastAsia="Arial" w:hAnsi="Arial"/>
          <w:sz w:val="19"/>
          <w:szCs w:val="19"/>
          <w:b w:val="1"/>
          <w:bCs w:val="1"/>
          <w:i w:val="1"/>
          <w:iCs w:val="1"/>
          <w:color w:val="auto"/>
        </w:rPr>
        <w:t>notice of default</w:t>
      </w:r>
      <w:r>
        <w:rPr>
          <w:rFonts w:ascii="Arial" w:cs="Arial" w:eastAsia="Arial" w:hAnsi="Arial"/>
          <w:sz w:val="19"/>
          <w:szCs w:val="19"/>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9.6 Non-Reliance on Administrative Agent and Other Lenders</w:t>
      </w:r>
      <w:r>
        <w:rPr>
          <w:rFonts w:ascii="Arial" w:cs="Arial" w:eastAsia="Arial" w:hAnsi="Arial"/>
          <w:sz w:val="18"/>
          <w:szCs w:val="18"/>
          <w:color w:val="auto"/>
        </w:rPr>
        <w:t>. Each Lender expressly acknowledges that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6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9.7 Indemnification</w:t>
      </w:r>
      <w:r>
        <w:rPr>
          <w:rFonts w:ascii="Arial" w:cs="Arial" w:eastAsia="Arial" w:hAnsi="Arial"/>
          <w:sz w:val="20"/>
          <w:szCs w:val="20"/>
          <w:color w:val="auto"/>
        </w:rPr>
        <w:t>. Each of the Lenders agrees to indemnify each of the Administrative Agent, the Issuing Lender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Swingline Lender and each of its Related Parties in its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240"/>
          </w:cols>
          <w:pgMar w:left="320" w:top="1405" w:right="339" w:bottom="1440" w:gutter="0" w:footer="0" w:header="0"/>
        </w:sectPr>
      </w:pPr>
    </w:p>
    <w:bookmarkStart w:id="316" w:name="page317"/>
    <w:bookmarkEnd w:id="316"/>
    <w:p>
      <w:pPr>
        <w:jc w:val="both"/>
        <w:spacing w:after="0" w:line="223" w:lineRule="auto"/>
        <w:rPr>
          <w:sz w:val="20"/>
          <w:szCs w:val="20"/>
          <w:color w:val="auto"/>
        </w:rPr>
      </w:pPr>
      <w:r>
        <w:rPr>
          <w:rFonts w:ascii="Arial" w:cs="Arial" w:eastAsia="Arial" w:hAnsi="Arial"/>
          <w:sz w:val="18"/>
          <w:szCs w:val="18"/>
          <w:color w:val="auto"/>
        </w:rPr>
        <w:t xml:space="preserve">(to the extent not reimbursed by Holdings, the Borrower or any other Loan Party and without limiting the obligation of Holdings, the Borrower or any other Loan Party to do so) according to its Aggregate Exposure Percentage in effect on the date on which indemnification is sought under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Holdings, the Borrower or such other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bad faith,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spacing w:after="0" w:line="15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b w:val="1"/>
          <w:bCs w:val="1"/>
          <w:color w:val="auto"/>
        </w:rPr>
        <w:t>9.8 Agent in Its Individual Capacity</w:t>
      </w:r>
      <w:r>
        <w:rPr>
          <w:rFonts w:ascii="Arial" w:cs="Arial" w:eastAsia="Arial" w:hAnsi="Arial"/>
          <w:sz w:val="19"/>
          <w:szCs w:val="19"/>
          <w:color w:val="auto"/>
        </w:rPr>
        <w:t>. The Person serving as the Administrative Agent hereunder shall have the same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Holdings or any Subsidiary or other Affiliate thereof as if such Person were not the Administrative Agent hereunder and without any duty to account therefor to the Lenders.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16"/>
          <w:szCs w:val="16"/>
          <w:b w:val="1"/>
          <w:bCs w:val="1"/>
          <w:color w:val="auto"/>
        </w:rPr>
        <w:t>Successor Administrative Agent.</w:t>
      </w:r>
    </w:p>
    <w:p>
      <w:pPr>
        <w:spacing w:after="0" w:line="181" w:lineRule="exact"/>
        <w:rPr>
          <w:sz w:val="20"/>
          <w:szCs w:val="20"/>
          <w:color w:val="auto"/>
        </w:rPr>
      </w:pPr>
    </w:p>
    <w:p>
      <w:pPr>
        <w:jc w:val="both"/>
        <w:ind w:firstLine="1304"/>
        <w:spacing w:after="0" w:line="216" w:lineRule="auto"/>
        <w:tabs>
          <w:tab w:leader="none" w:pos="1934"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9"/>
          <w:szCs w:val="19"/>
          <w:b w:val="1"/>
          <w:bCs w:val="1"/>
          <w:i w:val="1"/>
          <w:iCs w:val="1"/>
          <w:color w:val="auto"/>
        </w:rPr>
        <w:t>Resignation Effective Date</w:t>
      </w:r>
      <w:r>
        <w:rPr>
          <w:rFonts w:ascii="Arial" w:cs="Arial" w:eastAsia="Arial" w:hAnsi="Arial"/>
          <w:sz w:val="19"/>
          <w:szCs w:val="19"/>
          <w:color w:val="auto"/>
        </w:rPr>
        <w:t xml:space="preserve">”), then the retiring Administrative Agent may (but shall not be obligated to), on behalf of the Lenders,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54" w:lineRule="exact"/>
        <w:rPr>
          <w:rFonts w:ascii="Arial" w:cs="Arial" w:eastAsia="Arial" w:hAnsi="Arial"/>
          <w:sz w:val="19"/>
          <w:szCs w:val="19"/>
          <w:color w:val="auto"/>
        </w:rPr>
      </w:pPr>
    </w:p>
    <w:p>
      <w:pPr>
        <w:jc w:val="both"/>
        <w:ind w:firstLine="1304"/>
        <w:spacing w:after="0" w:line="207" w:lineRule="auto"/>
        <w:tabs>
          <w:tab w:leader="none" w:pos="1932" w:val="left"/>
        </w:tabs>
        <w:numPr>
          <w:ilvl w:val="0"/>
          <w:numId w:val="282"/>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20"/>
          <w:szCs w:val="20"/>
          <w:b w:val="1"/>
          <w:bCs w:val="1"/>
          <w:i w:val="1"/>
          <w:iCs w:val="1"/>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59" w:lineRule="exact"/>
        <w:rPr>
          <w:rFonts w:ascii="Arial" w:cs="Arial" w:eastAsia="Arial" w:hAnsi="Arial"/>
          <w:sz w:val="20"/>
          <w:szCs w:val="20"/>
          <w:color w:val="auto"/>
        </w:rPr>
      </w:pPr>
    </w:p>
    <w:p>
      <w:pPr>
        <w:jc w:val="both"/>
        <w:ind w:firstLine="1304"/>
        <w:spacing w:after="0" w:line="244" w:lineRule="auto"/>
        <w:tabs>
          <w:tab w:leader="none" w:pos="193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240"/>
          </w:cols>
          <w:pgMar w:left="320" w:top="1405" w:right="339" w:bottom="1440" w:gutter="0" w:footer="0" w:header="0"/>
        </w:sectPr>
      </w:pPr>
    </w:p>
    <w:bookmarkStart w:id="317" w:name="page318"/>
    <w:bookmarkEnd w:id="317"/>
    <w:p>
      <w:pPr>
        <w:jc w:val="both"/>
        <w:spacing w:after="0" w:line="224" w:lineRule="auto"/>
        <w:rPr>
          <w:sz w:val="20"/>
          <w:szCs w:val="20"/>
          <w:color w:val="auto"/>
        </w:rPr>
      </w:pPr>
      <w:r>
        <w:rPr>
          <w:rFonts w:ascii="Arial" w:cs="Arial" w:eastAsia="Arial" w:hAnsi="Arial"/>
          <w:sz w:val="18"/>
          <w:szCs w:val="18"/>
          <w:color w:val="auto"/>
        </w:rPr>
        <w:t xml:space="preserve">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8"/>
          <w:szCs w:val="18"/>
          <w:b w:val="1"/>
          <w:bCs w:val="1"/>
          <w:color w:val="auto"/>
        </w:rPr>
        <w:t>Collateral and Guaranty Matters</w:t>
      </w:r>
      <w:r>
        <w:rPr>
          <w:rFonts w:ascii="Arial" w:cs="Arial" w:eastAsia="Arial" w:hAnsi="Arial"/>
          <w:sz w:val="18"/>
          <w:szCs w:val="18"/>
          <w:color w:val="auto"/>
        </w:rPr>
        <w:t>.</w:t>
      </w:r>
    </w:p>
    <w:p>
      <w:pPr>
        <w:spacing w:after="0" w:line="181" w:lineRule="exact"/>
        <w:rPr>
          <w:sz w:val="20"/>
          <w:szCs w:val="20"/>
          <w:color w:val="auto"/>
        </w:rPr>
      </w:pPr>
    </w:p>
    <w:p>
      <w:pPr>
        <w:ind w:left="1940" w:hanging="636"/>
        <w:spacing w:after="0"/>
        <w:tabs>
          <w:tab w:leader="none" w:pos="194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The Lenders irrevocably authorize the Administrative Agent, at its option and in its discretion,</w:t>
      </w:r>
    </w:p>
    <w:p>
      <w:pPr>
        <w:spacing w:after="0" w:line="175" w:lineRule="exact"/>
        <w:rPr>
          <w:rFonts w:ascii="Arial" w:cs="Arial" w:eastAsia="Arial" w:hAnsi="Arial"/>
          <w:sz w:val="20"/>
          <w:szCs w:val="20"/>
          <w:color w:val="auto"/>
        </w:rPr>
      </w:pPr>
    </w:p>
    <w:p>
      <w:pPr>
        <w:jc w:val="both"/>
        <w:ind w:firstLine="1952"/>
        <w:spacing w:after="0" w:line="207" w:lineRule="auto"/>
        <w:tabs>
          <w:tab w:leader="none" w:pos="259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 xml:space="preserve">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hereunder or under any other Loan Document, or (C) subject to </w:t>
      </w:r>
      <w:r>
        <w:rPr>
          <w:rFonts w:ascii="Arial" w:cs="Arial" w:eastAsia="Arial" w:hAnsi="Arial"/>
          <w:sz w:val="20"/>
          <w:szCs w:val="20"/>
          <w:u w:val="single" w:color="auto"/>
          <w:color w:val="auto"/>
        </w:rPr>
        <w:t>Section 10.1</w:t>
      </w:r>
      <w:r>
        <w:rPr>
          <w:rFonts w:ascii="Arial" w:cs="Arial" w:eastAsia="Arial" w:hAnsi="Arial"/>
          <w:sz w:val="20"/>
          <w:szCs w:val="20"/>
          <w:color w:val="auto"/>
        </w:rPr>
        <w:t>, if approved, authorized or ratified in writing by the Required Lenders;</w:t>
      </w:r>
    </w:p>
    <w:p>
      <w:pPr>
        <w:spacing w:after="0" w:line="159" w:lineRule="exact"/>
        <w:rPr>
          <w:rFonts w:ascii="Arial" w:cs="Arial" w:eastAsia="Arial" w:hAnsi="Arial"/>
          <w:sz w:val="20"/>
          <w:szCs w:val="20"/>
          <w:color w:val="auto"/>
        </w:rPr>
      </w:pPr>
    </w:p>
    <w:p>
      <w:pPr>
        <w:ind w:firstLine="1952"/>
        <w:spacing w:after="0" w:line="242" w:lineRule="auto"/>
        <w:tabs>
          <w:tab w:leader="none" w:pos="2591" w:val="left"/>
        </w:tabs>
        <w:numPr>
          <w:ilvl w:val="1"/>
          <w:numId w:val="283"/>
        </w:numPr>
        <w:rPr>
          <w:rFonts w:ascii="Arial" w:cs="Arial" w:eastAsia="Arial" w:hAnsi="Arial"/>
          <w:sz w:val="19"/>
          <w:szCs w:val="19"/>
          <w:color w:val="auto"/>
        </w:rPr>
      </w:pPr>
      <w:r>
        <w:rPr>
          <w:rFonts w:ascii="Arial" w:cs="Arial" w:eastAsia="Arial" w:hAnsi="Arial"/>
          <w:sz w:val="19"/>
          <w:szCs w:val="19"/>
          <w:color w:val="auto"/>
        </w:rPr>
        <w:t xml:space="preserve">to subordinate any Lien on any Collateral or other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Sections 7.3 (g)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and</w:t>
      </w:r>
    </w:p>
    <w:p>
      <w:pPr>
        <w:spacing w:after="0" w:line="153" w:lineRule="exact"/>
        <w:rPr>
          <w:rFonts w:ascii="Arial" w:cs="Arial" w:eastAsia="Arial" w:hAnsi="Arial"/>
          <w:sz w:val="19"/>
          <w:szCs w:val="19"/>
          <w:color w:val="auto"/>
        </w:rPr>
      </w:pPr>
    </w:p>
    <w:p>
      <w:pPr>
        <w:ind w:firstLine="1952"/>
        <w:spacing w:after="0" w:line="229" w:lineRule="auto"/>
        <w:tabs>
          <w:tab w:leader="none" w:pos="2592"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56" w:lineRule="exact"/>
        <w:rPr>
          <w:sz w:val="20"/>
          <w:szCs w:val="20"/>
          <w:color w:val="auto"/>
        </w:rPr>
      </w:pPr>
    </w:p>
    <w:p>
      <w:pPr>
        <w:jc w:val="both"/>
        <w:ind w:firstLine="1304"/>
        <w:spacing w:after="0" w:line="213" w:lineRule="auto"/>
        <w:tabs>
          <w:tab w:leader="none" w:pos="1932" w:val="left"/>
        </w:tabs>
        <w:numPr>
          <w:ilvl w:val="0"/>
          <w:numId w:val="284"/>
        </w:numPr>
        <w:rPr>
          <w:rFonts w:ascii="Arial" w:cs="Arial" w:eastAsia="Arial" w:hAnsi="Arial"/>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55" w:lineRule="exact"/>
        <w:rPr>
          <w:rFonts w:ascii="Arial" w:cs="Arial" w:eastAsia="Arial" w:hAnsi="Arial"/>
          <w:sz w:val="20"/>
          <w:szCs w:val="20"/>
          <w:color w:val="auto"/>
        </w:rPr>
      </w:pPr>
    </w:p>
    <w:p>
      <w:pPr>
        <w:jc w:val="both"/>
        <w:ind w:firstLine="1304"/>
        <w:spacing w:after="0" w:line="210" w:lineRule="auto"/>
        <w:tabs>
          <w:tab w:leader="none" w:pos="1934" w:val="left"/>
        </w:tabs>
        <w:numPr>
          <w:ilvl w:val="0"/>
          <w:numId w:val="284"/>
        </w:numPr>
        <w:rPr>
          <w:rFonts w:ascii="Arial" w:cs="Arial" w:eastAsia="Arial" w:hAnsi="Arial"/>
          <w:sz w:val="20"/>
          <w:szCs w:val="20"/>
          <w:color w:val="auto"/>
        </w:rPr>
      </w:pPr>
      <w:r>
        <w:rPr>
          <w:rFonts w:ascii="Arial" w:cs="Arial" w:eastAsia="Arial" w:hAnsi="Arial"/>
          <w:sz w:val="20"/>
          <w:szCs w:val="20"/>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in no event shall a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240"/>
          </w:cols>
          <w:pgMar w:left="320" w:top="1405" w:right="339" w:bottom="1440" w:gutter="0" w:footer="0" w:header="0"/>
        </w:sectPr>
      </w:pPr>
    </w:p>
    <w:bookmarkStart w:id="318" w:name="page319"/>
    <w:bookmarkEnd w:id="318"/>
    <w:p>
      <w:pPr>
        <w:jc w:val="both"/>
        <w:spacing w:after="0" w:line="223" w:lineRule="auto"/>
        <w:rPr>
          <w:sz w:val="20"/>
          <w:szCs w:val="20"/>
          <w:color w:val="auto"/>
        </w:rPr>
      </w:pPr>
      <w:r>
        <w:rPr>
          <w:rFonts w:ascii="Arial" w:cs="Arial" w:eastAsia="Arial" w:hAnsi="Arial"/>
          <w:sz w:val="18"/>
          <w:szCs w:val="18"/>
          <w:color w:val="auto"/>
        </w:rPr>
        <w:t>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50"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b w:val="1"/>
          <w:bCs w:val="1"/>
          <w:color w:val="auto"/>
        </w:rPr>
        <w:t>9.11 Administrative Agent May File Proofs of Claim</w:t>
      </w:r>
      <w:r>
        <w:rPr>
          <w:rFonts w:ascii="Arial" w:cs="Arial" w:eastAsia="Arial" w:hAnsi="Arial"/>
          <w:sz w:val="20"/>
          <w:szCs w:val="20"/>
          <w:color w:val="auto"/>
        </w:rPr>
        <w:t>. In case of the pendency of any proceeding under any Debtor Relief Law</w:t>
      </w:r>
      <w:r>
        <w:rPr>
          <w:rFonts w:ascii="Arial" w:cs="Arial" w:eastAsia="Arial" w:hAnsi="Arial"/>
          <w:sz w:val="20"/>
          <w:szCs w:val="20"/>
          <w:b w:val="1"/>
          <w:bCs w:val="1"/>
          <w:color w:val="auto"/>
        </w:rPr>
        <w:t xml:space="preserve"> </w:t>
      </w:r>
      <w:r>
        <w:rPr>
          <w:rFonts w:ascii="Arial" w:cs="Arial" w:eastAsia="Arial" w:hAnsi="Arial"/>
          <w:sz w:val="20"/>
          <w:szCs w:val="20"/>
          <w:color w:val="auto"/>
        </w:rPr>
        <w:t>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6" w:lineRule="exact"/>
        <w:rPr>
          <w:sz w:val="20"/>
          <w:szCs w:val="20"/>
          <w:color w:val="auto"/>
        </w:rPr>
      </w:pPr>
    </w:p>
    <w:p>
      <w:pPr>
        <w:jc w:val="both"/>
        <w:ind w:firstLine="1304"/>
        <w:spacing w:after="0" w:line="233" w:lineRule="auto"/>
        <w:tabs>
          <w:tab w:leader="none" w:pos="193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8"/>
          <w:szCs w:val="18"/>
          <w:u w:val="single" w:color="auto"/>
          <w:color w:val="auto"/>
        </w:rPr>
        <w:t>Sections 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allowed in such judicial proceeding; and</w:t>
      </w:r>
    </w:p>
    <w:p>
      <w:pPr>
        <w:spacing w:after="0" w:line="154" w:lineRule="exact"/>
        <w:rPr>
          <w:rFonts w:ascii="Arial" w:cs="Arial" w:eastAsia="Arial" w:hAnsi="Arial"/>
          <w:sz w:val="18"/>
          <w:szCs w:val="18"/>
          <w:color w:val="auto"/>
        </w:rPr>
      </w:pPr>
    </w:p>
    <w:p>
      <w:pPr>
        <w:ind w:left="1940" w:hanging="636"/>
        <w:spacing w:after="0"/>
        <w:tabs>
          <w:tab w:leader="none" w:pos="19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159"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10.5</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4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 xml:space="preserve">9.12 No Other Duties, etc. </w:t>
      </w:r>
      <w:r>
        <w:rPr>
          <w:rFonts w:ascii="Arial" w:cs="Arial" w:eastAsia="Arial" w:hAnsi="Arial"/>
          <w:sz w:val="20"/>
          <w:szCs w:val="20"/>
          <w:color w:val="auto"/>
        </w:rPr>
        <w:t>Anything herein to the contrary notwithstanding, the Lead Arrangers and Co-Syndication Agents</w:t>
      </w:r>
      <w:r>
        <w:rPr>
          <w:rFonts w:ascii="Arial" w:cs="Arial" w:eastAsia="Arial" w:hAnsi="Arial"/>
          <w:sz w:val="20"/>
          <w:szCs w:val="20"/>
          <w:b w:val="1"/>
          <w:bCs w:val="1"/>
          <w:color w:val="auto"/>
        </w:rPr>
        <w:t xml:space="preserve"> </w:t>
      </w:r>
      <w:r>
        <w:rPr>
          <w:rFonts w:ascii="Arial" w:cs="Arial" w:eastAsia="Arial" w:hAnsi="Arial"/>
          <w:sz w:val="20"/>
          <w:szCs w:val="20"/>
          <w:color w:val="auto"/>
        </w:rPr>
        <w:t>listed on the cover page hereof shall not have any powers, duties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240"/>
          </w:cols>
          <w:pgMar w:left="320" w:top="1405" w:right="339" w:bottom="1440" w:gutter="0" w:footer="0" w:header="0"/>
        </w:sectPr>
      </w:pPr>
    </w:p>
    <w:bookmarkStart w:id="319" w:name="page320"/>
    <w:bookmarkEnd w:id="319"/>
    <w:p>
      <w:pPr>
        <w:jc w:val="both"/>
        <w:spacing w:after="0" w:line="229" w:lineRule="auto"/>
        <w:rPr>
          <w:sz w:val="20"/>
          <w:szCs w:val="20"/>
          <w:color w:val="auto"/>
        </w:rPr>
      </w:pPr>
      <w:r>
        <w:rPr>
          <w:rFonts w:ascii="Arial" w:cs="Arial" w:eastAsia="Arial" w:hAnsi="Arial"/>
          <w:sz w:val="20"/>
          <w:szCs w:val="20"/>
          <w:color w:val="auto"/>
        </w:rPr>
        <w:t>responsibilities under this Agreement or any of the other Loan Documents, except in its capacity, as applicable, as the Administrative Agent, a Lender, the Issuing Lender or the Swingline Lender hereunder.</w:t>
      </w:r>
    </w:p>
    <w:p>
      <w:pPr>
        <w:spacing w:after="0" w:line="149"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b w:val="1"/>
          <w:bCs w:val="1"/>
          <w:color w:val="auto"/>
        </w:rPr>
        <w:t>9.13 Cash Management Bank and Qualified Counterparty Reports</w:t>
      </w:r>
      <w:r>
        <w:rPr>
          <w:rFonts w:ascii="Arial" w:cs="Arial" w:eastAsia="Arial" w:hAnsi="Arial"/>
          <w:sz w:val="19"/>
          <w:szCs w:val="19"/>
          <w:color w:val="auto"/>
        </w:rPr>
        <w:t>. Each Cash Management Bank and each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9.14</w:t>
      </w:r>
      <w:r>
        <w:rPr>
          <w:sz w:val="20"/>
          <w:szCs w:val="20"/>
          <w:color w:val="auto"/>
        </w:rPr>
        <w:tab/>
      </w:r>
      <w:r>
        <w:rPr>
          <w:rFonts w:ascii="Arial" w:cs="Arial" w:eastAsia="Arial" w:hAnsi="Arial"/>
          <w:sz w:val="16"/>
          <w:szCs w:val="16"/>
          <w:b w:val="1"/>
          <w:bCs w:val="1"/>
          <w:color w:val="auto"/>
        </w:rPr>
        <w:t>Erroneous Payments.</w:t>
      </w:r>
    </w:p>
    <w:p>
      <w:pPr>
        <w:spacing w:after="0" w:line="181" w:lineRule="exact"/>
        <w:rPr>
          <w:sz w:val="20"/>
          <w:szCs w:val="20"/>
          <w:color w:val="auto"/>
        </w:rPr>
      </w:pPr>
    </w:p>
    <w:p>
      <w:pPr>
        <w:jc w:val="both"/>
        <w:ind w:left="80" w:firstLine="1305"/>
        <w:spacing w:after="0" w:line="211" w:lineRule="auto"/>
        <w:tabs>
          <w:tab w:leader="none" w:pos="1933" w:val="left"/>
        </w:tabs>
        <w:numPr>
          <w:ilvl w:val="1"/>
          <w:numId w:val="286"/>
        </w:numPr>
        <w:rPr>
          <w:rFonts w:ascii="Arial" w:cs="Arial" w:eastAsia="Arial" w:hAnsi="Arial"/>
          <w:sz w:val="19"/>
          <w:szCs w:val="19"/>
          <w:color w:val="auto"/>
        </w:rPr>
      </w:pPr>
      <w:r>
        <w:rPr>
          <w:rFonts w:ascii="Arial" w:cs="Arial" w:eastAsia="Arial" w:hAnsi="Arial"/>
          <w:sz w:val="19"/>
          <w:szCs w:val="19"/>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w:t>
      </w:r>
      <w:r>
        <w:rPr>
          <w:rFonts w:ascii="Arial" w:cs="Arial" w:eastAsia="Arial" w:hAnsi="Arial"/>
          <w:sz w:val="19"/>
          <w:szCs w:val="19"/>
          <w:b w:val="1"/>
          <w:bCs w:val="1"/>
          <w:i w:val="1"/>
          <w:iCs w:val="1"/>
          <w:color w:val="auto"/>
        </w:rPr>
        <w:t>Payment Recipient</w:t>
      </w:r>
      <w:r>
        <w:rPr>
          <w:rFonts w:ascii="Arial" w:cs="Arial" w:eastAsia="Arial" w:hAnsi="Arial"/>
          <w:sz w:val="19"/>
          <w:szCs w:val="19"/>
          <w:color w:val="auto"/>
        </w:rPr>
        <w:t xml:space="preserve">”) that the Administrative Agent has determined in its sole discretion (whether or not after receipt of any notice under immediately succeeding </w:t>
      </w:r>
      <w:r>
        <w:rPr>
          <w:rFonts w:ascii="Arial" w:cs="Arial" w:eastAsia="Arial" w:hAnsi="Arial"/>
          <w:sz w:val="19"/>
          <w:szCs w:val="19"/>
          <w:u w:val="single" w:color="auto"/>
          <w:color w:val="auto"/>
        </w:rPr>
        <w:t>clause (b)</w:t>
      </w:r>
      <w:r>
        <w:rPr>
          <w:rFonts w:ascii="Arial" w:cs="Arial" w:eastAsia="Arial" w:hAnsi="Arial"/>
          <w:sz w:val="19"/>
          <w:szCs w:val="19"/>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b w:val="1"/>
          <w:bCs w:val="1"/>
          <w:i w:val="1"/>
          <w:iCs w:val="1"/>
          <w:color w:val="auto"/>
        </w:rPr>
        <w:t>Erroneous Payment</w:t>
      </w:r>
      <w:r>
        <w:rPr>
          <w:rFonts w:ascii="Arial" w:cs="Arial" w:eastAsia="Arial" w:hAnsi="Arial"/>
          <w:sz w:val="19"/>
          <w:szCs w:val="19"/>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conclusive, absent manifest error.</w:t>
      </w:r>
    </w:p>
    <w:p>
      <w:pPr>
        <w:spacing w:after="0" w:line="160" w:lineRule="exact"/>
        <w:rPr>
          <w:rFonts w:ascii="Arial" w:cs="Arial" w:eastAsia="Arial" w:hAnsi="Arial"/>
          <w:sz w:val="19"/>
          <w:szCs w:val="19"/>
          <w:color w:val="auto"/>
        </w:rPr>
      </w:pPr>
    </w:p>
    <w:p>
      <w:pPr>
        <w:jc w:val="both"/>
        <w:ind w:firstLine="1304"/>
        <w:spacing w:after="0" w:line="228" w:lineRule="auto"/>
        <w:tabs>
          <w:tab w:leader="none" w:pos="19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Without limiting immediately preceding </w:t>
      </w:r>
      <w:r>
        <w:rPr>
          <w:rFonts w:ascii="Arial" w:cs="Arial" w:eastAsia="Arial" w:hAnsi="Arial"/>
          <w:sz w:val="18"/>
          <w:szCs w:val="18"/>
          <w:u w:val="single" w:color="auto"/>
          <w:color w:val="auto"/>
        </w:rPr>
        <w:t>clause (a)</w:t>
      </w:r>
      <w:r>
        <w:rPr>
          <w:rFonts w:ascii="Arial" w:cs="Arial" w:eastAsia="Arial" w:hAnsi="Arial"/>
          <w:sz w:val="18"/>
          <w:szCs w:val="18"/>
          <w:color w:val="auto"/>
        </w:rPr>
        <w:t>,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54" w:lineRule="exact"/>
        <w:rPr>
          <w:rFonts w:ascii="Arial" w:cs="Arial" w:eastAsia="Arial" w:hAnsi="Arial"/>
          <w:sz w:val="18"/>
          <w:szCs w:val="18"/>
          <w:color w:val="auto"/>
        </w:rPr>
      </w:pPr>
    </w:p>
    <w:p>
      <w:pPr>
        <w:ind w:right="20" w:firstLine="1952"/>
        <w:spacing w:after="0" w:line="229" w:lineRule="auto"/>
        <w:tabs>
          <w:tab w:leader="none" w:pos="2590" w:val="left"/>
        </w:tabs>
        <w:numPr>
          <w:ilvl w:val="2"/>
          <w:numId w:val="287"/>
        </w:numPr>
        <w:rPr>
          <w:rFonts w:ascii="Arial" w:cs="Arial" w:eastAsia="Arial" w:hAnsi="Arial"/>
          <w:sz w:val="20"/>
          <w:szCs w:val="20"/>
          <w:color w:val="auto"/>
        </w:rPr>
      </w:pPr>
      <w:r>
        <w:rPr>
          <w:rFonts w:ascii="Arial" w:cs="Arial" w:eastAsia="Arial" w:hAnsi="Arial"/>
          <w:sz w:val="20"/>
          <w:szCs w:val="20"/>
          <w:color w:val="auto"/>
        </w:rPr>
        <w:t xml:space="preserve">(A) in the case of immediately preceding </w:t>
      </w:r>
      <w:r>
        <w:rPr>
          <w:rFonts w:ascii="Arial" w:cs="Arial" w:eastAsia="Arial" w:hAnsi="Arial"/>
          <w:sz w:val="20"/>
          <w:szCs w:val="20"/>
          <w:u w:val="single" w:color="auto"/>
          <w:color w:val="auto"/>
        </w:rPr>
        <w:t>clauses (x)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(y)</w:t>
      </w:r>
      <w:r>
        <w:rPr>
          <w:rFonts w:ascii="Arial" w:cs="Arial" w:eastAsia="Arial" w:hAnsi="Arial"/>
          <w:sz w:val="20"/>
          <w:szCs w:val="20"/>
          <w:color w:val="auto"/>
        </w:rPr>
        <w:t>, an error shall be presumed to have been made (absent written confirmation from the Administrative Agent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240"/>
          </w:cols>
          <w:pgMar w:left="320" w:top="1405" w:right="339" w:bottom="1440" w:gutter="0" w:footer="0" w:header="0"/>
        </w:sectPr>
      </w:pPr>
    </w:p>
    <w:bookmarkStart w:id="320" w:name="page321"/>
    <w:bookmarkEnd w:id="320"/>
    <w:p>
      <w:pPr>
        <w:ind w:right="20"/>
        <w:spacing w:after="0" w:line="229" w:lineRule="auto"/>
        <w:rPr>
          <w:sz w:val="20"/>
          <w:szCs w:val="20"/>
          <w:color w:val="auto"/>
        </w:rPr>
      </w:pPr>
      <w:r>
        <w:rPr>
          <w:rFonts w:ascii="Arial" w:cs="Arial" w:eastAsia="Arial" w:hAnsi="Arial"/>
          <w:sz w:val="20"/>
          <w:szCs w:val="20"/>
          <w:color w:val="auto"/>
        </w:rPr>
        <w:t xml:space="preserve">contrary) or (B) an error has been made (in the case of immediately preceding </w:t>
      </w:r>
      <w:r>
        <w:rPr>
          <w:rFonts w:ascii="Arial" w:cs="Arial" w:eastAsia="Arial" w:hAnsi="Arial"/>
          <w:sz w:val="20"/>
          <w:szCs w:val="20"/>
          <w:u w:val="single" w:color="auto"/>
          <w:color w:val="auto"/>
        </w:rPr>
        <w:t>clause (z)</w:t>
      </w:r>
      <w:r>
        <w:rPr>
          <w:rFonts w:ascii="Arial" w:cs="Arial" w:eastAsia="Arial" w:hAnsi="Arial"/>
          <w:sz w:val="20"/>
          <w:szCs w:val="20"/>
          <w:color w:val="auto"/>
        </w:rPr>
        <w:t>), in each case, with respect to such payment, prepayment or repayment; and</w:t>
      </w:r>
    </w:p>
    <w:p>
      <w:pPr>
        <w:spacing w:after="0" w:line="155" w:lineRule="exact"/>
        <w:rPr>
          <w:sz w:val="20"/>
          <w:szCs w:val="20"/>
          <w:color w:val="auto"/>
        </w:rPr>
      </w:pPr>
    </w:p>
    <w:p>
      <w:pPr>
        <w:jc w:val="both"/>
        <w:ind w:firstLine="1952"/>
        <w:spacing w:after="0" w:line="213" w:lineRule="auto"/>
        <w:tabs>
          <w:tab w:leader="none" w:pos="2591" w:val="left"/>
        </w:tabs>
        <w:numPr>
          <w:ilvl w:val="1"/>
          <w:numId w:val="288"/>
        </w:numPr>
        <w:rPr>
          <w:rFonts w:ascii="Arial" w:cs="Arial" w:eastAsia="Arial" w:hAnsi="Arial"/>
          <w:sz w:val="20"/>
          <w:szCs w:val="20"/>
          <w:color w:val="auto"/>
        </w:rPr>
      </w:pPr>
      <w:r>
        <w:rPr>
          <w:rFonts w:ascii="Arial" w:cs="Arial" w:eastAsia="Arial" w:hAnsi="Arial"/>
          <w:sz w:val="20"/>
          <w:szCs w:val="20"/>
          <w:color w:val="auto"/>
        </w:rPr>
        <w:t xml:space="preserve">such Lender, Issuing Lender, Swingline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Arial" w:cs="Arial" w:eastAsia="Arial" w:hAnsi="Arial"/>
          <w:sz w:val="20"/>
          <w:szCs w:val="20"/>
          <w:u w:val="single" w:color="auto"/>
          <w:color w:val="auto"/>
        </w:rPr>
        <w:t>Section 9.14(b)</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10" w:lineRule="auto"/>
        <w:tabs>
          <w:tab w:leader="none" w:pos="1934"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hereof or under the indemnification provisions of this Agreement.</w:t>
      </w:r>
    </w:p>
    <w:p>
      <w:pPr>
        <w:spacing w:after="0" w:line="154"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In the event that an Erroneous Payment (or portion thereof) is not recovered by the Administrative Agent for any reason, after demand therefor by the Administrative Agent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hereof, from any Lender, Issuing Lender or Swingline Lender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8"/>
          <w:szCs w:val="18"/>
          <w:b w:val="1"/>
          <w:bCs w:val="1"/>
          <w:i w:val="1"/>
          <w:iCs w:val="1"/>
          <w:color w:val="auto"/>
        </w:rPr>
        <w:t>Erroneous Payment Return Deficiency</w:t>
      </w:r>
      <w:r>
        <w:rPr>
          <w:rFonts w:ascii="Arial" w:cs="Arial" w:eastAsia="Arial" w:hAnsi="Arial"/>
          <w:sz w:val="18"/>
          <w:szCs w:val="18"/>
          <w:color w:val="auto"/>
        </w:rPr>
        <w:t>”), upon the Administrative Agent’s notice to such Lender, Issuing Lender or Swingline Lender at any time, (i) such Lender, Issuing Lender or Swingline Lender shall be deemed to have assigned its Loans (but not its Commitments) with respect to which such Erroneous Payment was made (the “</w:t>
      </w:r>
      <w:r>
        <w:rPr>
          <w:rFonts w:ascii="Arial" w:cs="Arial" w:eastAsia="Arial" w:hAnsi="Arial"/>
          <w:sz w:val="18"/>
          <w:szCs w:val="18"/>
          <w:b w:val="1"/>
          <w:bCs w:val="1"/>
          <w:i w:val="1"/>
          <w:iCs w:val="1"/>
          <w:color w:val="auto"/>
        </w:rPr>
        <w:t>Erroneous Payment Impacted Class</w:t>
      </w:r>
      <w:r>
        <w:rPr>
          <w:rFonts w:ascii="Arial" w:cs="Arial" w:eastAsia="Arial" w:hAnsi="Arial"/>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8"/>
          <w:szCs w:val="18"/>
          <w:b w:val="1"/>
          <w:bCs w:val="1"/>
          <w:i w:val="1"/>
          <w:iCs w:val="1"/>
          <w:color w:val="auto"/>
        </w:rPr>
        <w:t>Erroneous Payment Deficiency Assignment</w:t>
      </w:r>
      <w:r>
        <w:rPr>
          <w:rFonts w:ascii="Arial" w:cs="Arial" w:eastAsia="Arial" w:hAnsi="Arial"/>
          <w:sz w:val="18"/>
          <w:szCs w:val="18"/>
          <w:color w:val="auto"/>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Issuing Lender or Swingline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Swingline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w:t>
      </w:r>
      <w:r>
        <w:rPr>
          <w:rFonts w:ascii="Arial" w:cs="Arial" w:eastAsia="Arial" w:hAnsi="Arial"/>
          <w:sz w:val="18"/>
          <w:szCs w:val="18"/>
          <w:b w:val="1"/>
          <w:bCs w:val="1"/>
          <w:i w:val="1"/>
          <w:iCs w:val="1"/>
          <w:color w:val="auto"/>
        </w:rPr>
        <w:t>Erroneous Payment Subrogation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240"/>
          </w:cols>
          <w:pgMar w:left="320" w:top="1405" w:right="339" w:bottom="1440" w:gutter="0" w:footer="0" w:header="0"/>
        </w:sectPr>
      </w:pPr>
    </w:p>
    <w:bookmarkStart w:id="321" w:name="page322"/>
    <w:bookmarkEnd w:id="321"/>
    <w:p>
      <w:pPr>
        <w:jc w:val="both"/>
        <w:ind w:firstLine="1304"/>
        <w:spacing w:after="0" w:line="213" w:lineRule="auto"/>
        <w:tabs>
          <w:tab w:leader="none" w:pos="193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9"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290"/>
        </w:numPr>
        <w:rPr>
          <w:rFonts w:ascii="Arial" w:cs="Arial" w:eastAsia="Arial" w:hAnsi="Arial"/>
          <w:sz w:val="20"/>
          <w:szCs w:val="20"/>
          <w:color w:val="auto"/>
        </w:rPr>
      </w:pPr>
      <w:r>
        <w:rPr>
          <w:rFonts w:ascii="Arial" w:cs="Arial" w:eastAsia="Arial" w:hAnsi="Arial"/>
          <w:sz w:val="20"/>
          <w:szCs w:val="20"/>
          <w:color w:val="auto"/>
        </w:rPr>
        <w:t xml:space="preserve">Each party’s obligations, agreements and waivers under this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shall survive the resignation or replacement of the Administrative Agent, any transfer of rights or obligations by, or the replacement of, a Lender, Issuing Lender or Swingline Lender, the termination of the Commitments and/or the repayment, satisfaction or discharge of all Obligations (or any portion thereof) under any Loan Document.</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9.15</w:t>
      </w:r>
      <w:r>
        <w:rPr>
          <w:sz w:val="20"/>
          <w:szCs w:val="20"/>
          <w:color w:val="auto"/>
        </w:rPr>
        <w:tab/>
      </w:r>
      <w:r>
        <w:rPr>
          <w:rFonts w:ascii="Arial" w:cs="Arial" w:eastAsia="Arial" w:hAnsi="Arial"/>
          <w:sz w:val="19"/>
          <w:szCs w:val="19"/>
          <w:b w:val="1"/>
          <w:bCs w:val="1"/>
          <w:color w:val="auto"/>
        </w:rPr>
        <w:t>Certain ERISA Matters.</w:t>
      </w:r>
    </w:p>
    <w:p>
      <w:pPr>
        <w:spacing w:after="0" w:line="181" w:lineRule="exact"/>
        <w:rPr>
          <w:sz w:val="20"/>
          <w:szCs w:val="20"/>
          <w:color w:val="auto"/>
        </w:rPr>
      </w:pPr>
    </w:p>
    <w:p>
      <w:pPr>
        <w:jc w:val="both"/>
        <w:ind w:firstLine="1304"/>
        <w:spacing w:after="0" w:line="224" w:lineRule="auto"/>
        <w:tabs>
          <w:tab w:leader="none" w:pos="1934" w:val="left"/>
        </w:tabs>
        <w:numPr>
          <w:ilvl w:val="0"/>
          <w:numId w:val="291"/>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at least one of the following is and will be true:</w:t>
      </w:r>
    </w:p>
    <w:p>
      <w:pPr>
        <w:spacing w:after="0" w:line="156" w:lineRule="exact"/>
        <w:rPr>
          <w:rFonts w:ascii="Arial" w:cs="Arial" w:eastAsia="Arial" w:hAnsi="Arial"/>
          <w:sz w:val="19"/>
          <w:szCs w:val="19"/>
          <w:color w:val="auto"/>
        </w:rPr>
      </w:pPr>
    </w:p>
    <w:p>
      <w:pPr>
        <w:jc w:val="both"/>
        <w:ind w:firstLine="1952"/>
        <w:spacing w:after="0" w:line="218" w:lineRule="auto"/>
        <w:tabs>
          <w:tab w:leader="none" w:pos="2590" w:val="left"/>
        </w:tabs>
        <w:numPr>
          <w:ilvl w:val="1"/>
          <w:numId w:val="29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or otherwise for purposes of Title I of ERISA or Section 4975 of the Code) of one or more Benefit Plans in connection with the Loans, the Letters of Credit or the Commitments,</w:t>
      </w:r>
    </w:p>
    <w:p>
      <w:pPr>
        <w:spacing w:after="0" w:line="156" w:lineRule="exact"/>
        <w:rPr>
          <w:rFonts w:ascii="Arial" w:cs="Arial" w:eastAsia="Arial" w:hAnsi="Arial"/>
          <w:sz w:val="20"/>
          <w:szCs w:val="20"/>
          <w:color w:val="auto"/>
        </w:rPr>
      </w:pPr>
    </w:p>
    <w:p>
      <w:pPr>
        <w:jc w:val="both"/>
        <w:ind w:firstLine="1952"/>
        <w:spacing w:after="0" w:line="231" w:lineRule="auto"/>
        <w:tabs>
          <w:tab w:leader="none" w:pos="259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4" w:lineRule="exact"/>
        <w:rPr>
          <w:rFonts w:ascii="Arial" w:cs="Arial" w:eastAsia="Arial" w:hAnsi="Arial"/>
          <w:sz w:val="18"/>
          <w:szCs w:val="18"/>
          <w:color w:val="auto"/>
        </w:rPr>
      </w:pPr>
    </w:p>
    <w:p>
      <w:pPr>
        <w:jc w:val="both"/>
        <w:ind w:firstLine="1952"/>
        <w:spacing w:after="0" w:line="217" w:lineRule="auto"/>
        <w:tabs>
          <w:tab w:leader="none" w:pos="2592" w:val="left"/>
        </w:tabs>
        <w:numPr>
          <w:ilvl w:val="1"/>
          <w:numId w:val="291"/>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6" w:lineRule="exact"/>
        <w:rPr>
          <w:rFonts w:ascii="Arial" w:cs="Arial" w:eastAsia="Arial" w:hAnsi="Arial"/>
          <w:sz w:val="19"/>
          <w:szCs w:val="19"/>
          <w:color w:val="auto"/>
        </w:rPr>
      </w:pPr>
    </w:p>
    <w:p>
      <w:pPr>
        <w:ind w:firstLine="1952"/>
        <w:spacing w:after="0" w:line="229" w:lineRule="auto"/>
        <w:tabs>
          <w:tab w:leader="none" w:pos="2581" w:val="left"/>
        </w:tabs>
        <w:numPr>
          <w:ilvl w:val="1"/>
          <w:numId w:val="291"/>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240"/>
          </w:cols>
          <w:pgMar w:left="320" w:top="1405" w:right="339" w:bottom="1440" w:gutter="0" w:footer="0" w:header="0"/>
        </w:sectPr>
      </w:pPr>
    </w:p>
    <w:bookmarkStart w:id="322" w:name="page323"/>
    <w:bookmarkEnd w:id="322"/>
    <w:p>
      <w:pPr>
        <w:jc w:val="both"/>
        <w:spacing w:after="0" w:line="233" w:lineRule="auto"/>
        <w:rPr>
          <w:sz w:val="20"/>
          <w:szCs w:val="20"/>
          <w:color w:val="auto"/>
        </w:rPr>
      </w:pPr>
      <w:r>
        <w:rPr>
          <w:rFonts w:ascii="Arial" w:cs="Arial" w:eastAsia="Arial" w:hAnsi="Arial"/>
          <w:sz w:val="18"/>
          <w:szCs w:val="18"/>
          <w:color w:val="auto"/>
        </w:rPr>
        <w:t>the date such Person became a Lender party hereto to the date such Person ceases being a Lender party hereto, for the benefit of, the Administrative Agent, and the Lead Arrangers and their respective Affiliates, and not, for the avoidance of doubt, to or for the benefit of the Borrower or any other Loan Party, that none of the Administrative Agent, or the Lead Arrangers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56" w:lineRule="exact"/>
        <w:rPr>
          <w:sz w:val="20"/>
          <w:szCs w:val="20"/>
          <w:color w:val="auto"/>
        </w:rPr>
      </w:pPr>
    </w:p>
    <w:p>
      <w:pPr>
        <w:jc w:val="both"/>
        <w:ind w:firstLine="656"/>
        <w:spacing w:after="0" w:line="226" w:lineRule="auto"/>
        <w:tabs>
          <w:tab w:leader="none" w:pos="117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Administrative Agent and the Lead Arrangers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9.16</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the Discharge of Obligations.</w:t>
      </w:r>
    </w:p>
    <w:p>
      <w:pPr>
        <w:spacing w:after="0" w:line="156"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SECTION 10</w:t>
      </w: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6"/>
          <w:szCs w:val="16"/>
          <w:b w:val="1"/>
          <w:bCs w:val="1"/>
          <w:color w:val="auto"/>
        </w:rPr>
        <w:t>Amendments and Waivers.</w:t>
      </w:r>
    </w:p>
    <w:p>
      <w:pPr>
        <w:spacing w:after="0" w:line="181" w:lineRule="exact"/>
        <w:rPr>
          <w:sz w:val="20"/>
          <w:szCs w:val="20"/>
          <w:color w:val="auto"/>
        </w:rPr>
      </w:pPr>
    </w:p>
    <w:p>
      <w:pPr>
        <w:jc w:val="both"/>
        <w:ind w:firstLine="1304"/>
        <w:spacing w:after="0" w:line="222" w:lineRule="auto"/>
        <w:tabs>
          <w:tab w:leader="none" w:pos="193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Neither this Agreement, any other Loan Document (other than any L/C-Related Document and the Fee Letter), nor any terms hereof or thereof may be amended, supplemented or modified except in accordance with the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waiver and no such amendment, supplement or modification shall (A) forgive the principal amount or extend the final scheduled date of maturity of any Loan, reduce the stated rate of any interest or fee payable hereunder (except that no amendment or modification of defined terms used in the financial covenants in this Agreement or waiver of any Default or Event of Default or the right to receive the Default Rate shall constitute a reduction in the rate of interest or fees for purposes of this clause (A)) or extend the scheduled date of any payment thereof, increase the amount or extend the expiration date of any Lender’s Revolving Commitment, or amend, modify or waive the requirements of </w:t>
      </w:r>
      <w:r>
        <w:rPr>
          <w:rFonts w:ascii="Arial" w:cs="Arial" w:eastAsia="Arial" w:hAnsi="Arial"/>
          <w:sz w:val="18"/>
          <w:szCs w:val="18"/>
          <w:u w:val="single" w:color="auto"/>
          <w:color w:val="auto"/>
        </w:rPr>
        <w:t>Section 3.1(a)(ii)</w:t>
      </w:r>
      <w:r>
        <w:rPr>
          <w:rFonts w:ascii="Arial" w:cs="Arial" w:eastAsia="Arial" w:hAnsi="Arial"/>
          <w:sz w:val="18"/>
          <w:szCs w:val="18"/>
          <w:color w:val="auto"/>
        </w:rPr>
        <w:t xml:space="preserve">, in each case, without the written consent of each Lender directly affected thereby; (B) eliminate or reduce the voting rights of any Lender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the value of the guarantees (taken as a whole) of the Guarantors from their obligations under the Guarantee and Collateral Agreement, in each case without the written consent of all Lenders; (D) amend, modify or waive the definition of “Revolving Percentage,”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requirements of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other provision of the Loan Documents requiring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treatment of the Lenders in a manner that adversely affects Revolving Lenders without the written consent of each Lender; (E) contractually subordinate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240"/>
          </w:cols>
          <w:pgMar w:left="320" w:top="1405" w:right="339" w:bottom="1440" w:gutter="0" w:footer="0" w:header="0"/>
        </w:sectPr>
      </w:pPr>
    </w:p>
    <w:bookmarkStart w:id="323" w:name="page324"/>
    <w:bookmarkEnd w:id="323"/>
    <w:p>
      <w:pPr>
        <w:jc w:val="both"/>
        <w:spacing w:after="0" w:line="222" w:lineRule="auto"/>
        <w:rPr>
          <w:sz w:val="20"/>
          <w:szCs w:val="20"/>
          <w:color w:val="auto"/>
        </w:rPr>
      </w:pPr>
      <w:r>
        <w:rPr>
          <w:rFonts w:ascii="Arial" w:cs="Arial" w:eastAsia="Arial" w:hAnsi="Arial"/>
          <w:sz w:val="18"/>
          <w:szCs w:val="18"/>
          <w:color w:val="auto"/>
        </w:rPr>
        <w:t xml:space="preserve">Obligations (including any guarantee thereof), or the Liens on all or substantially all of the Collateral granted under the Loan Documents, to any other Indebtedness or Lien (including, without limitation, any other Indebtedness or Lien issued under the Credit Agreement or any other agreement), in each case, without the written consent of all Lenders; (F) amend, modify or waive any provision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without the written consent of the Administrative Agent; (G) amend, modify or waive any provision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without the written consent of the Swingline Lender; (H) amend, modify or waive any provision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without the written consent of the Issuing Lender; or</w:t>
      </w:r>
    </w:p>
    <w:p>
      <w:pPr>
        <w:spacing w:after="0" w:line="4" w:lineRule="exact"/>
        <w:rPr>
          <w:sz w:val="20"/>
          <w:szCs w:val="20"/>
          <w:color w:val="auto"/>
        </w:rPr>
      </w:pPr>
    </w:p>
    <w:p>
      <w:pPr>
        <w:jc w:val="both"/>
        <w:ind w:firstLine="8"/>
        <w:spacing w:after="0" w:line="222" w:lineRule="auto"/>
        <w:tabs>
          <w:tab w:leader="none" w:pos="25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amend or modify the application of payments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without the written consent of all Lenders.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the foregoing, the Issuing Lender may amend any of the L/C-Related Documents without the consent of the Administrative Agent or any other Lender.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60" w:lineRule="exact"/>
        <w:rPr>
          <w:rFonts w:ascii="Arial" w:cs="Arial" w:eastAsia="Arial" w:hAnsi="Arial"/>
          <w:sz w:val="18"/>
          <w:szCs w:val="18"/>
          <w:color w:val="auto"/>
        </w:rPr>
      </w:pPr>
    </w:p>
    <w:p>
      <w:pPr>
        <w:jc w:val="both"/>
        <w:ind w:firstLine="1304"/>
        <w:spacing w:after="0" w:line="207" w:lineRule="auto"/>
        <w:tabs>
          <w:tab w:leader="none" w:pos="1932" w:val="left"/>
        </w:tabs>
        <w:numPr>
          <w:ilvl w:val="1"/>
          <w:numId w:val="294"/>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Arial" w:cs="Arial" w:eastAsia="Arial" w:hAnsi="Arial"/>
          <w:sz w:val="20"/>
          <w:szCs w:val="20"/>
          <w:b w:val="1"/>
          <w:bCs w:val="1"/>
          <w:i w:val="1"/>
          <w:iCs w:val="1"/>
          <w:color w:val="auto"/>
        </w:rPr>
        <w:t>Minority Lender</w:t>
      </w:r>
      <w:r>
        <w:rPr>
          <w:rFonts w:ascii="Arial" w:cs="Arial" w:eastAsia="Arial" w:hAnsi="Arial"/>
          <w:sz w:val="20"/>
          <w:szCs w:val="20"/>
          <w:color w:val="auto"/>
        </w:rPr>
        <w:t>”), to provide for:</w:t>
      </w:r>
    </w:p>
    <w:p>
      <w:pPr>
        <w:spacing w:after="0" w:line="159" w:lineRule="exact"/>
        <w:rPr>
          <w:rFonts w:ascii="Arial" w:cs="Arial" w:eastAsia="Arial" w:hAnsi="Arial"/>
          <w:sz w:val="20"/>
          <w:szCs w:val="20"/>
          <w:color w:val="auto"/>
        </w:rPr>
      </w:pPr>
    </w:p>
    <w:p>
      <w:pPr>
        <w:ind w:left="2600" w:hanging="648"/>
        <w:spacing w:after="0"/>
        <w:tabs>
          <w:tab w:leader="none" w:pos="2600" w:val="left"/>
        </w:tabs>
        <w:numPr>
          <w:ilvl w:val="2"/>
          <w:numId w:val="294"/>
        </w:numPr>
        <w:rPr>
          <w:rFonts w:ascii="Arial" w:cs="Arial" w:eastAsia="Arial" w:hAnsi="Arial"/>
          <w:sz w:val="20"/>
          <w:szCs w:val="20"/>
          <w:color w:val="auto"/>
        </w:rPr>
      </w:pPr>
      <w:r>
        <w:rPr>
          <w:rFonts w:ascii="Arial" w:cs="Arial" w:eastAsia="Arial" w:hAnsi="Arial"/>
          <w:sz w:val="20"/>
          <w:szCs w:val="20"/>
          <w:color w:val="auto"/>
        </w:rPr>
        <w:t>the termination of the Commitment of each such Minority Lender;</w:t>
      </w:r>
    </w:p>
    <w:p>
      <w:pPr>
        <w:spacing w:after="0" w:line="175" w:lineRule="exact"/>
        <w:rPr>
          <w:rFonts w:ascii="Arial" w:cs="Arial" w:eastAsia="Arial" w:hAnsi="Arial"/>
          <w:sz w:val="20"/>
          <w:szCs w:val="20"/>
          <w:color w:val="auto"/>
        </w:rPr>
      </w:pPr>
    </w:p>
    <w:p>
      <w:pPr>
        <w:ind w:firstLine="1952"/>
        <w:spacing w:after="0" w:line="229" w:lineRule="auto"/>
        <w:tabs>
          <w:tab w:leader="none" w:pos="2591" w:val="left"/>
        </w:tabs>
        <w:numPr>
          <w:ilvl w:val="2"/>
          <w:numId w:val="294"/>
        </w:numPr>
        <w:rPr>
          <w:rFonts w:ascii="Arial" w:cs="Arial" w:eastAsia="Arial" w:hAnsi="Arial"/>
          <w:sz w:val="20"/>
          <w:szCs w:val="20"/>
          <w:color w:val="auto"/>
        </w:rPr>
      </w:pPr>
      <w:r>
        <w:rPr>
          <w:rFonts w:ascii="Arial" w:cs="Arial" w:eastAsia="Arial" w:hAnsi="Arial"/>
          <w:sz w:val="20"/>
          <w:szCs w:val="20"/>
          <w:color w:val="auto"/>
        </w:rPr>
        <w:t xml:space="preserve">the assumption of the Loans and Commitment of each such Minority Lender by one or more Replacement Lenders pursuant to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 and</w:t>
      </w:r>
    </w:p>
    <w:p>
      <w:pPr>
        <w:spacing w:after="0" w:line="155" w:lineRule="exact"/>
        <w:rPr>
          <w:rFonts w:ascii="Arial" w:cs="Arial" w:eastAsia="Arial" w:hAnsi="Arial"/>
          <w:sz w:val="20"/>
          <w:szCs w:val="20"/>
          <w:color w:val="auto"/>
        </w:rPr>
      </w:pPr>
    </w:p>
    <w:p>
      <w:pPr>
        <w:jc w:val="both"/>
        <w:ind w:firstLine="1952"/>
        <w:spacing w:after="0" w:line="218" w:lineRule="auto"/>
        <w:tabs>
          <w:tab w:leader="none" w:pos="2592" w:val="left"/>
        </w:tabs>
        <w:numPr>
          <w:ilvl w:val="2"/>
          <w:numId w:val="294"/>
        </w:numPr>
        <w:rPr>
          <w:rFonts w:ascii="Arial" w:cs="Arial" w:eastAsia="Arial" w:hAnsi="Arial"/>
          <w:sz w:val="20"/>
          <w:szCs w:val="20"/>
          <w:color w:val="auto"/>
        </w:rPr>
      </w:pPr>
      <w:r>
        <w:rPr>
          <w:rFonts w:ascii="Arial" w:cs="Arial" w:eastAsia="Arial" w:hAnsi="Arial"/>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56" w:lineRule="exact"/>
        <w:rPr>
          <w:rFonts w:ascii="Arial" w:cs="Arial" w:eastAsia="Arial" w:hAnsi="Arial"/>
          <w:sz w:val="20"/>
          <w:szCs w:val="20"/>
          <w:color w:val="auto"/>
        </w:rPr>
      </w:pPr>
    </w:p>
    <w:p>
      <w:pPr>
        <w:jc w:val="both"/>
        <w:ind w:firstLine="1304"/>
        <w:spacing w:after="0" w:line="229" w:lineRule="auto"/>
        <w:tabs>
          <w:tab w:leader="none" w:pos="193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this Agreement may be amended (or amended and restated) with the written consent of the Required Lenders, the Administrative Agent, and the Borrower, (i) to add one or more additional credit or term loan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240"/>
          </w:cols>
          <w:pgMar w:left="320" w:top="1405" w:right="339" w:bottom="1440" w:gutter="0" w:footer="0" w:header="0"/>
        </w:sectPr>
      </w:pPr>
    </w:p>
    <w:bookmarkStart w:id="324" w:name="page325"/>
    <w:bookmarkEnd w:id="324"/>
    <w:p>
      <w:pPr>
        <w:spacing w:after="0"/>
        <w:rPr>
          <w:sz w:val="20"/>
          <w:szCs w:val="20"/>
          <w:color w:val="auto"/>
        </w:rPr>
      </w:pPr>
      <w:r>
        <w:rPr>
          <w:rFonts w:ascii="Arial" w:cs="Arial" w:eastAsia="Arial" w:hAnsi="Arial"/>
          <w:sz w:val="20"/>
          <w:szCs w:val="20"/>
          <w:color w:val="auto"/>
        </w:rPr>
        <w:t>credit facilities to participate in any required vote or action required to be approved by the Required Lenders.</w:t>
      </w:r>
    </w:p>
    <w:p>
      <w:pPr>
        <w:spacing w:after="0" w:line="175" w:lineRule="exact"/>
        <w:rPr>
          <w:sz w:val="20"/>
          <w:szCs w:val="20"/>
          <w:color w:val="auto"/>
        </w:rPr>
      </w:pPr>
    </w:p>
    <w:p>
      <w:pPr>
        <w:jc w:val="both"/>
        <w:ind w:firstLine="1304"/>
        <w:spacing w:after="0" w:line="218" w:lineRule="auto"/>
        <w:tabs>
          <w:tab w:leader="none" w:pos="1932" w:val="left"/>
        </w:tabs>
        <w:numPr>
          <w:ilvl w:val="0"/>
          <w:numId w:val="295"/>
        </w:numPr>
        <w:rPr>
          <w:rFonts w:ascii="Arial" w:cs="Arial" w:eastAsia="Arial" w:hAnsi="Arial"/>
          <w:sz w:val="20"/>
          <w:szCs w:val="20"/>
          <w:color w:val="auto"/>
        </w:rPr>
      </w:pPr>
      <w:r>
        <w:rPr>
          <w:rFonts w:ascii="Arial" w:cs="Arial" w:eastAsia="Arial" w:hAnsi="Arial"/>
          <w:sz w:val="20"/>
          <w:szCs w:val="20"/>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156" w:lineRule="exact"/>
        <w:rPr>
          <w:rFonts w:ascii="Arial" w:cs="Arial" w:eastAsia="Arial" w:hAnsi="Arial"/>
          <w:sz w:val="20"/>
          <w:szCs w:val="20"/>
          <w:color w:val="auto"/>
        </w:rPr>
      </w:pPr>
    </w:p>
    <w:p>
      <w:pPr>
        <w:jc w:val="both"/>
        <w:ind w:firstLine="1304"/>
        <w:spacing w:after="0" w:line="210" w:lineRule="auto"/>
        <w:tabs>
          <w:tab w:leader="none" w:pos="1934" w:val="left"/>
        </w:tabs>
        <w:numPr>
          <w:ilvl w:val="0"/>
          <w:numId w:val="295"/>
        </w:numPr>
        <w:rPr>
          <w:rFonts w:ascii="Arial" w:cs="Arial" w:eastAsia="Arial" w:hAnsi="Arial"/>
          <w:sz w:val="20"/>
          <w:szCs w:val="20"/>
          <w:color w:val="auto"/>
        </w:rPr>
      </w:pPr>
      <w:r>
        <w:rPr>
          <w:rFonts w:ascii="Arial" w:cs="Arial" w:eastAsia="Arial" w:hAnsi="Arial"/>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54" w:lineRule="exact"/>
        <w:rPr>
          <w:rFonts w:ascii="Arial" w:cs="Arial" w:eastAsia="Arial" w:hAnsi="Arial"/>
          <w:sz w:val="20"/>
          <w:szCs w:val="20"/>
          <w:color w:val="auto"/>
        </w:rPr>
      </w:pPr>
    </w:p>
    <w:p>
      <w:pPr>
        <w:jc w:val="both"/>
        <w:ind w:firstLine="1304"/>
        <w:spacing w:after="0" w:line="218" w:lineRule="auto"/>
        <w:tabs>
          <w:tab w:leader="none" w:pos="1939" w:val="left"/>
        </w:tabs>
        <w:numPr>
          <w:ilvl w:val="0"/>
          <w:numId w:val="295"/>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herein to the contrary, no consent of any Lender (or other Secured Party other than the Administrative Agent) shall be required to effectuate any amendment to implement any Increase permitted by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or to effect an alternate interest rate in a manner consistent with </w:t>
      </w:r>
      <w:r>
        <w:rPr>
          <w:rFonts w:ascii="Arial" w:cs="Arial" w:eastAsia="Arial" w:hAnsi="Arial"/>
          <w:sz w:val="20"/>
          <w:szCs w:val="20"/>
          <w:u w:val="single" w:color="auto"/>
          <w:color w:val="auto"/>
        </w:rPr>
        <w:t>Section 2.17</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ind w:firstLine="1304"/>
        <w:spacing w:after="0" w:line="229" w:lineRule="auto"/>
        <w:tabs>
          <w:tab w:leader="none" w:pos="1932" w:val="left"/>
        </w:tabs>
        <w:numPr>
          <w:ilvl w:val="0"/>
          <w:numId w:val="295"/>
        </w:numPr>
        <w:rPr>
          <w:rFonts w:ascii="Arial" w:cs="Arial" w:eastAsia="Arial" w:hAnsi="Arial"/>
          <w:sz w:val="20"/>
          <w:szCs w:val="20"/>
          <w:color w:val="auto"/>
        </w:rPr>
      </w:pPr>
      <w:r>
        <w:rPr>
          <w:rFonts w:ascii="Arial" w:cs="Arial" w:eastAsia="Arial" w:hAnsi="Arial"/>
          <w:sz w:val="20"/>
          <w:szCs w:val="20"/>
          <w:color w:val="auto"/>
        </w:rPr>
        <w:t>The Administrative Agent may, with the consent of the Loan Parties only, amend, modify or supplement this Agreement or any of the Loan Documents to cure any omission, mistake or defect.</w:t>
      </w:r>
    </w:p>
    <w:p>
      <w:pPr>
        <w:spacing w:after="0" w:line="149" w:lineRule="exact"/>
        <w:rPr>
          <w:sz w:val="20"/>
          <w:szCs w:val="20"/>
          <w:color w:val="auto"/>
        </w:rPr>
      </w:pPr>
    </w:p>
    <w:p>
      <w:pPr>
        <w:jc w:val="both"/>
        <w:ind w:firstLine="648"/>
        <w:spacing w:after="0" w:line="208" w:lineRule="auto"/>
        <w:rPr>
          <w:sz w:val="20"/>
          <w:szCs w:val="20"/>
          <w:color w:val="auto"/>
        </w:rPr>
      </w:pPr>
      <w:r>
        <w:rPr>
          <w:rFonts w:ascii="Arial" w:cs="Arial" w:eastAsia="Arial" w:hAnsi="Arial"/>
          <w:sz w:val="20"/>
          <w:szCs w:val="20"/>
          <w:b w:val="1"/>
          <w:bCs w:val="1"/>
          <w:color w:val="auto"/>
        </w:rPr>
        <w:t>10.2 Notices</w:t>
      </w:r>
      <w:r>
        <w:rPr>
          <w:rFonts w:ascii="Arial" w:cs="Arial" w:eastAsia="Arial" w:hAnsi="Arial"/>
          <w:sz w:val="20"/>
          <w:szCs w:val="20"/>
          <w:color w:val="auto"/>
        </w:rPr>
        <w:t>. All notices, requests and demands to or upon the respective parties hereto to be effective shall be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by facsimile or electronic mail), and, unless otherwise expressly provided herein, shall be deemed to have been duly given or made when delivered, or three Business Days after being deposited in the mail, postage prepaid, or, in the case of facsimile or electronic mail notice, when received, addressed as follows in the case of the Borrower, Holdings and the Administrative Agent,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240"/>
          </w:cols>
          <w:pgMar w:left="320" w:top="1405" w:right="339" w:bottom="1440" w:gutter="0" w:footer="0" w:header="0"/>
        </w:sectPr>
      </w:pPr>
    </w:p>
    <w:bookmarkStart w:id="325" w:name="page326"/>
    <w:bookmarkEnd w:id="325"/>
    <w:p>
      <w:pPr>
        <w:spacing w:after="0" w:line="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Borrower/Holdings: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c/o CrowdStrike Holdings, Inc.</w:t>
      </w:r>
    </w:p>
    <w:p>
      <w:pPr>
        <w:spacing w:after="0" w:line="197" w:lineRule="auto"/>
        <w:rPr>
          <w:sz w:val="20"/>
          <w:szCs w:val="20"/>
          <w:color w:val="auto"/>
        </w:rPr>
      </w:pPr>
      <w:r>
        <w:rPr>
          <w:rFonts w:ascii="Arial" w:cs="Arial" w:eastAsia="Arial" w:hAnsi="Arial"/>
          <w:sz w:val="20"/>
          <w:szCs w:val="20"/>
          <w:color w:val="auto"/>
        </w:rPr>
        <w:t>150 Mathilda Place, Suite 300</w:t>
      </w:r>
    </w:p>
    <w:p>
      <w:pPr>
        <w:spacing w:after="0" w:line="197" w:lineRule="auto"/>
        <w:rPr>
          <w:sz w:val="20"/>
          <w:szCs w:val="20"/>
          <w:color w:val="auto"/>
        </w:rPr>
      </w:pPr>
      <w:r>
        <w:rPr>
          <w:rFonts w:ascii="Arial" w:cs="Arial" w:eastAsia="Arial" w:hAnsi="Arial"/>
          <w:sz w:val="20"/>
          <w:szCs w:val="20"/>
          <w:color w:val="auto"/>
        </w:rPr>
        <w:t>Sunnyvale, CA 94086</w:t>
      </w:r>
    </w:p>
    <w:p>
      <w:pPr>
        <w:spacing w:after="0" w:line="219" w:lineRule="auto"/>
        <w:rPr>
          <w:sz w:val="20"/>
          <w:szCs w:val="20"/>
          <w:color w:val="auto"/>
        </w:rPr>
      </w:pPr>
      <w:r>
        <w:rPr>
          <w:rFonts w:ascii="Arial" w:cs="Arial" w:eastAsia="Arial" w:hAnsi="Arial"/>
          <w:sz w:val="18"/>
          <w:szCs w:val="18"/>
          <w:color w:val="auto"/>
        </w:rPr>
        <w:t>Attention: Legal Department and CFO</w:t>
      </w:r>
    </w:p>
    <w:p>
      <w:pPr>
        <w:spacing w:after="0" w:line="197" w:lineRule="auto"/>
        <w:rPr>
          <w:sz w:val="20"/>
          <w:szCs w:val="20"/>
          <w:color w:val="auto"/>
        </w:rPr>
      </w:pPr>
      <w:r>
        <w:rPr>
          <w:rFonts w:ascii="Arial" w:cs="Arial" w:eastAsia="Arial" w:hAnsi="Arial"/>
          <w:sz w:val="20"/>
          <w:szCs w:val="20"/>
          <w:color w:val="auto"/>
        </w:rPr>
        <w:t>Telephone No.: (888) 512-8906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legal@crowdstrike.com</w:t>
      </w:r>
    </w:p>
    <w:p>
      <w:pPr>
        <w:spacing w:after="0" w:line="200" w:lineRule="exact"/>
        <w:rPr>
          <w:sz w:val="20"/>
          <w:szCs w:val="20"/>
          <w:color w:val="auto"/>
        </w:rPr>
      </w:pPr>
    </w:p>
    <w:p>
      <w:pPr>
        <w:sectPr>
          <w:pgSz w:w="11900" w:h="16838" w:orient="portrait"/>
          <w:cols w:equalWidth="0" w:num="2">
            <w:col w:w="3060" w:space="720"/>
            <w:col w:w="7460"/>
          </w:cols>
          <w:pgMar w:left="320" w:top="1434" w:right="339" w:bottom="1440" w:gutter="0" w:footer="0" w:header="0"/>
        </w:sectPr>
      </w:pPr>
    </w:p>
    <w:p>
      <w:pPr>
        <w:spacing w:after="0" w:line="13"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with a copy to:</w:t>
      </w:r>
    </w:p>
    <w:p>
      <w:pPr>
        <w:spacing w:after="0" w:line="150"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David Polk &amp;Wardwell LLP</w:t>
      </w:r>
    </w:p>
    <w:p>
      <w:pPr>
        <w:ind w:left="3780"/>
        <w:spacing w:after="0" w:line="197" w:lineRule="auto"/>
        <w:rPr>
          <w:sz w:val="20"/>
          <w:szCs w:val="20"/>
          <w:color w:val="auto"/>
        </w:rPr>
      </w:pPr>
      <w:r>
        <w:rPr>
          <w:rFonts w:ascii="Arial" w:cs="Arial" w:eastAsia="Arial" w:hAnsi="Arial"/>
          <w:sz w:val="20"/>
          <w:szCs w:val="20"/>
          <w:color w:val="auto"/>
        </w:rPr>
        <w:t>1600 El Camino Real</w:t>
      </w:r>
    </w:p>
    <w:p>
      <w:pPr>
        <w:ind w:left="3780"/>
        <w:spacing w:after="0" w:line="197" w:lineRule="auto"/>
        <w:rPr>
          <w:sz w:val="20"/>
          <w:szCs w:val="20"/>
          <w:color w:val="auto"/>
        </w:rPr>
      </w:pPr>
      <w:r>
        <w:rPr>
          <w:rFonts w:ascii="Arial" w:cs="Arial" w:eastAsia="Arial" w:hAnsi="Arial"/>
          <w:sz w:val="20"/>
          <w:szCs w:val="20"/>
          <w:color w:val="auto"/>
        </w:rPr>
        <w:t>Menlo Park, CA 94025</w:t>
      </w:r>
    </w:p>
    <w:p>
      <w:pPr>
        <w:ind w:left="3780"/>
        <w:spacing w:after="0" w:line="197" w:lineRule="auto"/>
        <w:rPr>
          <w:sz w:val="20"/>
          <w:szCs w:val="20"/>
          <w:color w:val="auto"/>
        </w:rPr>
      </w:pPr>
      <w:r>
        <w:rPr>
          <w:rFonts w:ascii="Arial" w:cs="Arial" w:eastAsia="Arial" w:hAnsi="Arial"/>
          <w:sz w:val="20"/>
          <w:szCs w:val="20"/>
          <w:color w:val="auto"/>
        </w:rPr>
        <w:t>Attention: Alan Denenberg</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E-Mail: adenenberg@davispolk.com</w:t>
      </w:r>
    </w:p>
    <w:p>
      <w:pPr>
        <w:sectPr>
          <w:pgSz w:w="11900" w:h="16838" w:orient="portrait"/>
          <w:cols w:equalWidth="0" w:num="1">
            <w:col w:w="11240"/>
          </w:cols>
          <w:pgMar w:left="320" w:top="1434" w:right="339" w:bottom="1440" w:gutter="0" w:footer="0" w:header="0"/>
          <w:type w:val="continuous"/>
        </w:sectPr>
      </w:pPr>
    </w:p>
    <w:p>
      <w:pPr>
        <w:spacing w:after="0" w:line="2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Administrative Agent:</w:t>
      </w:r>
    </w:p>
    <w:p>
      <w:pPr>
        <w:spacing w:after="0" w:line="20" w:lineRule="exact"/>
        <w:rPr>
          <w:sz w:val="20"/>
          <w:szCs w:val="20"/>
          <w:color w:val="auto"/>
        </w:rPr>
      </w:pPr>
      <w:r>
        <w:rPr>
          <w:sz w:val="20"/>
          <w:szCs w:val="20"/>
          <w:color w:val="auto"/>
        </w:rPr>
        <w:br w:type="column"/>
      </w:r>
    </w:p>
    <w:p>
      <w:pPr>
        <w:spacing w:after="0" w:line="234" w:lineRule="auto"/>
        <w:rPr>
          <w:sz w:val="20"/>
          <w:szCs w:val="20"/>
          <w:color w:val="auto"/>
        </w:rPr>
      </w:pPr>
      <w:r>
        <w:rPr>
          <w:rFonts w:ascii="Arial" w:cs="Arial" w:eastAsia="Arial" w:hAnsi="Arial"/>
          <w:sz w:val="20"/>
          <w:szCs w:val="20"/>
          <w:color w:val="auto"/>
        </w:rPr>
        <w:t>Silicon Valley Bank</w:t>
      </w:r>
    </w:p>
    <w:p>
      <w:pPr>
        <w:spacing w:after="0" w:line="198" w:lineRule="auto"/>
        <w:rPr>
          <w:sz w:val="20"/>
          <w:szCs w:val="20"/>
          <w:color w:val="auto"/>
        </w:rPr>
      </w:pPr>
      <w:r>
        <w:rPr>
          <w:rFonts w:ascii="Arial" w:cs="Arial" w:eastAsia="Arial" w:hAnsi="Arial"/>
          <w:sz w:val="20"/>
          <w:szCs w:val="20"/>
          <w:color w:val="auto"/>
        </w:rPr>
        <w:t>505 Howard St Floor 3,</w:t>
      </w:r>
    </w:p>
    <w:p>
      <w:pPr>
        <w:spacing w:after="0" w:line="207" w:lineRule="auto"/>
        <w:rPr>
          <w:sz w:val="20"/>
          <w:szCs w:val="20"/>
          <w:color w:val="auto"/>
        </w:rPr>
      </w:pPr>
      <w:r>
        <w:rPr>
          <w:rFonts w:ascii="Arial" w:cs="Arial" w:eastAsia="Arial" w:hAnsi="Arial"/>
          <w:sz w:val="19"/>
          <w:szCs w:val="19"/>
          <w:color w:val="auto"/>
        </w:rPr>
        <w:t>San Francisco, CA 94105</w:t>
      </w:r>
    </w:p>
    <w:p>
      <w:pPr>
        <w:spacing w:after="0" w:line="197" w:lineRule="auto"/>
        <w:rPr>
          <w:sz w:val="20"/>
          <w:szCs w:val="20"/>
          <w:color w:val="auto"/>
        </w:rPr>
      </w:pPr>
      <w:r>
        <w:rPr>
          <w:rFonts w:ascii="Arial" w:cs="Arial" w:eastAsia="Arial" w:hAnsi="Arial"/>
          <w:sz w:val="20"/>
          <w:szCs w:val="20"/>
          <w:color w:val="auto"/>
        </w:rPr>
        <w:t>Attn: Dipika Sharda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DSolanki@svb.com</w:t>
      </w:r>
    </w:p>
    <w:p>
      <w:pPr>
        <w:spacing w:after="0" w:line="200" w:lineRule="exact"/>
        <w:rPr>
          <w:sz w:val="20"/>
          <w:szCs w:val="20"/>
          <w:color w:val="auto"/>
        </w:rPr>
      </w:pPr>
    </w:p>
    <w:p>
      <w:pPr>
        <w:sectPr>
          <w:pgSz w:w="11900" w:h="16838" w:orient="portrait"/>
          <w:cols w:equalWidth="0" w:num="2">
            <w:col w:w="3100" w:space="680"/>
            <w:col w:w="7460"/>
          </w:cols>
          <w:pgMar w:left="320" w:top="1434" w:right="339" w:bottom="1440" w:gutter="0" w:footer="0" w:header="0"/>
          <w:type w:val="continuous"/>
        </w:sectPr>
      </w:pP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Morrison &amp; Foerster LLP</w:t>
      </w:r>
    </w:p>
    <w:p>
      <w:pPr>
        <w:ind w:left="3780"/>
        <w:spacing w:after="0" w:line="197" w:lineRule="auto"/>
        <w:rPr>
          <w:sz w:val="20"/>
          <w:szCs w:val="20"/>
          <w:color w:val="auto"/>
        </w:rPr>
      </w:pPr>
      <w:r>
        <w:rPr>
          <w:rFonts w:ascii="Arial" w:cs="Arial" w:eastAsia="Arial" w:hAnsi="Arial"/>
          <w:sz w:val="20"/>
          <w:szCs w:val="20"/>
          <w:color w:val="auto"/>
        </w:rPr>
        <w:t>200 Clarendon Street</w:t>
      </w:r>
    </w:p>
    <w:p>
      <w:pPr>
        <w:ind w:left="3780"/>
        <w:spacing w:after="0" w:line="197" w:lineRule="auto"/>
        <w:rPr>
          <w:sz w:val="20"/>
          <w:szCs w:val="20"/>
          <w:color w:val="auto"/>
        </w:rPr>
      </w:pPr>
      <w:r>
        <w:rPr>
          <w:rFonts w:ascii="Arial" w:cs="Arial" w:eastAsia="Arial" w:hAnsi="Arial"/>
          <w:sz w:val="20"/>
          <w:szCs w:val="20"/>
          <w:color w:val="auto"/>
        </w:rPr>
        <w:t>Boston, Massachusetts 02116</w:t>
      </w:r>
    </w:p>
    <w:p>
      <w:pPr>
        <w:ind w:left="3780"/>
        <w:spacing w:after="0" w:line="197" w:lineRule="auto"/>
        <w:rPr>
          <w:sz w:val="20"/>
          <w:szCs w:val="20"/>
          <w:color w:val="auto"/>
        </w:rPr>
      </w:pPr>
      <w:r>
        <w:rPr>
          <w:rFonts w:ascii="Arial" w:cs="Arial" w:eastAsia="Arial" w:hAnsi="Arial"/>
          <w:sz w:val="20"/>
          <w:szCs w:val="20"/>
          <w:color w:val="auto"/>
        </w:rPr>
        <w:t>Attention: Charles W. Stavros, Esq.</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E-Mail: Cstavros@mofo.com</w:t>
      </w:r>
    </w:p>
    <w:p>
      <w:pPr>
        <w:sectPr>
          <w:pgSz w:w="11900" w:h="16838" w:orient="portrait"/>
          <w:cols w:equalWidth="0" w:num="1">
            <w:col w:w="11240"/>
          </w:cols>
          <w:pgMar w:left="320" w:top="1434" w:right="339" w:bottom="1440" w:gutter="0" w:footer="0" w:header="0"/>
          <w:type w:val="continuous"/>
        </w:sectPr>
      </w:pP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the Lenders shall not be effective until received.</w:t>
      </w:r>
    </w:p>
    <w:p>
      <w:pPr>
        <w:spacing w:after="0" w:line="198" w:lineRule="exact"/>
        <w:rPr>
          <w:sz w:val="20"/>
          <w:szCs w:val="20"/>
          <w:color w:val="auto"/>
        </w:rPr>
      </w:pPr>
    </w:p>
    <w:p>
      <w:pPr>
        <w:jc w:val="both"/>
        <w:ind w:firstLine="1304"/>
        <w:spacing w:after="0" w:line="225" w:lineRule="auto"/>
        <w:tabs>
          <w:tab w:leader="none" w:pos="193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155" w:lineRule="exact"/>
        <w:rPr>
          <w:rFonts w:ascii="Arial" w:cs="Arial" w:eastAsia="Arial" w:hAnsi="Arial"/>
          <w:sz w:val="18"/>
          <w:szCs w:val="18"/>
          <w:color w:val="auto"/>
        </w:rPr>
      </w:pPr>
    </w:p>
    <w:p>
      <w:pPr>
        <w:ind w:firstLine="1304"/>
        <w:spacing w:after="0" w:line="229" w:lineRule="auto"/>
        <w:tabs>
          <w:tab w:leader="none" w:pos="1932"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Any party hereto may change its address or facsimile number for notices and other communications hereunder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1434" w:right="339" w:bottom="1440" w:gutter="0" w:footer="0" w:header="0"/>
          <w:type w:val="continuous"/>
        </w:sectPr>
      </w:pPr>
    </w:p>
    <w:bookmarkStart w:id="326" w:name="page327"/>
    <w:bookmarkEnd w:id="326"/>
    <w:p>
      <w:pPr>
        <w:ind w:firstLine="1304"/>
        <w:spacing w:after="0" w:line="269" w:lineRule="auto"/>
        <w:tabs>
          <w:tab w:leader="none" w:pos="203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130" w:lineRule="exact"/>
        <w:rPr>
          <w:rFonts w:ascii="Arial" w:cs="Arial" w:eastAsia="Arial" w:hAnsi="Arial"/>
          <w:sz w:val="18"/>
          <w:szCs w:val="18"/>
          <w:color w:val="auto"/>
        </w:rPr>
      </w:pPr>
    </w:p>
    <w:p>
      <w:pPr>
        <w:jc w:val="both"/>
        <w:ind w:firstLine="1952"/>
        <w:spacing w:after="0" w:line="225" w:lineRule="auto"/>
        <w:tabs>
          <w:tab w:leader="none" w:pos="242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Arial" w:cs="Arial" w:eastAsia="Arial" w:hAnsi="Arial"/>
          <w:sz w:val="18"/>
          <w:szCs w:val="18"/>
          <w:b w:val="1"/>
          <w:bCs w:val="1"/>
          <w:i w:val="1"/>
          <w:iCs w:val="1"/>
          <w:color w:val="auto"/>
        </w:rPr>
        <w:t>Agent Parties</w:t>
      </w:r>
      <w:r>
        <w:rPr>
          <w:rFonts w:ascii="Arial" w:cs="Arial" w:eastAsia="Arial" w:hAnsi="Arial"/>
          <w:sz w:val="18"/>
          <w:szCs w:val="18"/>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Arial" w:cs="Arial" w:eastAsia="Arial" w:hAnsi="Arial"/>
          <w:sz w:val="18"/>
          <w:szCs w:val="18"/>
          <w:b w:val="1"/>
          <w:bCs w:val="1"/>
          <w:i w:val="1"/>
          <w:iCs w:val="1"/>
          <w:color w:val="auto"/>
        </w:rPr>
        <w:t>Communications</w:t>
      </w:r>
      <w:r>
        <w:rPr>
          <w:rFonts w:ascii="Arial" w:cs="Arial" w:eastAsia="Arial" w:hAnsi="Arial"/>
          <w:sz w:val="18"/>
          <w:szCs w:val="18"/>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5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9"/>
          <w:szCs w:val="19"/>
          <w:b w:val="1"/>
          <w:bCs w:val="1"/>
          <w:color w:val="auto"/>
        </w:rPr>
        <w:t>10.3 No Waiver; Cumulative Remedies</w:t>
      </w:r>
      <w:r>
        <w:rPr>
          <w:rFonts w:ascii="Arial" w:cs="Arial" w:eastAsia="Arial" w:hAnsi="Arial"/>
          <w:sz w:val="19"/>
          <w:szCs w:val="19"/>
          <w:color w:val="auto"/>
        </w:rPr>
        <w:t>. No failure to exercise and no delay in exercising, on the part of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5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10.4 Survival of Representations and Warranties</w:t>
      </w:r>
      <w:r>
        <w:rPr>
          <w:rFonts w:ascii="Arial" w:cs="Arial" w:eastAsia="Arial" w:hAnsi="Arial"/>
          <w:sz w:val="20"/>
          <w:szCs w:val="20"/>
          <w:color w:val="auto"/>
        </w:rPr>
        <w:t>. All representations and warranties made hereunder, in the other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6"/>
          <w:szCs w:val="16"/>
          <w:b w:val="1"/>
          <w:bCs w:val="1"/>
          <w:color w:val="auto"/>
        </w:rPr>
        <w:t>Expenses; Indemnity; Damage Waiver.</w:t>
      </w:r>
    </w:p>
    <w:p>
      <w:pPr>
        <w:spacing w:after="0" w:line="181" w:lineRule="exact"/>
        <w:rPr>
          <w:sz w:val="20"/>
          <w:szCs w:val="20"/>
          <w:color w:val="auto"/>
        </w:rPr>
      </w:pPr>
    </w:p>
    <w:p>
      <w:pPr>
        <w:jc w:val="both"/>
        <w:ind w:firstLine="1304"/>
        <w:spacing w:after="0" w:line="221" w:lineRule="auto"/>
        <w:tabs>
          <w:tab w:leader="none" w:pos="1934"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shall pay (i) all reasonable and documented out-of-pocket expenses incurred by the Administrative Agent and its Affiliates (including the reasonable fees, charges and disbursements of one counsel for the Administrative Agent (and of such other counsel in the event of a conflict and, if reasonably necessary, one local counsel in any relevant jurisdiction)),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Issuing Lender in connection with the issuance, amendment, renewal or extension of any Letter of Credit or any demand for payment thereunder, and (iii) all out-of-pocket expenses incurred by the Administrative Agent or any Lender (including the fees, charges and disbursements of one counsel for the Administrative Agent and the Lenders and, if reasonably necessary, one local counsel for the Administrative Agent and the Lenders in any relevant jurisdiction (and of such other counsel in the event of a conflict)), in connection with the enforcement or protection of its rights</w:t>
      </w:r>
    </w:p>
    <w:p>
      <w:pPr>
        <w:jc w:val="both"/>
        <w:ind w:firstLine="8"/>
        <w:spacing w:after="0" w:line="213" w:lineRule="auto"/>
        <w:tabs>
          <w:tab w:leader="none" w:pos="335" w:val="left"/>
        </w:tabs>
        <w:numPr>
          <w:ilvl w:val="0"/>
          <w:numId w:val="299"/>
        </w:numPr>
        <w:rPr>
          <w:rFonts w:ascii="Arial" w:cs="Arial" w:eastAsia="Arial" w:hAnsi="Arial"/>
          <w:sz w:val="20"/>
          <w:szCs w:val="20"/>
          <w:color w:val="auto"/>
        </w:rPr>
      </w:pPr>
      <w:r>
        <w:rPr>
          <w:rFonts w:ascii="Arial" w:cs="Arial" w:eastAsia="Arial" w:hAnsi="Arial"/>
          <w:sz w:val="20"/>
          <w:szCs w:val="20"/>
          <w:color w:val="auto"/>
        </w:rPr>
        <w:t>in connection with this Agreement and the other Loan Documents, including its rights under this Section, or (B) in connection with the Loans made or Letters of Credit issued or participated in hereunder, including all such documented out-of-pocket expenses incurred during any workout, restructuring or negotiations in respect of such Loans or Letters of Credit.</w:t>
      </w:r>
    </w:p>
    <w:p>
      <w:pPr>
        <w:spacing w:after="0" w:line="154" w:lineRule="exact"/>
        <w:rPr>
          <w:rFonts w:ascii="Arial" w:cs="Arial" w:eastAsia="Arial" w:hAnsi="Arial"/>
          <w:sz w:val="20"/>
          <w:szCs w:val="20"/>
          <w:color w:val="auto"/>
        </w:rPr>
      </w:pPr>
    </w:p>
    <w:p>
      <w:pPr>
        <w:jc w:val="both"/>
        <w:ind w:firstLine="1304"/>
        <w:spacing w:after="0" w:line="213" w:lineRule="auto"/>
        <w:tabs>
          <w:tab w:leader="none" w:pos="1932" w:val="left"/>
        </w:tabs>
        <w:numPr>
          <w:ilvl w:val="1"/>
          <w:numId w:val="299"/>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the Administrative Agent (and any sub-agent thereof), each Lender (including the Issuing Lender), and each Related Party of any of the foregoing Persons (each such Person being called an “</w:t>
      </w:r>
      <w:r>
        <w:rPr>
          <w:rFonts w:ascii="Arial" w:cs="Arial" w:eastAsia="Arial" w:hAnsi="Arial"/>
          <w:sz w:val="20"/>
          <w:szCs w:val="20"/>
          <w:b w:val="1"/>
          <w:bCs w:val="1"/>
          <w:i w:val="1"/>
          <w:iCs w:val="1"/>
          <w:color w:val="auto"/>
        </w:rPr>
        <w:t>Indemnitee</w:t>
      </w:r>
      <w:r>
        <w:rPr>
          <w:rFonts w:ascii="Arial" w:cs="Arial" w:eastAsia="Arial" w:hAnsi="Arial"/>
          <w:sz w:val="20"/>
          <w:szCs w:val="20"/>
          <w:color w:val="auto"/>
        </w:rPr>
        <w:t>”) against, and hold each Indemnitee harmless from, any and all losses, claims, damages, liabilities and related expenses (including the fees, charges and disbursements of any counsel for any Indemnitee),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1405" w:right="339" w:bottom="1440" w:gutter="0" w:footer="0" w:header="0"/>
        </w:sectPr>
      </w:pPr>
    </w:p>
    <w:bookmarkStart w:id="327" w:name="page328"/>
    <w:bookmarkEnd w:id="327"/>
    <w:p>
      <w:pPr>
        <w:jc w:val="both"/>
        <w:spacing w:after="0" w:line="221" w:lineRule="auto"/>
        <w:rPr>
          <w:sz w:val="20"/>
          <w:szCs w:val="20"/>
          <w:color w:val="auto"/>
        </w:rPr>
      </w:pPr>
      <w:r>
        <w:rPr>
          <w:rFonts w:ascii="Arial" w:cs="Arial" w:eastAsia="Arial" w:hAnsi="Arial"/>
          <w:sz w:val="18"/>
          <w:szCs w:val="18"/>
          <w:color w:val="auto"/>
        </w:rPr>
        <w:t>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Holdings or any of its Subsidiaries, or any Environmental Liability related in any way to Holdings or any of its Subsidiaries, or</w:t>
      </w:r>
    </w:p>
    <w:p>
      <w:pPr>
        <w:spacing w:after="0" w:line="3" w:lineRule="exact"/>
        <w:rPr>
          <w:sz w:val="20"/>
          <w:szCs w:val="20"/>
          <w:color w:val="auto"/>
        </w:rPr>
      </w:pPr>
    </w:p>
    <w:p>
      <w:pPr>
        <w:jc w:val="both"/>
        <w:ind w:firstLine="8"/>
        <w:spacing w:after="0" w:line="213" w:lineRule="auto"/>
        <w:tabs>
          <w:tab w:leader="none" w:pos="338"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or (y) result from a claim brought by the Borrower or any other Loan Party against an Indemnitee for a material breach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9"/>
          <w:szCs w:val="19"/>
          <w:u w:val="single" w:color="auto"/>
          <w:color w:val="auto"/>
        </w:rPr>
        <w:t>Section 10.5(b)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155" w:lineRule="exact"/>
        <w:rPr>
          <w:rFonts w:ascii="Arial" w:cs="Arial" w:eastAsia="Arial" w:hAnsi="Arial"/>
          <w:sz w:val="19"/>
          <w:szCs w:val="19"/>
          <w:color w:val="auto"/>
        </w:rPr>
      </w:pPr>
    </w:p>
    <w:p>
      <w:pPr>
        <w:jc w:val="both"/>
        <w:ind w:firstLine="1304"/>
        <w:spacing w:after="0" w:line="224" w:lineRule="auto"/>
        <w:tabs>
          <w:tab w:leader="none" w:pos="1934" w:val="left"/>
        </w:tabs>
        <w:numPr>
          <w:ilvl w:val="1"/>
          <w:numId w:val="300"/>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2.20(e)</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firstLine="1304"/>
        <w:spacing w:after="0" w:line="215" w:lineRule="auto"/>
        <w:tabs>
          <w:tab w:leader="none" w:pos="1932" w:val="left"/>
        </w:tabs>
        <w:numPr>
          <w:ilvl w:val="1"/>
          <w:numId w:val="300"/>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applicable law, the Borrower shall not assert, and hereby waives, any claim against the Administrative Agent (and any sub-agent thereof), each Lender (including the Issuing Lender), and each Related Party of any of the foregoing Persons (each such Person being called an “</w:t>
      </w:r>
      <w:r>
        <w:rPr>
          <w:rFonts w:ascii="Arial" w:cs="Arial" w:eastAsia="Arial" w:hAnsi="Arial"/>
          <w:sz w:val="19"/>
          <w:szCs w:val="19"/>
          <w:b w:val="1"/>
          <w:bCs w:val="1"/>
          <w:i w:val="1"/>
          <w:iCs w:val="1"/>
          <w:color w:val="auto"/>
        </w:rPr>
        <w:t>Applicable Party</w:t>
      </w:r>
      <w:r>
        <w:rPr>
          <w:rFonts w:ascii="Arial" w:cs="Arial" w:eastAsia="Arial" w:hAnsi="Arial"/>
          <w:sz w:val="19"/>
          <w:szCs w:val="19"/>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Applicable Party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55" w:lineRule="exact"/>
        <w:rPr>
          <w:rFonts w:ascii="Arial" w:cs="Arial" w:eastAsia="Arial" w:hAnsi="Arial"/>
          <w:sz w:val="19"/>
          <w:szCs w:val="19"/>
          <w:color w:val="auto"/>
        </w:rPr>
      </w:pPr>
    </w:p>
    <w:p>
      <w:pPr>
        <w:ind w:left="1940" w:hanging="636"/>
        <w:spacing w:after="0"/>
        <w:tabs>
          <w:tab w:leader="none" w:pos="1940" w:val="left"/>
        </w:tabs>
        <w:numPr>
          <w:ilvl w:val="1"/>
          <w:numId w:val="300"/>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40"/>
          </w:cols>
          <w:pgMar w:left="320" w:top="1405" w:right="339" w:bottom="1440" w:gutter="0" w:footer="0" w:header="0"/>
        </w:sectPr>
      </w:pPr>
    </w:p>
    <w:bookmarkStart w:id="328" w:name="page329"/>
    <w:bookmarkEnd w:id="328"/>
    <w:p>
      <w:pPr>
        <w:ind w:left="1940" w:hanging="636"/>
        <w:spacing w:after="0"/>
        <w:tabs>
          <w:tab w:leader="none" w:pos="194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Discharge of Obligations.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6"/>
          <w:szCs w:val="16"/>
          <w:b w:val="1"/>
          <w:bCs w:val="1"/>
          <w:color w:val="auto"/>
        </w:rPr>
        <w:t>Successors and Assigns; Participations and Assignments.</w:t>
      </w:r>
    </w:p>
    <w:p>
      <w:pPr>
        <w:spacing w:after="0" w:line="181" w:lineRule="exact"/>
        <w:rPr>
          <w:sz w:val="20"/>
          <w:szCs w:val="20"/>
          <w:color w:val="auto"/>
        </w:rPr>
      </w:pPr>
    </w:p>
    <w:p>
      <w:pPr>
        <w:jc w:val="both"/>
        <w:ind w:firstLine="1304"/>
        <w:spacing w:after="0" w:line="225" w:lineRule="auto"/>
        <w:tabs>
          <w:tab w:leader="none" w:pos="193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(which, for purposes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Arial" w:cs="Arial" w:eastAsia="Arial" w:hAnsi="Arial"/>
          <w:sz w:val="18"/>
          <w:szCs w:val="18"/>
          <w:u w:val="single" w:color="auto"/>
          <w:color w:val="auto"/>
        </w:rPr>
        <w:t>Section 10.6(d)</w:t>
      </w:r>
      <w:r>
        <w:rPr>
          <w:rFonts w:ascii="Arial" w:cs="Arial" w:eastAsia="Arial" w:hAnsi="Arial"/>
          <w:sz w:val="18"/>
          <w:szCs w:val="18"/>
          <w:color w:val="auto"/>
        </w:rPr>
        <w:t xml:space="preserve">, or (iii) by way of pledge or assignment of a security interest subject to the restrictions of </w:t>
      </w:r>
      <w:r>
        <w:rPr>
          <w:rFonts w:ascii="Arial" w:cs="Arial" w:eastAsia="Arial" w:hAnsi="Arial"/>
          <w:sz w:val="18"/>
          <w:szCs w:val="18"/>
          <w:u w:val="single" w:color="auto"/>
          <w:color w:val="auto"/>
        </w:rPr>
        <w:t>Section 10.6(e)</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60" w:lineRule="exact"/>
        <w:rPr>
          <w:rFonts w:ascii="Arial" w:cs="Arial" w:eastAsia="Arial" w:hAnsi="Arial"/>
          <w:sz w:val="18"/>
          <w:szCs w:val="18"/>
          <w:color w:val="auto"/>
        </w:rPr>
      </w:pPr>
    </w:p>
    <w:p>
      <w:pPr>
        <w:jc w:val="both"/>
        <w:ind w:right="20" w:firstLine="1304"/>
        <w:spacing w:after="0" w:line="218" w:lineRule="auto"/>
        <w:tabs>
          <w:tab w:leader="none" w:pos="1932"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with respect to any Facility) any such assignment shall be subject to the following conditions:</w:t>
      </w:r>
    </w:p>
    <w:p>
      <w:pPr>
        <w:spacing w:after="0" w:line="156" w:lineRule="exact"/>
        <w:rPr>
          <w:rFonts w:ascii="Arial" w:cs="Arial" w:eastAsia="Arial" w:hAnsi="Arial"/>
          <w:sz w:val="20"/>
          <w:szCs w:val="20"/>
          <w:color w:val="auto"/>
        </w:rPr>
      </w:pPr>
    </w:p>
    <w:p>
      <w:pPr>
        <w:ind w:left="2600" w:hanging="648"/>
        <w:spacing w:after="0"/>
        <w:tabs>
          <w:tab w:leader="none" w:pos="2600" w:val="left"/>
        </w:tabs>
        <w:numPr>
          <w:ilvl w:val="1"/>
          <w:numId w:val="302"/>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2600"/>
        <w:spacing w:after="0" w:line="210" w:lineRule="auto"/>
        <w:tabs>
          <w:tab w:leader="none" w:pos="3231" w:val="left"/>
        </w:tabs>
        <w:numPr>
          <w:ilvl w:val="2"/>
          <w:numId w:val="302"/>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54" w:lineRule="exact"/>
        <w:rPr>
          <w:rFonts w:ascii="Arial" w:cs="Arial" w:eastAsia="Arial" w:hAnsi="Arial"/>
          <w:sz w:val="20"/>
          <w:szCs w:val="20"/>
          <w:color w:val="auto"/>
        </w:rPr>
      </w:pPr>
    </w:p>
    <w:p>
      <w:pPr>
        <w:jc w:val="both"/>
        <w:ind w:firstLine="2600"/>
        <w:spacing w:after="0" w:line="206" w:lineRule="auto"/>
        <w:tabs>
          <w:tab w:leader="none" w:pos="3234" w:val="left"/>
        </w:tabs>
        <w:numPr>
          <w:ilvl w:val="2"/>
          <w:numId w:val="302"/>
        </w:numPr>
        <w:rPr>
          <w:rFonts w:ascii="Arial" w:cs="Arial" w:eastAsia="Arial" w:hAnsi="Arial"/>
          <w:sz w:val="20"/>
          <w:szCs w:val="20"/>
          <w:color w:val="auto"/>
        </w:rPr>
      </w:pPr>
      <w:r>
        <w:rPr>
          <w:rFonts w:ascii="Arial" w:cs="Arial" w:eastAsia="Arial" w:hAnsi="Arial"/>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Arial" w:cs="Arial" w:eastAsia="Arial" w:hAnsi="Arial"/>
          <w:sz w:val="20"/>
          <w:szCs w:val="20"/>
          <w:b w:val="1"/>
          <w:bCs w:val="1"/>
          <w:i w:val="1"/>
          <w:iCs w:val="1"/>
          <w:color w:val="auto"/>
        </w:rPr>
        <w:t>Trade Date</w:t>
      </w:r>
      <w:r>
        <w:rPr>
          <w:rFonts w:ascii="Arial" w:cs="Arial" w:eastAsia="Arial" w:hAnsi="Arial"/>
          <w:sz w:val="20"/>
          <w:szCs w:val="20"/>
          <w:color w:val="auto"/>
        </w:rPr>
        <w:t>” is specified in the Assignment and Assumption, as of the Trade Date) shall not be less than $5,000,000, unless each of the Administrative Agent and, so long as no Default or Event of Default has occurred and is continuing, the Borrower otherwise consents (each such consent not to be unreasonably withheld or delayed).</w:t>
      </w:r>
    </w:p>
    <w:p>
      <w:pPr>
        <w:spacing w:after="0" w:line="157" w:lineRule="exact"/>
        <w:rPr>
          <w:rFonts w:ascii="Arial" w:cs="Arial" w:eastAsia="Arial" w:hAnsi="Arial"/>
          <w:sz w:val="20"/>
          <w:szCs w:val="20"/>
          <w:color w:val="auto"/>
        </w:rPr>
      </w:pPr>
    </w:p>
    <w:p>
      <w:pPr>
        <w:jc w:val="both"/>
        <w:ind w:firstLine="1952"/>
        <w:spacing w:after="0" w:line="213" w:lineRule="auto"/>
        <w:tabs>
          <w:tab w:leader="none" w:pos="2591" w:val="left"/>
        </w:tabs>
        <w:numPr>
          <w:ilvl w:val="1"/>
          <w:numId w:val="302"/>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155" w:lineRule="exact"/>
        <w:rPr>
          <w:rFonts w:ascii="Arial" w:cs="Arial" w:eastAsia="Arial" w:hAnsi="Arial"/>
          <w:sz w:val="20"/>
          <w:szCs w:val="20"/>
          <w:color w:val="auto"/>
        </w:rPr>
      </w:pPr>
    </w:p>
    <w:p>
      <w:pPr>
        <w:ind w:right="20" w:firstLine="1952"/>
        <w:spacing w:after="0" w:line="229" w:lineRule="auto"/>
        <w:tabs>
          <w:tab w:leader="none" w:pos="2592" w:val="left"/>
        </w:tabs>
        <w:numPr>
          <w:ilvl w:val="1"/>
          <w:numId w:val="30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No consent shall be required for any assignment except to the extent required by paragraph (b)(i)(B) of this Section and, in addition:</w:t>
      </w:r>
    </w:p>
    <w:p>
      <w:pPr>
        <w:spacing w:after="0" w:line="155" w:lineRule="exact"/>
        <w:rPr>
          <w:rFonts w:ascii="Arial" w:cs="Arial" w:eastAsia="Arial" w:hAnsi="Arial"/>
          <w:sz w:val="20"/>
          <w:szCs w:val="20"/>
          <w:color w:val="auto"/>
        </w:rPr>
      </w:pPr>
    </w:p>
    <w:p>
      <w:pPr>
        <w:jc w:val="both"/>
        <w:ind w:firstLine="2600"/>
        <w:spacing w:after="0" w:line="244" w:lineRule="auto"/>
        <w:tabs>
          <w:tab w:leader="none" w:pos="3231" w:val="left"/>
        </w:tabs>
        <w:numPr>
          <w:ilvl w:val="2"/>
          <w:numId w:val="302"/>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(x) an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has occurred and is continuing at the time of such assignment, or (y)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1405" w:right="339" w:bottom="1440" w:gutter="0" w:footer="0" w:header="0"/>
        </w:sectPr>
      </w:pPr>
    </w:p>
    <w:bookmarkStart w:id="329" w:name="page330"/>
    <w:bookmarkEnd w:id="329"/>
    <w:p>
      <w:pPr>
        <w:spacing w:after="0" w:line="229" w:lineRule="auto"/>
        <w:rPr>
          <w:sz w:val="20"/>
          <w:szCs w:val="20"/>
          <w:color w:val="auto"/>
        </w:rPr>
      </w:pPr>
      <w:r>
        <w:rPr>
          <w:rFonts w:ascii="Arial" w:cs="Arial" w:eastAsia="Arial" w:hAnsi="Arial"/>
          <w:sz w:val="20"/>
          <w:szCs w:val="20"/>
          <w:color w:val="auto"/>
        </w:rPr>
        <w:t>consented to any such assignment unless it shall object thereto by written notice to the Administrative Agent within ten Business Days after having received notice thereof;</w:t>
      </w:r>
    </w:p>
    <w:p>
      <w:pPr>
        <w:spacing w:after="0" w:line="155" w:lineRule="exact"/>
        <w:rPr>
          <w:sz w:val="20"/>
          <w:szCs w:val="20"/>
          <w:color w:val="auto"/>
        </w:rPr>
      </w:pPr>
    </w:p>
    <w:p>
      <w:pPr>
        <w:jc w:val="both"/>
        <w:ind w:firstLine="2600"/>
        <w:spacing w:after="0" w:line="218" w:lineRule="auto"/>
        <w:tabs>
          <w:tab w:leader="none" w:pos="3234" w:val="left"/>
        </w:tabs>
        <w:numPr>
          <w:ilvl w:val="1"/>
          <w:numId w:val="30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the Revolving Facility if such assignment is to a Person that is not a Lender with a Revolving Commitment, an Affiliate or an Approved Fund thereof; and</w:t>
      </w:r>
    </w:p>
    <w:p>
      <w:pPr>
        <w:spacing w:after="0" w:line="156" w:lineRule="exact"/>
        <w:rPr>
          <w:rFonts w:ascii="Arial" w:cs="Arial" w:eastAsia="Arial" w:hAnsi="Arial"/>
          <w:sz w:val="20"/>
          <w:szCs w:val="20"/>
          <w:color w:val="auto"/>
        </w:rPr>
      </w:pPr>
    </w:p>
    <w:p>
      <w:pPr>
        <w:ind w:firstLine="2600"/>
        <w:spacing w:after="0" w:line="229" w:lineRule="auto"/>
        <w:tabs>
          <w:tab w:leader="none" w:pos="3297" w:val="left"/>
        </w:tabs>
        <w:numPr>
          <w:ilvl w:val="1"/>
          <w:numId w:val="303"/>
        </w:numPr>
        <w:rPr>
          <w:rFonts w:ascii="Arial" w:cs="Arial" w:eastAsia="Arial" w:hAnsi="Arial"/>
          <w:sz w:val="20"/>
          <w:szCs w:val="20"/>
          <w:color w:val="auto"/>
        </w:rPr>
      </w:pPr>
      <w:r>
        <w:rPr>
          <w:rFonts w:ascii="Arial" w:cs="Arial" w:eastAsia="Arial" w:hAnsi="Arial"/>
          <w:sz w:val="20"/>
          <w:szCs w:val="20"/>
          <w:color w:val="auto"/>
        </w:rPr>
        <w:t>the consent of the Issuing Lender and the Swingline Lender (such consent not to be unreasonably withheld or delayed) shall be required for any assignment in respect of the Revolving Facility.</w:t>
      </w:r>
    </w:p>
    <w:p>
      <w:pPr>
        <w:spacing w:after="0" w:line="155" w:lineRule="exact"/>
        <w:rPr>
          <w:rFonts w:ascii="Arial" w:cs="Arial" w:eastAsia="Arial" w:hAnsi="Arial"/>
          <w:sz w:val="20"/>
          <w:szCs w:val="20"/>
          <w:color w:val="auto"/>
        </w:rPr>
      </w:pPr>
    </w:p>
    <w:p>
      <w:pPr>
        <w:jc w:val="both"/>
        <w:ind w:firstLine="1952"/>
        <w:spacing w:after="0" w:line="236" w:lineRule="auto"/>
        <w:tabs>
          <w:tab w:leader="none" w:pos="2581"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assignee, if it is not a Lender, shall deliver to the Administrative Agent any such administrative questionnaire as the Administrative Agent may request.</w:t>
      </w:r>
    </w:p>
    <w:p>
      <w:pPr>
        <w:spacing w:after="0" w:line="157" w:lineRule="exact"/>
        <w:rPr>
          <w:rFonts w:ascii="Arial" w:cs="Arial" w:eastAsia="Arial" w:hAnsi="Arial"/>
          <w:sz w:val="18"/>
          <w:szCs w:val="18"/>
          <w:color w:val="auto"/>
        </w:rPr>
      </w:pPr>
    </w:p>
    <w:p>
      <w:pPr>
        <w:jc w:val="both"/>
        <w:ind w:firstLine="1952"/>
        <w:spacing w:after="0" w:line="218" w:lineRule="auto"/>
        <w:tabs>
          <w:tab w:leader="none" w:pos="2580" w:val="left"/>
        </w:tabs>
        <w:numPr>
          <w:ilvl w:val="0"/>
          <w:numId w:val="304"/>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w:t>
      </w:r>
    </w:p>
    <w:p>
      <w:pPr>
        <w:spacing w:after="0" w:line="156" w:lineRule="exact"/>
        <w:rPr>
          <w:rFonts w:ascii="Arial" w:cs="Arial" w:eastAsia="Arial" w:hAnsi="Arial"/>
          <w:sz w:val="20"/>
          <w:szCs w:val="20"/>
          <w:color w:val="auto"/>
        </w:rPr>
      </w:pPr>
    </w:p>
    <w:p>
      <w:pPr>
        <w:ind w:firstLine="1952"/>
        <w:spacing w:after="0" w:line="242" w:lineRule="auto"/>
        <w:tabs>
          <w:tab w:leader="none" w:pos="2581" w:val="left"/>
        </w:tabs>
        <w:numPr>
          <w:ilvl w:val="0"/>
          <w:numId w:val="304"/>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 (or a holding company, investment vehicle or trust established for, or owned and operated for the primary benefit of, a natural Person).</w:t>
      </w:r>
    </w:p>
    <w:p>
      <w:pPr>
        <w:spacing w:after="0" w:line="153" w:lineRule="exact"/>
        <w:rPr>
          <w:rFonts w:ascii="Arial" w:cs="Arial" w:eastAsia="Arial" w:hAnsi="Arial"/>
          <w:sz w:val="19"/>
          <w:szCs w:val="19"/>
          <w:color w:val="auto"/>
        </w:rPr>
      </w:pPr>
    </w:p>
    <w:p>
      <w:pPr>
        <w:jc w:val="both"/>
        <w:ind w:firstLine="1952"/>
        <w:spacing w:after="0" w:line="225" w:lineRule="auto"/>
        <w:tabs>
          <w:tab w:leader="none" w:pos="2581"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240"/>
          </w:cols>
          <w:pgMar w:left="320" w:top="1405" w:right="339" w:bottom="1440" w:gutter="0" w:footer="0" w:header="0"/>
        </w:sectPr>
      </w:pPr>
    </w:p>
    <w:bookmarkStart w:id="330" w:name="page331"/>
    <w:bookmarkEnd w:id="330"/>
    <w:p>
      <w:pPr>
        <w:ind w:right="20"/>
        <w:spacing w:after="0" w:line="229" w:lineRule="auto"/>
        <w:rPr>
          <w:sz w:val="20"/>
          <w:szCs w:val="20"/>
          <w:color w:val="auto"/>
        </w:rPr>
      </w:pPr>
      <w:r>
        <w:rPr>
          <w:rFonts w:ascii="Arial" w:cs="Arial" w:eastAsia="Arial" w:hAnsi="Arial"/>
          <w:sz w:val="20"/>
          <w:szCs w:val="20"/>
          <w:color w:val="auto"/>
        </w:rPr>
        <w:t>purposes of this Agreement as a sale by such Lender of a participation in such rights and obligations in accordance with paragraph (d) of this Section.</w:t>
      </w:r>
    </w:p>
    <w:p>
      <w:pPr>
        <w:spacing w:after="0" w:line="155" w:lineRule="exact"/>
        <w:rPr>
          <w:sz w:val="20"/>
          <w:szCs w:val="20"/>
          <w:color w:val="auto"/>
        </w:rPr>
      </w:pPr>
    </w:p>
    <w:p>
      <w:pPr>
        <w:jc w:val="both"/>
        <w:ind w:firstLine="1304"/>
        <w:spacing w:after="0" w:line="217" w:lineRule="auto"/>
        <w:tabs>
          <w:tab w:leader="none" w:pos="1934" w:val="left"/>
        </w:tabs>
        <w:numPr>
          <w:ilvl w:val="1"/>
          <w:numId w:val="305"/>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Arial" w:cs="Arial" w:eastAsia="Arial" w:hAnsi="Arial"/>
          <w:sz w:val="19"/>
          <w:szCs w:val="19"/>
          <w:b w:val="1"/>
          <w:bCs w:val="1"/>
          <w:i w:val="1"/>
          <w:iCs w:val="1"/>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56" w:lineRule="exact"/>
        <w:rPr>
          <w:rFonts w:ascii="Arial" w:cs="Arial" w:eastAsia="Arial" w:hAnsi="Arial"/>
          <w:sz w:val="19"/>
          <w:szCs w:val="19"/>
          <w:color w:val="auto"/>
        </w:rPr>
      </w:pPr>
    </w:p>
    <w:p>
      <w:pPr>
        <w:jc w:val="both"/>
        <w:ind w:firstLine="1304"/>
        <w:spacing w:after="0" w:line="222" w:lineRule="auto"/>
        <w:tabs>
          <w:tab w:leader="none" w:pos="1932"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w:t>
      </w:r>
    </w:p>
    <w:p>
      <w:pPr>
        <w:spacing w:after="0" w:line="3" w:lineRule="exact"/>
        <w:rPr>
          <w:rFonts w:ascii="Arial" w:cs="Arial" w:eastAsia="Arial" w:hAnsi="Arial"/>
          <w:sz w:val="18"/>
          <w:szCs w:val="18"/>
          <w:color w:val="auto"/>
        </w:rPr>
      </w:pPr>
    </w:p>
    <w:p>
      <w:pPr>
        <w:jc w:val="both"/>
        <w:ind w:firstLine="8"/>
        <w:spacing w:after="0" w:line="232" w:lineRule="auto"/>
        <w:tabs>
          <w:tab w:leader="none" w:pos="29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Arial" w:cs="Arial" w:eastAsia="Arial" w:hAnsi="Arial"/>
          <w:sz w:val="18"/>
          <w:szCs w:val="18"/>
          <w:u w:val="single" w:color="auto"/>
          <w:color w:val="auto"/>
        </w:rPr>
        <w:t>Sections 2.20(e)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with respect to any payments made by such Lender to its Participant(s).</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Sections 2.19</w:t>
      </w:r>
      <w:r>
        <w:rPr>
          <w:rFonts w:ascii="Arial" w:cs="Arial" w:eastAsia="Arial" w:hAnsi="Arial"/>
          <w:sz w:val="16"/>
          <w:szCs w:val="16"/>
          <w:color w:val="auto"/>
        </w:rPr>
        <w:t xml:space="preserve">,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2.21</w:t>
      </w:r>
      <w:r>
        <w:rPr>
          <w:rFonts w:ascii="Arial" w:cs="Arial" w:eastAsia="Arial" w:hAnsi="Arial"/>
          <w:sz w:val="16"/>
          <w:szCs w:val="16"/>
          <w:color w:val="auto"/>
        </w:rPr>
        <w:t xml:space="preserve"> (subject to the requirements and limitations therein, including the requirements under </w:t>
      </w:r>
      <w:r>
        <w:rPr>
          <w:rFonts w:ascii="Arial" w:cs="Arial" w:eastAsia="Arial" w:hAnsi="Arial"/>
          <w:sz w:val="16"/>
          <w:szCs w:val="16"/>
          <w:u w:val="single" w:color="auto"/>
          <w:color w:val="auto"/>
        </w:rPr>
        <w:t>Section 2.20(f)</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2.20(f)</w:t>
      </w:r>
      <w:r>
        <w:rPr>
          <w:rFonts w:ascii="Arial" w:cs="Arial" w:eastAsia="Arial" w:hAnsi="Arial"/>
          <w:sz w:val="16"/>
          <w:szCs w:val="16"/>
          <w:color w:val="auto"/>
        </w:rPr>
        <w:t xml:space="preserve"> shall be delivered by such Participant to the Lender granting such participation)) to the same extent as if it were a Lender and had acquired its interest by assignment pursuant to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2.23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Section 10.6(b)</w:t>
      </w:r>
      <w:r>
        <w:rPr>
          <w:rFonts w:ascii="Arial" w:cs="Arial" w:eastAsia="Arial" w:hAnsi="Arial"/>
          <w:sz w:val="16"/>
          <w:szCs w:val="16"/>
          <w:color w:val="auto"/>
        </w:rPr>
        <w:t xml:space="preserve">; and (B) shall not be entitled to receive any greater payment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2.20</w:t>
      </w:r>
      <w:r>
        <w:rPr>
          <w:rFonts w:ascii="Arial" w:cs="Arial" w:eastAsia="Arial" w:hAnsi="Arial"/>
          <w:sz w:val="16"/>
          <w:szCs w:val="16"/>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2.23</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2.18(k)</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b w:val="1"/>
          <w:bCs w:val="1"/>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1405" w:right="339" w:bottom="1440" w:gutter="0" w:footer="0" w:header="0"/>
        </w:sectPr>
      </w:pPr>
    </w:p>
    <w:bookmarkStart w:id="331" w:name="page332"/>
    <w:bookmarkEnd w:id="331"/>
    <w:p>
      <w:pPr>
        <w:spacing w:after="0"/>
        <w:rPr>
          <w:sz w:val="20"/>
          <w:szCs w:val="20"/>
          <w:color w:val="auto"/>
        </w:rPr>
      </w:pPr>
      <w:r>
        <w:rPr>
          <w:rFonts w:ascii="Arial" w:cs="Arial" w:eastAsia="Arial" w:hAnsi="Arial"/>
          <w:sz w:val="20"/>
          <w:szCs w:val="20"/>
          <w:color w:val="auto"/>
        </w:rPr>
        <w:t>Administrative Agent (in its capacity as Administrative Agent) shall have no responsibility for maintaining a Participant Register.</w:t>
      </w:r>
    </w:p>
    <w:p>
      <w:pPr>
        <w:spacing w:after="0" w:line="175" w:lineRule="exact"/>
        <w:rPr>
          <w:sz w:val="20"/>
          <w:szCs w:val="20"/>
          <w:color w:val="auto"/>
        </w:rPr>
      </w:pPr>
    </w:p>
    <w:p>
      <w:pPr>
        <w:jc w:val="both"/>
        <w:ind w:firstLine="1304"/>
        <w:spacing w:after="0" w:line="213" w:lineRule="auto"/>
        <w:tabs>
          <w:tab w:leader="none" w:pos="1934"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55" w:lineRule="exact"/>
        <w:rPr>
          <w:rFonts w:ascii="Arial" w:cs="Arial" w:eastAsia="Arial" w:hAnsi="Arial"/>
          <w:sz w:val="20"/>
          <w:szCs w:val="20"/>
          <w:color w:val="auto"/>
        </w:rPr>
      </w:pPr>
    </w:p>
    <w:p>
      <w:pPr>
        <w:ind w:firstLine="1304"/>
        <w:spacing w:after="0" w:line="229" w:lineRule="auto"/>
        <w:tabs>
          <w:tab w:leader="none" w:pos="1939"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29" w:lineRule="auto"/>
        <w:tabs>
          <w:tab w:leader="none" w:pos="193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Lenders</w:t>
      </w:r>
      <w:r>
        <w:rPr>
          <w:rFonts w:ascii="Arial" w:cs="Arial" w:eastAsia="Arial" w:hAnsi="Arial"/>
          <w:sz w:val="18"/>
          <w:szCs w:val="18"/>
          <w:color w:val="auto"/>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 the disposition of such Commitments and Loans or any interests therein shall at all times remain within its exclusive control).</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Adjustments; Set-off.</w:t>
      </w:r>
    </w:p>
    <w:p>
      <w:pPr>
        <w:spacing w:after="0" w:line="181" w:lineRule="exact"/>
        <w:rPr>
          <w:sz w:val="20"/>
          <w:szCs w:val="20"/>
          <w:color w:val="auto"/>
        </w:rPr>
      </w:pPr>
    </w:p>
    <w:p>
      <w:pPr>
        <w:jc w:val="both"/>
        <w:ind w:firstLine="1304"/>
        <w:spacing w:after="0" w:line="214" w:lineRule="auto"/>
        <w:tabs>
          <w:tab w:leader="none" w:pos="1934" w:val="left"/>
        </w:tabs>
        <w:numPr>
          <w:ilvl w:val="0"/>
          <w:numId w:val="308"/>
        </w:numPr>
        <w:rPr>
          <w:rFonts w:ascii="Arial" w:cs="Arial" w:eastAsia="Arial" w:hAnsi="Arial"/>
          <w:sz w:val="19"/>
          <w:szCs w:val="19"/>
          <w:color w:val="auto"/>
        </w:rPr>
      </w:pPr>
      <w:r>
        <w:rPr>
          <w:rFonts w:ascii="Arial" w:cs="Arial" w:eastAsia="Arial" w:hAnsi="Arial"/>
          <w:sz w:val="19"/>
          <w:szCs w:val="19"/>
          <w:color w:val="auto"/>
        </w:rPr>
        <w:t>Except to the extent that this Agreement expressly provides for payments to be allocated to a particular Lender or to the Lenders under a particular Facility, if any Lender (a “</w:t>
      </w:r>
      <w:r>
        <w:rPr>
          <w:rFonts w:ascii="Arial" w:cs="Arial" w:eastAsia="Arial" w:hAnsi="Arial"/>
          <w:sz w:val="19"/>
          <w:szCs w:val="19"/>
          <w:b w:val="1"/>
          <w:bCs w:val="1"/>
          <w:i w:val="1"/>
          <w:iCs w:val="1"/>
          <w:color w:val="auto"/>
        </w:rPr>
        <w:t>Benefitted Lender</w:t>
      </w:r>
      <w:r>
        <w:rPr>
          <w:rFonts w:ascii="Arial" w:cs="Arial" w:eastAsia="Arial" w:hAnsi="Arial"/>
          <w:sz w:val="19"/>
          <w:szCs w:val="19"/>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19"/>
          <w:szCs w:val="19"/>
          <w:u w:val="single" w:color="auto"/>
          <w:color w:val="auto"/>
        </w:rPr>
        <w:t>Section 8.1(f)</w:t>
      </w:r>
      <w:r>
        <w:rPr>
          <w:rFonts w:ascii="Arial" w:cs="Arial" w:eastAsia="Arial" w:hAnsi="Arial"/>
          <w:sz w:val="19"/>
          <w:szCs w:val="19"/>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57" w:lineRule="exact"/>
        <w:rPr>
          <w:rFonts w:ascii="Arial" w:cs="Arial" w:eastAsia="Arial" w:hAnsi="Arial"/>
          <w:sz w:val="19"/>
          <w:szCs w:val="19"/>
          <w:color w:val="auto"/>
        </w:rPr>
      </w:pPr>
    </w:p>
    <w:p>
      <w:pPr>
        <w:jc w:val="both"/>
        <w:ind w:firstLine="1304"/>
        <w:spacing w:after="0" w:line="212" w:lineRule="auto"/>
        <w:tabs>
          <w:tab w:leader="none" w:pos="1932"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(i) Upon the occurrence and during the continuance of any Event of Default and (ii) after providing at least 3 Business Days’ (or such shorter amount of time as the Administrative Agent may agree) prior written notice to the Administrative Agent, each Lender and each of its Affiliates is hereby authorized at any time and from time to time, without prior notice to Holdings, the Borrower or any other Loan Party, any such notice being expressly waived by Holdings,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Holdings, the Borrower or any other Loan Party, as the case may be, against any and all of the obligations of Holdings, the Borrower or such other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Holdings, the Borrower or such other Loan Party may be contingent or unmatured or are owed to a branch, office or Affiliate of such Lender different from the branch, office or Affiliate holding such deposit or obligated on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that any Defaulting Lender or any of its Affiliates shall exercise any such right of setoff, (x) all amounts so set off shall be paid over immediately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1405" w:right="339" w:bottom="1440" w:gutter="0" w:footer="0" w:header="0"/>
        </w:sectPr>
      </w:pPr>
    </w:p>
    <w:bookmarkStart w:id="332" w:name="page333"/>
    <w:bookmarkEnd w:id="332"/>
    <w:p>
      <w:pPr>
        <w:jc w:val="both"/>
        <w:spacing w:after="0" w:line="205" w:lineRule="auto"/>
        <w:rPr>
          <w:sz w:val="20"/>
          <w:szCs w:val="20"/>
          <w:color w:val="auto"/>
        </w:rPr>
      </w:pPr>
      <w:r>
        <w:rPr>
          <w:rFonts w:ascii="Arial" w:cs="Arial" w:eastAsia="Arial" w:hAnsi="Arial"/>
          <w:sz w:val="20"/>
          <w:szCs w:val="20"/>
          <w:color w:val="auto"/>
        </w:rPr>
        <w:t xml:space="preserve">Administrative Agent for further application in accordance with the provisions of </w:t>
      </w:r>
      <w:r>
        <w:rPr>
          <w:rFonts w:ascii="Arial" w:cs="Arial" w:eastAsia="Arial" w:hAnsi="Arial"/>
          <w:sz w:val="20"/>
          <w:szCs w:val="20"/>
          <w:u w:val="single" w:color="auto"/>
          <w:color w:val="auto"/>
        </w:rPr>
        <w:t>Section 2.23</w:t>
      </w:r>
      <w:r>
        <w:rPr>
          <w:rFonts w:ascii="Arial" w:cs="Arial" w:eastAsia="Arial" w:hAnsi="Arial"/>
          <w:sz w:val="20"/>
          <w:szCs w:val="20"/>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 The rights of each Lender and its Affiliates under this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are in addition to other rights and remedies (including other rights of set-off) which such Lender or its Affiliates may have.</w:t>
      </w:r>
    </w:p>
    <w:p>
      <w:pPr>
        <w:spacing w:after="0" w:line="15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10.8 Payments Set Aside</w:t>
      </w:r>
      <w:r>
        <w:rPr>
          <w:rFonts w:ascii="Arial" w:cs="Arial" w:eastAsia="Arial" w:hAnsi="Arial"/>
          <w:sz w:val="18"/>
          <w:szCs w:val="18"/>
          <w:color w:val="auto"/>
        </w:rPr>
        <w:t>. To the extent that any payment by or on behalf of the Borrower is made to the Administrative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2" w:lineRule="exact"/>
        <w:rPr>
          <w:sz w:val="20"/>
          <w:szCs w:val="20"/>
          <w:color w:val="auto"/>
        </w:rPr>
      </w:pPr>
    </w:p>
    <w:p>
      <w:pPr>
        <w:jc w:val="both"/>
        <w:ind w:firstLine="8"/>
        <w:spacing w:after="0" w:line="209" w:lineRule="auto"/>
        <w:tabs>
          <w:tab w:leader="none" w:pos="281" w:val="left"/>
        </w:tabs>
        <w:numPr>
          <w:ilvl w:val="0"/>
          <w:numId w:val="309"/>
        </w:numPr>
        <w:rPr>
          <w:rFonts w:ascii="Arial" w:cs="Arial" w:eastAsia="Arial" w:hAnsi="Arial"/>
          <w:sz w:val="20"/>
          <w:szCs w:val="20"/>
          <w:color w:val="auto"/>
        </w:rPr>
      </w:pPr>
      <w:r>
        <w:rPr>
          <w:rFonts w:ascii="Arial" w:cs="Arial" w:eastAsia="Arial" w:hAnsi="Arial"/>
          <w:sz w:val="20"/>
          <w:szCs w:val="20"/>
          <w:color w:val="auto"/>
        </w:rPr>
        <w:t xml:space="preserve">each Lender severally agrees to pay to the Administrative Agent upon demand its applicable share (without duplication) of any amount so recovered from or repaid by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4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b w:val="1"/>
          <w:bCs w:val="1"/>
          <w:color w:val="auto"/>
        </w:rPr>
        <w:t>10.9 Interest Rate Limitation</w:t>
      </w:r>
      <w:r>
        <w:rPr>
          <w:rFonts w:ascii="Arial" w:cs="Arial" w:eastAsia="Arial" w:hAnsi="Arial"/>
          <w:sz w:val="19"/>
          <w:szCs w:val="19"/>
          <w:color w:val="auto"/>
        </w:rPr>
        <w:t>. Notwithstanding anything to the contrary contained in any Loan Document, the interest paid or</w:t>
      </w:r>
      <w:r>
        <w:rPr>
          <w:rFonts w:ascii="Arial" w:cs="Arial" w:eastAsia="Arial" w:hAnsi="Arial"/>
          <w:sz w:val="19"/>
          <w:szCs w:val="19"/>
          <w:b w:val="1"/>
          <w:bCs w:val="1"/>
          <w:color w:val="auto"/>
        </w:rPr>
        <w:t xml:space="preserve"> </w:t>
      </w:r>
      <w:r>
        <w:rPr>
          <w:rFonts w:ascii="Arial" w:cs="Arial" w:eastAsia="Arial" w:hAnsi="Arial"/>
          <w:sz w:val="19"/>
          <w:szCs w:val="19"/>
          <w:color w:val="auto"/>
        </w:rPr>
        <w:t>agreed to be paid under the Loan Documents shall not exceed the maximum rate of non-usurious interest permitted by applicable law (the “</w:t>
      </w:r>
      <w:r>
        <w:rPr>
          <w:rFonts w:ascii="Arial" w:cs="Arial" w:eastAsia="Arial" w:hAnsi="Arial"/>
          <w:sz w:val="19"/>
          <w:szCs w:val="19"/>
          <w:b w:val="1"/>
          <w:bCs w:val="1"/>
          <w:i w:val="1"/>
          <w:iCs w:val="1"/>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6"/>
          <w:szCs w:val="16"/>
          <w:b w:val="1"/>
          <w:bCs w:val="1"/>
          <w:color w:val="auto"/>
        </w:rPr>
        <w:t>Counterparts; Electronic Execution of Assignments.</w:t>
      </w:r>
    </w:p>
    <w:p>
      <w:pPr>
        <w:spacing w:after="0" w:line="181" w:lineRule="exact"/>
        <w:rPr>
          <w:sz w:val="20"/>
          <w:szCs w:val="20"/>
          <w:color w:val="auto"/>
        </w:rPr>
      </w:pPr>
    </w:p>
    <w:p>
      <w:pPr>
        <w:jc w:val="both"/>
        <w:ind w:firstLine="1304"/>
        <w:spacing w:after="0" w:line="210" w:lineRule="auto"/>
        <w:tabs>
          <w:tab w:leader="none" w:pos="1934" w:val="left"/>
        </w:tabs>
        <w:numPr>
          <w:ilvl w:val="0"/>
          <w:numId w:val="310"/>
        </w:numPr>
        <w:rPr>
          <w:rFonts w:ascii="Arial" w:cs="Arial" w:eastAsia="Arial" w:hAnsi="Arial"/>
          <w:sz w:val="20"/>
          <w:szCs w:val="20"/>
          <w:color w:val="auto"/>
        </w:rPr>
      </w:pPr>
      <w:r>
        <w:rPr>
          <w:rFonts w:ascii="Arial" w:cs="Arial" w:eastAsia="Arial" w:hAnsi="Arial"/>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54" w:lineRule="exact"/>
        <w:rPr>
          <w:rFonts w:ascii="Arial" w:cs="Arial" w:eastAsia="Arial" w:hAnsi="Arial"/>
          <w:sz w:val="20"/>
          <w:szCs w:val="20"/>
          <w:color w:val="auto"/>
        </w:rPr>
      </w:pPr>
    </w:p>
    <w:p>
      <w:pPr>
        <w:jc w:val="both"/>
        <w:ind w:firstLine="1304"/>
        <w:spacing w:after="0" w:line="233" w:lineRule="auto"/>
        <w:tabs>
          <w:tab w:leader="none" w:pos="193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9"/>
          <w:szCs w:val="19"/>
          <w:b w:val="1"/>
          <w:bCs w:val="1"/>
          <w:color w:val="auto"/>
        </w:rPr>
        <w:t>10.11 Severability</w:t>
      </w:r>
      <w:r>
        <w:rPr>
          <w:rFonts w:ascii="Arial" w:cs="Arial" w:eastAsia="Arial" w:hAnsi="Arial"/>
          <w:sz w:val="19"/>
          <w:szCs w:val="19"/>
          <w:color w:val="auto"/>
        </w:rPr>
        <w:t>. Any provision of this Agreement that is prohibited or unenforceable in any jurisdiction shall, as to such</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1405" w:right="339" w:bottom="1440" w:gutter="0" w:footer="0" w:header="0"/>
        </w:sectPr>
      </w:pPr>
    </w:p>
    <w:bookmarkStart w:id="333" w:name="page334"/>
    <w:bookmarkEnd w:id="333"/>
    <w:p>
      <w:pPr>
        <w:jc w:val="both"/>
        <w:spacing w:after="0" w:line="213" w:lineRule="auto"/>
        <w:rPr>
          <w:sz w:val="20"/>
          <w:szCs w:val="20"/>
          <w:color w:val="auto"/>
        </w:rPr>
      </w:pPr>
      <w:r>
        <w:rPr>
          <w:rFonts w:ascii="Arial" w:cs="Arial" w:eastAsia="Arial" w:hAnsi="Arial"/>
          <w:sz w:val="20"/>
          <w:szCs w:val="20"/>
          <w:color w:val="auto"/>
        </w:rPr>
        <w:t xml:space="preserve">other jurisdiction. Without limiting the foregoing provisions of this </w:t>
      </w:r>
      <w:r>
        <w:rPr>
          <w:rFonts w:ascii="Arial" w:cs="Arial" w:eastAsia="Arial" w:hAnsi="Arial"/>
          <w:sz w:val="20"/>
          <w:szCs w:val="20"/>
          <w:u w:val="single" w:color="auto"/>
          <w:color w:val="auto"/>
        </w:rPr>
        <w:t>Section 10.11</w:t>
      </w:r>
      <w:r>
        <w:rPr>
          <w:rFonts w:ascii="Arial" w:cs="Arial" w:eastAsia="Arial" w:hAnsi="Arial"/>
          <w:sz w:val="20"/>
          <w:szCs w:val="20"/>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15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0"/>
          <w:szCs w:val="20"/>
          <w:b w:val="1"/>
          <w:bCs w:val="1"/>
          <w:color w:val="auto"/>
        </w:rPr>
        <w:t>10.12 Integration</w:t>
      </w:r>
      <w:r>
        <w:rPr>
          <w:rFonts w:ascii="Arial" w:cs="Arial" w:eastAsia="Arial" w:hAnsi="Arial"/>
          <w:sz w:val="20"/>
          <w:szCs w:val="20"/>
          <w:color w:val="auto"/>
        </w:rPr>
        <w:t>. This Agreement and the other Loan Documents represent the entire agreement of Holdings, the Borrower, the</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5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b w:val="1"/>
          <w:bCs w:val="1"/>
          <w:color w:val="auto"/>
        </w:rPr>
        <w:t>10.13 GOVERNING LAW</w:t>
      </w:r>
      <w:r>
        <w:rPr>
          <w:rFonts w:ascii="Arial" w:cs="Arial" w:eastAsia="Arial" w:hAnsi="Arial"/>
          <w:sz w:val="19"/>
          <w:szCs w:val="19"/>
          <w:color w:val="auto"/>
        </w:rPr>
        <w:t>.</w:t>
      </w:r>
      <w:r>
        <w:rPr>
          <w:rFonts w:ascii="Arial" w:cs="Arial" w:eastAsia="Arial" w:hAnsi="Arial"/>
          <w:sz w:val="19"/>
          <w:szCs w:val="19"/>
          <w:b w:val="1"/>
          <w:bCs w:val="1"/>
          <w:color w:val="auto"/>
        </w:rPr>
        <w:t xml:space="preserve"> 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LAWS OF THE STATE OF NEW YORK. </w:t>
      </w:r>
      <w:r>
        <w:rPr>
          <w:rFonts w:ascii="Arial" w:cs="Arial" w:eastAsia="Arial" w:hAnsi="Arial"/>
          <w:sz w:val="19"/>
          <w:szCs w:val="19"/>
          <w:color w:val="auto"/>
        </w:rPr>
        <w:t>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10.13</w:t>
      </w:r>
      <w:r>
        <w:rPr>
          <w:rFonts w:ascii="Arial" w:cs="Arial" w:eastAsia="Arial" w:hAnsi="Arial"/>
          <w:sz w:val="19"/>
          <w:szCs w:val="19"/>
          <w:b w:val="1"/>
          <w:bCs w:val="1"/>
          <w:color w:val="auto"/>
        </w:rPr>
        <w:t xml:space="preserve"> </w:t>
      </w:r>
      <w:r>
        <w:rPr>
          <w:rFonts w:ascii="Arial" w:cs="Arial" w:eastAsia="Arial" w:hAnsi="Arial"/>
          <w:sz w:val="19"/>
          <w:szCs w:val="19"/>
          <w:color w:val="auto"/>
        </w:rPr>
        <w:t>shall survive the Discharge of Obligations.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6"/>
          <w:szCs w:val="16"/>
          <w:b w:val="1"/>
          <w:bCs w:val="1"/>
          <w:color w:val="auto"/>
        </w:rPr>
        <w:t>Submission to Jurisdiction; Waivers. Each party hereto hereby irrevocably and unconditionally:</w:t>
      </w:r>
    </w:p>
    <w:p>
      <w:pPr>
        <w:spacing w:after="0" w:line="181" w:lineRule="exact"/>
        <w:rPr>
          <w:sz w:val="20"/>
          <w:szCs w:val="20"/>
          <w:color w:val="auto"/>
        </w:rPr>
      </w:pPr>
    </w:p>
    <w:p>
      <w:pPr>
        <w:jc w:val="both"/>
        <w:ind w:firstLine="1304"/>
        <w:spacing w:after="0" w:line="223" w:lineRule="auto"/>
        <w:tabs>
          <w:tab w:leader="none" w:pos="193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the Borrower or any other Group Member against the Administrative Agent or any Lender or any other Secured Party of any kind, shall be brought only in a state court located in the Borough of Manhattan, or, to the extent permitted by law, in a federal court sitting in the Borough of Manhattan; provided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to the extent permitted by law. Holdings and the Borrower, on behalf of themselves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Holdings and the Borrower, on behalf of themselves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this Agreement and that service so made shall be deemed completed upon the earlier to occur of the Borrower’s actual receipt thereof or three days after deposit in the U.S. mails, proper postage prepaid;</w:t>
      </w:r>
    </w:p>
    <w:p>
      <w:pPr>
        <w:spacing w:after="0" w:line="150" w:lineRule="exact"/>
        <w:rPr>
          <w:rFonts w:ascii="Arial" w:cs="Arial" w:eastAsia="Arial" w:hAnsi="Arial"/>
          <w:sz w:val="18"/>
          <w:szCs w:val="18"/>
          <w:color w:val="auto"/>
        </w:rPr>
      </w:pPr>
    </w:p>
    <w:p>
      <w:pPr>
        <w:jc w:val="both"/>
        <w:ind w:firstLine="1304"/>
        <w:spacing w:after="0" w:line="208" w:lineRule="auto"/>
        <w:tabs>
          <w:tab w:leader="none" w:pos="1932" w:val="left"/>
        </w:tabs>
        <w:numPr>
          <w:ilvl w:val="0"/>
          <w:numId w:val="311"/>
        </w:numPr>
        <w:rPr>
          <w:rFonts w:ascii="Arial" w:cs="Arial" w:eastAsia="Arial" w:hAnsi="Arial"/>
          <w:sz w:val="20"/>
          <w:szCs w:val="20"/>
          <w:color w:val="auto"/>
        </w:rPr>
      </w:pPr>
      <w:r>
        <w:rPr>
          <w:rFonts w:ascii="Arial" w:cs="Arial" w:eastAsia="Arial" w:hAnsi="Arial"/>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1405" w:right="339" w:bottom="1440" w:gutter="0" w:footer="0" w:header="0"/>
        </w:sectPr>
      </w:pPr>
    </w:p>
    <w:bookmarkStart w:id="334" w:name="page335"/>
    <w:bookmarkEnd w:id="334"/>
    <w:p>
      <w:pPr>
        <w:ind w:right="20"/>
        <w:spacing w:after="0" w:line="232" w:lineRule="auto"/>
        <w:rPr>
          <w:sz w:val="20"/>
          <w:szCs w:val="20"/>
          <w:color w:val="auto"/>
        </w:rPr>
      </w:pPr>
      <w:r>
        <w:rPr>
          <w:rFonts w:ascii="Arial" w:cs="Arial" w:eastAsia="Arial" w:hAnsi="Arial"/>
          <w:sz w:val="20"/>
          <w:szCs w:val="20"/>
          <w:b w:val="1"/>
          <w:bCs w:val="1"/>
          <w:color w:val="auto"/>
        </w:rPr>
        <w:t>AGREEMENT AND THE OTHER LOAN DOCUMENTS. HOLDINGS AND THE BORROWER HAS REVIEWED THIS WAIVER WITH ITS COUNSEL; and</w:t>
      </w:r>
    </w:p>
    <w:p>
      <w:pPr>
        <w:spacing w:after="0" w:line="155" w:lineRule="exact"/>
        <w:rPr>
          <w:sz w:val="20"/>
          <w:szCs w:val="20"/>
          <w:color w:val="auto"/>
        </w:rPr>
      </w:pPr>
    </w:p>
    <w:p>
      <w:pPr>
        <w:jc w:val="both"/>
        <w:ind w:firstLine="1304"/>
        <w:spacing w:after="0" w:line="244" w:lineRule="auto"/>
        <w:tabs>
          <w:tab w:leader="none" w:pos="193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herein shall limit the right of any Indemnitee to be indemnified as provided in this Agreement and the other Loan Documents.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10.14</w:t>
      </w:r>
      <w:r>
        <w:rPr>
          <w:rFonts w:ascii="Arial" w:cs="Arial" w:eastAsia="Arial" w:hAnsi="Arial"/>
          <w:sz w:val="20"/>
          <w:szCs w:val="20"/>
          <w:color w:val="auto"/>
        </w:rPr>
        <w:t xml:space="preserve"> shall survive the Discharge of Obligations.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10.15</w:t>
      </w:r>
      <w:r>
        <w:rPr>
          <w:sz w:val="20"/>
          <w:szCs w:val="20"/>
          <w:color w:val="auto"/>
        </w:rPr>
        <w:tab/>
      </w:r>
      <w:r>
        <w:rPr>
          <w:rFonts w:ascii="Arial" w:cs="Arial" w:eastAsia="Arial" w:hAnsi="Arial"/>
          <w:sz w:val="16"/>
          <w:szCs w:val="16"/>
          <w:b w:val="1"/>
          <w:bCs w:val="1"/>
          <w:color w:val="auto"/>
        </w:rPr>
        <w:t>Acknowledgements</w:t>
      </w:r>
      <w:r>
        <w:rPr>
          <w:rFonts w:ascii="Arial" w:cs="Arial" w:eastAsia="Arial" w:hAnsi="Arial"/>
          <w:sz w:val="16"/>
          <w:szCs w:val="16"/>
          <w:color w:val="auto"/>
        </w:rPr>
        <w:t>. Each of Holdings and the Borrower hereby acknowledges that:</w:t>
      </w:r>
    </w:p>
    <w:p>
      <w:pPr>
        <w:spacing w:after="0" w:line="168" w:lineRule="exact"/>
        <w:rPr>
          <w:sz w:val="20"/>
          <w:szCs w:val="20"/>
          <w:color w:val="auto"/>
        </w:rPr>
      </w:pPr>
    </w:p>
    <w:p>
      <w:pPr>
        <w:ind w:left="1940" w:hanging="636"/>
        <w:spacing w:after="0"/>
        <w:tabs>
          <w:tab w:leader="none" w:pos="194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 other Loan</w:t>
      </w:r>
    </w:p>
    <w:p>
      <w:pPr>
        <w:spacing w:after="0"/>
        <w:rPr>
          <w:sz w:val="20"/>
          <w:szCs w:val="20"/>
          <w:color w:val="auto"/>
        </w:rPr>
      </w:pPr>
      <w:r>
        <w:rPr>
          <w:rFonts w:ascii="Arial" w:cs="Arial" w:eastAsia="Arial" w:hAnsi="Arial"/>
          <w:sz w:val="20"/>
          <w:szCs w:val="20"/>
          <w:color w:val="auto"/>
        </w:rPr>
        <w:t>Documents;</w:t>
      </w:r>
    </w:p>
    <w:p>
      <w:pPr>
        <w:spacing w:after="0" w:line="159" w:lineRule="exact"/>
        <w:rPr>
          <w:sz w:val="20"/>
          <w:szCs w:val="20"/>
          <w:color w:val="auto"/>
        </w:rPr>
      </w:pPr>
    </w:p>
    <w:p>
      <w:pPr>
        <w:jc w:val="both"/>
        <w:ind w:firstLine="1304"/>
        <w:spacing w:after="0" w:line="249" w:lineRule="auto"/>
        <w:tabs>
          <w:tab w:leader="none" w:pos="1932" w:val="left"/>
        </w:tabs>
        <w:numPr>
          <w:ilvl w:val="1"/>
          <w:numId w:val="314"/>
        </w:numPr>
        <w:rPr>
          <w:rFonts w:ascii="Arial" w:cs="Arial" w:eastAsia="Arial" w:hAnsi="Arial"/>
          <w:sz w:val="16"/>
          <w:szCs w:val="16"/>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Holdings and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Arial" w:cs="Arial" w:eastAsia="Arial" w:hAnsi="Arial"/>
          <w:sz w:val="16"/>
          <w:szCs w:val="16"/>
          <w:u w:val="single" w:color="auto"/>
          <w:color w:val="auto"/>
        </w:rPr>
        <w:t>Lenders</w:t>
      </w:r>
      <w:r>
        <w:rPr>
          <w:rFonts w:ascii="Arial" w:cs="Arial" w:eastAsia="Arial" w:hAnsi="Arial"/>
          <w:sz w:val="16"/>
          <w:szCs w:val="16"/>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w:t>
      </w:r>
    </w:p>
    <w:p>
      <w:pPr>
        <w:spacing w:after="0" w:line="186" w:lineRule="exact"/>
        <w:rPr>
          <w:rFonts w:ascii="Arial" w:cs="Arial" w:eastAsia="Arial" w:hAnsi="Arial"/>
          <w:sz w:val="16"/>
          <w:szCs w:val="16"/>
          <w:color w:val="auto"/>
        </w:rPr>
      </w:pPr>
    </w:p>
    <w:p>
      <w:pPr>
        <w:jc w:val="both"/>
        <w:ind w:firstLine="8"/>
        <w:spacing w:after="0" w:line="213" w:lineRule="auto"/>
        <w:tabs>
          <w:tab w:leader="none" w:pos="316" w:val="left"/>
        </w:tabs>
        <w:numPr>
          <w:ilvl w:val="0"/>
          <w:numId w:val="315"/>
        </w:numPr>
        <w:rPr>
          <w:rFonts w:ascii="Arial" w:cs="Arial" w:eastAsia="Arial" w:hAnsi="Arial"/>
          <w:sz w:val="19"/>
          <w:szCs w:val="19"/>
          <w:color w:val="auto"/>
        </w:rPr>
      </w:pPr>
      <w:r>
        <w:rPr>
          <w:rFonts w:ascii="Arial" w:cs="Arial" w:eastAsia="Arial" w:hAnsi="Arial"/>
          <w:sz w:val="19"/>
          <w:szCs w:val="19"/>
          <w:color w:val="auto"/>
        </w:rPr>
        <w:t>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agrees not to assert any claims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55" w:lineRule="exact"/>
        <w:rPr>
          <w:rFonts w:ascii="Arial" w:cs="Arial" w:eastAsia="Arial" w:hAnsi="Arial"/>
          <w:sz w:val="19"/>
          <w:szCs w:val="19"/>
          <w:color w:val="auto"/>
        </w:rPr>
      </w:pPr>
    </w:p>
    <w:p>
      <w:pPr>
        <w:ind w:firstLine="1304"/>
        <w:spacing w:after="0" w:line="229" w:lineRule="auto"/>
        <w:tabs>
          <w:tab w:leader="none" w:pos="1934" w:val="left"/>
        </w:tabs>
        <w:numPr>
          <w:ilvl w:val="1"/>
          <w:numId w:val="315"/>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10.16</w:t>
      </w:r>
      <w:r>
        <w:rPr>
          <w:sz w:val="20"/>
          <w:szCs w:val="20"/>
          <w:color w:val="auto"/>
        </w:rPr>
        <w:tab/>
      </w:r>
      <w:r>
        <w:rPr>
          <w:rFonts w:ascii="Arial" w:cs="Arial" w:eastAsia="Arial" w:hAnsi="Arial"/>
          <w:sz w:val="16"/>
          <w:szCs w:val="16"/>
          <w:b w:val="1"/>
          <w:bCs w:val="1"/>
          <w:color w:val="auto"/>
        </w:rPr>
        <w:t>Releases of Guarantees and Liens.</w:t>
      </w:r>
    </w:p>
    <w:p>
      <w:pPr>
        <w:spacing w:after="0" w:line="181" w:lineRule="exact"/>
        <w:rPr>
          <w:sz w:val="20"/>
          <w:szCs w:val="20"/>
          <w:color w:val="auto"/>
        </w:rPr>
      </w:pPr>
    </w:p>
    <w:p>
      <w:pPr>
        <w:jc w:val="both"/>
        <w:ind w:firstLine="1304"/>
        <w:spacing w:after="0" w:line="221" w:lineRule="auto"/>
        <w:tabs>
          <w:tab w:leader="none" w:pos="1934"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(2) under the circumstances described in </w:t>
      </w:r>
      <w:r>
        <w:rPr>
          <w:rFonts w:ascii="Arial" w:cs="Arial" w:eastAsia="Arial" w:hAnsi="Arial"/>
          <w:sz w:val="19"/>
          <w:szCs w:val="19"/>
          <w:u w:val="single" w:color="auto"/>
          <w:color w:val="auto"/>
        </w:rPr>
        <w:t>Section 10.16(b)</w:t>
      </w:r>
      <w:r>
        <w:rPr>
          <w:rFonts w:ascii="Arial" w:cs="Arial" w:eastAsia="Arial" w:hAnsi="Arial"/>
          <w:sz w:val="19"/>
          <w:szCs w:val="19"/>
          <w:color w:val="auto"/>
        </w:rPr>
        <w:t xml:space="preserve"> below.</w:t>
      </w:r>
    </w:p>
    <w:p>
      <w:pPr>
        <w:spacing w:after="0" w:line="155" w:lineRule="exact"/>
        <w:rPr>
          <w:rFonts w:ascii="Arial" w:cs="Arial" w:eastAsia="Arial" w:hAnsi="Arial"/>
          <w:sz w:val="19"/>
          <w:szCs w:val="19"/>
          <w:color w:val="auto"/>
        </w:rPr>
      </w:pPr>
    </w:p>
    <w:p>
      <w:pPr>
        <w:ind w:firstLine="1304"/>
        <w:spacing w:after="0" w:line="229" w:lineRule="auto"/>
        <w:tabs>
          <w:tab w:leader="none" w:pos="1932" w:val="left"/>
        </w:tabs>
        <w:numPr>
          <w:ilvl w:val="0"/>
          <w:numId w:val="316"/>
        </w:numPr>
        <w:rPr>
          <w:rFonts w:ascii="Arial" w:cs="Arial" w:eastAsia="Arial" w:hAnsi="Arial"/>
          <w:sz w:val="20"/>
          <w:szCs w:val="20"/>
          <w:color w:val="auto"/>
        </w:rPr>
      </w:pPr>
      <w:r>
        <w:rPr>
          <w:rFonts w:ascii="Arial" w:cs="Arial" w:eastAsia="Arial" w:hAnsi="Arial"/>
          <w:sz w:val="20"/>
          <w:szCs w:val="20"/>
          <w:color w:val="auto"/>
        </w:rPr>
        <w:t>Upon the Discharge of Obligations, the Collateral (other than any cash collateral securing any Specified Swap Agreements, any Cash Management Services or outstanding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1399" w:right="339" w:bottom="1440" w:gutter="0" w:footer="0" w:header="0"/>
        </w:sectPr>
      </w:pPr>
    </w:p>
    <w:bookmarkStart w:id="335" w:name="page336"/>
    <w:bookmarkEnd w:id="335"/>
    <w:p>
      <w:pPr>
        <w:jc w:val="both"/>
        <w:spacing w:after="0" w:line="207" w:lineRule="auto"/>
        <w:rPr>
          <w:sz w:val="20"/>
          <w:szCs w:val="20"/>
          <w:color w:val="auto"/>
        </w:rPr>
      </w:pPr>
      <w:r>
        <w:rPr>
          <w:rFonts w:ascii="Arial" w:cs="Arial" w:eastAsia="Arial" w:hAnsi="Arial"/>
          <w:sz w:val="20"/>
          <w:szCs w:val="20"/>
          <w:color w:val="auto"/>
        </w:rPr>
        <w:t>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spacing w:after="0" w:line="15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8"/>
          <w:szCs w:val="18"/>
          <w:b w:val="1"/>
          <w:bCs w:val="1"/>
          <w:color w:val="auto"/>
        </w:rPr>
        <w:t>10.17 Treatment of Certain Information; Confidentiality</w:t>
      </w:r>
      <w:r>
        <w:rPr>
          <w:rFonts w:ascii="Arial" w:cs="Arial" w:eastAsia="Arial" w:hAnsi="Arial"/>
          <w:sz w:val="18"/>
          <w:szCs w:val="18"/>
          <w:color w:val="auto"/>
        </w:rPr>
        <w:t>. Each of the Administrative Agent and each Lender agrees to maintain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Holdings or its Subsidiaries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6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56"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 xml:space="preserve">” means all information received from Holdings or any of its Subsidiaries relating to Holdings or any of its Subsidiaries or any of their respective businesses, other than any such information that is available to the Administrative Agent or any Lender on a non-confidential basis prior to disclosure by Holdings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information received from Holdings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1405" w:right="339" w:bottom="1440" w:gutter="0" w:footer="0" w:header="0"/>
        </w:sectPr>
      </w:pPr>
    </w:p>
    <w:bookmarkStart w:id="336" w:name="page337"/>
    <w:bookmarkEnd w:id="336"/>
    <w:p>
      <w:pPr>
        <w:jc w:val="both"/>
        <w:ind w:firstLine="648"/>
        <w:spacing w:after="0" w:line="218" w:lineRule="auto"/>
        <w:rPr>
          <w:sz w:val="20"/>
          <w:szCs w:val="20"/>
          <w:color w:val="auto"/>
        </w:rPr>
      </w:pPr>
      <w:r>
        <w:rPr>
          <w:rFonts w:ascii="Arial" w:cs="Arial" w:eastAsia="Arial" w:hAnsi="Arial"/>
          <w:sz w:val="19"/>
          <w:szCs w:val="19"/>
          <w:b w:val="1"/>
          <w:bCs w:val="1"/>
          <w:color w:val="auto"/>
        </w:rPr>
        <w:t>10.18 Automatic Debits</w:t>
      </w:r>
      <w:r>
        <w:rPr>
          <w:rFonts w:ascii="Arial" w:cs="Arial" w:eastAsia="Arial" w:hAnsi="Arial"/>
          <w:sz w:val="19"/>
          <w:szCs w:val="19"/>
          <w:color w:val="auto"/>
        </w:rPr>
        <w:t>. With respect to any principal, interest, fee, or any other cost or expense (including attorney costs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Arial" w:cs="Arial" w:eastAsia="Arial" w:hAnsi="Arial"/>
          <w:sz w:val="19"/>
          <w:szCs w:val="19"/>
          <w:u w:val="single" w:color="auto"/>
          <w:color w:val="auto"/>
        </w:rPr>
        <w:t>Section 10.18</w:t>
      </w:r>
      <w:r>
        <w:rPr>
          <w:rFonts w:ascii="Arial" w:cs="Arial" w:eastAsia="Arial" w:hAnsi="Arial"/>
          <w:sz w:val="19"/>
          <w:szCs w:val="19"/>
          <w:color w:val="auto"/>
        </w:rPr>
        <w:t xml:space="preserve"> shall be deemed a set-off.</w:t>
      </w:r>
    </w:p>
    <w:p>
      <w:pPr>
        <w:spacing w:after="0" w:line="15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color w:val="auto"/>
        </w:rPr>
        <w:t>10.19 Judgment Currency</w:t>
      </w:r>
      <w:r>
        <w:rPr>
          <w:rFonts w:ascii="Arial" w:cs="Arial" w:eastAsia="Arial" w:hAnsi="Arial"/>
          <w:sz w:val="18"/>
          <w:szCs w:val="18"/>
          <w:color w:val="auto"/>
        </w:rPr>
        <w:t>. If, for the purposes of obtaining judgment in any court, it is necessary to convert a sum due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Arial" w:cs="Arial" w:eastAsia="Arial" w:hAnsi="Arial"/>
          <w:sz w:val="18"/>
          <w:szCs w:val="18"/>
          <w:b w:val="1"/>
          <w:bCs w:val="1"/>
          <w:i w:val="1"/>
          <w:iCs w:val="1"/>
          <w:color w:val="auto"/>
        </w:rPr>
        <w:t>Judgment Currency</w:t>
      </w:r>
      <w:r>
        <w:rPr>
          <w:rFonts w:ascii="Arial" w:cs="Arial" w:eastAsia="Arial" w:hAnsi="Arial"/>
          <w:sz w:val="18"/>
          <w:szCs w:val="18"/>
          <w:color w:val="auto"/>
        </w:rPr>
        <w:t>”) other than that in which such sum is denominated in accordance with the applicable provisions of this Agreement (the “</w:t>
      </w:r>
      <w:r>
        <w:rPr>
          <w:rFonts w:ascii="Arial" w:cs="Arial" w:eastAsia="Arial" w:hAnsi="Arial"/>
          <w:sz w:val="18"/>
          <w:szCs w:val="18"/>
          <w:b w:val="1"/>
          <w:bCs w:val="1"/>
          <w:i w:val="1"/>
          <w:iCs w:val="1"/>
          <w:color w:val="auto"/>
        </w:rPr>
        <w:t>Agreement Currency</w:t>
      </w:r>
      <w:r>
        <w:rPr>
          <w:rFonts w:ascii="Arial" w:cs="Arial" w:eastAsia="Arial" w:hAnsi="Arial"/>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15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10.20 Patriot Act; Other Regulations</w:t>
      </w:r>
      <w:r>
        <w:rPr>
          <w:rFonts w:ascii="Arial" w:cs="Arial" w:eastAsia="Arial" w:hAnsi="Arial"/>
          <w:sz w:val="18"/>
          <w:szCs w:val="18"/>
          <w:color w:val="auto"/>
        </w:rPr>
        <w:t>. Each Lender and the Administrative Agent (for itself and not on behalf of any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notifies Holdings and the Borrower and each other Loan Party that, pursuant to the requirements of “know your customer” and anti-money-laundering rules and regulations, including the Patriot Act and the Beneficial Ownership Regulation, it is required to obtain, verify and record information that identifies Holdings and the Borrower and each other Loan Party, which information includes the names and addresses and other information that will allow such Lender or the Administrative Agent, as applicable, to identify each Loan Party and certain of their beneficial owners and other officers in accordance with the Patriot Act and 31 C.F.R. § 1010.230. Each of Holdings and the Borrower and each other Loan Party will, and will cause each of its respective Subsidiaries to, to the extent commercially reasonable or required by any Requirement of Law, furnish or deliver such information and documents and take such actions as are reasonably requested by the Administrative Agent or any Lender to assist the Administrative Agent and the Lenders in maintaining compliance with “know your customer” requirements under the PATRIOT Act, 31 C.F.R. § 1010.230 or other applicable anti-money laundering laws.</w:t>
      </w:r>
    </w:p>
    <w:p>
      <w:pPr>
        <w:spacing w:after="0" w:line="15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6"/>
          <w:szCs w:val="16"/>
          <w:b w:val="1"/>
          <w:bCs w:val="1"/>
          <w:color w:val="auto"/>
        </w:rPr>
        <w:t>Acknowledgement and Consent to Bail-In of Affected Financial Institutions</w:t>
      </w:r>
      <w:r>
        <w:rPr>
          <w:rFonts w:ascii="Arial" w:cs="Arial" w:eastAsia="Arial" w:hAnsi="Arial"/>
          <w:sz w:val="16"/>
          <w:szCs w:val="16"/>
          <w:color w:val="auto"/>
        </w:rPr>
        <w:t>.</w:t>
      </w:r>
    </w:p>
    <w:p>
      <w:pPr>
        <w:spacing w:after="0" w:line="18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Notwithstanding anything to the contrary in this Agreement or in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1" w:lineRule="exact"/>
        <w:rPr>
          <w:sz w:val="20"/>
          <w:szCs w:val="20"/>
          <w:color w:val="auto"/>
        </w:rPr>
      </w:pPr>
    </w:p>
    <w:p>
      <w:pPr>
        <w:ind w:firstLine="899"/>
        <w:spacing w:after="0" w:line="225" w:lineRule="auto"/>
        <w:tabs>
          <w:tab w:leader="none" w:pos="1293" w:val="left"/>
        </w:tabs>
        <w:numPr>
          <w:ilvl w:val="0"/>
          <w:numId w:val="317"/>
        </w:numPr>
        <w:rPr>
          <w:rFonts w:ascii="Arial" w:cs="Arial" w:eastAsia="Arial" w:hAnsi="Arial"/>
          <w:sz w:val="22"/>
          <w:szCs w:val="22"/>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1399" w:right="339" w:bottom="1440" w:gutter="0" w:footer="0" w:header="0"/>
        </w:sectPr>
      </w:pPr>
    </w:p>
    <w:bookmarkStart w:id="337" w:name="page338"/>
    <w:bookmarkEnd w:id="337"/>
    <w:p>
      <w:pPr>
        <w:ind w:left="640" w:hanging="401"/>
        <w:spacing w:after="0"/>
        <w:tabs>
          <w:tab w:leader="none" w:pos="640" w:val="left"/>
        </w:tabs>
        <w:numPr>
          <w:ilvl w:val="0"/>
          <w:numId w:val="318"/>
        </w:numPr>
        <w:rPr>
          <w:rFonts w:ascii="Arial" w:cs="Arial" w:eastAsia="Arial" w:hAnsi="Arial"/>
          <w:sz w:val="22"/>
          <w:szCs w:val="22"/>
          <w:color w:val="auto"/>
        </w:rPr>
      </w:pPr>
      <w:r>
        <w:rPr>
          <w:rFonts w:ascii="Arial" w:cs="Arial" w:eastAsia="Arial" w:hAnsi="Arial"/>
          <w:sz w:val="20"/>
          <w:szCs w:val="20"/>
          <w:color w:val="auto"/>
        </w:rPr>
        <w:t>the effects of any Bail-In Action on any liability, including, if applicable:</w:t>
      </w:r>
    </w:p>
    <w:p>
      <w:pPr>
        <w:spacing w:after="0" w:line="168" w:lineRule="exact"/>
        <w:rPr>
          <w:rFonts w:ascii="Arial" w:cs="Arial" w:eastAsia="Arial" w:hAnsi="Arial"/>
          <w:sz w:val="22"/>
          <w:szCs w:val="22"/>
          <w:color w:val="auto"/>
        </w:rPr>
      </w:pPr>
    </w:p>
    <w:p>
      <w:pPr>
        <w:ind w:left="1280" w:hanging="555"/>
        <w:spacing w:after="0"/>
        <w:tabs>
          <w:tab w:leader="none" w:pos="128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a reduction in full or in part of cancellation of any such liability;</w:t>
      </w:r>
    </w:p>
    <w:p>
      <w:pPr>
        <w:spacing w:after="0" w:line="175" w:lineRule="exact"/>
        <w:rPr>
          <w:rFonts w:ascii="Arial" w:cs="Arial" w:eastAsia="Arial" w:hAnsi="Arial"/>
          <w:sz w:val="20"/>
          <w:szCs w:val="20"/>
          <w:color w:val="auto"/>
        </w:rPr>
      </w:pPr>
    </w:p>
    <w:p>
      <w:pPr>
        <w:jc w:val="both"/>
        <w:ind w:left="1300" w:hanging="575"/>
        <w:spacing w:after="0" w:line="224" w:lineRule="auto"/>
        <w:tabs>
          <w:tab w:leader="none" w:pos="1299" w:val="left"/>
        </w:tabs>
        <w:numPr>
          <w:ilvl w:val="1"/>
          <w:numId w:val="318"/>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6" w:lineRule="exact"/>
        <w:rPr>
          <w:rFonts w:ascii="Arial" w:cs="Arial" w:eastAsia="Arial" w:hAnsi="Arial"/>
          <w:sz w:val="19"/>
          <w:szCs w:val="19"/>
          <w:color w:val="auto"/>
        </w:rPr>
      </w:pPr>
    </w:p>
    <w:p>
      <w:pPr>
        <w:ind w:left="1300" w:hanging="575"/>
        <w:spacing w:after="0" w:line="229" w:lineRule="auto"/>
        <w:tabs>
          <w:tab w:leader="none" w:pos="130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10.22</w:t>
      </w:r>
      <w:r>
        <w:rPr>
          <w:sz w:val="20"/>
          <w:szCs w:val="20"/>
          <w:color w:val="auto"/>
        </w:rPr>
        <w:tab/>
      </w:r>
      <w:r>
        <w:rPr>
          <w:rFonts w:ascii="Arial" w:cs="Arial" w:eastAsia="Arial" w:hAnsi="Arial"/>
          <w:sz w:val="16"/>
          <w:szCs w:val="16"/>
          <w:b w:val="1"/>
          <w:bCs w:val="1"/>
          <w:color w:val="auto"/>
        </w:rPr>
        <w:t>Amendment and Restatement of Existing Credit Agreement; Acknowledgement of Prior Obligations; No Novation</w:t>
      </w:r>
      <w:r>
        <w:rPr>
          <w:rFonts w:ascii="Arial" w:cs="Arial" w:eastAsia="Arial" w:hAnsi="Arial"/>
          <w:sz w:val="16"/>
          <w:szCs w:val="16"/>
          <w:color w:val="auto"/>
        </w:rPr>
        <w:t>.</w:t>
      </w:r>
    </w:p>
    <w:p>
      <w:pPr>
        <w:spacing w:after="0" w:line="181" w:lineRule="exact"/>
        <w:rPr>
          <w:sz w:val="20"/>
          <w:szCs w:val="20"/>
          <w:color w:val="auto"/>
        </w:rPr>
      </w:pPr>
    </w:p>
    <w:p>
      <w:pPr>
        <w:jc w:val="both"/>
        <w:ind w:left="720" w:hanging="319"/>
        <w:spacing w:after="0" w:line="223" w:lineRule="auto"/>
        <w:tabs>
          <w:tab w:leader="none" w:pos="71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The parties to this Agreement agree that, upon (i) the execution and delivery by each of the parties hereto of this Agreement and (ii) satisfaction of the conditions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terms and provisions of the Existing Credit Agreement shall be and hereby are amended, superseded and restated in their entirety by the terms and provisions of this Agreement. Upon the effectiveness of this Agreement, (A) the Administrative Agent shall make such reallocations, sales, assignments or other relevant actions in respect of each Lender’s credit exposure under the Existing Credit Agreement as are necessary in order that each such Lender’s Aggregate Exposure and outstanding Loans hereunder reflects such Lender’s Aggregate Exposure Percentage of the outstanding Aggregate Exposure on the Closing Date, (B) the Existing Revolving Loans of each Departing Lender shall be re-evidenced as Revolving Loans hereunder (and any accrued and unpaid interest and fees thereon shall be repaid in full pursuant to </w:t>
      </w:r>
      <w:r>
        <w:rPr>
          <w:rFonts w:ascii="Arial" w:cs="Arial" w:eastAsia="Arial" w:hAnsi="Arial"/>
          <w:sz w:val="18"/>
          <w:szCs w:val="18"/>
          <w:u w:val="single" w:color="auto"/>
          <w:color w:val="auto"/>
        </w:rPr>
        <w:t>Section 5.1(g)</w:t>
      </w:r>
      <w:r>
        <w:rPr>
          <w:rFonts w:ascii="Arial" w:cs="Arial" w:eastAsia="Arial" w:hAnsi="Arial"/>
          <w:sz w:val="18"/>
          <w:szCs w:val="18"/>
          <w:color w:val="auto"/>
        </w:rPr>
        <w:t xml:space="preserve">), each Departing Lender’s “Commitment” under the Existing Credit Agreement shall be terminated and no Departing Lender shall be a Lender hereunder (provided, however, that each Departing Lender shall continue to be entitled to the benefits of </w:t>
      </w:r>
      <w:r>
        <w:rPr>
          <w:rFonts w:ascii="Arial" w:cs="Arial" w:eastAsia="Arial" w:hAnsi="Arial"/>
          <w:sz w:val="18"/>
          <w:szCs w:val="18"/>
          <w:u w:val="single" w:color="auto"/>
          <w:color w:val="auto"/>
        </w:rPr>
        <w:t>Sections 2.19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2.20</w:t>
      </w:r>
      <w:r>
        <w:rPr>
          <w:rFonts w:ascii="Arial" w:cs="Arial" w:eastAsia="Arial" w:hAnsi="Arial"/>
          <w:sz w:val="18"/>
          <w:szCs w:val="18"/>
          <w:color w:val="auto"/>
        </w:rPr>
        <w:t xml:space="preserve">, </w:t>
      </w:r>
      <w:r>
        <w:rPr>
          <w:rFonts w:ascii="Arial" w:cs="Arial" w:eastAsia="Arial" w:hAnsi="Arial"/>
          <w:sz w:val="18"/>
          <w:szCs w:val="18"/>
          <w:u w:val="single" w:color="auto"/>
          <w:color w:val="auto"/>
        </w:rPr>
        <w:t>2.21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and (C) the Borrower hereby agrees to compensate each Lender (and each Departing Lender) for any and all losses, costs and expenses incurred by such Lender (and such Departing Lender) in connection with the sale and assignment of any eurodollar loans (including the “Eurodollar Loans” under the Existing Credit Agreement) and such reallocation (and any repayment or prepayment of any Departing Lender’s Existing Revolving Loans) described above, in each case on the terms and in the manner set forth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hereof.</w:t>
      </w:r>
    </w:p>
    <w:p>
      <w:pPr>
        <w:spacing w:after="0" w:line="162" w:lineRule="exact"/>
        <w:rPr>
          <w:rFonts w:ascii="Arial" w:cs="Arial" w:eastAsia="Arial" w:hAnsi="Arial"/>
          <w:sz w:val="18"/>
          <w:szCs w:val="18"/>
          <w:color w:val="auto"/>
        </w:rPr>
      </w:pPr>
    </w:p>
    <w:p>
      <w:pPr>
        <w:jc w:val="both"/>
        <w:ind w:left="720" w:hanging="319"/>
        <w:spacing w:after="0" w:line="224" w:lineRule="auto"/>
        <w:tabs>
          <w:tab w:leader="none" w:pos="70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Each of the Borrower and Holdings, on behalf of itself and each other Loan Party, (i) acknowledges and agrees that the prior grant or grants of security interests in favor of any of the Administrative Agent or any other Secured Party (as defined in the Existing Credit Agreement) in its properties and assets, under each “Loan Document” as defined in the Existing Credit Agreement (the “</w:t>
      </w:r>
      <w:r>
        <w:rPr>
          <w:rFonts w:ascii="Arial" w:cs="Arial" w:eastAsia="Arial" w:hAnsi="Arial"/>
          <w:sz w:val="18"/>
          <w:szCs w:val="18"/>
          <w:b w:val="1"/>
          <w:bCs w:val="1"/>
          <w:i w:val="1"/>
          <w:iCs w:val="1"/>
          <w:color w:val="auto"/>
        </w:rPr>
        <w:t>Original Loan Documents</w:t>
      </w:r>
      <w:r>
        <w:rPr>
          <w:rFonts w:ascii="Arial" w:cs="Arial" w:eastAsia="Arial" w:hAnsi="Arial"/>
          <w:sz w:val="18"/>
          <w:szCs w:val="18"/>
          <w:color w:val="auto"/>
        </w:rPr>
        <w:t>”) to which it is a party shall be in respect of the Obligations of such Person under this Agreement and the other Loan Documents; (ii) reaffirms (A) all of the Obligations (as defined in the Existing Credit Agreement) owing to the Administrative Agent and the other Secured Parties (as defined in the Existing Credit Agreement), and (B) all prior or concurrent grants of security interests in favor of any of the Administrative Agent or any other Secured Party (as defined in the Existing Credit Agreement) under each Original Loan Document and each Loan Document; and (iii) agrees that, except as expressly amended hereby or unless being amended and restated concurrently herewith, each of the Original Loan Documents to which it is a party is and shall remain in full force and effect. The Borrower hereby confirms and agrees that all outstanding principal, interest and fees and other “Obligations” (as defined in the Existing Credit Agreement) under the Existing Credit Agreement immediately prior to the Closing Date shall, to the extent not paid on the Closing Date, from and after the Closing Date, be, without duplication,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0580"/>
          </w:cols>
          <w:pgMar w:left="980" w:top="1416" w:right="339" w:bottom="1440" w:gutter="0" w:footer="0" w:header="0"/>
        </w:sectPr>
      </w:pPr>
    </w:p>
    <w:bookmarkStart w:id="338" w:name="page339"/>
    <w:bookmarkEnd w:id="338"/>
    <w:p>
      <w:pPr>
        <w:ind w:left="1380" w:right="20"/>
        <w:spacing w:after="0" w:line="229" w:lineRule="auto"/>
        <w:rPr>
          <w:sz w:val="20"/>
          <w:szCs w:val="20"/>
          <w:color w:val="auto"/>
        </w:rPr>
      </w:pPr>
      <w:r>
        <w:rPr>
          <w:rFonts w:ascii="Arial" w:cs="Arial" w:eastAsia="Arial" w:hAnsi="Arial"/>
          <w:sz w:val="20"/>
          <w:szCs w:val="20"/>
          <w:color w:val="auto"/>
        </w:rPr>
        <w:t>pursuant to this Agreement and the other Loan Documents as in effect from time to time, shall accrue interest thereon as specified in this Agreement, and shall be secured by the Loan Documents.</w:t>
      </w:r>
    </w:p>
    <w:p>
      <w:pPr>
        <w:spacing w:after="0" w:line="155" w:lineRule="exact"/>
        <w:rPr>
          <w:sz w:val="20"/>
          <w:szCs w:val="20"/>
          <w:color w:val="auto"/>
        </w:rPr>
      </w:pPr>
    </w:p>
    <w:p>
      <w:pPr>
        <w:jc w:val="both"/>
        <w:ind w:left="1380" w:hanging="319"/>
        <w:spacing w:after="0" w:line="220" w:lineRule="auto"/>
        <w:tabs>
          <w:tab w:leader="none" w:pos="137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This Agreement does not extinguish the obligations for the payment of money outstanding under the Existing Credit Agreement or discharge or release the obligations or the Liens or priority of any Liens or any other security therefor. Nothing herein contained shall be construed as a substitution or novation of the obligations outstanding under the Existing Credit Agreement, the other Original Loan Documents or instruments securing the same, which shall remain in full force and effect, except as modified hereby or by instruments executed concurrently herewith. Nothing expressed or implied in this Agreement shall be construed as a release or other discharge of the Borrower or any Guarantor from any of its obligations or liabilities under the Existing Credit Agreement or any of the security agreements, pledge agreements, mortgages, guaranties or other loan documents executed in connection therewith. Each of the Borrower and Holdings, on behalf of itself and each other Loan Party, hereby (i) confirms and agrees that each Original Loan Document to which it is a party that is not being amended and restated concurrently herewith is, and shall continue to be, in full force and effect and is hereby ratified and confirmed in all respects except that on and after the Closing Date, all references in any such Original Loan Document to “the Credit Agreement,” “thereto,” “thereof,” “thereunder” or words of like import referring to the Existing Credit Agreement shall mean the Existing Credit Agreement as amended and restated by this Agreement; and</w:t>
      </w:r>
    </w:p>
    <w:p>
      <w:pPr>
        <w:spacing w:after="0" w:line="6" w:lineRule="exact"/>
        <w:rPr>
          <w:rFonts w:ascii="Arial" w:cs="Arial" w:eastAsia="Arial" w:hAnsi="Arial"/>
          <w:sz w:val="18"/>
          <w:szCs w:val="18"/>
          <w:color w:val="auto"/>
        </w:rPr>
      </w:pPr>
    </w:p>
    <w:p>
      <w:pPr>
        <w:jc w:val="both"/>
        <w:ind w:left="1380" w:firstLine="5"/>
        <w:spacing w:after="0" w:line="217" w:lineRule="auto"/>
        <w:tabs>
          <w:tab w:leader="none" w:pos="1705" w:val="left"/>
        </w:tabs>
        <w:numPr>
          <w:ilvl w:val="1"/>
          <w:numId w:val="320"/>
        </w:numPr>
        <w:rPr>
          <w:rFonts w:ascii="Arial" w:cs="Arial" w:eastAsia="Arial" w:hAnsi="Arial"/>
          <w:sz w:val="19"/>
          <w:szCs w:val="19"/>
          <w:color w:val="auto"/>
        </w:rPr>
      </w:pPr>
      <w:r>
        <w:rPr>
          <w:rFonts w:ascii="Arial" w:cs="Arial" w:eastAsia="Arial" w:hAnsi="Arial"/>
          <w:sz w:val="19"/>
          <w:szCs w:val="19"/>
          <w:color w:val="auto"/>
        </w:rPr>
        <w:t>confirms and agrees that to the extent that any such Original Loan Document purports to assign or pledge to any Secured Party a security interest in or Lien on, any collateral as security for all or any portion of any of the Obligations of the Borrower or any other Loan Party, as the case may be, from time to time existing in respect of the Existing Credit Agreement or the Original Loan Document, such pledge or assignment or grant of the security interest or Lien is hereby ratified and confirmed in all respects with respect to this Agreement and the Loan Documents.</w:t>
      </w:r>
    </w:p>
    <w:p>
      <w:pPr>
        <w:spacing w:after="0" w:line="151" w:lineRule="exact"/>
        <w:rPr>
          <w:sz w:val="20"/>
          <w:szCs w:val="20"/>
          <w:color w:val="auto"/>
        </w:rPr>
      </w:pPr>
    </w:p>
    <w:p>
      <w:pPr>
        <w:jc w:val="both"/>
        <w:ind w:firstLine="648"/>
        <w:spacing w:after="0" w:line="206" w:lineRule="auto"/>
        <w:rPr>
          <w:sz w:val="20"/>
          <w:szCs w:val="20"/>
          <w:color w:val="auto"/>
        </w:rPr>
      </w:pPr>
      <w:r>
        <w:rPr>
          <w:rFonts w:ascii="Arial" w:cs="Arial" w:eastAsia="Arial" w:hAnsi="Arial"/>
          <w:sz w:val="20"/>
          <w:szCs w:val="20"/>
          <w:b w:val="1"/>
          <w:bCs w:val="1"/>
          <w:color w:val="auto"/>
        </w:rPr>
        <w:t>10.23 Acknowledgment Regarding Any Supported QFCs</w:t>
      </w:r>
      <w:r>
        <w:rPr>
          <w:rFonts w:ascii="Arial" w:cs="Arial" w:eastAsia="Arial" w:hAnsi="Arial"/>
          <w:sz w:val="20"/>
          <w:szCs w:val="20"/>
          <w:color w:val="auto"/>
        </w:rPr>
        <w:t>. To the extent that the Loan Documents provide support, through a</w:t>
      </w:r>
      <w:r>
        <w:rPr>
          <w:rFonts w:ascii="Arial" w:cs="Arial" w:eastAsia="Arial" w:hAnsi="Arial"/>
          <w:sz w:val="20"/>
          <w:szCs w:val="20"/>
          <w:b w:val="1"/>
          <w:bCs w:val="1"/>
          <w:color w:val="auto"/>
        </w:rPr>
        <w:t xml:space="preserve"> </w:t>
      </w:r>
      <w:r>
        <w:rPr>
          <w:rFonts w:ascii="Arial" w:cs="Arial" w:eastAsia="Arial" w:hAnsi="Arial"/>
          <w:sz w:val="20"/>
          <w:szCs w:val="20"/>
          <w:color w:val="auto"/>
        </w:rPr>
        <w:t>guarantee or otherwise, for any Swap Agreements or any other agreement or instrument that is a QFC (such support, “</w:t>
      </w:r>
      <w:r>
        <w:rPr>
          <w:rFonts w:ascii="Arial" w:cs="Arial" w:eastAsia="Arial" w:hAnsi="Arial"/>
          <w:sz w:val="20"/>
          <w:szCs w:val="20"/>
          <w:b w:val="1"/>
          <w:bCs w:val="1"/>
          <w:i w:val="1"/>
          <w:iCs w:val="1"/>
          <w:color w:val="auto"/>
        </w:rPr>
        <w:t>QFC Credit Support</w:t>
      </w:r>
      <w:r>
        <w:rPr>
          <w:rFonts w:ascii="Arial" w:cs="Arial" w:eastAsia="Arial" w:hAnsi="Arial"/>
          <w:sz w:val="20"/>
          <w:szCs w:val="20"/>
          <w:color w:val="auto"/>
        </w:rPr>
        <w:t>”, and each such QFC, a “</w:t>
      </w:r>
      <w:r>
        <w:rPr>
          <w:rFonts w:ascii="Arial" w:cs="Arial" w:eastAsia="Arial" w:hAnsi="Arial"/>
          <w:sz w:val="20"/>
          <w:szCs w:val="20"/>
          <w:b w:val="1"/>
          <w:bCs w:val="1"/>
          <w:i w:val="1"/>
          <w:iCs w:val="1"/>
          <w:color w:val="auto"/>
        </w:rPr>
        <w:t>Supported QFC</w:t>
      </w:r>
      <w:r>
        <w:rPr>
          <w:rFonts w:ascii="Arial" w:cs="Arial" w:eastAsia="Arial" w:hAnsi="Arial"/>
          <w:sz w:val="20"/>
          <w:szCs w:val="20"/>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b w:val="1"/>
          <w:bCs w:val="1"/>
          <w:i w:val="1"/>
          <w:iCs w:val="1"/>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49" w:lineRule="exact"/>
        <w:rPr>
          <w:sz w:val="20"/>
          <w:szCs w:val="20"/>
          <w:color w:val="auto"/>
        </w:rPr>
      </w:pPr>
    </w:p>
    <w:p>
      <w:pPr>
        <w:jc w:val="both"/>
        <w:ind w:left="660" w:firstLine="1292"/>
        <w:spacing w:after="0" w:line="213" w:lineRule="auto"/>
        <w:tabs>
          <w:tab w:leader="none" w:pos="2602" w:val="left"/>
        </w:tabs>
        <w:numPr>
          <w:ilvl w:val="0"/>
          <w:numId w:val="321"/>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1405" w:right="339" w:bottom="1440" w:gutter="0" w:footer="0" w:header="0"/>
        </w:sectPr>
      </w:pPr>
    </w:p>
    <w:bookmarkStart w:id="339" w:name="page340"/>
    <w:bookmarkEnd w:id="339"/>
    <w:p>
      <w:pPr>
        <w:ind w:left="1480" w:hanging="648"/>
        <w:spacing w:after="0"/>
        <w:tabs>
          <w:tab w:leader="none" w:pos="148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10.23</w:t>
      </w:r>
      <w:r>
        <w:rPr>
          <w:rFonts w:ascii="Arial" w:cs="Arial" w:eastAsia="Arial" w:hAnsi="Arial"/>
          <w:sz w:val="20"/>
          <w:szCs w:val="20"/>
          <w:color w:val="auto"/>
        </w:rPr>
        <w:t>, the following terms have the following meanings:</w:t>
      </w:r>
    </w:p>
    <w:p>
      <w:pPr>
        <w:spacing w:after="0" w:line="175" w:lineRule="exact"/>
        <w:rPr>
          <w:rFonts w:ascii="Arial" w:cs="Arial" w:eastAsia="Arial" w:hAnsi="Arial"/>
          <w:sz w:val="20"/>
          <w:szCs w:val="20"/>
          <w:color w:val="auto"/>
        </w:rPr>
      </w:pPr>
    </w:p>
    <w:p>
      <w:pPr>
        <w:ind w:left="180" w:firstLine="1300"/>
        <w:spacing w:after="0" w:line="229" w:lineRule="auto"/>
        <w:tabs>
          <w:tab w:leader="none" w:pos="2115" w:val="left"/>
        </w:tabs>
        <w:numPr>
          <w:ilvl w:val="1"/>
          <w:numId w:val="3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55" w:lineRule="exact"/>
        <w:rPr>
          <w:rFonts w:ascii="Arial" w:cs="Arial" w:eastAsia="Arial" w:hAnsi="Arial"/>
          <w:sz w:val="20"/>
          <w:szCs w:val="20"/>
          <w:color w:val="auto"/>
        </w:rPr>
      </w:pPr>
    </w:p>
    <w:p>
      <w:pPr>
        <w:jc w:val="both"/>
        <w:ind w:left="180" w:firstLine="1300"/>
        <w:spacing w:after="0" w:line="213" w:lineRule="auto"/>
        <w:tabs>
          <w:tab w:leader="none" w:pos="2118" w:val="left"/>
        </w:tabs>
        <w:numPr>
          <w:ilvl w:val="1"/>
          <w:numId w:val="3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Covered Entity</w:t>
      </w:r>
      <w:r>
        <w:rPr>
          <w:rFonts w:ascii="Arial" w:cs="Arial" w:eastAsia="Arial" w:hAnsi="Arial"/>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5" w:lineRule="exact"/>
        <w:rPr>
          <w:rFonts w:ascii="Arial" w:cs="Arial" w:eastAsia="Arial" w:hAnsi="Arial"/>
          <w:sz w:val="20"/>
          <w:szCs w:val="20"/>
          <w:color w:val="auto"/>
        </w:rPr>
      </w:pPr>
    </w:p>
    <w:p>
      <w:pPr>
        <w:ind w:left="180" w:firstLine="1300"/>
        <w:spacing w:after="0" w:line="229" w:lineRule="auto"/>
        <w:tabs>
          <w:tab w:leader="none" w:pos="2118" w:val="left"/>
        </w:tabs>
        <w:numPr>
          <w:ilvl w:val="1"/>
          <w:numId w:val="3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55" w:lineRule="exact"/>
        <w:rPr>
          <w:rFonts w:ascii="Arial" w:cs="Arial" w:eastAsia="Arial" w:hAnsi="Arial"/>
          <w:sz w:val="20"/>
          <w:szCs w:val="20"/>
          <w:color w:val="auto"/>
        </w:rPr>
      </w:pPr>
    </w:p>
    <w:p>
      <w:pPr>
        <w:ind w:left="180" w:firstLine="1300"/>
        <w:spacing w:after="0" w:line="229" w:lineRule="auto"/>
        <w:tabs>
          <w:tab w:leader="none" w:pos="2115" w:val="left"/>
        </w:tabs>
        <w:numPr>
          <w:ilvl w:val="1"/>
          <w:numId w:val="3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left blank intentionally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0120"/>
          </w:cols>
          <w:pgMar w:left="1440" w:top="1405" w:right="339" w:bottom="1440" w:gutter="0" w:footer="0" w:header="0"/>
        </w:sectPr>
      </w:pPr>
    </w:p>
    <w:bookmarkStart w:id="340" w:name="page341"/>
    <w:bookmarkEnd w:id="340"/>
    <w:p>
      <w:pPr>
        <w:ind w:firstLine="648"/>
        <w:spacing w:after="0" w:line="232"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duly executed and delivered by their proper and</w:t>
      </w:r>
      <w:r>
        <w:rPr>
          <w:rFonts w:ascii="Arial" w:cs="Arial" w:eastAsia="Arial" w:hAnsi="Arial"/>
          <w:sz w:val="20"/>
          <w:szCs w:val="20"/>
          <w:b w:val="1"/>
          <w:bCs w:val="1"/>
          <w:color w:val="auto"/>
        </w:rPr>
        <w:t xml:space="preserve"> </w:t>
      </w:r>
      <w:r>
        <w:rPr>
          <w:rFonts w:ascii="Arial" w:cs="Arial" w:eastAsia="Arial" w:hAnsi="Arial"/>
          <w:sz w:val="20"/>
          <w:szCs w:val="20"/>
          <w:color w:val="auto"/>
        </w:rPr>
        <w:t>duly authorized officers as of the day and year first above written.</w:t>
      </w:r>
    </w:p>
    <w:p>
      <w:pPr>
        <w:spacing w:after="0" w:line="203"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HOLDINGS:</w:t>
      </w:r>
    </w:p>
    <w:p>
      <w:pPr>
        <w:spacing w:after="0" w:line="148"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CROWDSTRIKE HOLDINGS, INC.</w:t>
      </w:r>
    </w:p>
    <w:p>
      <w:pPr>
        <w:spacing w:after="0" w:line="26" w:lineRule="exact"/>
        <w:rPr>
          <w:sz w:val="20"/>
          <w:szCs w:val="20"/>
          <w:color w:val="auto"/>
        </w:rPr>
      </w:pPr>
    </w:p>
    <w:p>
      <w:pPr>
        <w:ind w:left="3920"/>
        <w:spacing w:after="0"/>
        <w:tabs>
          <w:tab w:leader="none" w:pos="4400" w:val="left"/>
        </w:tabs>
        <w:rPr>
          <w:sz w:val="20"/>
          <w:szCs w:val="20"/>
          <w:color w:val="auto"/>
        </w:rPr>
      </w:pPr>
      <w:r>
        <w:rPr>
          <w:rFonts w:ascii="Arial" w:cs="Arial" w:eastAsia="Arial" w:hAnsi="Arial"/>
          <w:sz w:val="20"/>
          <w:szCs w:val="20"/>
          <w:color w:val="auto"/>
        </w:rPr>
        <w:t>By:</w:t>
        <w:tab/>
        <w:t>/s/ Burt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5715</wp:posOffset>
            </wp:positionV>
            <wp:extent cx="19456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ind w:left="3920"/>
        <w:spacing w:after="0"/>
        <w:tabs>
          <w:tab w:leader="none" w:pos="46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Burt Podbere</w:t>
      </w:r>
    </w:p>
    <w:p>
      <w:pPr>
        <w:spacing w:after="0" w:line="13"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pacing w:after="0" w:line="364"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BORROWER:</w:t>
      </w:r>
    </w:p>
    <w:p>
      <w:pPr>
        <w:spacing w:after="0" w:line="148"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CROWDSTRIKE, INC.</w:t>
      </w:r>
    </w:p>
    <w:p>
      <w:pPr>
        <w:spacing w:after="0" w:line="26" w:lineRule="exact"/>
        <w:rPr>
          <w:sz w:val="20"/>
          <w:szCs w:val="20"/>
          <w:color w:val="auto"/>
        </w:rPr>
      </w:pPr>
    </w:p>
    <w:p>
      <w:pPr>
        <w:ind w:left="3920"/>
        <w:spacing w:after="0"/>
        <w:tabs>
          <w:tab w:leader="none" w:pos="4400" w:val="left"/>
        </w:tabs>
        <w:rPr>
          <w:sz w:val="20"/>
          <w:szCs w:val="20"/>
          <w:color w:val="auto"/>
        </w:rPr>
      </w:pPr>
      <w:r>
        <w:rPr>
          <w:rFonts w:ascii="Arial" w:cs="Arial" w:eastAsia="Arial" w:hAnsi="Arial"/>
          <w:sz w:val="20"/>
          <w:szCs w:val="20"/>
          <w:color w:val="auto"/>
        </w:rPr>
        <w:t>By:</w:t>
        <w:tab/>
        <w:t>/s/ Burt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5715</wp:posOffset>
            </wp:positionV>
            <wp:extent cx="19456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ind w:left="3920"/>
        <w:spacing w:after="0"/>
        <w:tabs>
          <w:tab w:leader="none" w:pos="46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Burt Podbere</w:t>
      </w:r>
    </w:p>
    <w:p>
      <w:pPr>
        <w:spacing w:after="0" w:line="13" w:lineRule="exact"/>
        <w:rPr>
          <w:sz w:val="20"/>
          <w:szCs w:val="20"/>
          <w:color w:val="auto"/>
        </w:rPr>
      </w:pPr>
    </w:p>
    <w:p>
      <w:pPr>
        <w:ind w:left="3920"/>
        <w:spacing w:after="0"/>
        <w:tabs>
          <w:tab w:leader="none" w:pos="45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Financial Officer</w:t>
      </w:r>
    </w:p>
    <w:p>
      <w:pPr>
        <w:sectPr>
          <w:pgSz w:w="11900" w:h="16838" w:orient="portrait"/>
          <w:cols w:equalWidth="0" w:num="1">
            <w:col w:w="11240"/>
          </w:cols>
          <w:pgMar w:left="320" w:top="1399" w:right="339" w:bottom="1440" w:gutter="0" w:footer="0" w:header="0"/>
        </w:sectPr>
      </w:pPr>
    </w:p>
    <w:bookmarkStart w:id="341" w:name="page342"/>
    <w:bookmarkEnd w:id="341"/>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ADMINISTRATIVE AGENT:</w:t>
      </w:r>
    </w:p>
    <w:p>
      <w:pPr>
        <w:spacing w:after="0" w:line="148"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SILICON VALLEY BANK</w:t>
      </w:r>
    </w:p>
    <w:p>
      <w:pPr>
        <w:spacing w:after="0" w:line="26"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Amy Grotevant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5715</wp:posOffset>
            </wp:positionV>
            <wp:extent cx="2108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3340"/>
        <w:spacing w:after="0"/>
        <w:tabs>
          <w:tab w:leader="none" w:pos="4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Amy Grotevant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-14605</wp:posOffset>
            </wp:positionV>
            <wp:extent cx="9105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3340"/>
        <w:spacing w:after="0"/>
        <w:tabs>
          <w:tab w:leader="none" w:pos="3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-19050</wp:posOffset>
            </wp:positionV>
            <wp:extent cx="8540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40" w:right="1440" w:bottom="1440" w:gutter="0" w:footer="0" w:header="0"/>
        </w:sectPr>
      </w:pPr>
    </w:p>
    <w:bookmarkStart w:id="342" w:name="page343"/>
    <w:bookmarkEnd w:id="342"/>
    <w:p>
      <w:pPr>
        <w:spacing w:after="0" w:line="14"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LENDERS:</w:t>
      </w:r>
    </w:p>
    <w:p>
      <w:pPr>
        <w:spacing w:after="0" w:line="129" w:lineRule="exact"/>
        <w:rPr>
          <w:sz w:val="20"/>
          <w:szCs w:val="20"/>
          <w:color w:val="auto"/>
        </w:rPr>
      </w:pPr>
    </w:p>
    <w:p>
      <w:pPr>
        <w:ind w:left="2800"/>
        <w:spacing w:after="0"/>
        <w:rPr>
          <w:sz w:val="20"/>
          <w:szCs w:val="20"/>
          <w:color w:val="auto"/>
        </w:rPr>
      </w:pPr>
      <w:r>
        <w:rPr>
          <w:rFonts w:ascii="Arial" w:cs="Arial" w:eastAsia="Arial" w:hAnsi="Arial"/>
          <w:sz w:val="20"/>
          <w:szCs w:val="20"/>
          <w:b w:val="1"/>
          <w:bCs w:val="1"/>
          <w:color w:val="auto"/>
        </w:rPr>
        <w:t>SILICON VALLEY BANK</w:t>
      </w:r>
    </w:p>
    <w:p>
      <w:pPr>
        <w:ind w:left="2800"/>
        <w:spacing w:after="0"/>
        <w:rPr>
          <w:sz w:val="20"/>
          <w:szCs w:val="20"/>
          <w:color w:val="auto"/>
        </w:rPr>
      </w:pPr>
      <w:r>
        <w:rPr>
          <w:rFonts w:ascii="Arial" w:cs="Arial" w:eastAsia="Arial" w:hAnsi="Arial"/>
          <w:sz w:val="16"/>
          <w:szCs w:val="16"/>
          <w:color w:val="auto"/>
        </w:rPr>
        <w:t>as Issuing Lender, Swingline Lender and as a</w:t>
      </w:r>
    </w:p>
    <w:p>
      <w:pPr>
        <w:spacing w:after="0" w:line="5"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Amy Grotevant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2108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3340"/>
        <w:spacing w:after="0"/>
        <w:tabs>
          <w:tab w:leader="none" w:pos="40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Amy Grotevant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-14605</wp:posOffset>
            </wp:positionV>
            <wp:extent cx="9105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ind w:left="3340"/>
        <w:spacing w:after="0"/>
        <w:tabs>
          <w:tab w:leader="none" w:pos="39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2510155</wp:posOffset>
            </wp:positionH>
            <wp:positionV relativeFrom="paragraph">
              <wp:posOffset>-19050</wp:posOffset>
            </wp:positionV>
            <wp:extent cx="8540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854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40" w:right="1440" w:bottom="1440" w:gutter="0" w:footer="0" w:header="0"/>
        </w:sectPr>
      </w:pPr>
    </w:p>
    <w:bookmarkStart w:id="343" w:name="page344"/>
    <w:bookmarkEnd w:id="343"/>
    <w:p>
      <w:pPr>
        <w:ind w:left="2800"/>
        <w:spacing w:after="0"/>
        <w:rPr>
          <w:sz w:val="20"/>
          <w:szCs w:val="20"/>
          <w:color w:val="auto"/>
        </w:rPr>
      </w:pPr>
      <w:r>
        <w:rPr>
          <w:rFonts w:ascii="Arial" w:cs="Arial" w:eastAsia="Arial" w:hAnsi="Arial"/>
          <w:sz w:val="20"/>
          <w:szCs w:val="20"/>
          <w:b w:val="1"/>
          <w:bCs w:val="1"/>
          <w:color w:val="auto"/>
        </w:rPr>
        <w:t>BARCLAYS BANK, PLC</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16541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9" w:lineRule="exact"/>
        <w:rPr>
          <w:sz w:val="20"/>
          <w:szCs w:val="20"/>
          <w:color w:val="auto"/>
        </w:rPr>
      </w:pP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Sean Duggan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7988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98830" cy="8890"/>
                    </a:xfrm>
                    <a:prstGeom prst="rect">
                      <a:avLst/>
                    </a:prstGeom>
                    <a:noFill/>
                  </pic:spPr>
                </pic:pic>
              </a:graphicData>
            </a:graphic>
          </wp:anchor>
        </w:drawing>
      </w: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44" w:name="page345"/>
    <w:bookmarkEnd w:id="344"/>
    <w:p>
      <w:pPr>
        <w:ind w:left="2800"/>
        <w:spacing w:after="0"/>
        <w:rPr>
          <w:sz w:val="20"/>
          <w:szCs w:val="20"/>
          <w:color w:val="auto"/>
        </w:rPr>
      </w:pPr>
      <w:r>
        <w:rPr>
          <w:rFonts w:ascii="Arial" w:cs="Arial" w:eastAsia="Arial" w:hAnsi="Arial"/>
          <w:sz w:val="20"/>
          <w:szCs w:val="20"/>
          <w:b w:val="1"/>
          <w:bCs w:val="1"/>
          <w:color w:val="auto"/>
        </w:rPr>
        <w:t>BANK OF AMERICA, N.A.,</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Molly Daniello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16973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Molly Daniello</w:t>
      </w:r>
    </w:p>
    <w:p>
      <w:pPr>
        <w:spacing w:after="0" w:line="13" w:lineRule="exact"/>
        <w:rPr>
          <w:sz w:val="20"/>
          <w:szCs w:val="20"/>
          <w:color w:val="auto"/>
        </w:rPr>
      </w:pPr>
    </w:p>
    <w:p>
      <w:pPr>
        <w:ind w:left="2800"/>
        <w:spacing w:after="0"/>
        <w:tabs>
          <w:tab w:leader="none" w:pos="34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45" w:name="page346"/>
    <w:bookmarkEnd w:id="345"/>
    <w:p>
      <w:pPr>
        <w:ind w:left="2800"/>
        <w:spacing w:after="0"/>
        <w:rPr>
          <w:sz w:val="20"/>
          <w:szCs w:val="20"/>
          <w:color w:val="auto"/>
        </w:rPr>
      </w:pPr>
      <w:r>
        <w:rPr>
          <w:rFonts w:ascii="Arial" w:cs="Arial" w:eastAsia="Arial" w:hAnsi="Arial"/>
          <w:sz w:val="20"/>
          <w:szCs w:val="20"/>
          <w:b w:val="1"/>
          <w:bCs w:val="1"/>
          <w:color w:val="auto"/>
        </w:rPr>
        <w:t>CITIBANK, N.A.,</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Robert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18427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Robert Shaw</w:t>
      </w:r>
    </w:p>
    <w:p>
      <w:pPr>
        <w:spacing w:after="0" w:line="13" w:lineRule="exact"/>
        <w:rPr>
          <w:sz w:val="20"/>
          <w:szCs w:val="20"/>
          <w:color w:val="auto"/>
        </w:rPr>
      </w:pP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46" w:name="page347"/>
    <w:bookmarkEnd w:id="346"/>
    <w:p>
      <w:pPr>
        <w:ind w:left="2800"/>
        <w:spacing w:after="0"/>
        <w:rPr>
          <w:sz w:val="20"/>
          <w:szCs w:val="20"/>
          <w:color w:val="auto"/>
        </w:rPr>
      </w:pPr>
      <w:r>
        <w:rPr>
          <w:rFonts w:ascii="Arial" w:cs="Arial" w:eastAsia="Arial" w:hAnsi="Arial"/>
          <w:sz w:val="20"/>
          <w:szCs w:val="20"/>
          <w:b w:val="1"/>
          <w:bCs w:val="1"/>
          <w:color w:val="auto"/>
        </w:rPr>
        <w:t>Comerica Bank, Inc.,</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Elizabeth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10160</wp:posOffset>
            </wp:positionV>
            <wp:extent cx="1499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Elizabeth McDonald</w:t>
      </w:r>
    </w:p>
    <w:p>
      <w:pPr>
        <w:spacing w:after="0" w:line="13" w:lineRule="exact"/>
        <w:rPr>
          <w:sz w:val="20"/>
          <w:szCs w:val="20"/>
          <w:color w:val="auto"/>
        </w:rPr>
      </w:pP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47" w:name="page348"/>
    <w:bookmarkEnd w:id="347"/>
    <w:p>
      <w:pPr>
        <w:ind w:left="2800"/>
        <w:spacing w:after="0"/>
        <w:rPr>
          <w:sz w:val="20"/>
          <w:szCs w:val="20"/>
          <w:color w:val="auto"/>
        </w:rPr>
      </w:pPr>
      <w:r>
        <w:rPr>
          <w:rFonts w:ascii="Arial" w:cs="Arial" w:eastAsia="Arial" w:hAnsi="Arial"/>
          <w:sz w:val="20"/>
          <w:szCs w:val="20"/>
          <w:b w:val="1"/>
          <w:bCs w:val="1"/>
          <w:color w:val="auto"/>
        </w:rPr>
        <w:t>CREDIT SUISSE AG, CAYMAN</w:t>
      </w:r>
    </w:p>
    <w:p>
      <w:pPr>
        <w:ind w:left="2800"/>
        <w:spacing w:after="0" w:line="197" w:lineRule="auto"/>
        <w:rPr>
          <w:sz w:val="20"/>
          <w:szCs w:val="20"/>
          <w:color w:val="auto"/>
        </w:rPr>
      </w:pPr>
      <w:r>
        <w:rPr>
          <w:rFonts w:ascii="Arial" w:cs="Arial" w:eastAsia="Arial" w:hAnsi="Arial"/>
          <w:sz w:val="20"/>
          <w:szCs w:val="20"/>
          <w:b w:val="1"/>
          <w:bCs w:val="1"/>
          <w:color w:val="auto"/>
        </w:rPr>
        <w:t>ISLANDS BRANCH,</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13627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Mikhail Faybusovich</w:t>
      </w:r>
    </w:p>
    <w:p>
      <w:pPr>
        <w:spacing w:after="0" w:line="13" w:lineRule="exact"/>
        <w:rPr>
          <w:sz w:val="20"/>
          <w:szCs w:val="20"/>
          <w:color w:val="auto"/>
        </w:rPr>
      </w:pP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373"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13627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 Andrew Maletta</w:t>
      </w:r>
    </w:p>
    <w:p>
      <w:pPr>
        <w:spacing w:after="0" w:line="13" w:lineRule="exact"/>
        <w:rPr>
          <w:sz w:val="20"/>
          <w:szCs w:val="20"/>
          <w:color w:val="auto"/>
        </w:rPr>
      </w:pP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48" w:name="page349"/>
    <w:bookmarkEnd w:id="348"/>
    <w:p>
      <w:pPr>
        <w:ind w:left="2800"/>
        <w:spacing w:after="0"/>
        <w:rPr>
          <w:sz w:val="20"/>
          <w:szCs w:val="20"/>
          <w:color w:val="auto"/>
        </w:rPr>
      </w:pPr>
      <w:r>
        <w:rPr>
          <w:rFonts w:ascii="Arial" w:cs="Arial" w:eastAsia="Arial" w:hAnsi="Arial"/>
          <w:sz w:val="20"/>
          <w:szCs w:val="20"/>
          <w:b w:val="1"/>
          <w:bCs w:val="1"/>
          <w:color w:val="auto"/>
        </w:rPr>
        <w:t>GOLDMAN SACHS BANK</w:t>
      </w:r>
    </w:p>
    <w:p>
      <w:pPr>
        <w:ind w:left="2800"/>
        <w:spacing w:after="0" w:line="197" w:lineRule="auto"/>
        <w:rPr>
          <w:sz w:val="20"/>
          <w:szCs w:val="20"/>
          <w:color w:val="auto"/>
        </w:rPr>
      </w:pPr>
      <w:r>
        <w:rPr>
          <w:rFonts w:ascii="Arial" w:cs="Arial" w:eastAsia="Arial" w:hAnsi="Arial"/>
          <w:sz w:val="20"/>
          <w:szCs w:val="20"/>
          <w:b w:val="1"/>
          <w:bCs w:val="1"/>
          <w:color w:val="auto"/>
        </w:rPr>
        <w:t>USA,</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Mahesh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10160</wp:posOffset>
            </wp:positionV>
            <wp:extent cx="1448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9" w:lineRule="exact"/>
        <w:rPr>
          <w:sz w:val="20"/>
          <w:szCs w:val="20"/>
          <w:color w:val="auto"/>
        </w:rPr>
      </w:pP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Mahesh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9105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49" w:name="page350"/>
    <w:bookmarkEnd w:id="349"/>
    <w:p>
      <w:pPr>
        <w:spacing w:after="0" w:line="238"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HSBC Bank USA, National</w:t>
      </w:r>
    </w:p>
    <w:p>
      <w:pPr>
        <w:ind w:left="2800"/>
        <w:spacing w:after="0" w:line="197" w:lineRule="auto"/>
        <w:rPr>
          <w:sz w:val="20"/>
          <w:szCs w:val="20"/>
          <w:color w:val="auto"/>
        </w:rPr>
      </w:pPr>
      <w:r>
        <w:rPr>
          <w:rFonts w:ascii="Arial" w:cs="Arial" w:eastAsia="Arial" w:hAnsi="Arial"/>
          <w:sz w:val="20"/>
          <w:szCs w:val="20"/>
          <w:color w:val="auto"/>
        </w:rPr>
        <w:t>Association</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16541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9" w:lineRule="exact"/>
        <w:rPr>
          <w:sz w:val="20"/>
          <w:szCs w:val="20"/>
          <w:color w:val="auto"/>
        </w:rPr>
      </w:pP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Kevin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7131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RESTRICTED</w:t>
      </w:r>
    </w:p>
    <w:p>
      <w:pPr>
        <w:sectPr>
          <w:pgSz w:w="11900" w:h="16838" w:orient="portrait"/>
          <w:cols w:equalWidth="0" w:num="1">
            <w:col w:w="9019"/>
          </w:cols>
          <w:pgMar w:left="1440" w:top="1440" w:right="1440" w:bottom="1440" w:gutter="0" w:footer="0" w:header="0"/>
        </w:sectPr>
      </w:pPr>
    </w:p>
    <w:bookmarkStart w:id="350" w:name="page351"/>
    <w:bookmarkEnd w:id="350"/>
    <w:p>
      <w:pPr>
        <w:ind w:left="2800"/>
        <w:spacing w:after="0"/>
        <w:rPr>
          <w:sz w:val="20"/>
          <w:szCs w:val="20"/>
          <w:color w:val="auto"/>
        </w:rPr>
      </w:pPr>
      <w:r>
        <w:rPr>
          <w:rFonts w:ascii="Arial" w:cs="Arial" w:eastAsia="Arial" w:hAnsi="Arial"/>
          <w:sz w:val="20"/>
          <w:szCs w:val="20"/>
          <w:b w:val="1"/>
          <w:bCs w:val="1"/>
          <w:color w:val="auto"/>
        </w:rPr>
        <w:t>JP MORGAN CHASE BANK,</w:t>
      </w:r>
    </w:p>
    <w:p>
      <w:pPr>
        <w:ind w:left="2800"/>
        <w:spacing w:after="0" w:line="197" w:lineRule="auto"/>
        <w:rPr>
          <w:sz w:val="20"/>
          <w:szCs w:val="20"/>
          <w:color w:val="auto"/>
        </w:rPr>
      </w:pPr>
      <w:r>
        <w:rPr>
          <w:rFonts w:ascii="Arial" w:cs="Arial" w:eastAsia="Arial" w:hAnsi="Arial"/>
          <w:sz w:val="20"/>
          <w:szCs w:val="20"/>
          <w:b w:val="1"/>
          <w:bCs w:val="1"/>
          <w:color w:val="auto"/>
        </w:rPr>
        <w:t>N.A.,</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10160</wp:posOffset>
            </wp:positionV>
            <wp:extent cx="15944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Timothy Lee</w:t>
      </w:r>
    </w:p>
    <w:p>
      <w:pPr>
        <w:spacing w:after="0" w:line="13" w:lineRule="exact"/>
        <w:rPr>
          <w:sz w:val="20"/>
          <w:szCs w:val="20"/>
          <w:color w:val="auto"/>
        </w:rPr>
      </w:pPr>
    </w:p>
    <w:p>
      <w:pPr>
        <w:ind w:left="2800"/>
        <w:spacing w:after="0"/>
        <w:tabs>
          <w:tab w:leader="none" w:pos="34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51" w:name="page352"/>
    <w:bookmarkEnd w:id="351"/>
    <w:p>
      <w:pPr>
        <w:ind w:left="2800"/>
        <w:spacing w:after="0"/>
        <w:rPr>
          <w:sz w:val="20"/>
          <w:szCs w:val="20"/>
          <w:color w:val="auto"/>
        </w:rPr>
      </w:pPr>
      <w:r>
        <w:rPr>
          <w:rFonts w:ascii="Arial" w:cs="Arial" w:eastAsia="Arial" w:hAnsi="Arial"/>
          <w:sz w:val="20"/>
          <w:szCs w:val="20"/>
          <w:b w:val="1"/>
          <w:bCs w:val="1"/>
          <w:u w:val="single" w:color="auto"/>
          <w:color w:val="auto"/>
        </w:rPr>
        <w:t>MIZUHO BANK, LTD.</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Raymond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10160</wp:posOffset>
            </wp:positionV>
            <wp:extent cx="2108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9" w:lineRule="exact"/>
        <w:rPr>
          <w:sz w:val="20"/>
          <w:szCs w:val="20"/>
          <w:color w:val="auto"/>
        </w:rPr>
      </w:pP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Raymond Ventura</w:t>
      </w:r>
    </w:p>
    <w:p>
      <w:pPr>
        <w:spacing w:after="0" w:line="229" w:lineRule="exact"/>
        <w:rPr>
          <w:sz w:val="20"/>
          <w:szCs w:val="20"/>
          <w:color w:val="auto"/>
        </w:rPr>
      </w:pPr>
    </w:p>
    <w:p>
      <w:pPr>
        <w:ind w:left="2800"/>
        <w:spacing w:after="0"/>
        <w:tabs>
          <w:tab w:leader="none" w:pos="34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52" w:name="page353"/>
    <w:bookmarkEnd w:id="352"/>
    <w:p>
      <w:pPr>
        <w:ind w:left="2800"/>
        <w:spacing w:after="0"/>
        <w:rPr>
          <w:sz w:val="20"/>
          <w:szCs w:val="20"/>
          <w:color w:val="auto"/>
        </w:rPr>
      </w:pPr>
      <w:r>
        <w:rPr>
          <w:rFonts w:ascii="Arial" w:cs="Arial" w:eastAsia="Arial" w:hAnsi="Arial"/>
          <w:sz w:val="20"/>
          <w:szCs w:val="20"/>
          <w:b w:val="1"/>
          <w:bCs w:val="1"/>
          <w:color w:val="auto"/>
        </w:rPr>
        <w:t>PNC BANK, NATIONAL</w:t>
      </w:r>
    </w:p>
    <w:p>
      <w:pPr>
        <w:ind w:left="2800"/>
        <w:spacing w:after="0" w:line="197" w:lineRule="auto"/>
        <w:rPr>
          <w:sz w:val="20"/>
          <w:szCs w:val="20"/>
          <w:color w:val="auto"/>
        </w:rPr>
      </w:pPr>
      <w:r>
        <w:rPr>
          <w:rFonts w:ascii="Arial" w:cs="Arial" w:eastAsia="Arial" w:hAnsi="Arial"/>
          <w:sz w:val="20"/>
          <w:szCs w:val="20"/>
          <w:b w:val="1"/>
          <w:bCs w:val="1"/>
          <w:color w:val="auto"/>
        </w:rPr>
        <w:t>ASSOCIATION,</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Dana Kerpsack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10160</wp:posOffset>
            </wp:positionV>
            <wp:extent cx="1499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Dana Kerpsack</w:t>
      </w:r>
    </w:p>
    <w:p>
      <w:pPr>
        <w:spacing w:after="0" w:line="13" w:lineRule="exact"/>
        <w:rPr>
          <w:sz w:val="20"/>
          <w:szCs w:val="20"/>
          <w:color w:val="auto"/>
        </w:rPr>
      </w:pP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53" w:name="page354"/>
    <w:bookmarkEnd w:id="353"/>
    <w:p>
      <w:pPr>
        <w:ind w:left="2800"/>
        <w:spacing w:after="0"/>
        <w:rPr>
          <w:sz w:val="20"/>
          <w:szCs w:val="20"/>
          <w:color w:val="auto"/>
        </w:rPr>
      </w:pPr>
      <w:r>
        <w:rPr>
          <w:rFonts w:ascii="Arial" w:cs="Arial" w:eastAsia="Arial" w:hAnsi="Arial"/>
          <w:sz w:val="20"/>
          <w:szCs w:val="20"/>
          <w:b w:val="1"/>
          <w:bCs w:val="1"/>
          <w:color w:val="auto"/>
        </w:rPr>
        <w:t>Truist Bank</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320" w:val="left"/>
        </w:tabs>
        <w:rPr>
          <w:sz w:val="20"/>
          <w:szCs w:val="20"/>
          <w:color w:val="auto"/>
        </w:rPr>
      </w:pPr>
      <w:r>
        <w:rPr>
          <w:rFonts w:ascii="Arial" w:cs="Arial" w:eastAsia="Arial" w:hAnsi="Arial"/>
          <w:sz w:val="20"/>
          <w:szCs w:val="20"/>
          <w:color w:val="auto"/>
        </w:rPr>
        <w:t>By:</w:t>
        <w:tab/>
        <w:t>/s/ Alfonso Brigham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10160</wp:posOffset>
            </wp:positionV>
            <wp:extent cx="15944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09" w:lineRule="exact"/>
        <w:rPr>
          <w:sz w:val="20"/>
          <w:szCs w:val="20"/>
          <w:color w:val="auto"/>
        </w:rPr>
      </w:pP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u w:val="single" w:color="auto"/>
          <w:color w:val="auto"/>
        </w:rPr>
        <w:t>Alfonso Brigham</w:t>
      </w:r>
    </w:p>
    <w:p>
      <w:pPr>
        <w:spacing w:after="0" w:line="20" w:lineRule="exact"/>
        <w:rPr>
          <w:sz w:val="20"/>
          <w:szCs w:val="20"/>
          <w:color w:val="auto"/>
        </w:rPr>
      </w:pPr>
    </w:p>
    <w:p>
      <w:pPr>
        <w:ind w:left="2800"/>
        <w:spacing w:after="0"/>
        <w:tabs>
          <w:tab w:leader="none" w:pos="33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 CRWD First Amendment]</w:t>
      </w:r>
    </w:p>
    <w:p>
      <w:pPr>
        <w:sectPr>
          <w:pgSz w:w="11900" w:h="16838" w:orient="portrait"/>
          <w:cols w:equalWidth="0" w:num="1">
            <w:col w:w="9019"/>
          </w:cols>
          <w:pgMar w:left="1440" w:top="1434" w:right="1440" w:bottom="1440" w:gutter="0" w:footer="0" w:header="0"/>
        </w:sectPr>
      </w:pPr>
    </w:p>
    <w:bookmarkStart w:id="354" w:name="page355"/>
    <w:bookmarkEnd w:id="354"/>
    <w:p>
      <w:pPr>
        <w:spacing w:after="0" w:line="6" w:lineRule="exact"/>
        <w:rPr>
          <w:sz w:val="20"/>
          <w:szCs w:val="20"/>
          <w:color w:val="auto"/>
        </w:rPr>
      </w:pPr>
    </w:p>
    <w:p>
      <w:pPr>
        <w:ind w:left="2800"/>
        <w:spacing w:after="0"/>
        <w:rPr>
          <w:sz w:val="20"/>
          <w:szCs w:val="20"/>
          <w:color w:val="auto"/>
        </w:rPr>
      </w:pPr>
      <w:r>
        <w:rPr>
          <w:rFonts w:ascii="Arial" w:cs="Arial" w:eastAsia="Arial" w:hAnsi="Arial"/>
          <w:sz w:val="19"/>
          <w:szCs w:val="19"/>
          <w:b w:val="1"/>
          <w:bCs w:val="1"/>
          <w:color w:val="auto"/>
        </w:rPr>
        <w:t>WELLS FARGO BANK, N.A.,</w:t>
      </w:r>
    </w:p>
    <w:p>
      <w:pPr>
        <w:ind w:left="2800"/>
        <w:spacing w:after="0"/>
        <w:rPr>
          <w:sz w:val="20"/>
          <w:szCs w:val="20"/>
          <w:color w:val="auto"/>
        </w:rPr>
      </w:pPr>
      <w:r>
        <w:rPr>
          <w:rFonts w:ascii="Arial" w:cs="Arial" w:eastAsia="Arial" w:hAnsi="Arial"/>
          <w:sz w:val="20"/>
          <w:szCs w:val="20"/>
          <w:color w:val="auto"/>
        </w:rPr>
        <w:t>as a Lender</w:t>
      </w:r>
    </w:p>
    <w:p>
      <w:pPr>
        <w:spacing w:after="0" w:line="200" w:lineRule="exact"/>
        <w:rPr>
          <w:sz w:val="20"/>
          <w:szCs w:val="20"/>
          <w:color w:val="auto"/>
        </w:rPr>
      </w:pPr>
    </w:p>
    <w:p>
      <w:pPr>
        <w:spacing w:after="0" w:line="229" w:lineRule="exact"/>
        <w:rPr>
          <w:sz w:val="20"/>
          <w:szCs w:val="20"/>
          <w:color w:val="auto"/>
        </w:rPr>
      </w:pPr>
    </w:p>
    <w:p>
      <w:pPr>
        <w:ind w:left="2800"/>
        <w:spacing w:after="0"/>
        <w:tabs>
          <w:tab w:leader="none" w:pos="3280" w:val="left"/>
        </w:tabs>
        <w:rPr>
          <w:sz w:val="20"/>
          <w:szCs w:val="20"/>
          <w:color w:val="auto"/>
        </w:rPr>
      </w:pPr>
      <w:r>
        <w:rPr>
          <w:rFonts w:ascii="Arial" w:cs="Arial" w:eastAsia="Arial" w:hAnsi="Arial"/>
          <w:sz w:val="20"/>
          <w:szCs w:val="20"/>
          <w:color w:val="auto"/>
        </w:rPr>
        <w:t>By:</w:t>
        <w:tab/>
        <w:t>/s/ Nick Tsiagkas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10160</wp:posOffset>
            </wp:positionV>
            <wp:extent cx="1474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0"/>
          <w:szCs w:val="20"/>
          <w:color w:val="auto"/>
        </w:rPr>
      </w:pPr>
    </w:p>
    <w:p>
      <w:pPr>
        <w:ind w:left="2800"/>
        <w:spacing w:after="0"/>
        <w:tabs>
          <w:tab w:leader="none" w:pos="35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Nick Tsiagkas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-14605</wp:posOffset>
            </wp:positionV>
            <wp:extent cx="838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838835" cy="8255"/>
                    </a:xfrm>
                    <a:prstGeom prst="rect">
                      <a:avLst/>
                    </a:prstGeom>
                    <a:noFill/>
                  </pic:spPr>
                </pic:pic>
              </a:graphicData>
            </a:graphic>
          </wp:anchor>
        </w:drawing>
      </w:r>
    </w:p>
    <w:p>
      <w:pPr>
        <w:ind w:left="2800"/>
        <w:spacing w:after="0"/>
        <w:tabs>
          <w:tab w:leader="none" w:pos="34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ectPr>
          <w:pgSz w:w="11900" w:h="16838" w:orient="portrait"/>
          <w:cols w:equalWidth="0" w:num="1">
            <w:col w:w="9019"/>
          </w:cols>
          <w:pgMar w:left="1440" w:top="1440" w:right="1440" w:bottom="1440" w:gutter="0" w:footer="0" w:header="0"/>
        </w:sectPr>
      </w:pPr>
    </w:p>
    <w:bookmarkStart w:id="355" w:name="page356"/>
    <w:bookmarkEnd w:id="355"/>
    <w:p>
      <w:pPr>
        <w:ind w:left="4580"/>
        <w:spacing w:after="0"/>
        <w:rPr>
          <w:sz w:val="20"/>
          <w:szCs w:val="20"/>
          <w:color w:val="auto"/>
        </w:rPr>
      </w:pPr>
      <w:r>
        <w:rPr>
          <w:rFonts w:ascii="Arial" w:cs="Arial" w:eastAsia="Arial" w:hAnsi="Arial"/>
          <w:sz w:val="20"/>
          <w:szCs w:val="20"/>
          <w:b w:val="1"/>
          <w:bCs w:val="1"/>
          <w:color w:val="auto"/>
        </w:rPr>
        <w:t>SCHEDULE 1.1A</w:t>
      </w:r>
    </w:p>
    <w:p>
      <w:pPr>
        <w:spacing w:after="0" w:line="156"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COMMITMENTS</w:t>
      </w:r>
    </w:p>
    <w:p>
      <w:pPr>
        <w:ind w:left="3140"/>
        <w:spacing w:after="0"/>
        <w:rPr>
          <w:sz w:val="20"/>
          <w:szCs w:val="20"/>
          <w:color w:val="auto"/>
        </w:rPr>
      </w:pPr>
      <w:r>
        <w:rPr>
          <w:rFonts w:ascii="Arial" w:cs="Arial" w:eastAsia="Arial" w:hAnsi="Arial"/>
          <w:sz w:val="20"/>
          <w:szCs w:val="20"/>
          <w:b w:val="1"/>
          <w:bCs w:val="1"/>
          <w:color w:val="auto"/>
        </w:rPr>
        <w:t>AND AGGREGATE EXPOSURE PERCENTAGES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60" w:type="dxa"/>
            <w:vAlign w:val="bottom"/>
          </w:tcPr>
          <w:p>
            <w:pPr>
              <w:spacing w:after="0"/>
              <w:rPr>
                <w:sz w:val="22"/>
                <w:szCs w:val="22"/>
                <w:color w:val="auto"/>
              </w:rPr>
            </w:pPr>
          </w:p>
        </w:tc>
        <w:tc>
          <w:tcPr>
            <w:tcW w:w="3920" w:type="dxa"/>
            <w:vAlign w:val="bottom"/>
          </w:tcPr>
          <w:p>
            <w:pPr>
              <w:jc w:val="center"/>
              <w:ind w:right="261"/>
              <w:spacing w:after="0"/>
              <w:rPr>
                <w:sz w:val="20"/>
                <w:szCs w:val="20"/>
                <w:color w:val="auto"/>
              </w:rPr>
            </w:pPr>
            <w:r>
              <w:rPr>
                <w:rFonts w:ascii="Arial" w:cs="Arial" w:eastAsia="Arial" w:hAnsi="Arial"/>
                <w:sz w:val="20"/>
                <w:szCs w:val="20"/>
                <w:b w:val="1"/>
                <w:bCs w:val="1"/>
                <w:color w:val="auto"/>
              </w:rPr>
              <w:t>REVOLVING COMMITMENTS</w:t>
            </w:r>
          </w:p>
        </w:tc>
        <w:tc>
          <w:tcPr>
            <w:tcW w:w="2460" w:type="dxa"/>
            <w:vAlign w:val="bottom"/>
          </w:tcPr>
          <w:p>
            <w:pPr>
              <w:spacing w:after="0"/>
              <w:rPr>
                <w:sz w:val="22"/>
                <w:szCs w:val="22"/>
                <w:color w:val="auto"/>
              </w:rPr>
            </w:pPr>
          </w:p>
        </w:tc>
      </w:tr>
      <w:tr>
        <w:trPr>
          <w:trHeight w:val="459"/>
        </w:trPr>
        <w:tc>
          <w:tcPr>
            <w:tcW w:w="3560" w:type="dxa"/>
            <w:vAlign w:val="bottom"/>
          </w:tcPr>
          <w:p>
            <w:pPr>
              <w:jc w:val="center"/>
              <w:ind w:right="261"/>
              <w:spacing w:after="0"/>
              <w:rPr>
                <w:sz w:val="20"/>
                <w:szCs w:val="20"/>
                <w:color w:val="auto"/>
              </w:rPr>
            </w:pPr>
            <w:r>
              <w:rPr>
                <w:rFonts w:ascii="Arial" w:cs="Arial" w:eastAsia="Arial" w:hAnsi="Arial"/>
                <w:sz w:val="20"/>
                <w:szCs w:val="20"/>
                <w:color w:val="auto"/>
                <w:w w:val="89"/>
              </w:rPr>
              <w:t>Lender</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92"/>
              </w:rPr>
              <w:t>Revolving Commitment</w:t>
            </w:r>
          </w:p>
        </w:tc>
        <w:tc>
          <w:tcPr>
            <w:tcW w:w="2460" w:type="dxa"/>
            <w:vAlign w:val="bottom"/>
          </w:tcPr>
          <w:p>
            <w:pPr>
              <w:ind w:left="720"/>
              <w:spacing w:after="0"/>
              <w:rPr>
                <w:sz w:val="20"/>
                <w:szCs w:val="20"/>
                <w:color w:val="auto"/>
              </w:rPr>
            </w:pPr>
            <w:r>
              <w:rPr>
                <w:rFonts w:ascii="Arial" w:cs="Arial" w:eastAsia="Arial" w:hAnsi="Arial"/>
                <w:sz w:val="20"/>
                <w:szCs w:val="20"/>
                <w:color w:val="auto"/>
                <w:w w:val="87"/>
              </w:rPr>
              <w:t>Revolving Percentage</w:t>
            </w:r>
          </w:p>
        </w:tc>
      </w:tr>
      <w:tr>
        <w:trPr>
          <w:trHeight w:val="519"/>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Silicon Valley Bank</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$97,500,000.00</w:t>
            </w:r>
          </w:p>
        </w:tc>
        <w:tc>
          <w:tcPr>
            <w:tcW w:w="2460" w:type="dxa"/>
            <w:vAlign w:val="bottom"/>
          </w:tcPr>
          <w:p>
            <w:pPr>
              <w:jc w:val="center"/>
              <w:ind w:left="621"/>
              <w:spacing w:after="0"/>
              <w:rPr>
                <w:sz w:val="20"/>
                <w:szCs w:val="20"/>
                <w:color w:val="auto"/>
              </w:rPr>
            </w:pPr>
            <w:r>
              <w:rPr>
                <w:rFonts w:ascii="Arial" w:cs="Arial" w:eastAsia="Arial" w:hAnsi="Arial"/>
                <w:sz w:val="20"/>
                <w:szCs w:val="20"/>
                <w:color w:val="auto"/>
                <w:w w:val="89"/>
              </w:rPr>
              <w:t>13.000000000%</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JPMorgan Chase Bank, N.A.</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$97,500,000.00</w:t>
            </w:r>
          </w:p>
        </w:tc>
        <w:tc>
          <w:tcPr>
            <w:tcW w:w="2460" w:type="dxa"/>
            <w:vAlign w:val="bottom"/>
          </w:tcPr>
          <w:p>
            <w:pPr>
              <w:jc w:val="center"/>
              <w:ind w:left="621"/>
              <w:spacing w:after="0"/>
              <w:rPr>
                <w:sz w:val="20"/>
                <w:szCs w:val="20"/>
                <w:color w:val="auto"/>
              </w:rPr>
            </w:pPr>
            <w:r>
              <w:rPr>
                <w:rFonts w:ascii="Arial" w:cs="Arial" w:eastAsia="Arial" w:hAnsi="Arial"/>
                <w:sz w:val="20"/>
                <w:szCs w:val="20"/>
                <w:color w:val="auto"/>
                <w:w w:val="89"/>
              </w:rPr>
              <w:t>13.000000000%</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4"/>
              </w:rPr>
              <w:t>Bank of America, N.A.</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$70,000,000.00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9.333333333%</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Barclays Bank PLC</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$70,000,000.00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9.333333333%</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6"/>
              </w:rPr>
              <w:t>Citibank, N.A.</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$70,000,000.00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9.333333333%</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Wells Fargo Bank, N.A.</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$70,000,000.00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9.333333333%</w:t>
            </w:r>
          </w:p>
        </w:tc>
      </w:tr>
      <w:tr>
        <w:trPr>
          <w:trHeight w:val="243"/>
        </w:trPr>
        <w:tc>
          <w:tcPr>
            <w:tcW w:w="3560" w:type="dxa"/>
            <w:vAlign w:val="bottom"/>
          </w:tcPr>
          <w:p>
            <w:pPr>
              <w:jc w:val="center"/>
              <w:ind w:right="261"/>
              <w:spacing w:after="0"/>
              <w:rPr>
                <w:sz w:val="20"/>
                <w:szCs w:val="20"/>
                <w:color w:val="auto"/>
              </w:rPr>
            </w:pPr>
            <w:r>
              <w:rPr>
                <w:rFonts w:ascii="Arial" w:cs="Arial" w:eastAsia="Arial" w:hAnsi="Arial"/>
                <w:sz w:val="20"/>
                <w:szCs w:val="20"/>
                <w:color w:val="auto"/>
                <w:w w:val="89"/>
              </w:rPr>
              <w:t>Goldman Sachs Bank USA</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$50,000,000.00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6.666666667%</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3"/>
              </w:rPr>
              <w:t>Mizuho Bank, Ltd.</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$50,000,000.00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6.666666667%</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7"/>
              </w:rPr>
              <w:t>BBVA USA</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$35,000,000.00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4.666666667%</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Comerica Bank</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$35,000,000.00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4.666666667%</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89"/>
              </w:rPr>
              <w:t>Credit Suisse AG</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$35,000,000.00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4.666666667%</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1"/>
              </w:rPr>
              <w:t>HSBC Bank USA, National Association</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$35,000,000.00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4.666666667%</w:t>
            </w:r>
          </w:p>
        </w:tc>
      </w:tr>
      <w:tr>
        <w:trPr>
          <w:trHeight w:val="243"/>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2"/>
              </w:rPr>
              <w:t>Truist Bank</w:t>
            </w:r>
          </w:p>
        </w:tc>
        <w:tc>
          <w:tcPr>
            <w:tcW w:w="3920" w:type="dxa"/>
            <w:vAlign w:val="bottom"/>
          </w:tcPr>
          <w:p>
            <w:pPr>
              <w:jc w:val="center"/>
              <w:ind w:right="301"/>
              <w:spacing w:after="0"/>
              <w:rPr>
                <w:sz w:val="20"/>
                <w:szCs w:val="20"/>
                <w:color w:val="auto"/>
              </w:rPr>
            </w:pPr>
            <w:r>
              <w:rPr>
                <w:rFonts w:ascii="Arial" w:cs="Arial" w:eastAsia="Arial" w:hAnsi="Arial"/>
                <w:sz w:val="20"/>
                <w:szCs w:val="20"/>
                <w:color w:val="auto"/>
                <w:w w:val="89"/>
              </w:rPr>
              <w:t>$35,000,000.00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4.666666667%</w:t>
            </w:r>
          </w:p>
        </w:tc>
      </w:tr>
      <w:tr>
        <w:trPr>
          <w:trHeight w:val="250"/>
        </w:trPr>
        <w:tc>
          <w:tcPr>
            <w:tcW w:w="3560" w:type="dxa"/>
            <w:vAlign w:val="bottom"/>
          </w:tcPr>
          <w:p>
            <w:pPr>
              <w:jc w:val="center"/>
              <w:ind w:right="281"/>
              <w:spacing w:after="0"/>
              <w:rPr>
                <w:sz w:val="20"/>
                <w:szCs w:val="20"/>
                <w:color w:val="auto"/>
              </w:rPr>
            </w:pPr>
            <w:r>
              <w:rPr>
                <w:rFonts w:ascii="Arial" w:cs="Arial" w:eastAsia="Arial" w:hAnsi="Arial"/>
                <w:sz w:val="20"/>
                <w:szCs w:val="20"/>
                <w:color w:val="auto"/>
                <w:w w:val="94"/>
              </w:rPr>
              <w:t>Total</w:t>
            </w:r>
          </w:p>
        </w:tc>
        <w:tc>
          <w:tcPr>
            <w:tcW w:w="3920" w:type="dxa"/>
            <w:vAlign w:val="bottom"/>
          </w:tcPr>
          <w:p>
            <w:pPr>
              <w:jc w:val="center"/>
              <w:ind w:right="281"/>
              <w:spacing w:after="0"/>
              <w:rPr>
                <w:sz w:val="20"/>
                <w:szCs w:val="20"/>
                <w:color w:val="auto"/>
              </w:rPr>
            </w:pPr>
            <w:r>
              <w:rPr>
                <w:rFonts w:ascii="Arial" w:cs="Arial" w:eastAsia="Arial" w:hAnsi="Arial"/>
                <w:sz w:val="20"/>
                <w:szCs w:val="20"/>
                <w:color w:val="auto"/>
                <w:w w:val="89"/>
              </w:rPr>
              <w:t>$750,000,000.00</w:t>
            </w:r>
          </w:p>
        </w:tc>
        <w:tc>
          <w:tcPr>
            <w:tcW w:w="2460" w:type="dxa"/>
            <w:vAlign w:val="bottom"/>
          </w:tcPr>
          <w:p>
            <w:pPr>
              <w:jc w:val="center"/>
              <w:ind w:left="641"/>
              <w:spacing w:after="0"/>
              <w:rPr>
                <w:sz w:val="20"/>
                <w:szCs w:val="20"/>
                <w:color w:val="auto"/>
              </w:rPr>
            </w:pPr>
            <w:r>
              <w:rPr>
                <w:rFonts w:ascii="Arial" w:cs="Arial" w:eastAsia="Arial" w:hAnsi="Arial"/>
                <w:sz w:val="20"/>
                <w:szCs w:val="20"/>
                <w:color w:val="auto"/>
                <w:w w:val="89"/>
              </w:rPr>
              <w:t>100.000000000%</w:t>
            </w:r>
          </w:p>
        </w:tc>
      </w:tr>
    </w:tbl>
    <w:p>
      <w:pPr>
        <w:sectPr>
          <w:pgSz w:w="11900" w:h="16838" w:orient="portrait"/>
          <w:cols w:equalWidth="0" w:num="1">
            <w:col w:w="9940"/>
          </w:cols>
          <w:pgMar w:left="600" w:top="1399" w:right="1359" w:bottom="1440" w:gutter="0" w:footer="0" w:header="0"/>
        </w:sectPr>
      </w:pPr>
    </w:p>
    <w:bookmarkStart w:id="356" w:name="page357"/>
    <w:bookmarkEnd w:id="356"/>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0" w:type="dxa"/>
            <w:vAlign w:val="bottom"/>
          </w:tcPr>
          <w:p>
            <w:pPr>
              <w:spacing w:after="0"/>
              <w:rPr>
                <w:sz w:val="22"/>
                <w:szCs w:val="22"/>
                <w:color w:val="auto"/>
              </w:rPr>
            </w:pPr>
          </w:p>
        </w:tc>
        <w:tc>
          <w:tcPr>
            <w:tcW w:w="3520" w:type="dxa"/>
            <w:vAlign w:val="bottom"/>
          </w:tcPr>
          <w:p>
            <w:pPr>
              <w:jc w:val="center"/>
              <w:ind w:right="321"/>
              <w:spacing w:after="0"/>
              <w:rPr>
                <w:sz w:val="20"/>
                <w:szCs w:val="20"/>
                <w:color w:val="auto"/>
              </w:rPr>
            </w:pPr>
            <w:r>
              <w:rPr>
                <w:rFonts w:ascii="Arial" w:cs="Arial" w:eastAsia="Arial" w:hAnsi="Arial"/>
                <w:sz w:val="20"/>
                <w:szCs w:val="20"/>
                <w:b w:val="1"/>
                <w:bCs w:val="1"/>
                <w:color w:val="auto"/>
              </w:rPr>
              <w:t>L/C COMMITMENT</w:t>
            </w:r>
          </w:p>
        </w:tc>
        <w:tc>
          <w:tcPr>
            <w:tcW w:w="2460" w:type="dxa"/>
            <w:vAlign w:val="bottom"/>
          </w:tcPr>
          <w:p>
            <w:pPr>
              <w:spacing w:after="0"/>
              <w:rPr>
                <w:sz w:val="22"/>
                <w:szCs w:val="22"/>
                <w:color w:val="auto"/>
              </w:rPr>
            </w:pPr>
          </w:p>
        </w:tc>
      </w:tr>
      <w:tr>
        <w:trPr>
          <w:trHeight w:val="459"/>
        </w:trPr>
        <w:tc>
          <w:tcPr>
            <w:tcW w:w="3800" w:type="dxa"/>
            <w:vAlign w:val="bottom"/>
          </w:tcPr>
          <w:p>
            <w:pPr>
              <w:jc w:val="center"/>
              <w:ind w:right="501"/>
              <w:spacing w:after="0"/>
              <w:rPr>
                <w:sz w:val="20"/>
                <w:szCs w:val="20"/>
                <w:color w:val="auto"/>
              </w:rPr>
            </w:pPr>
            <w:r>
              <w:rPr>
                <w:rFonts w:ascii="Arial" w:cs="Arial" w:eastAsia="Arial" w:hAnsi="Arial"/>
                <w:sz w:val="20"/>
                <w:szCs w:val="20"/>
                <w:color w:val="auto"/>
                <w:w w:val="89"/>
              </w:rPr>
              <w:t>Lender</w:t>
            </w:r>
          </w:p>
        </w:tc>
        <w:tc>
          <w:tcPr>
            <w:tcW w:w="3520" w:type="dxa"/>
            <w:vAlign w:val="bottom"/>
          </w:tcPr>
          <w:p>
            <w:pPr>
              <w:jc w:val="center"/>
              <w:ind w:right="381"/>
              <w:spacing w:after="0"/>
              <w:rPr>
                <w:sz w:val="20"/>
                <w:szCs w:val="20"/>
                <w:color w:val="auto"/>
              </w:rPr>
            </w:pPr>
            <w:r>
              <w:rPr>
                <w:rFonts w:ascii="Arial" w:cs="Arial" w:eastAsia="Arial" w:hAnsi="Arial"/>
                <w:sz w:val="20"/>
                <w:szCs w:val="20"/>
                <w:color w:val="auto"/>
                <w:w w:val="93"/>
              </w:rPr>
              <w:t>L/C Commitment</w:t>
            </w:r>
          </w:p>
        </w:tc>
        <w:tc>
          <w:tcPr>
            <w:tcW w:w="2460" w:type="dxa"/>
            <w:vAlign w:val="bottom"/>
          </w:tcPr>
          <w:p>
            <w:pPr>
              <w:ind w:left="1140"/>
              <w:spacing w:after="0"/>
              <w:rPr>
                <w:sz w:val="20"/>
                <w:szCs w:val="20"/>
                <w:color w:val="auto"/>
              </w:rPr>
            </w:pPr>
            <w:r>
              <w:rPr>
                <w:rFonts w:ascii="Arial" w:cs="Arial" w:eastAsia="Arial" w:hAnsi="Arial"/>
                <w:sz w:val="20"/>
                <w:szCs w:val="20"/>
                <w:color w:val="auto"/>
                <w:w w:val="93"/>
              </w:rPr>
              <w:t>L/C Percentage</w:t>
            </w:r>
          </w:p>
        </w:tc>
      </w:tr>
      <w:tr>
        <w:trPr>
          <w:trHeight w:val="519"/>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2"/>
              </w:rPr>
              <w:t>Silicon Valley Bank</w:t>
            </w:r>
          </w:p>
        </w:tc>
        <w:tc>
          <w:tcPr>
            <w:tcW w:w="3520" w:type="dxa"/>
            <w:vAlign w:val="bottom"/>
          </w:tcPr>
          <w:p>
            <w:pPr>
              <w:jc w:val="center"/>
              <w:ind w:right="381"/>
              <w:spacing w:after="0"/>
              <w:rPr>
                <w:sz w:val="20"/>
                <w:szCs w:val="20"/>
                <w:color w:val="auto"/>
              </w:rPr>
            </w:pPr>
            <w:r>
              <w:rPr>
                <w:rFonts w:ascii="Arial" w:cs="Arial" w:eastAsia="Arial" w:hAnsi="Arial"/>
                <w:sz w:val="20"/>
                <w:szCs w:val="20"/>
                <w:color w:val="auto"/>
                <w:w w:val="89"/>
              </w:rPr>
              <w:t>$12,999,999.99</w:t>
            </w:r>
          </w:p>
        </w:tc>
        <w:tc>
          <w:tcPr>
            <w:tcW w:w="2460" w:type="dxa"/>
            <w:vAlign w:val="bottom"/>
          </w:tcPr>
          <w:p>
            <w:pPr>
              <w:jc w:val="center"/>
              <w:ind w:left="941"/>
              <w:spacing w:after="0"/>
              <w:rPr>
                <w:sz w:val="20"/>
                <w:szCs w:val="20"/>
                <w:color w:val="auto"/>
              </w:rPr>
            </w:pPr>
            <w:r>
              <w:rPr>
                <w:rFonts w:ascii="Arial" w:cs="Arial" w:eastAsia="Arial" w:hAnsi="Arial"/>
                <w:sz w:val="20"/>
                <w:szCs w:val="20"/>
                <w:color w:val="auto"/>
                <w:w w:val="89"/>
              </w:rPr>
              <w:t>13.000000000%</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89"/>
              </w:rPr>
              <w:t>JPMorgan Chase Bank, N.A.</w:t>
            </w:r>
          </w:p>
        </w:tc>
        <w:tc>
          <w:tcPr>
            <w:tcW w:w="3520" w:type="dxa"/>
            <w:vAlign w:val="bottom"/>
          </w:tcPr>
          <w:p>
            <w:pPr>
              <w:jc w:val="center"/>
              <w:ind w:right="381"/>
              <w:spacing w:after="0"/>
              <w:rPr>
                <w:sz w:val="20"/>
                <w:szCs w:val="20"/>
                <w:color w:val="auto"/>
              </w:rPr>
            </w:pPr>
            <w:r>
              <w:rPr>
                <w:rFonts w:ascii="Arial" w:cs="Arial" w:eastAsia="Arial" w:hAnsi="Arial"/>
                <w:sz w:val="20"/>
                <w:szCs w:val="20"/>
                <w:color w:val="auto"/>
                <w:w w:val="89"/>
              </w:rPr>
              <w:t>$13,000,000.00</w:t>
            </w:r>
          </w:p>
        </w:tc>
        <w:tc>
          <w:tcPr>
            <w:tcW w:w="2460" w:type="dxa"/>
            <w:vAlign w:val="bottom"/>
          </w:tcPr>
          <w:p>
            <w:pPr>
              <w:jc w:val="center"/>
              <w:ind w:left="941"/>
              <w:spacing w:after="0"/>
              <w:rPr>
                <w:sz w:val="20"/>
                <w:szCs w:val="20"/>
                <w:color w:val="auto"/>
              </w:rPr>
            </w:pPr>
            <w:r>
              <w:rPr>
                <w:rFonts w:ascii="Arial" w:cs="Arial" w:eastAsia="Arial" w:hAnsi="Arial"/>
                <w:sz w:val="20"/>
                <w:szCs w:val="20"/>
                <w:color w:val="auto"/>
                <w:w w:val="89"/>
              </w:rPr>
              <w:t>13.000000000%</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4"/>
              </w:rPr>
              <w:t>Bank of America, N.A.</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$9,333,333.33</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9.333333333%</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1"/>
              </w:rPr>
              <w:t>Barclays Bank PLC</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$9,333,333.33</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9.333333333%</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6"/>
              </w:rPr>
              <w:t>Citibank, N.A.</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$9,333,333.33</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9.333333333%</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1"/>
              </w:rPr>
              <w:t>Wells Fargo Bank, N.A.</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$9,333,333.33</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9.333333333%</w:t>
            </w:r>
          </w:p>
        </w:tc>
      </w:tr>
      <w:tr>
        <w:trPr>
          <w:trHeight w:val="243"/>
        </w:trPr>
        <w:tc>
          <w:tcPr>
            <w:tcW w:w="3800" w:type="dxa"/>
            <w:vAlign w:val="bottom"/>
          </w:tcPr>
          <w:p>
            <w:pPr>
              <w:jc w:val="center"/>
              <w:ind w:right="501"/>
              <w:spacing w:after="0"/>
              <w:rPr>
                <w:sz w:val="20"/>
                <w:szCs w:val="20"/>
                <w:color w:val="auto"/>
              </w:rPr>
            </w:pPr>
            <w:r>
              <w:rPr>
                <w:rFonts w:ascii="Arial" w:cs="Arial" w:eastAsia="Arial" w:hAnsi="Arial"/>
                <w:sz w:val="20"/>
                <w:szCs w:val="20"/>
                <w:color w:val="auto"/>
                <w:w w:val="89"/>
              </w:rPr>
              <w:t>Goldman Sachs Bank USA</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$6,666,666.67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6.666666667%</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3"/>
              </w:rPr>
              <w:t>Mizuho Bank, Ltd.</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$6,666,666.67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6.666666667%</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7"/>
              </w:rPr>
              <w:t>BBVA USA</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$4,666,666.67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4.666666667%</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89"/>
              </w:rPr>
              <w:t>Comerica Bank</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$4,666,666.67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4.666666667%</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89"/>
              </w:rPr>
              <w:t>Credit Suisse AG</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$4,666,666.67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4.666666667%</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1"/>
              </w:rPr>
              <w:t>HSBC Bank USA, National Association</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$4,666,666.67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4.666666667%</w:t>
            </w:r>
          </w:p>
        </w:tc>
      </w:tr>
      <w:tr>
        <w:trPr>
          <w:trHeight w:val="243"/>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2"/>
              </w:rPr>
              <w:t>Truist Bank</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$4,666,666.67</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4.666666667%</w:t>
            </w:r>
          </w:p>
        </w:tc>
      </w:tr>
      <w:tr>
        <w:trPr>
          <w:trHeight w:val="250"/>
        </w:trPr>
        <w:tc>
          <w:tcPr>
            <w:tcW w:w="3800" w:type="dxa"/>
            <w:vAlign w:val="bottom"/>
          </w:tcPr>
          <w:p>
            <w:pPr>
              <w:jc w:val="center"/>
              <w:ind w:right="521"/>
              <w:spacing w:after="0"/>
              <w:rPr>
                <w:sz w:val="20"/>
                <w:szCs w:val="20"/>
                <w:color w:val="auto"/>
              </w:rPr>
            </w:pPr>
            <w:r>
              <w:rPr>
                <w:rFonts w:ascii="Arial" w:cs="Arial" w:eastAsia="Arial" w:hAnsi="Arial"/>
                <w:sz w:val="20"/>
                <w:szCs w:val="20"/>
                <w:color w:val="auto"/>
                <w:w w:val="94"/>
              </w:rPr>
              <w:t>Total</w:t>
            </w:r>
          </w:p>
        </w:tc>
        <w:tc>
          <w:tcPr>
            <w:tcW w:w="3520" w:type="dxa"/>
            <w:vAlign w:val="bottom"/>
          </w:tcPr>
          <w:p>
            <w:pPr>
              <w:jc w:val="center"/>
              <w:ind w:right="361"/>
              <w:spacing w:after="0"/>
              <w:rPr>
                <w:sz w:val="20"/>
                <w:szCs w:val="20"/>
                <w:color w:val="auto"/>
              </w:rPr>
            </w:pPr>
            <w:r>
              <w:rPr>
                <w:rFonts w:ascii="Arial" w:cs="Arial" w:eastAsia="Arial" w:hAnsi="Arial"/>
                <w:sz w:val="20"/>
                <w:szCs w:val="20"/>
                <w:color w:val="auto"/>
                <w:w w:val="89"/>
              </w:rPr>
              <w:t>$100,000,000.00</w:t>
            </w:r>
          </w:p>
        </w:tc>
        <w:tc>
          <w:tcPr>
            <w:tcW w:w="2460" w:type="dxa"/>
            <w:vAlign w:val="bottom"/>
          </w:tcPr>
          <w:p>
            <w:pPr>
              <w:jc w:val="center"/>
              <w:ind w:left="961"/>
              <w:spacing w:after="0"/>
              <w:rPr>
                <w:sz w:val="20"/>
                <w:szCs w:val="20"/>
                <w:color w:val="auto"/>
              </w:rPr>
            </w:pPr>
            <w:r>
              <w:rPr>
                <w:rFonts w:ascii="Arial" w:cs="Arial" w:eastAsia="Arial" w:hAnsi="Arial"/>
                <w:sz w:val="20"/>
                <w:szCs w:val="20"/>
                <w:color w:val="auto"/>
                <w:w w:val="89"/>
              </w:rPr>
              <w:t>100.000000000%</w:t>
            </w:r>
          </w:p>
        </w:tc>
      </w:tr>
    </w:tbl>
    <w:p>
      <w:pPr>
        <w:spacing w:after="0" w:line="200" w:lineRule="exact"/>
        <w:rPr>
          <w:sz w:val="20"/>
          <w:szCs w:val="20"/>
          <w:color w:val="auto"/>
        </w:rPr>
      </w:pPr>
    </w:p>
    <w:p>
      <w:pPr>
        <w:spacing w:after="0" w:line="313" w:lineRule="exact"/>
        <w:rPr>
          <w:sz w:val="20"/>
          <w:szCs w:val="20"/>
          <w:color w:val="auto"/>
        </w:rPr>
      </w:pPr>
    </w:p>
    <w:tbl>
      <w:tblPr>
        <w:tblLayout w:type="fixed"/>
        <w:tblInd w:w="780" w:type="dxa"/>
        <w:tblCellMar>
          <w:top w:w="0" w:type="dxa"/>
          <w:left w:w="0" w:type="dxa"/>
          <w:bottom w:w="0" w:type="dxa"/>
          <w:right w:w="0" w:type="dxa"/>
        </w:tblCellMar>
      </w:tblPr>
      <w:tr>
        <w:trPr>
          <w:trHeight w:val="256"/>
        </w:trPr>
        <w:tc>
          <w:tcPr>
            <w:tcW w:w="2400" w:type="dxa"/>
            <w:vAlign w:val="bottom"/>
          </w:tcPr>
          <w:p>
            <w:pPr>
              <w:spacing w:after="0"/>
              <w:rPr>
                <w:sz w:val="22"/>
                <w:szCs w:val="22"/>
                <w:color w:val="auto"/>
              </w:rPr>
            </w:pPr>
          </w:p>
        </w:tc>
        <w:tc>
          <w:tcPr>
            <w:tcW w:w="4280" w:type="dxa"/>
            <w:vAlign w:val="bottom"/>
          </w:tcPr>
          <w:p>
            <w:pPr>
              <w:ind w:left="820"/>
              <w:spacing w:after="0"/>
              <w:rPr>
                <w:sz w:val="20"/>
                <w:szCs w:val="20"/>
                <w:color w:val="auto"/>
              </w:rPr>
            </w:pPr>
            <w:r>
              <w:rPr>
                <w:rFonts w:ascii="Arial" w:cs="Arial" w:eastAsia="Arial" w:hAnsi="Arial"/>
                <w:sz w:val="20"/>
                <w:szCs w:val="20"/>
                <w:b w:val="1"/>
                <w:bCs w:val="1"/>
                <w:color w:val="auto"/>
              </w:rPr>
              <w:t>SWINGLINE COMMITMENT</w:t>
            </w:r>
          </w:p>
        </w:tc>
        <w:tc>
          <w:tcPr>
            <w:tcW w:w="2440" w:type="dxa"/>
            <w:vAlign w:val="bottom"/>
          </w:tcPr>
          <w:p>
            <w:pPr>
              <w:spacing w:after="0"/>
              <w:rPr>
                <w:sz w:val="22"/>
                <w:szCs w:val="22"/>
                <w:color w:val="auto"/>
              </w:rPr>
            </w:pPr>
          </w:p>
        </w:tc>
      </w:tr>
      <w:tr>
        <w:trPr>
          <w:trHeight w:val="459"/>
        </w:trPr>
        <w:tc>
          <w:tcPr>
            <w:tcW w:w="2400" w:type="dxa"/>
            <w:vAlign w:val="bottom"/>
          </w:tcPr>
          <w:p>
            <w:pPr>
              <w:jc w:val="center"/>
              <w:ind w:right="701"/>
              <w:spacing w:after="0"/>
              <w:rPr>
                <w:sz w:val="20"/>
                <w:szCs w:val="20"/>
                <w:color w:val="auto"/>
              </w:rPr>
            </w:pPr>
            <w:r>
              <w:rPr>
                <w:rFonts w:ascii="Arial" w:cs="Arial" w:eastAsia="Arial" w:hAnsi="Arial"/>
                <w:sz w:val="20"/>
                <w:szCs w:val="20"/>
                <w:color w:val="auto"/>
                <w:w w:val="89"/>
              </w:rPr>
              <w:t>Lender</w:t>
            </w:r>
          </w:p>
        </w:tc>
        <w:tc>
          <w:tcPr>
            <w:tcW w:w="4280" w:type="dxa"/>
            <w:vAlign w:val="bottom"/>
          </w:tcPr>
          <w:p>
            <w:pPr>
              <w:jc w:val="center"/>
              <w:spacing w:after="0"/>
              <w:rPr>
                <w:sz w:val="20"/>
                <w:szCs w:val="20"/>
                <w:color w:val="auto"/>
              </w:rPr>
            </w:pPr>
            <w:r>
              <w:rPr>
                <w:rFonts w:ascii="Arial" w:cs="Arial" w:eastAsia="Arial" w:hAnsi="Arial"/>
                <w:sz w:val="20"/>
                <w:szCs w:val="20"/>
                <w:color w:val="auto"/>
                <w:w w:val="92"/>
              </w:rPr>
              <w:t>Swingline Commitment</w:t>
            </w:r>
          </w:p>
        </w:tc>
        <w:tc>
          <w:tcPr>
            <w:tcW w:w="2440" w:type="dxa"/>
            <w:vAlign w:val="bottom"/>
          </w:tcPr>
          <w:p>
            <w:pPr>
              <w:jc w:val="center"/>
              <w:ind w:left="681"/>
              <w:spacing w:after="0"/>
              <w:rPr>
                <w:sz w:val="20"/>
                <w:szCs w:val="20"/>
                <w:color w:val="auto"/>
              </w:rPr>
            </w:pPr>
            <w:r>
              <w:rPr>
                <w:rFonts w:ascii="Arial" w:cs="Arial" w:eastAsia="Arial" w:hAnsi="Arial"/>
                <w:sz w:val="20"/>
                <w:szCs w:val="20"/>
                <w:color w:val="auto"/>
                <w:w w:val="86"/>
              </w:rPr>
              <w:t>Exposure Percentage</w:t>
            </w:r>
          </w:p>
        </w:tc>
      </w:tr>
      <w:tr>
        <w:trPr>
          <w:trHeight w:val="519"/>
        </w:trPr>
        <w:tc>
          <w:tcPr>
            <w:tcW w:w="2400" w:type="dxa"/>
            <w:vAlign w:val="bottom"/>
          </w:tcPr>
          <w:p>
            <w:pPr>
              <w:jc w:val="center"/>
              <w:ind w:right="721"/>
              <w:spacing w:after="0"/>
              <w:rPr>
                <w:sz w:val="20"/>
                <w:szCs w:val="20"/>
                <w:color w:val="auto"/>
              </w:rPr>
            </w:pPr>
            <w:r>
              <w:rPr>
                <w:rFonts w:ascii="Arial" w:cs="Arial" w:eastAsia="Arial" w:hAnsi="Arial"/>
                <w:sz w:val="20"/>
                <w:szCs w:val="20"/>
                <w:color w:val="auto"/>
                <w:w w:val="92"/>
              </w:rPr>
              <w:t>Silicon Valley Bank</w:t>
            </w:r>
          </w:p>
        </w:tc>
        <w:tc>
          <w:tcPr>
            <w:tcW w:w="4280" w:type="dxa"/>
            <w:vAlign w:val="bottom"/>
          </w:tcPr>
          <w:p>
            <w:pPr>
              <w:jc w:val="center"/>
              <w:spacing w:after="0"/>
              <w:rPr>
                <w:sz w:val="20"/>
                <w:szCs w:val="20"/>
                <w:color w:val="auto"/>
              </w:rPr>
            </w:pPr>
            <w:r>
              <w:rPr>
                <w:rFonts w:ascii="Arial" w:cs="Arial" w:eastAsia="Arial" w:hAnsi="Arial"/>
                <w:sz w:val="20"/>
                <w:szCs w:val="20"/>
                <w:color w:val="auto"/>
                <w:w w:val="89"/>
              </w:rPr>
              <w:t>$50,000,000.00</w:t>
            </w:r>
          </w:p>
        </w:tc>
        <w:tc>
          <w:tcPr>
            <w:tcW w:w="2440" w:type="dxa"/>
            <w:vAlign w:val="bottom"/>
          </w:tcPr>
          <w:p>
            <w:pPr>
              <w:jc w:val="center"/>
              <w:ind w:left="681"/>
              <w:spacing w:after="0"/>
              <w:rPr>
                <w:sz w:val="20"/>
                <w:szCs w:val="20"/>
                <w:color w:val="auto"/>
              </w:rPr>
            </w:pPr>
            <w:r>
              <w:rPr>
                <w:rFonts w:ascii="Arial" w:cs="Arial" w:eastAsia="Arial" w:hAnsi="Arial"/>
                <w:sz w:val="20"/>
                <w:szCs w:val="20"/>
                <w:color w:val="auto"/>
                <w:w w:val="90"/>
              </w:rPr>
              <w:t>100.000000000%</w:t>
            </w:r>
          </w:p>
        </w:tc>
      </w:tr>
      <w:tr>
        <w:trPr>
          <w:trHeight w:val="250"/>
        </w:trPr>
        <w:tc>
          <w:tcPr>
            <w:tcW w:w="2400" w:type="dxa"/>
            <w:vAlign w:val="bottom"/>
          </w:tcPr>
          <w:p>
            <w:pPr>
              <w:jc w:val="center"/>
              <w:ind w:right="721"/>
              <w:spacing w:after="0"/>
              <w:rPr>
                <w:sz w:val="20"/>
                <w:szCs w:val="20"/>
                <w:color w:val="auto"/>
              </w:rPr>
            </w:pPr>
            <w:r>
              <w:rPr>
                <w:rFonts w:ascii="Arial" w:cs="Arial" w:eastAsia="Arial" w:hAnsi="Arial"/>
                <w:sz w:val="20"/>
                <w:szCs w:val="20"/>
                <w:color w:val="auto"/>
                <w:w w:val="94"/>
              </w:rPr>
              <w:t>Total</w:t>
            </w:r>
          </w:p>
        </w:tc>
        <w:tc>
          <w:tcPr>
            <w:tcW w:w="4280" w:type="dxa"/>
            <w:vAlign w:val="bottom"/>
          </w:tcPr>
          <w:p>
            <w:pPr>
              <w:jc w:val="center"/>
              <w:spacing w:after="0"/>
              <w:rPr>
                <w:sz w:val="20"/>
                <w:szCs w:val="20"/>
                <w:color w:val="auto"/>
              </w:rPr>
            </w:pPr>
            <w:r>
              <w:rPr>
                <w:rFonts w:ascii="Arial" w:cs="Arial" w:eastAsia="Arial" w:hAnsi="Arial"/>
                <w:sz w:val="20"/>
                <w:szCs w:val="20"/>
                <w:color w:val="auto"/>
                <w:w w:val="89"/>
              </w:rPr>
              <w:t>$50,000,000.00</w:t>
            </w:r>
          </w:p>
        </w:tc>
        <w:tc>
          <w:tcPr>
            <w:tcW w:w="2440" w:type="dxa"/>
            <w:vAlign w:val="bottom"/>
          </w:tcPr>
          <w:p>
            <w:pPr>
              <w:jc w:val="center"/>
              <w:ind w:left="681"/>
              <w:spacing w:after="0"/>
              <w:rPr>
                <w:sz w:val="20"/>
                <w:szCs w:val="20"/>
                <w:color w:val="auto"/>
              </w:rPr>
            </w:pPr>
            <w:r>
              <w:rPr>
                <w:rFonts w:ascii="Arial" w:cs="Arial" w:eastAsia="Arial" w:hAnsi="Arial"/>
                <w:sz w:val="20"/>
                <w:szCs w:val="20"/>
                <w:color w:val="auto"/>
                <w:w w:val="90"/>
              </w:rPr>
              <w:t>100.000000000%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900"/>
          </w:cols>
          <w:pgMar w:left="600" w:top="1440" w:right="139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8340" w:type="dxa"/>
            <w:vAlign w:val="bottom"/>
            <w:gridSpan w:val="3"/>
          </w:tcPr>
          <w:p>
            <w:pPr>
              <w:jc w:val="center"/>
              <w:ind w:right="2790"/>
              <w:spacing w:after="0"/>
              <w:rPr>
                <w:sz w:val="20"/>
                <w:szCs w:val="20"/>
                <w:color w:val="auto"/>
              </w:rPr>
            </w:pPr>
            <w:r>
              <w:rPr>
                <w:rFonts w:ascii="Arial" w:cs="Arial" w:eastAsia="Arial" w:hAnsi="Arial"/>
                <w:sz w:val="18"/>
                <w:szCs w:val="18"/>
                <w:b w:val="1"/>
                <w:bCs w:val="1"/>
                <w:color w:val="auto"/>
                <w:w w:val="99"/>
              </w:rPr>
              <w:t>LIST OF SUBSIDIARIES</w:t>
            </w:r>
          </w:p>
        </w:tc>
      </w:tr>
      <w:tr>
        <w:trPr>
          <w:trHeight w:val="216"/>
        </w:trPr>
        <w:tc>
          <w:tcPr>
            <w:tcW w:w="2900" w:type="dxa"/>
            <w:vAlign w:val="bottom"/>
          </w:tcPr>
          <w:p>
            <w:pPr>
              <w:spacing w:after="0"/>
              <w:rPr>
                <w:sz w:val="18"/>
                <w:szCs w:val="18"/>
                <w:color w:val="auto"/>
              </w:rPr>
            </w:pPr>
          </w:p>
        </w:tc>
        <w:tc>
          <w:tcPr>
            <w:tcW w:w="8340" w:type="dxa"/>
            <w:vAlign w:val="bottom"/>
            <w:gridSpan w:val="3"/>
          </w:tcPr>
          <w:p>
            <w:pPr>
              <w:jc w:val="center"/>
              <w:ind w:right="2810"/>
              <w:spacing w:after="0"/>
              <w:rPr>
                <w:sz w:val="20"/>
                <w:szCs w:val="20"/>
                <w:color w:val="auto"/>
              </w:rPr>
            </w:pPr>
            <w:r>
              <w:rPr>
                <w:rFonts w:ascii="Arial" w:cs="Arial" w:eastAsia="Arial" w:hAnsi="Arial"/>
                <w:sz w:val="18"/>
                <w:szCs w:val="18"/>
                <w:b w:val="1"/>
                <w:bCs w:val="1"/>
                <w:color w:val="auto"/>
                <w:w w:val="95"/>
              </w:rPr>
              <w:t>OF</w:t>
            </w:r>
          </w:p>
        </w:tc>
      </w:tr>
      <w:tr>
        <w:trPr>
          <w:trHeight w:val="234"/>
        </w:trPr>
        <w:tc>
          <w:tcPr>
            <w:tcW w:w="2900" w:type="dxa"/>
            <w:vAlign w:val="bottom"/>
          </w:tcPr>
          <w:p>
            <w:pPr>
              <w:spacing w:after="0"/>
              <w:rPr>
                <w:sz w:val="20"/>
                <w:szCs w:val="20"/>
                <w:color w:val="auto"/>
              </w:rPr>
            </w:pPr>
          </w:p>
        </w:tc>
        <w:tc>
          <w:tcPr>
            <w:tcW w:w="8340" w:type="dxa"/>
            <w:vAlign w:val="bottom"/>
            <w:gridSpan w:val="3"/>
          </w:tcPr>
          <w:p>
            <w:pPr>
              <w:jc w:val="center"/>
              <w:ind w:right="2810"/>
              <w:spacing w:after="0"/>
              <w:rPr>
                <w:sz w:val="20"/>
                <w:szCs w:val="20"/>
                <w:color w:val="auto"/>
              </w:rPr>
            </w:pPr>
            <w:r>
              <w:rPr>
                <w:rFonts w:ascii="Arial" w:cs="Arial" w:eastAsia="Arial" w:hAnsi="Arial"/>
                <w:sz w:val="18"/>
                <w:szCs w:val="18"/>
                <w:b w:val="1"/>
                <w:bCs w:val="1"/>
                <w:color w:val="auto"/>
              </w:rPr>
              <w:t>CROWDSTRIKE HOLDINGS, INC.</w:t>
            </w:r>
          </w:p>
        </w:tc>
      </w:tr>
      <w:tr>
        <w:trPr>
          <w:trHeight w:val="25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CrowdStrike, Inc.</w:t>
            </w: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CrowdStrike UK LTD</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Humio ApS</w:t>
            </w:r>
          </w:p>
        </w:tc>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240"/>
          </w:cols>
          <w:pgMar w:left="320" w:top="1417" w:right="3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333-252007) and on Form S-8 (Nos. 333-254460, 333-237343, and 333-232084) of CrowdStrike Holdings, Inc. of our report dated March 16,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ectPr>
          <w:pgSz w:w="11900" w:h="16838" w:orient="portrait"/>
          <w:cols w:equalWidth="0" w:num="1">
            <w:col w:w="11240"/>
          </w:cols>
          <w:pgMar w:left="320" w:top="891" w:right="3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08"/>
        <w:spacing w:after="0"/>
        <w:tabs>
          <w:tab w:leader="none" w:pos="6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CrowdStrike Holdings,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4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00" w:hanging="328"/>
        <w:spacing w:after="0" w:line="342" w:lineRule="auto"/>
        <w:tabs>
          <w:tab w:leader="none" w:pos="64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March 16, 2022</w:t>
            </w:r>
          </w:p>
        </w:tc>
        <w:tc>
          <w:tcPr>
            <w:tcW w:w="6860" w:type="dxa"/>
            <w:vAlign w:val="bottom"/>
            <w:gridSpan w:val="3"/>
          </w:tcPr>
          <w:p>
            <w:pPr>
              <w:ind w:left="2120"/>
              <w:spacing w:after="0"/>
              <w:rPr>
                <w:sz w:val="20"/>
                <w:szCs w:val="20"/>
                <w:color w:val="auto"/>
              </w:rPr>
            </w:pPr>
            <w:r>
              <w:rPr>
                <w:rFonts w:ascii="Arial" w:cs="Arial" w:eastAsia="Arial" w:hAnsi="Arial"/>
                <w:sz w:val="18"/>
                <w:szCs w:val="18"/>
                <w:color w:val="auto"/>
              </w:rPr>
              <w:t>CROWDSTRIKE HOLDINGS, INC.</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720" w:type="dxa"/>
            <w:vAlign w:val="bottom"/>
          </w:tcPr>
          <w:p>
            <w:pPr>
              <w:ind w:left="2120"/>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rPr>
              <w:t>/s/ George Kurtz</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720" w:type="dxa"/>
            <w:vAlign w:val="bottom"/>
            <w:vMerge w:val="restart"/>
          </w:tcPr>
          <w:p>
            <w:pPr>
              <w:ind w:left="2120"/>
              <w:spacing w:after="0"/>
              <w:rPr>
                <w:sz w:val="20"/>
                <w:szCs w:val="20"/>
                <w:color w:val="auto"/>
              </w:rPr>
            </w:pPr>
            <w:r>
              <w:rPr>
                <w:rFonts w:ascii="Arial" w:cs="Arial" w:eastAsia="Arial" w:hAnsi="Arial"/>
                <w:sz w:val="18"/>
                <w:szCs w:val="18"/>
                <w:color w:val="auto"/>
              </w:rPr>
              <w:t>Name:</w:t>
            </w:r>
          </w:p>
        </w:tc>
        <w:tc>
          <w:tcPr>
            <w:tcW w:w="42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2720" w:type="dxa"/>
            <w:vAlign w:val="bottom"/>
            <w:vMerge w:val="continue"/>
          </w:tcPr>
          <w:p>
            <w:pPr>
              <w:spacing w:after="0"/>
              <w:rPr>
                <w:sz w:val="19"/>
                <w:szCs w:val="19"/>
                <w:color w:val="auto"/>
              </w:rPr>
            </w:pPr>
          </w:p>
        </w:tc>
        <w:tc>
          <w:tcPr>
            <w:tcW w:w="4140" w:type="dxa"/>
            <w:vAlign w:val="bottom"/>
            <w:gridSpan w:val="2"/>
          </w:tcPr>
          <w:p>
            <w:pPr>
              <w:ind w:left="100"/>
              <w:spacing w:after="0"/>
              <w:rPr>
                <w:sz w:val="20"/>
                <w:szCs w:val="20"/>
                <w:color w:val="auto"/>
              </w:rPr>
            </w:pPr>
            <w:r>
              <w:rPr>
                <w:rFonts w:ascii="Arial" w:cs="Arial" w:eastAsia="Arial" w:hAnsi="Arial"/>
                <w:sz w:val="18"/>
                <w:szCs w:val="18"/>
                <w:color w:val="auto"/>
              </w:rPr>
              <w:t>George Kurtz</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720" w:type="dxa"/>
            <w:vAlign w:val="bottom"/>
          </w:tcPr>
          <w:p>
            <w:pPr>
              <w:ind w:left="2120"/>
              <w:spacing w:after="0" w:line="176" w:lineRule="exact"/>
              <w:rPr>
                <w:sz w:val="20"/>
                <w:szCs w:val="20"/>
                <w:color w:val="auto"/>
              </w:rPr>
            </w:pPr>
            <w:r>
              <w:rPr>
                <w:rFonts w:ascii="Arial" w:cs="Arial" w:eastAsia="Arial" w:hAnsi="Arial"/>
                <w:sz w:val="18"/>
                <w:szCs w:val="18"/>
                <w:color w:val="auto"/>
              </w:rPr>
              <w:t>Title:</w:t>
            </w:r>
          </w:p>
        </w:tc>
        <w:tc>
          <w:tcPr>
            <w:tcW w:w="414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7" w:right="3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CrowdStrike Holdings, Inc.;</w:t>
      </w:r>
    </w:p>
    <w:p>
      <w:pPr>
        <w:spacing w:after="0" w:line="184"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80" w:type="dxa"/>
        <w:tblCellMar>
          <w:top w:w="0" w:type="dxa"/>
          <w:left w:w="0" w:type="dxa"/>
          <w:bottom w:w="0" w:type="dxa"/>
          <w:right w:w="0" w:type="dxa"/>
        </w:tblCellMar>
      </w:tblP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Date: March 16, 2022</w:t>
            </w:r>
          </w:p>
        </w:tc>
        <w:tc>
          <w:tcPr>
            <w:tcW w:w="6580" w:type="dxa"/>
            <w:vAlign w:val="bottom"/>
            <w:gridSpan w:val="3"/>
          </w:tcPr>
          <w:p>
            <w:pPr>
              <w:ind w:left="2220"/>
              <w:spacing w:after="0"/>
              <w:rPr>
                <w:sz w:val="20"/>
                <w:szCs w:val="20"/>
                <w:color w:val="auto"/>
              </w:rPr>
            </w:pPr>
            <w:r>
              <w:rPr>
                <w:rFonts w:ascii="Arial" w:cs="Arial" w:eastAsia="Arial" w:hAnsi="Arial"/>
                <w:sz w:val="18"/>
                <w:szCs w:val="18"/>
                <w:color w:val="auto"/>
              </w:rPr>
              <w:t>CROWDSTRIKE HOLDINGS, INC.</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820" w:type="dxa"/>
            <w:vAlign w:val="bottom"/>
          </w:tcPr>
          <w:p>
            <w:pPr>
              <w:ind w:left="222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100"/>
              <w:spacing w:after="0"/>
              <w:rPr>
                <w:sz w:val="20"/>
                <w:szCs w:val="20"/>
                <w:color w:val="auto"/>
              </w:rPr>
            </w:pPr>
            <w:r>
              <w:rPr>
                <w:rFonts w:ascii="Arial" w:cs="Arial" w:eastAsia="Arial" w:hAnsi="Arial"/>
                <w:sz w:val="18"/>
                <w:szCs w:val="18"/>
                <w:color w:val="auto"/>
              </w:rPr>
              <w:t>/s/ Burt W. Podbere</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19"/>
                <w:szCs w:val="19"/>
                <w:color w:val="auto"/>
              </w:rPr>
            </w:pPr>
          </w:p>
        </w:tc>
        <w:tc>
          <w:tcPr>
            <w:tcW w:w="2820" w:type="dxa"/>
            <w:vAlign w:val="bottom"/>
          </w:tcPr>
          <w:p>
            <w:pPr>
              <w:ind w:left="2220"/>
              <w:spacing w:after="0"/>
              <w:rPr>
                <w:sz w:val="20"/>
                <w:szCs w:val="20"/>
                <w:color w:val="auto"/>
              </w:rPr>
            </w:pPr>
            <w:r>
              <w:rPr>
                <w:rFonts w:ascii="Arial" w:cs="Arial" w:eastAsia="Arial" w:hAnsi="Arial"/>
                <w:sz w:val="18"/>
                <w:szCs w:val="18"/>
                <w:color w:val="auto"/>
              </w:rPr>
              <w:t>Name:</w:t>
            </w:r>
          </w:p>
        </w:tc>
        <w:tc>
          <w:tcPr>
            <w:tcW w:w="420" w:type="dxa"/>
            <w:vAlign w:val="bottom"/>
          </w:tcPr>
          <w:p>
            <w:pPr>
              <w:ind w:left="100"/>
              <w:spacing w:after="0"/>
              <w:rPr>
                <w:sz w:val="20"/>
                <w:szCs w:val="20"/>
                <w:color w:val="auto"/>
              </w:rPr>
            </w:pPr>
            <w:r>
              <w:rPr>
                <w:rFonts w:ascii="Arial" w:cs="Arial" w:eastAsia="Arial" w:hAnsi="Arial"/>
                <w:sz w:val="18"/>
                <w:szCs w:val="18"/>
                <w:color w:val="auto"/>
                <w:w w:val="90"/>
              </w:rPr>
              <w:t>Burt</w:t>
            </w:r>
          </w:p>
        </w:tc>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 Podbere</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820" w:type="dxa"/>
            <w:vAlign w:val="bottom"/>
            <w:vMerge w:val="restart"/>
          </w:tcPr>
          <w:p>
            <w:pPr>
              <w:ind w:left="2220"/>
              <w:spacing w:after="0"/>
              <w:rPr>
                <w:sz w:val="20"/>
                <w:szCs w:val="20"/>
                <w:color w:val="auto"/>
              </w:rPr>
            </w:pPr>
            <w:r>
              <w:rPr>
                <w:rFonts w:ascii="Arial" w:cs="Arial" w:eastAsia="Arial" w:hAnsi="Arial"/>
                <w:sz w:val="18"/>
                <w:szCs w:val="18"/>
                <w:color w:val="auto"/>
              </w:rPr>
              <w:t>Title:</w:t>
            </w:r>
          </w:p>
        </w:tc>
        <w:tc>
          <w:tcPr>
            <w:tcW w:w="376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George Kurtz, the President and Chief Executive Officer of CrowdStrike Holdings, Inc., certify, pursuant to 18 U.S.C. Section 1350, as adopted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Section 906 of the Sarbanes-Oxley Act of 2002, that the Annual Report on Form 10-K of CrowdStrike Holdings, Inc. for the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2022 fully complies with the requirements of Section 13(a) or 15(d) of the Securities Exchange Act of 1934 and that information contained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Annual Report on Form 10-K fairly presents, in all material respects, the financial condition and results of operations of CrowdStrike Holdings, Inc.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2022</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Kurtz</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George Kurtz</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8"/>
              </w:rPr>
              <w:t>President, Chief Executive Officer, and Director</w:t>
            </w:r>
          </w:p>
        </w:tc>
      </w:tr>
      <w:tr>
        <w:trPr>
          <w:trHeight w:val="230"/>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9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 Burt W. Podbere, the Chief Financial Officer of CrowdStrike Holdings, Inc., certify, pursuant to 18 U.S.C. Section 1350, as adopted pursuant to Section 906 of the Sarbanes-Oxley Act of 2002, that the Annual Report on Form 10-K of CrowdStrike Holdings, Inc. for the fiscal year ended January 31, 2022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16, 2022</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29"/>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Burt W. Podbere</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Burt W. Podbere</w:t>
            </w:r>
          </w:p>
        </w:tc>
        <w:tc>
          <w:tcPr>
            <w:tcW w:w="0" w:type="dxa"/>
            <w:vAlign w:val="bottom"/>
          </w:tcPr>
          <w:p>
            <w:pPr>
              <w:spacing w:after="0"/>
              <w:rPr>
                <w:sz w:val="1"/>
                <w:szCs w:val="1"/>
                <w:color w:val="auto"/>
              </w:rPr>
            </w:pPr>
          </w:p>
        </w:tc>
      </w:tr>
      <w:tr>
        <w:trPr>
          <w:trHeight w:val="176"/>
        </w:trPr>
        <w:tc>
          <w:tcPr>
            <w:tcW w:w="7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FAED9"/>
    <w:multiLevelType w:val="hybridMultilevel"/>
    <w:lvl w:ilvl="0">
      <w:lvlJc w:val="left"/>
      <w:lvlText w:val="☑"/>
      <w:numFmt w:val="bullet"/>
      <w:start w:val="1"/>
    </w:lvl>
  </w:abstractNum>
  <w:abstractNum w:abstractNumId="1">
    <w:nsid w:val="F856867"/>
    <w:multiLevelType w:val="hybridMultilevel"/>
    <w:lvl w:ilvl="0">
      <w:lvlJc w:val="left"/>
      <w:lvlText w:val="☐"/>
      <w:numFmt w:val="bullet"/>
      <w:start w:val="1"/>
    </w:lvl>
  </w:abstractNum>
  <w:abstractNum w:abstractNumId="2">
    <w:nsid w:val="11B1CC33"/>
    <w:multiLevelType w:val="hybridMultilevel"/>
    <w:lvl w:ilvl="0">
      <w:lvlJc w:val="left"/>
      <w:lvlText w:val="•"/>
      <w:numFmt w:val="bullet"/>
      <w:start w:val="1"/>
    </w:lvl>
  </w:abstractNum>
  <w:abstractNum w:abstractNumId="3">
    <w:nsid w:val="2E22FBB7"/>
    <w:multiLevelType w:val="hybridMultilevel"/>
    <w:lvl w:ilvl="0">
      <w:lvlJc w:val="left"/>
      <w:lvlText w:val="•"/>
      <w:numFmt w:val="bullet"/>
      <w:start w:val="1"/>
    </w:lvl>
  </w:abstractNum>
  <w:abstractNum w:abstractNumId="4">
    <w:nsid w:val="29934699"/>
    <w:multiLevelType w:val="hybridMultilevel"/>
    <w:lvl w:ilvl="0">
      <w:lvlJc w:val="left"/>
      <w:lvlText w:val="•"/>
      <w:numFmt w:val="bullet"/>
      <w:start w:val="1"/>
    </w:lvl>
  </w:abstractNum>
  <w:abstractNum w:abstractNumId="5">
    <w:nsid w:val="77485850"/>
    <w:multiLevelType w:val="hybridMultilevel"/>
    <w:lvl w:ilvl="0">
      <w:lvlJc w:val="left"/>
      <w:lvlText w:val="•"/>
      <w:numFmt w:val="bullet"/>
      <w:start w:val="1"/>
    </w:lvl>
  </w:abstractNum>
  <w:abstractNum w:abstractNumId="6">
    <w:nsid w:val="744939A3"/>
    <w:multiLevelType w:val="hybridMultilevel"/>
    <w:lvl w:ilvl="0">
      <w:lvlJc w:val="left"/>
      <w:lvlText w:val="•"/>
      <w:numFmt w:val="bullet"/>
      <w:start w:val="1"/>
    </w:lvl>
  </w:abstractNum>
  <w:abstractNum w:abstractNumId="7">
    <w:nsid w:val="4FA0D2E3"/>
    <w:multiLevelType w:val="hybridMultilevel"/>
    <w:lvl w:ilvl="0">
      <w:lvlJc w:val="left"/>
      <w:lvlText w:val="•"/>
      <w:numFmt w:val="bullet"/>
      <w:start w:val="1"/>
    </w:lvl>
  </w:abstractNum>
  <w:abstractNum w:abstractNumId="8">
    <w:nsid w:val="6B1D2C14"/>
    <w:multiLevelType w:val="hybridMultilevel"/>
    <w:lvl w:ilvl="0">
      <w:lvlJc w:val="left"/>
      <w:lvlText w:val="•"/>
      <w:numFmt w:val="bullet"/>
      <w:start w:val="1"/>
    </w:lvl>
  </w:abstractNum>
  <w:abstractNum w:abstractNumId="9">
    <w:nsid w:val="68B867D3"/>
    <w:multiLevelType w:val="hybridMultilevel"/>
    <w:lvl w:ilvl="0">
      <w:lvlJc w:val="left"/>
      <w:lvlText w:val="•"/>
      <w:numFmt w:val="bullet"/>
      <w:start w:val="1"/>
    </w:lvl>
  </w:abstractNum>
  <w:abstractNum w:abstractNumId="10">
    <w:nsid w:val="3F7F5DD9"/>
    <w:multiLevelType w:val="hybridMultilevel"/>
    <w:lvl w:ilvl="0">
      <w:lvlJc w:val="left"/>
      <w:lvlText w:val="•"/>
      <w:numFmt w:val="bullet"/>
      <w:start w:val="1"/>
    </w:lvl>
  </w:abstractNum>
  <w:abstractNum w:abstractNumId="11">
    <w:nsid w:val="2AE05A34"/>
    <w:multiLevelType w:val="hybridMultilevel"/>
    <w:lvl w:ilvl="0">
      <w:lvlJc w:val="left"/>
      <w:lvlText w:val="•"/>
      <w:numFmt w:val="bullet"/>
      <w:start w:val="1"/>
    </w:lvl>
  </w:abstractNum>
  <w:abstractNum w:abstractNumId="12">
    <w:nsid w:val="32794FF7"/>
    <w:multiLevelType w:val="hybridMultilevel"/>
    <w:lvl w:ilvl="0">
      <w:lvlJc w:val="left"/>
      <w:lvlText w:val="•"/>
      <w:numFmt w:val="bullet"/>
      <w:start w:val="1"/>
    </w:lvl>
  </w:abstractNum>
  <w:abstractNum w:abstractNumId="13">
    <w:nsid w:val="5454945E"/>
    <w:multiLevelType w:val="hybridMultilevel"/>
    <w:lvl w:ilvl="0">
      <w:lvlJc w:val="left"/>
      <w:lvlText w:val="•"/>
      <w:numFmt w:val="bullet"/>
      <w:start w:val="1"/>
    </w:lvl>
  </w:abstractNum>
  <w:abstractNum w:abstractNumId="14">
    <w:nsid w:val="4DEFDFA0"/>
    <w:multiLevelType w:val="hybridMultilevel"/>
    <w:lvl w:ilvl="0">
      <w:lvlJc w:val="left"/>
      <w:lvlText w:val="•"/>
      <w:numFmt w:val="bullet"/>
      <w:start w:val="1"/>
    </w:lvl>
  </w:abstractNum>
  <w:abstractNum w:abstractNumId="15">
    <w:nsid w:val="2123D5F2"/>
    <w:multiLevelType w:val="hybridMultilevel"/>
    <w:lvl w:ilvl="0">
      <w:lvlJc w:val="left"/>
      <w:lvlText w:val="•"/>
      <w:numFmt w:val="bullet"/>
      <w:start w:val="1"/>
    </w:lvl>
  </w:abstractNum>
  <w:abstractNum w:abstractNumId="16">
    <w:nsid w:val="135B8110"/>
    <w:multiLevelType w:val="hybridMultilevel"/>
    <w:lvl w:ilvl="0">
      <w:lvlJc w:val="left"/>
      <w:lvlText w:val="•"/>
      <w:numFmt w:val="bullet"/>
      <w:start w:val="1"/>
    </w:lvl>
  </w:abstractNum>
  <w:abstractNum w:abstractNumId="17">
    <w:nsid w:val="94927A8"/>
    <w:multiLevelType w:val="hybridMultilevel"/>
    <w:lvl w:ilvl="0">
      <w:lvlJc w:val="left"/>
      <w:lvlText w:val="•"/>
      <w:numFmt w:val="bullet"/>
      <w:start w:val="1"/>
    </w:lvl>
  </w:abstractNum>
  <w:abstractNum w:abstractNumId="18">
    <w:nsid w:val="DCDF8F6"/>
    <w:multiLevelType w:val="hybridMultilevel"/>
    <w:lvl w:ilvl="0">
      <w:lvlJc w:val="left"/>
      <w:lvlText w:val="•"/>
      <w:numFmt w:val="bullet"/>
      <w:start w:val="1"/>
    </w:lvl>
  </w:abstractNum>
  <w:abstractNum w:abstractNumId="19">
    <w:nsid w:val="52D7B105"/>
    <w:multiLevelType w:val="hybridMultilevel"/>
    <w:lvl w:ilvl="0">
      <w:lvlJc w:val="left"/>
      <w:lvlText w:val="•"/>
      <w:numFmt w:val="bullet"/>
      <w:start w:val="1"/>
    </w:lvl>
  </w:abstractNum>
  <w:abstractNum w:abstractNumId="20">
    <w:nsid w:val="2E8A6394"/>
    <w:multiLevelType w:val="hybridMultilevel"/>
    <w:lvl w:ilvl="0">
      <w:lvlJc w:val="left"/>
      <w:lvlText w:val="•"/>
      <w:numFmt w:val="bullet"/>
      <w:start w:val="1"/>
    </w:lvl>
  </w:abstractNum>
  <w:abstractNum w:abstractNumId="21">
    <w:nsid w:val="24E60401"/>
    <w:multiLevelType w:val="hybridMultilevel"/>
    <w:lvl w:ilvl="0">
      <w:lvlJc w:val="left"/>
      <w:lvlText w:val="•"/>
      <w:numFmt w:val="bullet"/>
      <w:start w:val="1"/>
    </w:lvl>
  </w:abstractNum>
  <w:abstractNum w:abstractNumId="22">
    <w:nsid w:val="2A6AD9BE"/>
    <w:multiLevelType w:val="hybridMultilevel"/>
    <w:lvl w:ilvl="0">
      <w:lvlJc w:val="left"/>
      <w:lvlText w:val="•"/>
      <w:numFmt w:val="bullet"/>
      <w:start w:val="1"/>
    </w:lvl>
  </w:abstractNum>
  <w:abstractNum w:abstractNumId="23">
    <w:nsid w:val="BAAC1B4"/>
    <w:multiLevelType w:val="hybridMultilevel"/>
    <w:lvl w:ilvl="0">
      <w:lvlJc w:val="left"/>
      <w:lvlText w:val="•"/>
      <w:numFmt w:val="bullet"/>
      <w:start w:val="1"/>
    </w:lvl>
  </w:abstractNum>
  <w:abstractNum w:abstractNumId="24">
    <w:nsid w:val="36B2ACBC"/>
    <w:multiLevelType w:val="hybridMultilevel"/>
    <w:lvl w:ilvl="0">
      <w:lvlJc w:val="left"/>
      <w:lvlText w:val="•"/>
      <w:numFmt w:val="bullet"/>
      <w:start w:val="1"/>
    </w:lvl>
  </w:abstractNum>
  <w:abstractNum w:abstractNumId="25">
    <w:nsid w:val="779D8544"/>
    <w:multiLevelType w:val="hybridMultilevel"/>
    <w:lvl w:ilvl="0">
      <w:lvlJc w:val="left"/>
      <w:lvlText w:val="•"/>
      <w:numFmt w:val="bullet"/>
      <w:start w:val="1"/>
    </w:lvl>
  </w:abstractNum>
  <w:abstractNum w:abstractNumId="26">
    <w:nsid w:val="4AB26E78"/>
    <w:multiLevelType w:val="hybridMultilevel"/>
    <w:lvl w:ilvl="0">
      <w:lvlJc w:val="left"/>
      <w:lvlText w:val="•"/>
      <w:numFmt w:val="bullet"/>
      <w:start w:val="1"/>
    </w:lvl>
  </w:abstractNum>
  <w:abstractNum w:abstractNumId="27">
    <w:nsid w:val="21FAA2FA"/>
    <w:multiLevelType w:val="hybridMultilevel"/>
    <w:lvl w:ilvl="0">
      <w:lvlJc w:val="left"/>
      <w:lvlText w:val="•"/>
      <w:numFmt w:val="bullet"/>
      <w:start w:val="1"/>
    </w:lvl>
  </w:abstractNum>
  <w:abstractNum w:abstractNumId="28">
    <w:nsid w:val="5451CF49"/>
    <w:multiLevelType w:val="hybridMultilevel"/>
    <w:lvl w:ilvl="0">
      <w:lvlJc w:val="left"/>
      <w:lvlText w:val="•"/>
      <w:numFmt w:val="bullet"/>
      <w:start w:val="1"/>
    </w:lvl>
  </w:abstractNum>
  <w:abstractNum w:abstractNumId="29">
    <w:nsid w:val="6181EF69"/>
    <w:multiLevelType w:val="hybridMultilevel"/>
    <w:lvl w:ilvl="0">
      <w:lvlJc w:val="left"/>
      <w:lvlText w:val="•"/>
      <w:numFmt w:val="bullet"/>
      <w:start w:val="1"/>
    </w:lvl>
  </w:abstractNum>
  <w:abstractNum w:abstractNumId="30">
    <w:nsid w:val="3E6400E6"/>
    <w:multiLevelType w:val="hybridMultilevel"/>
    <w:lvl w:ilvl="0">
      <w:lvlJc w:val="left"/>
      <w:lvlText w:val="•"/>
      <w:numFmt w:val="bullet"/>
      <w:start w:val="1"/>
    </w:lvl>
  </w:abstractNum>
  <w:abstractNum w:abstractNumId="31">
    <w:nsid w:val="14217E23"/>
    <w:multiLevelType w:val="hybridMultilevel"/>
    <w:lvl w:ilvl="0">
      <w:lvlJc w:val="left"/>
      <w:lvlText w:val="•"/>
      <w:numFmt w:val="bullet"/>
      <w:start w:val="1"/>
    </w:lvl>
  </w:abstractNum>
  <w:abstractNum w:abstractNumId="32">
    <w:nsid w:val="710757D0"/>
    <w:multiLevelType w:val="hybridMultilevel"/>
    <w:lvl w:ilvl="0">
      <w:lvlJc w:val="left"/>
      <w:lvlText w:val="•"/>
      <w:numFmt w:val="bullet"/>
      <w:start w:val="1"/>
    </w:lvl>
  </w:abstractNum>
  <w:abstractNum w:abstractNumId="33">
    <w:nsid w:val="5015CD1A"/>
    <w:multiLevelType w:val="hybridMultilevel"/>
    <w:lvl w:ilvl="0">
      <w:lvlJc w:val="left"/>
      <w:lvlText w:val="•"/>
      <w:numFmt w:val="bullet"/>
      <w:start w:val="1"/>
    </w:lvl>
  </w:abstractNum>
  <w:abstractNum w:abstractNumId="34">
    <w:nsid w:val="424479DA"/>
    <w:multiLevelType w:val="hybridMultilevel"/>
    <w:lvl w:ilvl="0">
      <w:lvlJc w:val="left"/>
      <w:lvlText w:val="•"/>
      <w:numFmt w:val="bullet"/>
      <w:start w:val="1"/>
    </w:lvl>
  </w:abstractNum>
  <w:abstractNum w:abstractNumId="35">
    <w:nsid w:val="1A9A9E69"/>
    <w:multiLevelType w:val="hybridMultilevel"/>
    <w:lvl w:ilvl="0">
      <w:lvlJc w:val="left"/>
      <w:lvlText w:val="•"/>
      <w:numFmt w:val="bullet"/>
      <w:start w:val="1"/>
    </w:lvl>
  </w:abstractNum>
  <w:abstractNum w:abstractNumId="36">
    <w:nsid w:val="475E256A"/>
    <w:multiLevelType w:val="hybridMultilevel"/>
    <w:lvl w:ilvl="0">
      <w:lvlJc w:val="left"/>
      <w:lvlText w:val="•"/>
      <w:numFmt w:val="bullet"/>
      <w:start w:val="1"/>
    </w:lvl>
  </w:abstractNum>
  <w:abstractNum w:abstractNumId="37">
    <w:nsid w:val="368DB37E"/>
    <w:multiLevelType w:val="hybridMultilevel"/>
    <w:lvl w:ilvl="0">
      <w:lvlJc w:val="left"/>
      <w:lvlText w:val="•"/>
      <w:numFmt w:val="bullet"/>
      <w:start w:val="1"/>
    </w:lvl>
  </w:abstractNum>
  <w:abstractNum w:abstractNumId="38">
    <w:nsid w:val="6A3B714C"/>
    <w:multiLevelType w:val="hybridMultilevel"/>
    <w:lvl w:ilvl="0">
      <w:lvlJc w:val="left"/>
      <w:lvlText w:val="•"/>
      <w:numFmt w:val="bullet"/>
      <w:start w:val="1"/>
    </w:lvl>
  </w:abstractNum>
  <w:abstractNum w:abstractNumId="39">
    <w:nsid w:val="327B517E"/>
    <w:multiLevelType w:val="hybridMultilevel"/>
    <w:lvl w:ilvl="0">
      <w:lvlJc w:val="left"/>
      <w:lvlText w:val="•"/>
      <w:numFmt w:val="bullet"/>
      <w:start w:val="1"/>
    </w:lvl>
  </w:abstractNum>
  <w:abstractNum w:abstractNumId="40">
    <w:nsid w:val="1F461B51"/>
    <w:multiLevelType w:val="hybridMultilevel"/>
    <w:lvl w:ilvl="0">
      <w:lvlJc w:val="left"/>
      <w:lvlText w:val="•"/>
      <w:numFmt w:val="bullet"/>
      <w:start w:val="1"/>
    </w:lvl>
  </w:abstractNum>
  <w:abstractNum w:abstractNumId="41">
    <w:nsid w:val="29BACF25"/>
    <w:multiLevelType w:val="hybridMultilevel"/>
    <w:lvl w:ilvl="0">
      <w:lvlJc w:val="left"/>
      <w:lvlText w:val="•"/>
      <w:numFmt w:val="bullet"/>
      <w:start w:val="1"/>
    </w:lvl>
  </w:abstractNum>
  <w:abstractNum w:abstractNumId="42">
    <w:nsid w:val="5D5BABB3"/>
    <w:multiLevelType w:val="hybridMultilevel"/>
    <w:lvl w:ilvl="0">
      <w:lvlJc w:val="left"/>
      <w:lvlText w:val="•"/>
      <w:numFmt w:val="bullet"/>
      <w:start w:val="1"/>
    </w:lvl>
  </w:abstractNum>
  <w:abstractNum w:abstractNumId="43">
    <w:nsid w:val="51BF6B48"/>
    <w:multiLevelType w:val="hybridMultilevel"/>
    <w:lvl w:ilvl="0">
      <w:lvlJc w:val="left"/>
      <w:lvlText w:val="•"/>
      <w:numFmt w:val="bullet"/>
      <w:start w:val="1"/>
    </w:lvl>
  </w:abstractNum>
  <w:abstractNum w:abstractNumId="44">
    <w:nsid w:val="7E0F6384"/>
    <w:multiLevelType w:val="hybridMultilevel"/>
    <w:lvl w:ilvl="0">
      <w:lvlJc w:val="left"/>
      <w:lvlText w:val="•"/>
      <w:numFmt w:val="bullet"/>
      <w:start w:val="1"/>
    </w:lvl>
  </w:abstractNum>
  <w:abstractNum w:abstractNumId="45">
    <w:nsid w:val="2B4B8B53"/>
    <w:multiLevelType w:val="hybridMultilevel"/>
    <w:lvl w:ilvl="0">
      <w:lvlJc w:val="left"/>
      <w:lvlText w:val="•"/>
      <w:numFmt w:val="bullet"/>
      <w:start w:val="1"/>
    </w:lvl>
  </w:abstractNum>
  <w:abstractNum w:abstractNumId="46">
    <w:nsid w:val="72E3413A"/>
    <w:multiLevelType w:val="hybridMultilevel"/>
    <w:lvl w:ilvl="0">
      <w:lvlJc w:val="left"/>
      <w:lvlText w:val="•"/>
      <w:numFmt w:val="bullet"/>
      <w:start w:val="1"/>
    </w:lvl>
  </w:abstractNum>
  <w:abstractNum w:abstractNumId="47">
    <w:nsid w:val="116AE494"/>
    <w:multiLevelType w:val="hybridMultilevel"/>
    <w:lvl w:ilvl="0">
      <w:lvlJc w:val="left"/>
      <w:lvlText w:val="•"/>
      <w:numFmt w:val="bullet"/>
      <w:start w:val="1"/>
    </w:lvl>
  </w:abstractNum>
  <w:abstractNum w:abstractNumId="48">
    <w:nsid w:val="3494B2FB"/>
    <w:multiLevelType w:val="hybridMultilevel"/>
    <w:lvl w:ilvl="0">
      <w:lvlJc w:val="left"/>
      <w:lvlText w:val="•"/>
      <w:numFmt w:val="bullet"/>
      <w:start w:val="1"/>
    </w:lvl>
  </w:abstractNum>
  <w:abstractNum w:abstractNumId="49">
    <w:nsid w:val="B13A31"/>
    <w:multiLevelType w:val="hybridMultilevel"/>
    <w:lvl w:ilvl="0">
      <w:lvlJc w:val="left"/>
      <w:lvlText w:val="•"/>
      <w:numFmt w:val="bullet"/>
      <w:start w:val="1"/>
    </w:lvl>
  </w:abstractNum>
  <w:abstractNum w:abstractNumId="50">
    <w:nsid w:val="64429599"/>
    <w:multiLevelType w:val="hybridMultilevel"/>
    <w:lvl w:ilvl="0">
      <w:lvlJc w:val="left"/>
      <w:lvlText w:val="•"/>
      <w:numFmt w:val="bullet"/>
      <w:start w:val="1"/>
    </w:lvl>
  </w:abstractNum>
  <w:abstractNum w:abstractNumId="51">
    <w:nsid w:val="631F1690"/>
    <w:multiLevelType w:val="hybridMultilevel"/>
    <w:lvl w:ilvl="0">
      <w:lvlJc w:val="left"/>
      <w:lvlText w:val="•"/>
      <w:numFmt w:val="bullet"/>
      <w:start w:val="1"/>
    </w:lvl>
  </w:abstractNum>
  <w:abstractNum w:abstractNumId="52">
    <w:nsid w:val="25973E32"/>
    <w:multiLevelType w:val="hybridMultilevel"/>
    <w:lvl w:ilvl="0">
      <w:lvlJc w:val="left"/>
      <w:lvlText w:val="(%1)"/>
      <w:numFmt w:val="lowerLetter"/>
      <w:start w:val="2"/>
    </w:lvl>
  </w:abstractNum>
  <w:abstractNum w:abstractNumId="53">
    <w:nsid w:val="EAD6F57"/>
    <w:multiLevelType w:val="hybridMultilevel"/>
    <w:lvl w:ilvl="0">
      <w:lvlJc w:val="left"/>
      <w:lvlText w:val="(%1)"/>
      <w:numFmt w:val="lowerRoman"/>
      <w:start w:val="2"/>
    </w:lvl>
  </w:abstractNum>
  <w:abstractNum w:abstractNumId="54">
    <w:nsid w:val="6EC9D844"/>
    <w:multiLevelType w:val="hybridMultilevel"/>
    <w:lvl w:ilvl="0">
      <w:lvlJc w:val="left"/>
      <w:lvlText w:val="%1."/>
      <w:numFmt w:val="decimal"/>
      <w:start w:val="1"/>
    </w:lvl>
  </w:abstractNum>
  <w:abstractNum w:abstractNumId="55">
    <w:nsid w:val="5C49EAEE"/>
    <w:multiLevelType w:val="hybridMultilevel"/>
    <w:lvl w:ilvl="0">
      <w:lvlJc w:val="left"/>
      <w:lvlText w:val="%1."/>
      <w:numFmt w:val="decimal"/>
      <w:start w:val="2"/>
    </w:lvl>
  </w:abstractNum>
  <w:abstractNum w:abstractNumId="56">
    <w:nsid w:val="64AF49B"/>
    <w:multiLevelType w:val="hybridMultilevel"/>
    <w:lvl w:ilvl="0">
      <w:lvlJc w:val="left"/>
      <w:lvlText w:val="%1."/>
      <w:numFmt w:val="decimal"/>
      <w:start w:val="606"/>
    </w:lvl>
    <w:lvl w:ilvl="1">
      <w:lvlJc w:val="left"/>
      <w:lvlText w:val="(%2)"/>
      <w:numFmt w:val="decimal"/>
      <w:start w:val="2"/>
    </w:lvl>
  </w:abstractNum>
  <w:abstractNum w:abstractNumId="57">
    <w:nsid w:val="397C46BC"/>
    <w:multiLevelType w:val="hybridMultilevel"/>
    <w:lvl w:ilvl="0">
      <w:lvlJc w:val="left"/>
      <w:lvlText w:val="(%1)"/>
      <w:numFmt w:val="lowerRoman"/>
      <w:start w:val="1"/>
    </w:lvl>
    <w:lvl w:ilvl="1">
      <w:lvlJc w:val="left"/>
      <w:lvlText w:val="(%2)"/>
      <w:numFmt w:val="decimal"/>
      <w:start w:val="3"/>
    </w:lvl>
  </w:abstractNum>
  <w:abstractNum w:abstractNumId="58">
    <w:nsid w:val="7E448DE9"/>
    <w:multiLevelType w:val="hybridMultilevel"/>
    <w:lvl w:ilvl="0">
      <w:lvlJc w:val="left"/>
      <w:lvlText w:val="(%1)"/>
      <w:numFmt w:val="lowerLetter"/>
      <w:start w:val="3"/>
    </w:lvl>
  </w:abstractNum>
  <w:abstractNum w:abstractNumId="59">
    <w:nsid w:val="5A9CC3E5"/>
    <w:multiLevelType w:val="hybridMultilevel"/>
    <w:lvl w:ilvl="0">
      <w:lvlJc w:val="left"/>
      <w:lvlText w:val="$"/>
      <w:numFmt w:val="bullet"/>
      <w:start w:val="1"/>
    </w:lvl>
  </w:abstractNum>
  <w:abstractNum w:abstractNumId="60">
    <w:nsid w:val="1AFE3625"/>
    <w:multiLevelType w:val="hybridMultilevel"/>
    <w:lvl w:ilvl="0">
      <w:lvlJc w:val="left"/>
      <w:lvlText w:val="$"/>
      <w:numFmt w:val="bullet"/>
      <w:start w:val="1"/>
    </w:lvl>
  </w:abstractNum>
  <w:abstractNum w:abstractNumId="61">
    <w:nsid w:val="3CA88ECF"/>
    <w:multiLevelType w:val="hybridMultilevel"/>
    <w:lvl w:ilvl="0">
      <w:lvlJc w:val="left"/>
      <w:lvlText w:val="%1."/>
      <w:numFmt w:val="decimal"/>
      <w:start w:val="7"/>
    </w:lvl>
  </w:abstractNum>
  <w:abstractNum w:abstractNumId="62">
    <w:nsid w:val="6EBE4208"/>
    <w:multiLevelType w:val="hybridMultilevel"/>
    <w:lvl w:ilvl="0">
      <w:lvlJc w:val="left"/>
      <w:lvlText w:val="%1."/>
      <w:numFmt w:val="decimal"/>
      <w:start w:val="9"/>
    </w:lvl>
  </w:abstractNum>
  <w:abstractNum w:abstractNumId="63">
    <w:nsid w:val="C058DF5"/>
    <w:multiLevelType w:val="hybridMultilevel"/>
    <w:lvl w:ilvl="0">
      <w:lvlJc w:val="left"/>
      <w:lvlText w:val="(%1)"/>
      <w:numFmt w:val="decimal"/>
      <w:start w:val="1"/>
    </w:lvl>
  </w:abstractNum>
  <w:abstractNum w:abstractNumId="64">
    <w:nsid w:val="CBE5BE9"/>
    <w:multiLevelType w:val="hybridMultilevel"/>
    <w:lvl w:ilvl="0">
      <w:lvlJc w:val="left"/>
      <w:lvlText w:val="%1."/>
      <w:numFmt w:val="decimal"/>
      <w:start w:val="11"/>
    </w:lvl>
  </w:abstractNum>
  <w:abstractNum w:abstractNumId="65">
    <w:nsid w:val="3102BBE2"/>
    <w:multiLevelType w:val="hybridMultilevel"/>
    <w:lvl w:ilvl="0">
      <w:lvlJc w:val="left"/>
      <w:lvlText w:val="%1."/>
      <w:numFmt w:val="decimal"/>
      <w:start w:val="14"/>
    </w:lvl>
  </w:abstractNum>
  <w:abstractNum w:abstractNumId="66">
    <w:nsid w:val="26A02C5E"/>
    <w:multiLevelType w:val="hybridMultilevel"/>
    <w:lvl w:ilvl="0">
      <w:lvlJc w:val="left"/>
      <w:lvlText w:val="%1"/>
      <w:numFmt w:val="decimal"/>
      <w:start w:val="104"/>
    </w:lvl>
  </w:abstractNum>
  <w:abstractNum w:abstractNumId="67">
    <w:nsid w:val="541C8153"/>
    <w:multiLevelType w:val="hybridMultilevel"/>
    <w:lvl w:ilvl="0">
      <w:lvlJc w:val="left"/>
      <w:lvlText w:val="†"/>
      <w:numFmt w:val="bullet"/>
      <w:start w:val="1"/>
    </w:lvl>
  </w:abstractNum>
  <w:abstractNum w:abstractNumId="68">
    <w:nsid w:val="67906F60"/>
    <w:multiLevelType w:val="hybridMultilevel"/>
    <w:lvl w:ilvl="0">
      <w:lvlJc w:val="left"/>
      <w:lvlText w:val="*"/>
      <w:numFmt w:val="bullet"/>
      <w:start w:val="1"/>
    </w:lvl>
  </w:abstractNum>
  <w:abstractNum w:abstractNumId="69">
    <w:nsid w:val="10DB9DAA"/>
    <w:multiLevelType w:val="hybridMultilevel"/>
    <w:lvl w:ilvl="0">
      <w:lvlJc w:val="left"/>
      <w:lvlText w:val="%1."/>
      <w:numFmt w:val="decimal"/>
      <w:start w:val="1"/>
    </w:lvl>
  </w:abstractNum>
  <w:abstractNum w:abstractNumId="70">
    <w:nsid w:val="697D2D2"/>
    <w:multiLevelType w:val="hybridMultilevel"/>
    <w:lvl w:ilvl="0">
      <w:lvlJc w:val="left"/>
      <w:lvlText w:val="%1."/>
      <w:numFmt w:val="decimal"/>
      <w:start w:val="2"/>
    </w:lvl>
  </w:abstractNum>
  <w:abstractNum w:abstractNumId="71">
    <w:nsid w:val="6D68AB2"/>
    <w:multiLevelType w:val="hybridMultilevel"/>
    <w:lvl w:ilvl="0">
      <w:lvlJc w:val="left"/>
      <w:lvlText w:val="%1."/>
      <w:numFmt w:val="decimal"/>
      <w:start w:val="3"/>
    </w:lvl>
  </w:abstractNum>
  <w:abstractNum w:abstractNumId="72">
    <w:nsid w:val="3A966CD0"/>
    <w:multiLevelType w:val="hybridMultilevel"/>
    <w:lvl w:ilvl="0">
      <w:lvlJc w:val="left"/>
      <w:lvlText w:val="(%1)"/>
      <w:numFmt w:val="lowerLetter"/>
      <w:start w:val="2"/>
    </w:lvl>
  </w:abstractNum>
  <w:abstractNum w:abstractNumId="73">
    <w:nsid w:val="63F37E85"/>
    <w:multiLevelType w:val="hybridMultilevel"/>
    <w:lvl w:ilvl="0">
      <w:lvlJc w:val="left"/>
      <w:lvlText w:val="%1."/>
      <w:numFmt w:val="decimal"/>
      <w:start w:val="4"/>
    </w:lvl>
  </w:abstractNum>
  <w:abstractNum w:abstractNumId="74">
    <w:nsid w:val="5895F5FA"/>
    <w:multiLevelType w:val="hybridMultilevel"/>
    <w:lvl w:ilvl="0">
      <w:lvlJc w:val="left"/>
      <w:lvlText w:val="%1."/>
      <w:numFmt w:val="decimal"/>
      <w:start w:val="5"/>
    </w:lvl>
  </w:abstractNum>
  <w:abstractNum w:abstractNumId="75">
    <w:nsid w:val="38A5D054"/>
    <w:multiLevelType w:val="hybridMultilevel"/>
    <w:lvl w:ilvl="0">
      <w:lvlJc w:val="left"/>
      <w:lvlText w:val="%1."/>
      <w:numFmt w:val="decimal"/>
      <w:start w:val="6"/>
    </w:lvl>
  </w:abstractNum>
  <w:abstractNum w:abstractNumId="76">
    <w:nsid w:val="F3F09D8"/>
    <w:multiLevelType w:val="hybridMultilevel"/>
    <w:lvl w:ilvl="0">
      <w:lvlJc w:val="left"/>
      <w:lvlText w:val="(%1)"/>
      <w:numFmt w:val="lowerLetter"/>
      <w:start w:val="1"/>
    </w:lvl>
  </w:abstractNum>
  <w:abstractNum w:abstractNumId="77">
    <w:nsid w:val="4B793735"/>
    <w:multiLevelType w:val="hybridMultilevel"/>
    <w:lvl w:ilvl="0">
      <w:lvlJc w:val="left"/>
      <w:lvlText w:val="%1."/>
      <w:numFmt w:val="decimal"/>
      <w:start w:val="7"/>
    </w:lvl>
  </w:abstractNum>
  <w:abstractNum w:abstractNumId="78">
    <w:nsid w:val="4A10B4E8"/>
    <w:multiLevelType w:val="hybridMultilevel"/>
    <w:lvl w:ilvl="0">
      <w:lvlJc w:val="left"/>
      <w:lvlText w:val="(%1)"/>
      <w:numFmt w:val="lowerLetter"/>
      <w:start w:val="4"/>
    </w:lvl>
  </w:abstractNum>
  <w:abstractNum w:abstractNumId="79">
    <w:nsid w:val="43D3BCD4"/>
    <w:multiLevelType w:val="hybridMultilevel"/>
    <w:lvl w:ilvl="0">
      <w:lvlJc w:val="left"/>
      <w:lvlText w:val="(%1)"/>
      <w:numFmt w:val="lowerRoman"/>
      <w:start w:val="1"/>
    </w:lvl>
  </w:abstractNum>
  <w:abstractNum w:abstractNumId="80">
    <w:nsid w:val="4C2A7166"/>
    <w:multiLevelType w:val="hybridMultilevel"/>
    <w:lvl w:ilvl="0">
      <w:lvlJc w:val="left"/>
      <w:lvlText w:val="(%1)"/>
      <w:numFmt w:val="lowerLetter"/>
      <w:start w:val="2"/>
    </w:lvl>
  </w:abstractNum>
  <w:abstractNum w:abstractNumId="81">
    <w:nsid w:val="2E534A82"/>
    <w:multiLevelType w:val="hybridMultilevel"/>
    <w:lvl w:ilvl="0">
      <w:lvlJc w:val="left"/>
      <w:lvlText w:val="(%1)"/>
      <w:numFmt w:val="lowerLetter"/>
      <w:start w:val="2"/>
    </w:lvl>
  </w:abstractNum>
  <w:abstractNum w:abstractNumId="82">
    <w:nsid w:val="26F2D364"/>
    <w:multiLevelType w:val="hybridMultilevel"/>
    <w:lvl w:ilvl="0">
      <w:lvlJc w:val="left"/>
      <w:lvlText w:val="%1."/>
      <w:numFmt w:val="decimal"/>
      <w:start w:val="8"/>
    </w:lvl>
  </w:abstractNum>
  <w:abstractNum w:abstractNumId="83">
    <w:nsid w:val="71C1AF98"/>
    <w:multiLevelType w:val="hybridMultilevel"/>
    <w:lvl w:ilvl="0">
      <w:lvlJc w:val="left"/>
      <w:lvlText w:val="%1."/>
      <w:numFmt w:val="decimal"/>
      <w:start w:val="9"/>
    </w:lvl>
  </w:abstractNum>
  <w:abstractNum w:abstractNumId="84">
    <w:nsid w:val="3D00B9D9"/>
    <w:multiLevelType w:val="hybridMultilevel"/>
    <w:lvl w:ilvl="0">
      <w:lvlJc w:val="left"/>
      <w:lvlText w:val="(%1)"/>
      <w:numFmt w:val="lowerLetter"/>
      <w:start w:val="3"/>
    </w:lvl>
  </w:abstractNum>
  <w:abstractNum w:abstractNumId="85">
    <w:nsid w:val="15BCABA8"/>
    <w:multiLevelType w:val="hybridMultilevel"/>
    <w:lvl w:ilvl="0">
      <w:lvlJc w:val="left"/>
      <w:lvlText w:val="%1."/>
      <w:numFmt w:val="decimal"/>
      <w:start w:val="10"/>
    </w:lvl>
  </w:abstractNum>
  <w:abstractNum w:abstractNumId="86">
    <w:nsid w:val="4E0B9A87"/>
    <w:multiLevelType w:val="hybridMultilevel"/>
    <w:lvl w:ilvl="0">
      <w:lvlJc w:val="left"/>
      <w:lvlText w:val="%1."/>
      <w:numFmt w:val="decimal"/>
      <w:start w:val="11"/>
    </w:lvl>
  </w:abstractNum>
  <w:abstractNum w:abstractNumId="87">
    <w:nsid w:val="434BAE75"/>
    <w:multiLevelType w:val="hybridMultilevel"/>
    <w:lvl w:ilvl="0">
      <w:lvlJc w:val="left"/>
      <w:lvlText w:val="(%1)"/>
      <w:numFmt w:val="lowerLetter"/>
      <w:start w:val="3"/>
    </w:lvl>
  </w:abstractNum>
  <w:abstractNum w:abstractNumId="88">
    <w:nsid w:val="4F38F265"/>
    <w:multiLevelType w:val="hybridMultilevel"/>
    <w:lvl w:ilvl="0">
      <w:lvlJc w:val="left"/>
      <w:lvlText w:val="%1."/>
      <w:numFmt w:val="decimal"/>
      <w:start w:val="12"/>
    </w:lvl>
  </w:abstractNum>
  <w:abstractNum w:abstractNumId="89">
    <w:nsid w:val="4C502870"/>
    <w:multiLevelType w:val="hybridMultilevel"/>
    <w:lvl w:ilvl="0">
      <w:lvlJc w:val="left"/>
      <w:lvlText w:val="%1."/>
      <w:numFmt w:val="decimal"/>
      <w:start w:val="13"/>
    </w:lvl>
  </w:abstractNum>
  <w:abstractNum w:abstractNumId="90">
    <w:nsid w:val="1DE8725A"/>
    <w:multiLevelType w:val="hybridMultilevel"/>
    <w:lvl w:ilvl="0">
      <w:lvlJc w:val="left"/>
      <w:lvlText w:val="(%1)"/>
      <w:numFmt w:val="lowerRoman"/>
      <w:start w:val="2"/>
    </w:lvl>
  </w:abstractNum>
  <w:abstractNum w:abstractNumId="91">
    <w:nsid w:val="6A37288A"/>
    <w:multiLevelType w:val="hybridMultilevel"/>
    <w:lvl w:ilvl="0">
      <w:lvlJc w:val="left"/>
      <w:lvlText w:val="%1."/>
      <w:numFmt w:val="decimal"/>
      <w:start w:val="14"/>
    </w:lvl>
  </w:abstractNum>
  <w:abstractNum w:abstractNumId="92">
    <w:nsid w:val="8F8B73F"/>
    <w:multiLevelType w:val="hybridMultilevel"/>
    <w:lvl w:ilvl="0">
      <w:lvlJc w:val="left"/>
      <w:lvlText w:val="(%1)"/>
      <w:numFmt w:val="lowerLetter"/>
      <w:start w:val="4"/>
    </w:lvl>
  </w:abstractNum>
  <w:abstractNum w:abstractNumId="93">
    <w:nsid w:val="CA6B462"/>
    <w:multiLevelType w:val="hybridMultilevel"/>
    <w:lvl w:ilvl="0">
      <w:lvlJc w:val="left"/>
      <w:lvlText w:val="%1."/>
      <w:numFmt w:val="decimal"/>
      <w:start w:val="15"/>
    </w:lvl>
  </w:abstractNum>
  <w:abstractNum w:abstractNumId="94">
    <w:nsid w:val="763CB680"/>
    <w:multiLevelType w:val="hybridMultilevel"/>
    <w:lvl w:ilvl="0">
      <w:lvlJc w:val="left"/>
      <w:lvlText w:val="%1."/>
      <w:numFmt w:val="decimal"/>
      <w:start w:val="16"/>
    </w:lvl>
  </w:abstractNum>
  <w:abstractNum w:abstractNumId="95">
    <w:nsid w:val="15B71329"/>
    <w:multiLevelType w:val="hybridMultilevel"/>
    <w:lvl w:ilvl="0">
      <w:lvlJc w:val="left"/>
      <w:lvlText w:val="(%1)"/>
      <w:numFmt w:val="decimal"/>
      <w:start w:val="3"/>
    </w:lvl>
  </w:abstractNum>
  <w:abstractNum w:abstractNumId="96">
    <w:nsid w:val="3DA97044"/>
    <w:multiLevelType w:val="hybridMultilevel"/>
    <w:lvl w:ilvl="0">
      <w:lvlJc w:val="left"/>
      <w:lvlText w:val="%1."/>
      <w:numFmt w:val="decimal"/>
      <w:start w:val="17"/>
    </w:lvl>
  </w:abstractNum>
  <w:abstractNum w:abstractNumId="97">
    <w:nsid w:val="1CDCE2DE"/>
    <w:multiLevelType w:val="hybridMultilevel"/>
    <w:lvl w:ilvl="0">
      <w:lvlJc w:val="left"/>
      <w:lvlText w:val="%1."/>
      <w:numFmt w:val="decimal"/>
      <w:start w:val="18"/>
    </w:lvl>
  </w:abstractNum>
  <w:abstractNum w:abstractNumId="98">
    <w:nsid w:val="69D3947C"/>
    <w:multiLevelType w:val="hybridMultilevel"/>
    <w:lvl w:ilvl="0">
      <w:lvlJc w:val="left"/>
      <w:lvlText w:val="(%1)"/>
      <w:numFmt w:val="lowerLetter"/>
      <w:start w:val="35"/>
    </w:lvl>
  </w:abstractNum>
  <w:abstractNum w:abstractNumId="99">
    <w:nsid w:val="2539DFA5"/>
    <w:multiLevelType w:val="hybridMultilevel"/>
    <w:lvl w:ilvl="0">
      <w:lvlJc w:val="left"/>
      <w:lvlText w:val="(%1)"/>
      <w:numFmt w:val="lowerLetter"/>
      <w:start w:val="4"/>
    </w:lvl>
  </w:abstractNum>
  <w:abstractNum w:abstractNumId="100">
    <w:nsid w:val="2DB88089"/>
    <w:multiLevelType w:val="hybridMultilevel"/>
    <w:lvl w:ilvl="0">
      <w:lvlJc w:val="left"/>
      <w:lvlText w:val="(%1)"/>
      <w:numFmt w:val="lowerLetter"/>
      <w:start w:val="35"/>
    </w:lvl>
  </w:abstractNum>
  <w:abstractNum w:abstractNumId="101">
    <w:nsid w:val="706B674E"/>
    <w:multiLevelType w:val="hybridMultilevel"/>
    <w:lvl w:ilvl="0">
      <w:lvlJc w:val="left"/>
      <w:lvlText w:val="%1."/>
      <w:numFmt w:val="decimal"/>
      <w:start w:val="19"/>
    </w:lvl>
    <w:lvl w:ilvl="1">
      <w:lvlJc w:val="left"/>
      <w:lvlText w:val="(%2)"/>
      <w:numFmt w:val="lowerLetter"/>
      <w:start w:val="1"/>
    </w:lvl>
  </w:abstractNum>
  <w:abstractNum w:abstractNumId="102">
    <w:nsid w:val="2C106A57"/>
    <w:multiLevelType w:val="hybridMultilevel"/>
    <w:lvl w:ilvl="0">
      <w:lvlJc w:val="left"/>
      <w:lvlText w:val="%1."/>
      <w:numFmt w:val="decimal"/>
      <w:start w:val="20"/>
    </w:lvl>
  </w:abstractNum>
  <w:abstractNum w:abstractNumId="103">
    <w:nsid w:val="684EED59"/>
    <w:multiLevelType w:val="hybridMultilevel"/>
    <w:lvl w:ilvl="0">
      <w:lvlJc w:val="left"/>
      <w:lvlText w:val="%1."/>
      <w:numFmt w:val="decimal"/>
      <w:start w:val="21"/>
    </w:lvl>
  </w:abstractNum>
  <w:abstractNum w:abstractNumId="104">
    <w:nsid w:val="545EE5D3"/>
    <w:multiLevelType w:val="hybridMultilevel"/>
    <w:lvl w:ilvl="0">
      <w:lvlJc w:val="left"/>
      <w:lvlText w:val="%1."/>
      <w:numFmt w:val="decimal"/>
      <w:start w:val="23"/>
    </w:lvl>
  </w:abstractNum>
  <w:abstractNum w:abstractNumId="105">
    <w:nsid w:val="4A66051"/>
    <w:multiLevelType w:val="hybridMultilevel"/>
    <w:lvl w:ilvl="0">
      <w:lvlJc w:val="left"/>
      <w:lvlText w:val="%1."/>
      <w:numFmt w:val="decimal"/>
      <w:start w:val="24"/>
    </w:lvl>
  </w:abstractNum>
  <w:abstractNum w:abstractNumId="106">
    <w:nsid w:val="20F4BDAD"/>
    <w:multiLevelType w:val="hybridMultilevel"/>
    <w:lvl w:ilvl="0">
      <w:lvlJc w:val="left"/>
      <w:lvlText w:val="%1."/>
      <w:numFmt w:val="decimal"/>
      <w:start w:val="25"/>
    </w:lvl>
  </w:abstractNum>
  <w:abstractNum w:abstractNumId="107">
    <w:nsid w:val="639DEFAC"/>
    <w:multiLevelType w:val="hybridMultilevel"/>
    <w:lvl w:ilvl="0">
      <w:lvlJc w:val="left"/>
      <w:lvlText w:val="%1."/>
      <w:numFmt w:val="decimal"/>
      <w:start w:val="26"/>
    </w:lvl>
  </w:abstractNum>
  <w:abstractNum w:abstractNumId="108">
    <w:nsid w:val="501F9786"/>
    <w:multiLevelType w:val="hybridMultilevel"/>
    <w:lvl w:ilvl="0">
      <w:lvlJc w:val="left"/>
      <w:lvlText w:val="(%1)"/>
      <w:numFmt w:val="lowerRoman"/>
      <w:start w:val="1"/>
    </w:lvl>
  </w:abstractNum>
  <w:abstractNum w:abstractNumId="109">
    <w:nsid w:val="6B057295"/>
    <w:multiLevelType w:val="hybridMultilevel"/>
    <w:lvl w:ilvl="0">
      <w:lvlJc w:val="left"/>
      <w:lvlText w:val="%1."/>
      <w:numFmt w:val="decimal"/>
      <w:start w:val="1"/>
    </w:lvl>
  </w:abstractNum>
  <w:abstractNum w:abstractNumId="110">
    <w:nsid w:val="2771AC80"/>
    <w:multiLevelType w:val="hybridMultilevel"/>
    <w:lvl w:ilvl="0">
      <w:lvlJc w:val="left"/>
      <w:lvlText w:val="%1."/>
      <w:numFmt w:val="decimal"/>
      <w:start w:val="2"/>
    </w:lvl>
  </w:abstractNum>
  <w:abstractNum w:abstractNumId="111">
    <w:nsid w:val="1C4A08EC"/>
    <w:multiLevelType w:val="hybridMultilevel"/>
    <w:lvl w:ilvl="0">
      <w:lvlJc w:val="left"/>
      <w:lvlText w:val="(%1)"/>
      <w:numFmt w:val="lowerRoman"/>
      <w:start w:val="1"/>
    </w:lvl>
  </w:abstractNum>
  <w:abstractNum w:abstractNumId="112">
    <w:nsid w:val="1958BD17"/>
    <w:multiLevelType w:val="hybridMultilevel"/>
    <w:lvl w:ilvl="0">
      <w:lvlJc w:val="left"/>
      <w:lvlText w:val="%1"/>
      <w:numFmt w:val="decimal"/>
      <w:start w:val="1"/>
    </w:lvl>
    <w:lvl w:ilvl="1">
      <w:lvlJc w:val="left"/>
      <w:lvlText w:val="(%2)"/>
      <w:numFmt w:val="lowerRoman"/>
      <w:start w:val="3"/>
    </w:lvl>
  </w:abstractNum>
  <w:abstractNum w:abstractNumId="113">
    <w:nsid w:val="4E647FE4"/>
    <w:multiLevelType w:val="hybridMultilevel"/>
    <w:lvl w:ilvl="0">
      <w:lvlJc w:val="left"/>
      <w:lvlText w:val="(%1)"/>
      <w:numFmt w:val="decimal"/>
      <w:start w:val="2"/>
    </w:lvl>
    <w:lvl w:ilvl="1">
      <w:lvlJc w:val="left"/>
      <w:lvlText w:val="(%2)"/>
      <w:numFmt w:val="lowerRoman"/>
      <w:start w:val="6"/>
    </w:lvl>
  </w:abstractNum>
  <w:abstractNum w:abstractNumId="114">
    <w:nsid w:val="E0BB885"/>
    <w:multiLevelType w:val="hybridMultilevel"/>
    <w:lvl w:ilvl="0">
      <w:lvlJc w:val="left"/>
      <w:lvlText w:val="(%1)"/>
      <w:numFmt w:val="lowerRoman"/>
      <w:start w:val="7"/>
    </w:lvl>
  </w:abstractNum>
  <w:abstractNum w:abstractNumId="115">
    <w:nsid w:val="565976F1"/>
    <w:multiLevelType w:val="hybridMultilevel"/>
    <w:lvl w:ilvl="0">
      <w:lvlJc w:val="left"/>
      <w:lvlText w:val="%1."/>
      <w:numFmt w:val="decimal"/>
      <w:start w:val="3"/>
    </w:lvl>
  </w:abstractNum>
  <w:abstractNum w:abstractNumId="116">
    <w:nsid w:val="64212B8C"/>
    <w:multiLevelType w:val="hybridMultilevel"/>
    <w:lvl w:ilvl="0">
      <w:lvlJc w:val="left"/>
      <w:lvlText w:val="%1."/>
      <w:numFmt w:val="decimal"/>
      <w:start w:val="4"/>
    </w:lvl>
  </w:abstractNum>
  <w:abstractNum w:abstractNumId="117">
    <w:nsid w:val="5C17530C"/>
    <w:multiLevelType w:val="hybridMultilevel"/>
    <w:lvl w:ilvl="0">
      <w:lvlJc w:val="left"/>
      <w:lvlText w:val="%1."/>
      <w:numFmt w:val="decimal"/>
      <w:start w:val="1"/>
    </w:lvl>
  </w:abstractNum>
  <w:abstractNum w:abstractNumId="118">
    <w:nsid w:val="19A52566"/>
    <w:multiLevelType w:val="hybridMultilevel"/>
    <w:lvl w:ilvl="0">
      <w:lvlJc w:val="left"/>
      <w:lvlText w:val="%1."/>
      <w:numFmt w:val="decimal"/>
      <w:start w:val="3"/>
    </w:lvl>
  </w:abstractNum>
  <w:abstractNum w:abstractNumId="119">
    <w:nsid w:val="335A1DF1"/>
    <w:multiLevelType w:val="hybridMultilevel"/>
    <w:lvl w:ilvl="0">
      <w:lvlJc w:val="left"/>
      <w:lvlText w:val="%1."/>
      <w:numFmt w:val="decimal"/>
      <w:start w:val="7"/>
    </w:lvl>
  </w:abstractNum>
  <w:abstractNum w:abstractNumId="120">
    <w:nsid w:val="28677B7C"/>
    <w:multiLevelType w:val="hybridMultilevel"/>
    <w:lvl w:ilvl="0">
      <w:lvlJc w:val="left"/>
      <w:lvlText w:val="%1."/>
      <w:numFmt w:val="decimal"/>
      <w:start w:val="1"/>
    </w:lvl>
  </w:abstractNum>
  <w:abstractNum w:abstractNumId="121">
    <w:nsid w:val="378D97C0"/>
    <w:multiLevelType w:val="hybridMultilevel"/>
    <w:lvl w:ilvl="0">
      <w:lvlJc w:val="left"/>
      <w:lvlText w:val="%1."/>
      <w:numFmt w:val="decimal"/>
      <w:start w:val="1"/>
    </w:lvl>
  </w:abstractNum>
  <w:abstractNum w:abstractNumId="122">
    <w:nsid w:val="1D91467C"/>
    <w:multiLevelType w:val="hybridMultilevel"/>
    <w:lvl w:ilvl="0">
      <w:lvlJc w:val="left"/>
      <w:lvlText w:val="%1."/>
      <w:numFmt w:val="decimal"/>
      <w:start w:val="7"/>
    </w:lvl>
  </w:abstractNum>
  <w:abstractNum w:abstractNumId="123">
    <w:nsid w:val="316032BB"/>
    <w:multiLevelType w:val="hybridMultilevel"/>
    <w:lvl w:ilvl="0">
      <w:lvlJc w:val="left"/>
      <w:lvlText w:val="%1."/>
      <w:numFmt w:val="decimal"/>
      <w:start w:val="15"/>
    </w:lvl>
  </w:abstractNum>
  <w:abstractNum w:abstractNumId="124">
    <w:nsid w:val="44344C22"/>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25">
    <w:nsid w:val="13CDFCFC"/>
    <w:multiLevelType w:val="hybridMultilevel"/>
    <w:lvl w:ilvl="0">
      <w:lvlJc w:val="left"/>
      <w:lvlText w:val="%1."/>
      <w:numFmt w:val="upperLetter"/>
      <w:start w:val="3"/>
    </w:lvl>
  </w:abstractNum>
  <w:abstractNum w:abstractNumId="126">
    <w:nsid w:val="471745E4"/>
    <w:multiLevelType w:val="hybridMultilevel"/>
    <w:lvl w:ilvl="0">
      <w:lvlJc w:val="left"/>
      <w:lvlText w:val="%1"/>
      <w:numFmt w:val="upperLetter"/>
      <w:start w:val="1"/>
    </w:lvl>
    <w:lvl w:ilvl="1">
      <w:lvlJc w:val="left"/>
      <w:lvlText w:val="%2."/>
      <w:numFmt w:val="upperLetter"/>
      <w:start w:val="4"/>
    </w:lvl>
  </w:abstractNum>
  <w:abstractNum w:abstractNumId="127">
    <w:nsid w:val="1DDBC66"/>
    <w:multiLevelType w:val="hybridMultilevel"/>
    <w:lvl w:ilvl="0">
      <w:lvlJc w:val="left"/>
      <w:lvlText w:val="%1."/>
      <w:numFmt w:val="upperLetter"/>
      <w:start w:val="35"/>
    </w:lvl>
    <w:lvl w:ilvl="1">
      <w:lvlJc w:val="left"/>
      <w:lvlText w:val="%2."/>
      <w:numFmt w:val="upperLetter"/>
      <w:start w:val="1"/>
    </w:lvl>
  </w:abstractNum>
  <w:abstractNum w:abstractNumId="128">
    <w:nsid w:val="30AADFDA"/>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29">
    <w:nsid w:val="30EADA61"/>
    <w:multiLevelType w:val="hybridMultilevel"/>
    <w:lvl w:ilvl="0">
      <w:lvlJc w:val="left"/>
      <w:lvlText w:val="(%1)"/>
      <w:numFmt w:val="lowerRoman"/>
      <w:start w:val="3"/>
    </w:lvl>
    <w:lvl w:ilvl="1">
      <w:lvlJc w:val="left"/>
      <w:lvlText w:val="%2."/>
      <w:numFmt w:val="upperLetter"/>
      <w:start w:val="3"/>
    </w:lvl>
    <w:lvl w:ilvl="2">
      <w:lvlJc w:val="left"/>
      <w:lvlText w:val="%3."/>
      <w:numFmt w:val="decimal"/>
      <w:start w:val="1"/>
    </w:lvl>
  </w:abstractNum>
  <w:abstractNum w:abstractNumId="130">
    <w:nsid w:val="27179C0B"/>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131">
    <w:nsid w:val="5E636063"/>
    <w:multiLevelType w:val="hybridMultilevel"/>
    <w:lvl w:ilvl="0">
      <w:lvlJc w:val="left"/>
      <w:lvlText w:val="%1"/>
      <w:numFmt w:val="upperLetter"/>
      <w:start w:val="1"/>
    </w:lvl>
    <w:lvl w:ilvl="1">
      <w:lvlJc w:val="left"/>
      <w:lvlText w:val="%2."/>
      <w:numFmt w:val="upperLetter"/>
      <w:start w:val="6"/>
    </w:lvl>
    <w:lvl w:ilvl="2">
      <w:lvlJc w:val="left"/>
      <w:lvlText w:val="%3"/>
      <w:numFmt w:val="decimal"/>
      <w:start w:val="1"/>
    </w:lvl>
  </w:abstractNum>
  <w:abstractNum w:abstractNumId="132">
    <w:nsid w:val="215641AF"/>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33">
    <w:nsid w:val="53280662"/>
    <w:multiLevelType w:val="hybridMultilevel"/>
    <w:lvl w:ilvl="0">
      <w:lvlJc w:val="left"/>
      <w:lvlText w:val="%1."/>
      <w:numFmt w:val="upperLetter"/>
      <w:start w:val="3"/>
    </w:lvl>
    <w:lvl w:ilvl="1">
      <w:lvlJc w:val="left"/>
      <w:lvlText w:val="%2."/>
      <w:numFmt w:val="decimal"/>
      <w:start w:val="1"/>
    </w:lvl>
  </w:abstractNum>
  <w:abstractNum w:abstractNumId="134">
    <w:nsid w:val="46B24DBC"/>
    <w:multiLevelType w:val="hybridMultilevel"/>
    <w:lvl w:ilvl="0">
      <w:lvlJc w:val="left"/>
      <w:lvlText w:val="%1"/>
      <w:numFmt w:val="lowerRoman"/>
      <w:start w:val="1"/>
    </w:lvl>
    <w:lvl w:ilvl="1">
      <w:lvlJc w:val="left"/>
      <w:lvlText w:val="%2."/>
      <w:numFmt w:val="upperLetter"/>
      <w:start w:val="6"/>
    </w:lvl>
  </w:abstractNum>
  <w:abstractNum w:abstractNumId="135">
    <w:nsid w:val="75B52783"/>
    <w:multiLevelType w:val="hybridMultilevel"/>
    <w:lvl w:ilvl="0">
      <w:lvlJc w:val="left"/>
      <w:lvlText w:val="(%1)"/>
      <w:numFmt w:val="lowerRoman"/>
      <w:start w:val="1"/>
    </w:lvl>
    <w:lvl w:ilvl="1">
      <w:lvlJc w:val="left"/>
      <w:lvlText w:val="%2."/>
      <w:numFmt w:val="upperLetter"/>
      <w:start w:val="7"/>
    </w:lvl>
  </w:abstractNum>
  <w:abstractNum w:abstractNumId="136">
    <w:nsid w:val="57CE66B4"/>
    <w:multiLevelType w:val="hybridMultilevel"/>
    <w:lvl w:ilvl="0">
      <w:lvlJc w:val="left"/>
      <w:lvlText w:val="(%1)"/>
      <w:numFmt w:val="lowerLetter"/>
      <w:start w:val="4"/>
    </w:lvl>
  </w:abstractNum>
  <w:abstractNum w:abstractNumId="137">
    <w:nsid w:val="67A70B69"/>
    <w:multiLevelType w:val="hybridMultilevel"/>
    <w:lvl w:ilvl="0">
      <w:lvlJc w:val="left"/>
      <w:lvlText w:val="%1."/>
      <w:numFmt w:val="decimal"/>
      <w:start w:val="1"/>
    </w:lvl>
  </w:abstractNum>
  <w:abstractNum w:abstractNumId="138">
    <w:nsid w:val="5953172F"/>
    <w:multiLevelType w:val="hybridMultilevel"/>
    <w:lvl w:ilvl="0">
      <w:lvlJc w:val="left"/>
      <w:lvlText w:val="%1."/>
      <w:numFmt w:val="decimal"/>
      <w:start w:val="2"/>
    </w:lvl>
  </w:abstractNum>
  <w:abstractNum w:abstractNumId="139">
    <w:nsid w:val="27EDFE3A"/>
    <w:multiLevelType w:val="hybridMultilevel"/>
    <w:lvl w:ilvl="0">
      <w:lvlJc w:val="left"/>
      <w:lvlText w:val="%1."/>
      <w:numFmt w:val="decimal"/>
      <w:start w:val="1"/>
    </w:lvl>
  </w:abstractNum>
  <w:abstractNum w:abstractNumId="140">
    <w:nsid w:val="52AC7DFF"/>
    <w:multiLevelType w:val="hybridMultilevel"/>
    <w:lvl w:ilvl="0">
      <w:lvlJc w:val="left"/>
      <w:lvlText w:val="%1"/>
      <w:numFmt w:val="decimal"/>
      <w:start w:val="1"/>
    </w:lvl>
    <w:lvl w:ilvl="1">
      <w:lvlJc w:val="left"/>
      <w:lvlText w:val="%2."/>
      <w:numFmt w:val="decimal"/>
      <w:start w:val="4"/>
    </w:lvl>
  </w:abstractNum>
  <w:abstractNum w:abstractNumId="141">
    <w:nsid w:val="C4C3AF"/>
    <w:multiLevelType w:val="hybridMultilevel"/>
    <w:lvl w:ilvl="0">
      <w:lvlJc w:val="left"/>
      <w:lvlText w:val="%1."/>
      <w:numFmt w:val="decimal"/>
      <w:start w:val="8"/>
    </w:lvl>
    <w:lvl w:ilvl="1">
      <w:lvlJc w:val="left"/>
      <w:lvlText w:val="%2"/>
      <w:numFmt w:val="decimal"/>
      <w:start w:val="1"/>
    </w:lvl>
  </w:abstractNum>
  <w:abstractNum w:abstractNumId="142">
    <w:nsid w:val="44380727"/>
    <w:multiLevelType w:val="hybridMultilevel"/>
    <w:lvl w:ilvl="0">
      <w:lvlJc w:val="left"/>
      <w:lvlText w:val="%1."/>
      <w:numFmt w:val="decimal"/>
      <w:start w:val="1"/>
    </w:lvl>
    <w:lvl w:ilvl="1">
      <w:lvlJc w:val="left"/>
      <w:lvlText w:val="(%2)"/>
      <w:numFmt w:val="lowerLetter"/>
      <w:start w:val="1"/>
    </w:lvl>
  </w:abstractNum>
  <w:abstractNum w:abstractNumId="143">
    <w:nsid w:val="6C053B16"/>
    <w:multiLevelType w:val="hybridMultilevel"/>
    <w:lvl w:ilvl="0">
      <w:lvlJc w:val="left"/>
      <w:lvlText w:val="%1."/>
      <w:numFmt w:val="decimal"/>
      <w:start w:val="10"/>
    </w:lvl>
  </w:abstractNum>
  <w:abstractNum w:abstractNumId="144">
    <w:nsid w:val="4F294393"/>
    <w:multiLevelType w:val="hybridMultilevel"/>
    <w:lvl w:ilvl="0">
      <w:lvlJc w:val="left"/>
      <w:lvlText w:val="%1."/>
      <w:numFmt w:val="upperLetter"/>
      <w:start w:val="1"/>
    </w:lvl>
  </w:abstractNum>
  <w:abstractNum w:abstractNumId="145">
    <w:nsid w:val="5243BFAC"/>
    <w:multiLevelType w:val="hybridMultilevel"/>
    <w:lvl w:ilvl="0">
      <w:lvlJc w:val="left"/>
      <w:lvlText w:val="%1."/>
      <w:numFmt w:val="decimal"/>
      <w:start w:val="1"/>
    </w:lvl>
  </w:abstractNum>
  <w:abstractNum w:abstractNumId="146">
    <w:nsid w:val="425EB207"/>
    <w:multiLevelType w:val="hybridMultilevel"/>
    <w:lvl w:ilvl="0">
      <w:lvlJc w:val="left"/>
      <w:lvlText w:val="(%1)"/>
      <w:numFmt w:val="lowerLetter"/>
      <w:start w:val="4"/>
    </w:lvl>
    <w:lvl w:ilvl="1">
      <w:lvlJc w:val="left"/>
      <w:lvlText w:val="%2."/>
      <w:numFmt w:val="decimal"/>
      <w:start w:val="4"/>
    </w:lvl>
    <w:lvl w:ilvl="2">
      <w:lvlJc w:val="left"/>
      <w:lvlText w:val="(%3)"/>
      <w:numFmt w:val="lowerLetter"/>
      <w:start w:val="1"/>
    </w:lvl>
  </w:abstractNum>
  <w:abstractNum w:abstractNumId="147">
    <w:nsid w:val="334A6F1F"/>
    <w:multiLevelType w:val="hybridMultilevel"/>
    <w:lvl w:ilvl="0">
      <w:lvlJc w:val="left"/>
      <w:lvlText w:val="(%1)"/>
      <w:numFmt w:val="lowerLetter"/>
      <w:start w:val="4"/>
    </w:lvl>
  </w:abstractNum>
  <w:abstractNum w:abstractNumId="148">
    <w:nsid w:val="2E5B12B8"/>
    <w:multiLevelType w:val="hybridMultilevel"/>
    <w:lvl w:ilvl="0">
      <w:lvlJc w:val="left"/>
      <w:lvlText w:val=":"/>
      <w:numFmt w:val="bullet"/>
      <w:start w:val="1"/>
    </w:lvl>
  </w:abstractNum>
  <w:abstractNum w:abstractNumId="149">
    <w:nsid w:val="5C03D76D"/>
    <w:multiLevelType w:val="hybridMultilevel"/>
    <w:lvl w:ilvl="0">
      <w:lvlJc w:val="left"/>
      <w:lvlText w:val=":"/>
      <w:numFmt w:val="bullet"/>
      <w:start w:val="1"/>
    </w:lvl>
  </w:abstractNum>
  <w:abstractNum w:abstractNumId="150">
    <w:nsid w:val="66A48D11"/>
    <w:multiLevelType w:val="hybridMultilevel"/>
    <w:lvl w:ilvl="0">
      <w:lvlJc w:val="left"/>
      <w:lvlText w:val="%1."/>
      <w:numFmt w:val="upperLetter"/>
      <w:start w:val="1"/>
    </w:lvl>
  </w:abstractNum>
  <w:abstractNum w:abstractNumId="151">
    <w:nsid w:val="56C28E34"/>
    <w:multiLevelType w:val="hybridMultilevel"/>
    <w:lvl w:ilvl="0">
      <w:lvlJc w:val="left"/>
      <w:lvlText w:val="%1."/>
      <w:numFmt w:val="decimal"/>
      <w:start w:val="1"/>
    </w:lvl>
  </w:abstractNum>
  <w:abstractNum w:abstractNumId="152">
    <w:nsid w:val="13916F2D"/>
    <w:multiLevelType w:val="hybridMultilevel"/>
    <w:lvl w:ilvl="0">
      <w:lvlJc w:val="left"/>
      <w:lvlText w:val="%1."/>
      <w:numFmt w:val="decimal"/>
      <w:start w:val="2"/>
    </w:lvl>
  </w:abstractNum>
  <w:abstractNum w:abstractNumId="153">
    <w:nsid w:val="435D38D"/>
    <w:multiLevelType w:val="hybridMultilevel"/>
    <w:lvl w:ilvl="0">
      <w:lvlJc w:val="left"/>
      <w:lvlText w:val="%1."/>
      <w:numFmt w:val="decimal"/>
      <w:start w:val="3"/>
    </w:lvl>
  </w:abstractNum>
  <w:abstractNum w:abstractNumId="154">
    <w:nsid w:val="822C0EF"/>
    <w:multiLevelType w:val="hybridMultilevel"/>
    <w:lvl w:ilvl="0">
      <w:lvlJc w:val="left"/>
      <w:lvlText w:val="%1."/>
      <w:numFmt w:val="decimal"/>
      <w:start w:val="7"/>
    </w:lvl>
    <w:lvl w:ilvl="1">
      <w:lvlJc w:val="left"/>
      <w:lvlText w:val="%2."/>
      <w:numFmt w:val="lowerLetter"/>
      <w:start w:val="1"/>
    </w:lvl>
  </w:abstractNum>
  <w:abstractNum w:abstractNumId="155">
    <w:nsid w:val="57C5BB4F"/>
    <w:multiLevelType w:val="hybridMultilevel"/>
    <w:lvl w:ilvl="0">
      <w:lvlJc w:val="left"/>
      <w:lvlText w:val="%1."/>
      <w:numFmt w:val="lowerLetter"/>
      <w:start w:val="7"/>
    </w:lvl>
  </w:abstractNum>
  <w:abstractNum w:abstractNumId="156">
    <w:nsid w:val="1803D089"/>
    <w:multiLevelType w:val="hybridMultilevel"/>
    <w:lvl w:ilvl="0">
      <w:lvlJc w:val="left"/>
      <w:lvlText w:val="%1."/>
      <w:numFmt w:val="decimal"/>
      <w:start w:val="1"/>
    </w:lvl>
  </w:abstractNum>
  <w:abstractNum w:abstractNumId="157">
    <w:nsid w:val="4F3A06D4"/>
    <w:multiLevelType w:val="hybridMultilevel"/>
    <w:lvl w:ilvl="0">
      <w:lvlJc w:val="left"/>
      <w:lvlText w:val="(%1)"/>
      <w:numFmt w:val="lowerRoman"/>
      <w:start w:val="3"/>
    </w:lvl>
    <w:lvl w:ilvl="1">
      <w:lvlJc w:val="left"/>
      <w:lvlText w:val="%2"/>
      <w:numFmt w:val="decimal"/>
      <w:start w:val="1"/>
    </w:lvl>
  </w:abstractNum>
  <w:abstractNum w:abstractNumId="158">
    <w:nsid w:val="59A377B6"/>
    <w:multiLevelType w:val="hybridMultilevel"/>
    <w:lvl w:ilvl="0">
      <w:lvlJc w:val="left"/>
      <w:lvlText w:val="(%1)"/>
      <w:numFmt w:val="lowerRoman"/>
      <w:start w:val="5"/>
    </w:lvl>
    <w:lvl w:ilvl="1">
      <w:lvlJc w:val="left"/>
      <w:lvlText w:val="%2."/>
      <w:numFmt w:val="decimal"/>
      <w:start w:val="3"/>
    </w:lvl>
  </w:abstractNum>
  <w:abstractNum w:abstractNumId="159">
    <w:nsid w:val="48AEB063"/>
    <w:multiLevelType w:val="hybridMultilevel"/>
    <w:lvl w:ilvl="0">
      <w:lvlJc w:val="left"/>
      <w:lvlText w:val="%1."/>
      <w:numFmt w:val="decimal"/>
      <w:start w:val="4"/>
    </w:lvl>
  </w:abstractNum>
  <w:abstractNum w:abstractNumId="160">
    <w:nsid w:val="24E135"/>
    <w:multiLevelType w:val="hybridMultilevel"/>
    <w:lvl w:ilvl="0">
      <w:lvlJc w:val="left"/>
      <w:lvlText w:val="%1."/>
      <w:numFmt w:val="decimal"/>
      <w:start w:val="1"/>
    </w:lvl>
    <w:lvl w:ilvl="1">
      <w:lvlJc w:val="left"/>
      <w:lvlText w:val=","/>
      <w:numFmt w:val="bullet"/>
      <w:start w:val="1"/>
    </w:lvl>
  </w:abstractNum>
  <w:abstractNum w:abstractNumId="161">
    <w:nsid w:val="BB13C1"/>
    <w:multiLevelType w:val="hybridMultilevel"/>
    <w:lvl w:ilvl="0">
      <w:lvlJc w:val="left"/>
      <w:lvlText w:val="(%1)"/>
      <w:numFmt w:val="lowerLetter"/>
      <w:start w:val="2"/>
    </w:lvl>
  </w:abstractNum>
  <w:abstractNum w:abstractNumId="162">
    <w:nsid w:val="271210C7"/>
    <w:multiLevelType w:val="hybridMultilevel"/>
    <w:lvl w:ilvl="0">
      <w:lvlJc w:val="left"/>
      <w:lvlText w:val="(%1)"/>
      <w:numFmt w:val="lowerLetter"/>
      <w:start w:val="1"/>
    </w:lvl>
  </w:abstractNum>
  <w:abstractNum w:abstractNumId="163">
    <w:nsid w:val="217B22E4"/>
    <w:multiLevelType w:val="hybridMultilevel"/>
    <w:lvl w:ilvl="0">
      <w:lvlJc w:val="left"/>
      <w:lvlText w:val="(%1)"/>
      <w:numFmt w:val="lowerLetter"/>
      <w:start w:val="2"/>
    </w:lvl>
  </w:abstractNum>
  <w:abstractNum w:abstractNumId="164">
    <w:nsid w:val="53E31A24"/>
    <w:multiLevelType w:val="hybridMultilevel"/>
    <w:lvl w:ilvl="0">
      <w:lvlJc w:val="left"/>
      <w:lvlText w:val="(%1)"/>
      <w:numFmt w:val="lowerLetter"/>
      <w:start w:val="1"/>
    </w:lvl>
  </w:abstractNum>
  <w:abstractNum w:abstractNumId="165">
    <w:nsid w:val="6DC45E83"/>
    <w:multiLevelType w:val="hybridMultilevel"/>
    <w:lvl w:ilvl="0">
      <w:lvlJc w:val="left"/>
      <w:lvlText w:val="(%1)"/>
      <w:numFmt w:val="lowerLetter"/>
      <w:start w:val="1"/>
    </w:lvl>
  </w:abstractNum>
  <w:abstractNum w:abstractNumId="166">
    <w:nsid w:val="17304A67"/>
    <w:multiLevelType w:val="hybridMultilevel"/>
    <w:lvl w:ilvl="0">
      <w:lvlJc w:val="left"/>
      <w:lvlText w:val="(%1)"/>
      <w:numFmt w:val="lowerLetter"/>
      <w:start w:val="1"/>
    </w:lvl>
  </w:abstractNum>
  <w:abstractNum w:abstractNumId="167">
    <w:nsid w:val="2BB180D8"/>
    <w:multiLevelType w:val="hybridMultilevel"/>
    <w:lvl w:ilvl="0">
      <w:lvlJc w:val="left"/>
      <w:lvlText w:val="(%1)"/>
      <w:numFmt w:val="lowerRoman"/>
      <w:start w:val="1"/>
    </w:lvl>
  </w:abstractNum>
  <w:abstractNum w:abstractNumId="168">
    <w:nsid w:val="556B69ED"/>
    <w:multiLevelType w:val="hybridMultilevel"/>
    <w:lvl w:ilvl="0">
      <w:lvlJc w:val="left"/>
      <w:lvlText w:val="(%1)"/>
      <w:numFmt w:val="lowerRoman"/>
      <w:start w:val="8"/>
    </w:lvl>
  </w:abstractNum>
  <w:abstractNum w:abstractNumId="169">
    <w:nsid w:val="70836196"/>
    <w:multiLevelType w:val="hybridMultilevel"/>
    <w:lvl w:ilvl="0">
      <w:lvlJc w:val="left"/>
      <w:lvlText w:val="(%1)"/>
      <w:numFmt w:val="lowerRoman"/>
      <w:start w:val="1"/>
    </w:lvl>
  </w:abstractNum>
  <w:abstractNum w:abstractNumId="170">
    <w:nsid w:val="539F7F12"/>
    <w:multiLevelType w:val="hybridMultilevel"/>
    <w:lvl w:ilvl="0">
      <w:lvlJc w:val="left"/>
      <w:lvlText w:val="(%1)"/>
      <w:numFmt w:val="decimal"/>
      <w:start w:val="2"/>
    </w:lvl>
  </w:abstractNum>
  <w:abstractNum w:abstractNumId="171">
    <w:nsid w:val="2817E7EC"/>
    <w:multiLevelType w:val="hybridMultilevel"/>
    <w:lvl w:ilvl="0">
      <w:lvlJc w:val="left"/>
      <w:lvlText w:val="(%1)"/>
      <w:numFmt w:val="lowerLetter"/>
      <w:start w:val="3"/>
    </w:lvl>
  </w:abstractNum>
  <w:abstractNum w:abstractNumId="172">
    <w:nsid w:val="71482545"/>
    <w:multiLevelType w:val="hybridMultilevel"/>
    <w:lvl w:ilvl="0">
      <w:lvlJc w:val="left"/>
      <w:lvlText w:val="(%1)"/>
      <w:numFmt w:val="lowerLetter"/>
      <w:start w:val="1"/>
    </w:lvl>
    <w:lvl w:ilvl="1">
      <w:lvlJc w:val="left"/>
      <w:lvlText w:val="(%2)"/>
      <w:numFmt w:val="lowerRoman"/>
      <w:start w:val="1"/>
    </w:lvl>
  </w:abstractNum>
  <w:abstractNum w:abstractNumId="173">
    <w:nsid w:val="17D78639"/>
    <w:multiLevelType w:val="hybridMultilevel"/>
    <w:lvl w:ilvl="0">
      <w:lvlJc w:val="left"/>
      <w:lvlText w:val="(%1)"/>
      <w:numFmt w:val="lowerRoman"/>
      <w:start w:val="2"/>
    </w:lvl>
  </w:abstractNum>
  <w:abstractNum w:abstractNumId="174">
    <w:nsid w:val="141D2302"/>
    <w:multiLevelType w:val="hybridMultilevel"/>
    <w:lvl w:ilvl="0">
      <w:lvlJc w:val="left"/>
      <w:lvlText w:val="(%1)"/>
      <w:numFmt w:val="lowerRoman"/>
      <w:start w:val="2"/>
    </w:lvl>
  </w:abstractNum>
  <w:abstractNum w:abstractNumId="175">
    <w:nsid w:val="407168D8"/>
    <w:multiLevelType w:val="hybridMultilevel"/>
    <w:lvl w:ilvl="0">
      <w:lvlJc w:val="left"/>
      <w:lvlText w:val="(%1)"/>
      <w:numFmt w:val="lowerLetter"/>
      <w:start w:val="10"/>
    </w:lvl>
  </w:abstractNum>
  <w:abstractNum w:abstractNumId="176">
    <w:nsid w:val="6A1B45E5"/>
    <w:multiLevelType w:val="hybridMultilevel"/>
    <w:lvl w:ilvl="0">
      <w:lvlJc w:val="left"/>
      <w:lvlText w:val="(%1)"/>
      <w:numFmt w:val="lowerRoman"/>
      <w:start w:val="1"/>
    </w:lvl>
  </w:abstractNum>
  <w:abstractNum w:abstractNumId="177">
    <w:nsid w:val="567BD50A"/>
    <w:multiLevelType w:val="hybridMultilevel"/>
    <w:lvl w:ilvl="0">
      <w:lvlJc w:val="left"/>
      <w:lvlText w:val="(%1)"/>
      <w:numFmt w:val="lowerLetter"/>
      <w:start w:val="1"/>
    </w:lvl>
  </w:abstractNum>
  <w:abstractNum w:abstractNumId="178">
    <w:nsid w:val="73BBD7F8"/>
    <w:multiLevelType w:val="hybridMultilevel"/>
    <w:lvl w:ilvl="0">
      <w:lvlJc w:val="left"/>
      <w:lvlText w:val="(%1)"/>
      <w:numFmt w:val="lowerRoman"/>
      <w:start w:val="1"/>
    </w:lvl>
  </w:abstractNum>
  <w:abstractNum w:abstractNumId="179">
    <w:nsid w:val="1876589D"/>
    <w:multiLevelType w:val="hybridMultilevel"/>
    <w:lvl w:ilvl="0">
      <w:lvlJc w:val="left"/>
      <w:lvlText w:val="(%1)"/>
      <w:numFmt w:val="lowerLetter"/>
      <w:start w:val="4"/>
    </w:lvl>
  </w:abstractNum>
  <w:abstractNum w:abstractNumId="180">
    <w:nsid w:val="327FAC77"/>
    <w:multiLevelType w:val="hybridMultilevel"/>
    <w:lvl w:ilvl="0">
      <w:lvlJc w:val="left"/>
      <w:lvlText w:val="(%1)"/>
      <w:numFmt w:val="lowerLetter"/>
      <w:start w:val="6"/>
    </w:lvl>
  </w:abstractNum>
  <w:abstractNum w:abstractNumId="181">
    <w:nsid w:val="5A606509"/>
    <w:multiLevelType w:val="hybridMultilevel"/>
    <w:lvl w:ilvl="0">
      <w:lvlJc w:val="left"/>
      <w:lvlText w:val="(%1)"/>
      <w:numFmt w:val="lowerLetter"/>
      <w:start w:val="1"/>
    </w:lvl>
  </w:abstractNum>
  <w:abstractNum w:abstractNumId="182">
    <w:nsid w:val="6F38E6D1"/>
    <w:multiLevelType w:val="hybridMultilevel"/>
    <w:lvl w:ilvl="0">
      <w:lvlJc w:val="left"/>
      <w:lvlText w:val="(%1)"/>
      <w:numFmt w:val="lowerLetter"/>
      <w:start w:val="2"/>
    </w:lvl>
  </w:abstractNum>
  <w:abstractNum w:abstractNumId="183">
    <w:nsid w:val="46111BA5"/>
    <w:multiLevelType w:val="hybridMultilevel"/>
    <w:lvl w:ilvl="0">
      <w:lvlJc w:val="left"/>
      <w:lvlText w:val="%1"/>
      <w:numFmt w:val="lowerLetter"/>
      <w:start w:val="1"/>
    </w:lvl>
    <w:lvl w:ilvl="1">
      <w:lvlJc w:val="left"/>
      <w:lvlText w:val="(%2)"/>
      <w:numFmt w:val="lowerLetter"/>
      <w:start w:val="1"/>
    </w:lvl>
  </w:abstractNum>
  <w:abstractNum w:abstractNumId="184">
    <w:nsid w:val="5E963896"/>
    <w:multiLevelType w:val="hybridMultilevel"/>
    <w:lvl w:ilvl="0">
      <w:lvlJc w:val="left"/>
      <w:lvlText w:val="(%1)"/>
      <w:numFmt w:val="lowerLetter"/>
      <w:start w:val="22"/>
    </w:lvl>
    <w:lvl w:ilvl="1">
      <w:lvlJc w:val="left"/>
      <w:lvlText w:val="(%2)"/>
      <w:numFmt w:val="lowerLetter"/>
      <w:start w:val="3"/>
    </w:lvl>
  </w:abstractNum>
  <w:abstractNum w:abstractNumId="185">
    <w:nsid w:val="775BA7C1"/>
    <w:multiLevelType w:val="hybridMultilevel"/>
    <w:lvl w:ilvl="0">
      <w:lvlJc w:val="left"/>
      <w:lvlText w:val="(%1)"/>
      <w:numFmt w:val="lowerRoman"/>
      <w:start w:val="1"/>
    </w:lvl>
  </w:abstractNum>
  <w:abstractNum w:abstractNumId="186">
    <w:nsid w:val="1DD6D6F4"/>
    <w:multiLevelType w:val="hybridMultilevel"/>
    <w:lvl w:ilvl="0">
      <w:lvlJc w:val="left"/>
      <w:lvlText w:val="(%1)"/>
      <w:numFmt w:val="lowerLetter"/>
      <w:start w:val="1"/>
    </w:lvl>
  </w:abstractNum>
  <w:abstractNum w:abstractNumId="187">
    <w:nsid w:val="769A091F"/>
    <w:multiLevelType w:val="hybridMultilevel"/>
    <w:lvl w:ilvl="0">
      <w:lvlJc w:val="left"/>
      <w:lvlText w:val="(%1)"/>
      <w:numFmt w:val="lowerLetter"/>
      <w:start w:val="3"/>
    </w:lvl>
  </w:abstractNum>
  <w:abstractNum w:abstractNumId="188">
    <w:nsid w:val="4695AE95"/>
    <w:multiLevelType w:val="hybridMultilevel"/>
    <w:lvl w:ilvl="0">
      <w:lvlJc w:val="left"/>
      <w:lvlText w:val="(%1)"/>
      <w:numFmt w:val="lowerLetter"/>
      <w:start w:val="1"/>
    </w:lvl>
  </w:abstractNum>
  <w:abstractNum w:abstractNumId="189">
    <w:nsid w:val="777A4EAA"/>
    <w:multiLevelType w:val="hybridMultilevel"/>
    <w:lvl w:ilvl="0">
      <w:lvlJc w:val="left"/>
      <w:lvlText w:val="(%1)"/>
      <w:numFmt w:val="lowerLetter"/>
      <w:start w:val="2"/>
    </w:lvl>
  </w:abstractNum>
  <w:abstractNum w:abstractNumId="190">
    <w:nsid w:val="3F48B982"/>
    <w:multiLevelType w:val="hybridMultilevel"/>
    <w:lvl w:ilvl="0">
      <w:lvlJc w:val="left"/>
      <w:lvlText w:val="(%1)"/>
      <w:numFmt w:val="lowerLetter"/>
      <w:start w:val="1"/>
    </w:lvl>
  </w:abstractNum>
  <w:abstractNum w:abstractNumId="191">
    <w:nsid w:val="46BA8FCA"/>
    <w:multiLevelType w:val="hybridMultilevel"/>
    <w:lvl w:ilvl="0">
      <w:lvlJc w:val="left"/>
      <w:lvlText w:val="(%1)"/>
      <w:numFmt w:val="lowerLetter"/>
      <w:start w:val="1"/>
    </w:lvl>
  </w:abstractNum>
  <w:abstractNum w:abstractNumId="192">
    <w:nsid w:val="7835626C"/>
    <w:multiLevelType w:val="hybridMultilevel"/>
    <w:lvl w:ilvl="0">
      <w:lvlJc w:val="left"/>
      <w:lvlText w:val="(%1)"/>
      <w:numFmt w:val="lowerLetter"/>
      <w:start w:val="1"/>
    </w:lvl>
  </w:abstractNum>
  <w:abstractNum w:abstractNumId="193">
    <w:nsid w:val="665ACA49"/>
    <w:multiLevelType w:val="hybridMultilevel"/>
    <w:lvl w:ilvl="0">
      <w:lvlJc w:val="left"/>
      <w:lvlText w:val="(%1)"/>
      <w:numFmt w:val="lowerLetter"/>
      <w:start w:val="1"/>
    </w:lvl>
  </w:abstractNum>
  <w:abstractNum w:abstractNumId="194">
    <w:nsid w:val="6835B2AE"/>
    <w:multiLevelType w:val="hybridMultilevel"/>
    <w:lvl w:ilvl="0">
      <w:lvlJc w:val="left"/>
      <w:lvlText w:val="(%1)"/>
      <w:numFmt w:val="lowerLetter"/>
      <w:start w:val="1"/>
    </w:lvl>
  </w:abstractNum>
  <w:abstractNum w:abstractNumId="195">
    <w:nsid w:val="4C187C90"/>
    <w:multiLevelType w:val="hybridMultilevel"/>
    <w:lvl w:ilvl="0">
      <w:lvlJc w:val="left"/>
      <w:lvlText w:val="(%1)"/>
      <w:numFmt w:val="lowerLetter"/>
      <w:start w:val="1"/>
    </w:lvl>
  </w:abstractNum>
  <w:abstractNum w:abstractNumId="196">
    <w:nsid w:val="541F28CD"/>
    <w:multiLevelType w:val="hybridMultilevel"/>
    <w:lvl w:ilvl="0">
      <w:lvlJc w:val="left"/>
      <w:lvlText w:val="(%1)"/>
      <w:numFmt w:val="lowerRoman"/>
      <w:start w:val="1"/>
    </w:lvl>
  </w:abstractNum>
  <w:abstractNum w:abstractNumId="197">
    <w:nsid w:val="7F65FD16"/>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98">
    <w:nsid w:val="77C9FD68"/>
    <w:multiLevelType w:val="hybridMultilevel"/>
    <w:lvl w:ilvl="0">
      <w:lvlJc w:val="left"/>
      <w:lvlText w:val="(%1)"/>
      <w:numFmt w:val="lowerRoman"/>
      <w:start w:val="4"/>
    </w:lvl>
  </w:abstractNum>
  <w:abstractNum w:abstractNumId="199">
    <w:nsid w:val="298A92BA"/>
    <w:multiLevelType w:val="hybridMultilevel"/>
    <w:lvl w:ilvl="0">
      <w:lvlJc w:val="left"/>
      <w:lvlText w:val="(%1)"/>
      <w:numFmt w:val="lowerLetter"/>
      <w:start w:val="1"/>
    </w:lvl>
  </w:abstractNum>
  <w:abstractNum w:abstractNumId="200">
    <w:nsid w:val="6FE95EAC"/>
    <w:multiLevelType w:val="hybridMultilevel"/>
    <w:lvl w:ilvl="0">
      <w:lvlJc w:val="left"/>
      <w:lvlText w:val="(%1)"/>
      <w:numFmt w:val="lowerLetter"/>
      <w:start w:val="5"/>
    </w:lvl>
  </w:abstractNum>
  <w:abstractNum w:abstractNumId="201">
    <w:nsid w:val="4B697C7A"/>
    <w:multiLevelType w:val="hybridMultilevel"/>
    <w:lvl w:ilvl="0">
      <w:lvlJc w:val="left"/>
      <w:lvlText w:val="(%1)"/>
      <w:numFmt w:val="lowerLetter"/>
      <w:start w:val="9"/>
    </w:lvl>
  </w:abstractNum>
  <w:abstractNum w:abstractNumId="202">
    <w:nsid w:val="51A27AA6"/>
    <w:multiLevelType w:val="hybridMultilevel"/>
    <w:lvl w:ilvl="0">
      <w:lvlJc w:val="left"/>
      <w:lvlText w:val="(%1)"/>
      <w:numFmt w:val="lowerLetter"/>
      <w:start w:val="12"/>
    </w:lvl>
  </w:abstractNum>
  <w:abstractNum w:abstractNumId="203">
    <w:nsid w:val="613183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04">
    <w:nsid w:val="634102B4"/>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205">
    <w:nsid w:val="65BF9DA8"/>
    <w:multiLevelType w:val="hybridMultilevel"/>
    <w:lvl w:ilvl="0">
      <w:lvlJc w:val="left"/>
      <w:lvlText w:val="(%1)"/>
      <w:numFmt w:val="lowerRoman"/>
      <w:start w:val="3"/>
    </w:lvl>
  </w:abstractNum>
  <w:abstractNum w:abstractNumId="206">
    <w:nsid w:val="21A2ECCA"/>
    <w:multiLevelType w:val="hybridMultilevel"/>
    <w:lvl w:ilvl="0">
      <w:lvlJc w:val="left"/>
      <w:lvlText w:val="(%1)"/>
      <w:numFmt w:val="lowerLetter"/>
      <w:start w:val="3"/>
    </w:lvl>
  </w:abstractNum>
  <w:abstractNum w:abstractNumId="207">
    <w:nsid w:val="4D5C4899"/>
    <w:multiLevelType w:val="hybridMultilevel"/>
    <w:lvl w:ilvl="0">
      <w:lvlJc w:val="left"/>
      <w:lvlText w:val="(%1)"/>
      <w:numFmt w:val="lowerLetter"/>
      <w:start w:val="1"/>
    </w:lvl>
  </w:abstractNum>
  <w:abstractNum w:abstractNumId="208">
    <w:nsid w:val="3C3B72B2"/>
    <w:multiLevelType w:val="hybridMultilevel"/>
    <w:lvl w:ilvl="0">
      <w:lvlJc w:val="left"/>
      <w:lvlText w:val="(%1)"/>
      <w:numFmt w:val="lowerLetter"/>
      <w:start w:val="2"/>
    </w:lvl>
    <w:lvl w:ilvl="1">
      <w:lvlJc w:val="left"/>
      <w:lvlText w:val="(%2)"/>
      <w:numFmt w:val="lowerLetter"/>
      <w:start w:val="9"/>
    </w:lvl>
  </w:abstractNum>
  <w:abstractNum w:abstractNumId="209">
    <w:nsid w:val="155EC4C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10">
    <w:nsid w:val="65D2A13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11">
    <w:nsid w:val="6EBB1F2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12">
    <w:nsid w:val="6FBF29CB"/>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213">
    <w:nsid w:val="550B8808"/>
    <w:multiLevelType w:val="hybridMultilevel"/>
    <w:lvl w:ilvl="0">
      <w:lvlJc w:val="left"/>
      <w:lvlText w:val="(%1)"/>
      <w:numFmt w:val="lowerLetter"/>
      <w:start w:val="1"/>
    </w:lvl>
  </w:abstractNum>
  <w:abstractNum w:abstractNumId="214">
    <w:nsid w:val="34CC3A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5">
    <w:nsid w:val="4E5562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16">
    <w:nsid w:val="4C672FC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17">
    <w:nsid w:val="52A311C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8">
    <w:nsid w:val="44EF6B80"/>
    <w:multiLevelType w:val="hybridMultilevel"/>
    <w:lvl w:ilvl="0">
      <w:lvlJc w:val="left"/>
      <w:lvlText w:val="(%1)"/>
      <w:numFmt w:val="lowerLetter"/>
      <w:start w:val="1"/>
    </w:lvl>
    <w:lvl w:ilvl="1">
      <w:lvlJc w:val="left"/>
      <w:lvlText w:val="(%2)"/>
      <w:numFmt w:val="lowerRoman"/>
      <w:start w:val="1"/>
    </w:lvl>
  </w:abstractNum>
  <w:abstractNum w:abstractNumId="219">
    <w:nsid w:val="12FCDE5E"/>
    <w:multiLevelType w:val="hybridMultilevel"/>
    <w:lvl w:ilvl="0">
      <w:lvlJc w:val="left"/>
      <w:lvlText w:val="%1"/>
      <w:numFmt w:val="lowerLetter"/>
      <w:start w:val="1"/>
    </w:lvl>
    <w:lvl w:ilvl="1">
      <w:lvlJc w:val="left"/>
      <w:lvlText w:val="(%2)"/>
      <w:numFmt w:val="lowerRoman"/>
      <w:start w:val="4"/>
    </w:lvl>
  </w:abstractNum>
  <w:abstractNum w:abstractNumId="220">
    <w:nsid w:val="4A1D606E"/>
    <w:multiLevelType w:val="hybridMultilevel"/>
    <w:lvl w:ilvl="0">
      <w:lvlJc w:val="left"/>
      <w:lvlText w:val="(%1)"/>
      <w:numFmt w:val="lowerLetter"/>
      <w:start w:val="3"/>
    </w:lvl>
    <w:lvl w:ilvl="1">
      <w:lvlJc w:val="left"/>
      <w:lvlText w:val="%2"/>
      <w:numFmt w:val="lowerRoman"/>
      <w:start w:val="1"/>
    </w:lvl>
  </w:abstractNum>
  <w:abstractNum w:abstractNumId="221">
    <w:nsid w:val="4382503"/>
    <w:multiLevelType w:val="hybridMultilevel"/>
    <w:lvl w:ilvl="0">
      <w:lvlJc w:val="left"/>
      <w:lvlText w:val="(%1)"/>
      <w:numFmt w:val="lowerLetter"/>
      <w:start w:val="1"/>
    </w:lvl>
    <w:lvl w:ilvl="1">
      <w:lvlJc w:val="left"/>
      <w:lvlText w:val="(%2)"/>
      <w:numFmt w:val="lowerRoman"/>
      <w:start w:val="1"/>
    </w:lvl>
  </w:abstractNum>
  <w:abstractNum w:abstractNumId="222">
    <w:nsid w:val="59B76E28"/>
    <w:multiLevelType w:val="hybridMultilevel"/>
    <w:lvl w:ilvl="0">
      <w:lvlJc w:val="left"/>
      <w:lvlText w:val="(%1)"/>
      <w:numFmt w:val="lowerLetter"/>
      <w:start w:val="1"/>
    </w:lvl>
  </w:abstractNum>
  <w:abstractNum w:abstractNumId="223">
    <w:nsid w:val="4252C2DA"/>
    <w:multiLevelType w:val="hybridMultilevel"/>
    <w:lvl w:ilvl="0">
      <w:lvlJc w:val="left"/>
      <w:lvlText w:val="(%1)"/>
      <w:numFmt w:val="lowerLetter"/>
      <w:start w:val="5"/>
    </w:lvl>
  </w:abstractNum>
  <w:abstractNum w:abstractNumId="224">
    <w:nsid w:val="6A92EF4C"/>
    <w:multiLevelType w:val="hybridMultilevel"/>
    <w:lvl w:ilvl="0">
      <w:lvlJc w:val="left"/>
      <w:lvlText w:val="%1"/>
      <w:numFmt w:val="lowerLetter"/>
      <w:start w:val="1"/>
    </w:lvl>
    <w:lvl w:ilvl="1">
      <w:lvlJc w:val="left"/>
      <w:lvlText w:val="(%2)"/>
      <w:numFmt w:val="lowerLetter"/>
      <w:start w:val="1"/>
    </w:lvl>
  </w:abstractNum>
  <w:abstractNum w:abstractNumId="225">
    <w:nsid w:val="41ED20D7"/>
    <w:multiLevelType w:val="hybridMultilevel"/>
    <w:lvl w:ilvl="0">
      <w:lvlJc w:val="left"/>
      <w:lvlText w:val="(%1)"/>
      <w:numFmt w:val="lowerLetter"/>
      <w:start w:val="61"/>
    </w:lvl>
    <w:lvl w:ilvl="1">
      <w:lvlJc w:val="left"/>
      <w:lvlText w:val="(%2)"/>
      <w:numFmt w:val="lowerLetter"/>
      <w:start w:val="2"/>
    </w:lvl>
  </w:abstractNum>
  <w:abstractNum w:abstractNumId="226">
    <w:nsid w:val="E6B3F6A"/>
    <w:multiLevelType w:val="hybridMultilevel"/>
    <w:lvl w:ilvl="0">
      <w:lvlJc w:val="left"/>
      <w:lvlText w:val="(%1)"/>
      <w:numFmt w:val="lowerLetter"/>
      <w:start w:val="1"/>
    </w:lvl>
  </w:abstractNum>
  <w:abstractNum w:abstractNumId="227">
    <w:nsid w:val="3EB21819"/>
    <w:multiLevelType w:val="hybridMultilevel"/>
    <w:lvl w:ilvl="0">
      <w:lvlJc w:val="left"/>
      <w:lvlText w:val="%1"/>
      <w:numFmt w:val="lowerLetter"/>
      <w:start w:val="1"/>
    </w:lvl>
    <w:lvl w:ilvl="1">
      <w:lvlJc w:val="left"/>
      <w:lvlText w:val="(%2)"/>
      <w:numFmt w:val="lowerLetter"/>
      <w:start w:val="1"/>
    </w:lvl>
  </w:abstractNum>
  <w:abstractNum w:abstractNumId="228">
    <w:nsid w:val="41531DED"/>
    <w:multiLevelType w:val="hybridMultilevel"/>
    <w:lvl w:ilvl="0">
      <w:lvlJc w:val="left"/>
      <w:lvlText w:val="(%1)"/>
      <w:numFmt w:val="lowerLetter"/>
      <w:start w:val="35"/>
    </w:lvl>
    <w:lvl w:ilvl="1">
      <w:lvlJc w:val="left"/>
      <w:lvlText w:val="%2"/>
      <w:numFmt w:val="lowerLetter"/>
      <w:start w:val="1"/>
    </w:lvl>
  </w:abstractNum>
  <w:abstractNum w:abstractNumId="229">
    <w:nsid w:val="6353CD2"/>
    <w:multiLevelType w:val="hybridMultilevel"/>
    <w:lvl w:ilvl="0">
      <w:lvlJc w:val="left"/>
      <w:lvlText w:val="(%1)"/>
      <w:numFmt w:val="lowerLetter"/>
      <w:start w:val="2"/>
    </w:lvl>
  </w:abstractNum>
  <w:abstractNum w:abstractNumId="230">
    <w:nsid w:val="683CAAD3"/>
    <w:multiLevelType w:val="hybridMultilevel"/>
    <w:lvl w:ilvl="0">
      <w:lvlJc w:val="left"/>
      <w:lvlText w:val="(%1)"/>
      <w:numFmt w:val="lowerLetter"/>
      <w:start w:val="1"/>
    </w:lvl>
  </w:abstractNum>
  <w:abstractNum w:abstractNumId="231">
    <w:nsid w:val="313C7C99"/>
    <w:multiLevelType w:val="hybridMultilevel"/>
    <w:lvl w:ilvl="0">
      <w:lvlJc w:val="left"/>
      <w:lvlText w:val="%1"/>
      <w:numFmt w:val="lowerLetter"/>
      <w:start w:val="1"/>
    </w:lvl>
    <w:lvl w:ilvl="1">
      <w:lvlJc w:val="left"/>
      <w:lvlText w:val="(%2)"/>
      <w:numFmt w:val="lowerLetter"/>
      <w:start w:val="1"/>
    </w:lvl>
  </w:abstractNum>
  <w:abstractNum w:abstractNumId="232">
    <w:nsid w:val="519EB94C"/>
    <w:multiLevelType w:val="hybridMultilevel"/>
    <w:lvl w:ilvl="0">
      <w:lvlJc w:val="left"/>
      <w:lvlText w:val="(%1)"/>
      <w:numFmt w:val="lowerLetter"/>
      <w:start w:val="35"/>
    </w:lvl>
    <w:lvl w:ilvl="1">
      <w:lvlJc w:val="left"/>
      <w:lvlText w:val="(%2)"/>
      <w:numFmt w:val="lowerLetter"/>
      <w:start w:val="10"/>
    </w:lvl>
  </w:abstractNum>
  <w:abstractNum w:abstractNumId="233">
    <w:nsid w:val="39DF2579"/>
    <w:multiLevelType w:val="hybridMultilevel"/>
    <w:lvl w:ilvl="0">
      <w:lvlJc w:val="left"/>
      <w:lvlText w:val="(%1)"/>
      <w:numFmt w:val="lowerRoman"/>
      <w:start w:val="3"/>
    </w:lvl>
  </w:abstractNum>
  <w:abstractNum w:abstractNumId="234">
    <w:nsid w:val="126E008B"/>
    <w:multiLevelType w:val="hybridMultilevel"/>
    <w:lvl w:ilvl="0">
      <w:lvlJc w:val="left"/>
      <w:lvlText w:val="%1"/>
      <w:numFmt w:val="lowerLetter"/>
      <w:start w:val="1"/>
    </w:lvl>
    <w:lvl w:ilvl="1">
      <w:lvlJc w:val="left"/>
      <w:lvlText w:val="(%2)"/>
      <w:numFmt w:val="lowerLetter"/>
      <w:start w:val="1"/>
    </w:lvl>
  </w:abstractNum>
  <w:abstractNum w:abstractNumId="235">
    <w:nsid w:val="34DFBC00"/>
    <w:multiLevelType w:val="hybridMultilevel"/>
    <w:lvl w:ilvl="0">
      <w:lvlJc w:val="left"/>
      <w:lvlText w:val="(%1)"/>
      <w:numFmt w:val="lowerLetter"/>
      <w:start w:val="3"/>
    </w:lvl>
    <w:lvl w:ilvl="1">
      <w:lvlJc w:val="left"/>
      <w:lvlText w:val="%2"/>
      <w:numFmt w:val="lowerLetter"/>
      <w:start w:val="1"/>
    </w:lvl>
  </w:abstractNum>
  <w:abstractNum w:abstractNumId="236">
    <w:nsid w:val="1F9EC322"/>
    <w:multiLevelType w:val="hybridMultilevel"/>
    <w:lvl w:ilvl="0">
      <w:lvlJc w:val="left"/>
      <w:lvlText w:val="(%1)"/>
      <w:numFmt w:val="lowerLetter"/>
      <w:start w:val="1"/>
    </w:lvl>
  </w:abstractNum>
  <w:abstractNum w:abstractNumId="237">
    <w:nsid w:val="3410ED56"/>
    <w:multiLevelType w:val="hybridMultilevel"/>
    <w:lvl w:ilvl="0">
      <w:lvlJc w:val="left"/>
      <w:lvlText w:val="(%1)"/>
      <w:numFmt w:val="lowerLetter"/>
      <w:start w:val="4"/>
    </w:lvl>
  </w:abstractNum>
  <w:abstractNum w:abstractNumId="238">
    <w:nsid w:val="23C049A"/>
    <w:multiLevelType w:val="hybridMultilevel"/>
    <w:lvl w:ilvl="0">
      <w:lvlJc w:val="left"/>
      <w:lvlText w:val="(%1)"/>
      <w:numFmt w:val="lowerLetter"/>
      <w:start w:val="1"/>
    </w:lvl>
  </w:abstractNum>
  <w:abstractNum w:abstractNumId="239">
    <w:nsid w:val="5BDA35D4"/>
    <w:multiLevelType w:val="hybridMultilevel"/>
    <w:lvl w:ilvl="0">
      <w:lvlJc w:val="left"/>
      <w:lvlText w:val="(%1)"/>
      <w:numFmt w:val="lowerLetter"/>
      <w:start w:val="2"/>
    </w:lvl>
  </w:abstractNum>
  <w:abstractNum w:abstractNumId="240">
    <w:nsid w:val="496FB218"/>
    <w:multiLevelType w:val="hybridMultilevel"/>
    <w:lvl w:ilvl="0">
      <w:lvlJc w:val="left"/>
      <w:lvlText w:val="(%1)"/>
      <w:numFmt w:val="lowerLetter"/>
      <w:start w:val="1"/>
    </w:lvl>
    <w:lvl w:ilvl="1">
      <w:lvlJc w:val="left"/>
      <w:lvlText w:val="(%2)"/>
      <w:numFmt w:val="lowerRoman"/>
      <w:start w:val="1"/>
    </w:lvl>
  </w:abstractNum>
  <w:abstractNum w:abstractNumId="241">
    <w:nsid w:val="680EA5D1"/>
    <w:multiLevelType w:val="hybridMultilevel"/>
    <w:lvl w:ilvl="0">
      <w:lvlJc w:val="left"/>
      <w:lvlText w:val="(%1)"/>
      <w:numFmt w:val="lowerLetter"/>
      <w:start w:val="6"/>
    </w:lvl>
    <w:lvl w:ilvl="1">
      <w:lvlJc w:val="left"/>
      <w:lvlText w:val="(%2)"/>
      <w:numFmt w:val="lowerRoman"/>
      <w:start w:val="1"/>
    </w:lvl>
  </w:abstractNum>
  <w:abstractNum w:abstractNumId="242">
    <w:nsid w:val="4A9554FE"/>
    <w:multiLevelType w:val="hybridMultilevel"/>
    <w:lvl w:ilvl="0">
      <w:lvlJc w:val="left"/>
      <w:lvlText w:val="(%1)"/>
      <w:numFmt w:val="lowerLetter"/>
      <w:start w:val="13"/>
    </w:lvl>
  </w:abstractNum>
  <w:abstractNum w:abstractNumId="243">
    <w:nsid w:val="392EDBE4"/>
    <w:multiLevelType w:val="hybridMultilevel"/>
    <w:lvl w:ilvl="0">
      <w:lvlJc w:val="left"/>
      <w:lvlText w:val="(%1)"/>
      <w:numFmt w:val="lowerLetter"/>
      <w:start w:val="1"/>
    </w:lvl>
  </w:abstractNum>
  <w:abstractNum w:abstractNumId="244">
    <w:nsid w:val="3D1A2DD9"/>
    <w:multiLevelType w:val="hybridMultilevel"/>
    <w:lvl w:ilvl="0">
      <w:lvlJc w:val="left"/>
      <w:lvlText w:val="(%1)"/>
      <w:numFmt w:val="lowerLetter"/>
      <w:start w:val="1"/>
    </w:lvl>
  </w:abstractNum>
  <w:abstractNum w:abstractNumId="245">
    <w:nsid w:val="7F618FCD"/>
    <w:multiLevelType w:val="hybridMultilevel"/>
    <w:lvl w:ilvl="0">
      <w:lvlJc w:val="left"/>
      <w:lvlText w:val="(%1)"/>
      <w:numFmt w:val="lowerLetter"/>
      <w:start w:val="1"/>
    </w:lvl>
  </w:abstractNum>
  <w:abstractNum w:abstractNumId="246">
    <w:nsid w:val="7843E45"/>
    <w:multiLevelType w:val="hybridMultilevel"/>
    <w:lvl w:ilvl="0">
      <w:lvlJc w:val="left"/>
      <w:lvlText w:val="(%1)"/>
      <w:numFmt w:val="lowerLetter"/>
      <w:start w:val="1"/>
    </w:lvl>
  </w:abstractNum>
  <w:abstractNum w:abstractNumId="247">
    <w:nsid w:val="9815DA3"/>
    <w:multiLevelType w:val="hybridMultilevel"/>
    <w:lvl w:ilvl="0">
      <w:lvlJc w:val="left"/>
      <w:lvlText w:val="(%1)"/>
      <w:numFmt w:val="lowerLetter"/>
      <w:start w:val="7"/>
    </w:lvl>
  </w:abstractNum>
  <w:abstractNum w:abstractNumId="248">
    <w:nsid w:val="5204A191"/>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49">
    <w:nsid w:val="4C73A9C6"/>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35"/>
    </w:lvl>
  </w:abstractNum>
  <w:abstractNum w:abstractNumId="250">
    <w:nsid w:val="1C7E3C01"/>
    <w:multiLevelType w:val="hybridMultilevel"/>
    <w:lvl w:ilvl="0">
      <w:lvlJc w:val="left"/>
      <w:lvlText w:val="(%1)"/>
      <w:numFmt w:val="lowerLetter"/>
      <w:start w:val="1"/>
    </w:lvl>
  </w:abstractNum>
  <w:abstractNum w:abstractNumId="251">
    <w:nsid w:val="1C2201FF"/>
    <w:multiLevelType w:val="hybridMultilevel"/>
    <w:lvl w:ilvl="0">
      <w:lvlJc w:val="left"/>
      <w:lvlText w:val="(%1)"/>
      <w:numFmt w:val="lowerLetter"/>
      <w:start w:val="1"/>
    </w:lvl>
  </w:abstractNum>
  <w:abstractNum w:abstractNumId="252">
    <w:nsid w:val="50ABCEC9"/>
    <w:multiLevelType w:val="hybridMultilevel"/>
    <w:lvl w:ilvl="0">
      <w:lvlJc w:val="left"/>
      <w:lvlText w:val="%1"/>
      <w:numFmt w:val="lowerLetter"/>
      <w:start w:val="1"/>
    </w:lvl>
    <w:lvl w:ilvl="1">
      <w:lvlJc w:val="left"/>
      <w:lvlText w:val="(%2)"/>
      <w:numFmt w:val="lowerLetter"/>
      <w:start w:val="3"/>
    </w:lvl>
  </w:abstractNum>
  <w:abstractNum w:abstractNumId="253">
    <w:nsid w:val="7635AA2A"/>
    <w:multiLevelType w:val="hybridMultilevel"/>
    <w:lvl w:ilvl="0">
      <w:lvlJc w:val="left"/>
      <w:lvlText w:val="(%1)"/>
      <w:numFmt w:val="lowerLetter"/>
      <w:start w:val="24"/>
    </w:lvl>
    <w:lvl w:ilvl="1">
      <w:lvlJc w:val="left"/>
      <w:lvlText w:val="(%2)"/>
      <w:numFmt w:val="lowerLetter"/>
      <w:start w:val="5"/>
    </w:lvl>
  </w:abstractNum>
  <w:abstractNum w:abstractNumId="254">
    <w:nsid w:val="5E74C4D9"/>
    <w:multiLevelType w:val="hybridMultilevel"/>
    <w:lvl w:ilvl="0">
      <w:lvlJc w:val="left"/>
      <w:lvlText w:val="(%1)"/>
      <w:numFmt w:val="lowerLetter"/>
      <w:start w:val="6"/>
    </w:lvl>
  </w:abstractNum>
  <w:abstractNum w:abstractNumId="255">
    <w:nsid w:val="3B3EBE15"/>
    <w:multiLevelType w:val="hybridMultilevel"/>
    <w:lvl w:ilvl="0">
      <w:lvlJc w:val="left"/>
      <w:lvlText w:val="(%1)"/>
      <w:numFmt w:val="lowerLetter"/>
      <w:start w:val="1"/>
    </w:lvl>
  </w:abstractNum>
  <w:abstractNum w:abstractNumId="256">
    <w:nsid w:val="3822CB01"/>
    <w:multiLevelType w:val="hybridMultilevel"/>
    <w:lvl w:ilvl="0">
      <w:lvlJc w:val="left"/>
      <w:lvlText w:val="(%1)"/>
      <w:numFmt w:val="lowerLetter"/>
      <w:start w:val="1"/>
    </w:lvl>
  </w:abstractNum>
  <w:abstractNum w:abstractNumId="257">
    <w:nsid w:val="6CE00443"/>
    <w:multiLevelType w:val="hybridMultilevel"/>
    <w:lvl w:ilvl="0">
      <w:lvlJc w:val="left"/>
      <w:lvlText w:val="(%1)"/>
      <w:numFmt w:val="lowerLetter"/>
      <w:start w:val="4"/>
    </w:lvl>
  </w:abstractNum>
  <w:abstractNum w:abstractNumId="258">
    <w:nsid w:val="79F0D62F"/>
    <w:multiLevelType w:val="hybridMultilevel"/>
    <w:lvl w:ilvl="0">
      <w:lvlJc w:val="left"/>
      <w:lvlText w:val="(%1)"/>
      <w:numFmt w:val="lowerLetter"/>
      <w:start w:val="1"/>
    </w:lvl>
  </w:abstractNum>
  <w:abstractNum w:abstractNumId="259">
    <w:nsid w:val="7975E8EE"/>
    <w:multiLevelType w:val="hybridMultilevel"/>
    <w:lvl w:ilvl="0">
      <w:lvlJc w:val="left"/>
      <w:lvlText w:val="(%1)"/>
      <w:numFmt w:val="lowerLetter"/>
      <w:start w:val="10"/>
    </w:lvl>
  </w:abstractNum>
  <w:abstractNum w:abstractNumId="260">
    <w:nsid w:val="73154115"/>
    <w:multiLevelType w:val="hybridMultilevel"/>
    <w:lvl w:ilvl="0">
      <w:lvlJc w:val="left"/>
      <w:lvlText w:val="(%1)"/>
      <w:numFmt w:val="lowerLetter"/>
      <w:start w:val="1"/>
    </w:lvl>
  </w:abstractNum>
  <w:abstractNum w:abstractNumId="261">
    <w:nsid w:val="622D8102"/>
    <w:multiLevelType w:val="hybridMultilevel"/>
    <w:lvl w:ilvl="0">
      <w:lvlJc w:val="left"/>
      <w:lvlText w:val="(%1)"/>
      <w:numFmt w:val="lowerLetter"/>
      <w:start w:val="2"/>
    </w:lvl>
  </w:abstractNum>
  <w:abstractNum w:abstractNumId="262">
    <w:nsid w:val="2AB26587"/>
    <w:multiLevelType w:val="hybridMultilevel"/>
    <w:lvl w:ilvl="0">
      <w:lvlJc w:val="left"/>
      <w:lvlText w:val="%1"/>
      <w:numFmt w:val="lowerLetter"/>
      <w:start w:val="1"/>
    </w:lvl>
    <w:lvl w:ilvl="1">
      <w:lvlJc w:val="left"/>
      <w:lvlText w:val="(%2)"/>
      <w:numFmt w:val="lowerLetter"/>
      <w:start w:val="1"/>
    </w:lvl>
  </w:abstractNum>
  <w:abstractNum w:abstractNumId="263">
    <w:nsid w:val="44B3FA61"/>
    <w:multiLevelType w:val="hybridMultilevel"/>
    <w:lvl w:ilvl="0">
      <w:lvlJc w:val="left"/>
      <w:lvlText w:val="(%1)"/>
      <w:numFmt w:val="lowerLetter"/>
      <w:start w:val="35"/>
    </w:lvl>
    <w:lvl w:ilvl="1">
      <w:lvlJc w:val="left"/>
      <w:lvlText w:val="(%2)"/>
      <w:numFmt w:val="lowerLetter"/>
      <w:start w:val="5"/>
    </w:lvl>
  </w:abstractNum>
  <w:abstractNum w:abstractNumId="264">
    <w:nsid w:val="1C0CA67C"/>
    <w:multiLevelType w:val="hybridMultilevel"/>
    <w:lvl w:ilvl="0">
      <w:lvlJc w:val="left"/>
      <w:lvlText w:val="(%1)"/>
      <w:numFmt w:val="lowerLetter"/>
      <w:start w:val="12"/>
    </w:lvl>
  </w:abstractNum>
  <w:abstractNum w:abstractNumId="265">
    <w:nsid w:val="3D206613"/>
    <w:multiLevelType w:val="hybridMultilevel"/>
    <w:lvl w:ilvl="0">
      <w:lvlJc w:val="left"/>
      <w:lvlText w:val="(%1)"/>
      <w:numFmt w:val="lowerLetter"/>
      <w:start w:val="1"/>
    </w:lvl>
  </w:abstractNum>
  <w:abstractNum w:abstractNumId="266">
    <w:nsid w:val="7993B662"/>
    <w:multiLevelType w:val="hybridMultilevel"/>
    <w:lvl w:ilvl="0">
      <w:lvlJc w:val="left"/>
      <w:lvlText w:val="(%1)"/>
      <w:numFmt w:val="lowerLetter"/>
      <w:start w:val="9"/>
    </w:lvl>
  </w:abstractNum>
  <w:abstractNum w:abstractNumId="267">
    <w:nsid w:val="3BAB699E"/>
    <w:multiLevelType w:val="hybridMultilevel"/>
    <w:lvl w:ilvl="0">
      <w:lvlJc w:val="left"/>
      <w:lvlText w:val="(%1)"/>
      <w:numFmt w:val="lowerLetter"/>
      <w:start w:val="1"/>
    </w:lvl>
  </w:abstractNum>
  <w:abstractNum w:abstractNumId="268">
    <w:nsid w:val="71315369"/>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1"/>
    </w:lvl>
  </w:abstractNum>
  <w:abstractNum w:abstractNumId="269">
    <w:nsid w:val="7BCFBAF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270">
    <w:nsid w:val="17859F72"/>
    <w:multiLevelType w:val="hybridMultilevel"/>
    <w:lvl w:ilvl="0">
      <w:lvlJc w:val="left"/>
      <w:lvlText w:val="%1"/>
      <w:numFmt w:val="lowerLetter"/>
      <w:start w:val="1"/>
    </w:lvl>
    <w:lvl w:ilvl="1">
      <w:lvlJc w:val="left"/>
      <w:lvlText w:val="(%2)"/>
      <w:numFmt w:val="lowerRoman"/>
      <w:start w:val="4"/>
    </w:lvl>
  </w:abstractNum>
  <w:abstractNum w:abstractNumId="271">
    <w:nsid w:val="3AA10581"/>
    <w:multiLevelType w:val="hybridMultilevel"/>
    <w:lvl w:ilvl="0">
      <w:lvlJc w:val="left"/>
      <w:lvlText w:val="(%1)"/>
      <w:numFmt w:val="lowerLetter"/>
      <w:start w:val="17"/>
    </w:lvl>
    <w:lvl w:ilvl="1">
      <w:lvlJc w:val="left"/>
      <w:lvlText w:val="%2"/>
      <w:numFmt w:val="lowerRoman"/>
      <w:start w:val="1"/>
    </w:lvl>
  </w:abstractNum>
  <w:abstractNum w:abstractNumId="272">
    <w:nsid w:val="63DE60CD"/>
    <w:multiLevelType w:val="hybridMultilevel"/>
    <w:lvl w:ilvl="0">
      <w:lvlJc w:val="left"/>
      <w:lvlText w:val="%1"/>
      <w:numFmt w:val="upperLetter"/>
      <w:start w:val="1"/>
    </w:lvl>
    <w:lvl w:ilvl="1">
      <w:lvlJc w:val="left"/>
      <w:lvlText w:val="(%2)"/>
      <w:numFmt w:val="lowerLetter"/>
      <w:start w:val="1"/>
    </w:lvl>
  </w:abstractNum>
  <w:abstractNum w:abstractNumId="273">
    <w:nsid w:val="621AF471"/>
    <w:multiLevelType w:val="hybridMultilevel"/>
    <w:lvl w:ilvl="0">
      <w:lvlJc w:val="left"/>
      <w:lvlText w:val="(%1)"/>
      <w:numFmt w:val="upperLetter"/>
      <w:start w:val="3"/>
    </w:lvl>
    <w:lvl w:ilvl="1">
      <w:lvlJc w:val="left"/>
      <w:lvlText w:val="%2"/>
      <w:numFmt w:val="lowerLetter"/>
      <w:start w:val="1"/>
    </w:lvl>
  </w:abstractNum>
  <w:abstractNum w:abstractNumId="274">
    <w:nsid w:val="73CFE165"/>
    <w:multiLevelType w:val="hybridMultilevel"/>
    <w:lvl w:ilvl="0">
      <w:lvlJc w:val="left"/>
      <w:lvlText w:val="%1"/>
      <w:numFmt w:val="lowerLetter"/>
      <w:start w:val="1"/>
    </w:lvl>
    <w:lvl w:ilvl="1">
      <w:lvlJc w:val="left"/>
      <w:lvlText w:val="(%2)"/>
      <w:numFmt w:val="lowerLetter"/>
      <w:start w:val="1"/>
    </w:lvl>
  </w:abstractNum>
  <w:abstractNum w:abstractNumId="275">
    <w:nsid w:val="20F88EA6"/>
    <w:multiLevelType w:val="hybridMultilevel"/>
    <w:lvl w:ilvl="0">
      <w:lvlJc w:val="left"/>
      <w:lvlText w:val="(%1)"/>
      <w:numFmt w:val="lowerLetter"/>
      <w:start w:val="35"/>
    </w:lvl>
    <w:lvl w:ilvl="1">
      <w:lvlJc w:val="left"/>
      <w:lvlText w:val="(%2)"/>
      <w:numFmt w:val="lowerLetter"/>
      <w:start w:val="3"/>
    </w:lvl>
  </w:abstractNum>
  <w:abstractNum w:abstractNumId="276">
    <w:nsid w:val="617C843E"/>
    <w:multiLevelType w:val="hybridMultilevel"/>
    <w:lvl w:ilvl="0">
      <w:lvlJc w:val="left"/>
      <w:lvlText w:val="(%1)"/>
      <w:numFmt w:val="lowerLetter"/>
      <w:start w:val="6"/>
    </w:lvl>
    <w:lvl w:ilvl="1">
      <w:lvlJc w:val="left"/>
      <w:lvlText w:val="(%2)"/>
      <w:numFmt w:val="lowerLetter"/>
      <w:start w:val="35"/>
    </w:lvl>
  </w:abstractNum>
  <w:abstractNum w:abstractNumId="277">
    <w:nsid w:val="7B541FAB"/>
    <w:multiLevelType w:val="hybridMultilevel"/>
    <w:lvl w:ilvl="0">
      <w:lvlJc w:val="left"/>
      <w:lvlText w:val="(%1)"/>
      <w:numFmt w:val="lowerLetter"/>
      <w:start w:val="1"/>
    </w:lvl>
  </w:abstractNum>
  <w:abstractNum w:abstractNumId="278">
    <w:nsid w:val="2A79EC49"/>
    <w:multiLevelType w:val="hybridMultilevel"/>
    <w:lvl w:ilvl="0">
      <w:lvlJc w:val="left"/>
      <w:lvlText w:val="(%1)"/>
      <w:numFmt w:val="lowerLetter"/>
      <w:start w:val="3"/>
    </w:lvl>
  </w:abstractNum>
  <w:abstractNum w:abstractNumId="279">
    <w:nsid w:val="338125CF"/>
    <w:multiLevelType w:val="hybridMultilevel"/>
    <w:lvl w:ilvl="0">
      <w:lvlJc w:val="left"/>
      <w:lvlText w:val="(%1)"/>
      <w:numFmt w:val="lowerLetter"/>
      <w:start w:val="1"/>
    </w:lvl>
  </w:abstractNum>
  <w:abstractNum w:abstractNumId="280">
    <w:nsid w:val="47C7C971"/>
    <w:multiLevelType w:val="hybridMultilevel"/>
    <w:lvl w:ilvl="0">
      <w:lvlJc w:val="left"/>
      <w:lvlText w:val="(%1)"/>
      <w:numFmt w:val="lowerLetter"/>
      <w:start w:val="1"/>
    </w:lvl>
  </w:abstractNum>
  <w:abstractNum w:abstractNumId="281">
    <w:nsid w:val="46F8284B"/>
    <w:multiLevelType w:val="hybridMultilevel"/>
    <w:lvl w:ilvl="0">
      <w:lvlJc w:val="left"/>
      <w:lvlText w:val="(%1)"/>
      <w:numFmt w:val="lowerLetter"/>
      <w:start w:val="1"/>
    </w:lvl>
  </w:abstractNum>
  <w:abstractNum w:abstractNumId="282">
    <w:nsid w:val="4FA327CE"/>
    <w:multiLevelType w:val="hybridMultilevel"/>
    <w:lvl w:ilvl="0">
      <w:lvlJc w:val="left"/>
      <w:lvlText w:val="(%1)"/>
      <w:numFmt w:val="lowerLetter"/>
      <w:start w:val="1"/>
    </w:lvl>
    <w:lvl w:ilvl="1">
      <w:lvlJc w:val="left"/>
      <w:lvlText w:val="(%2)"/>
      <w:numFmt w:val="lowerRoman"/>
      <w:start w:val="1"/>
    </w:lvl>
  </w:abstractNum>
  <w:abstractNum w:abstractNumId="283">
    <w:nsid w:val="1873983A"/>
    <w:multiLevelType w:val="hybridMultilevel"/>
    <w:lvl w:ilvl="0">
      <w:lvlJc w:val="left"/>
      <w:lvlText w:val="(%1)"/>
      <w:numFmt w:val="lowerLetter"/>
      <w:start w:val="2"/>
    </w:lvl>
  </w:abstractNum>
  <w:abstractNum w:abstractNumId="284">
    <w:nsid w:val="3D2DD275"/>
    <w:multiLevelType w:val="hybridMultilevel"/>
    <w:lvl w:ilvl="0">
      <w:lvlJc w:val="left"/>
      <w:lvlText w:val="(%1)"/>
      <w:numFmt w:val="lowerLetter"/>
      <w:start w:val="1"/>
    </w:lvl>
  </w:abstractNum>
  <w:abstractNum w:abstractNumId="285">
    <w:nsid w:val="2E17ECA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86">
    <w:nsid w:val="53B2564F"/>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287">
    <w:nsid w:val="75509D76"/>
    <w:multiLevelType w:val="hybridMultilevel"/>
    <w:lvl w:ilvl="0">
      <w:lvlJc w:val="left"/>
      <w:lvlText w:val="%1"/>
      <w:numFmt w:val="lowerLetter"/>
      <w:start w:val="1"/>
    </w:lvl>
    <w:lvl w:ilvl="1">
      <w:lvlJc w:val="left"/>
      <w:lvlText w:val="(%2)"/>
      <w:numFmt w:val="lowerLetter"/>
      <w:start w:val="35"/>
    </w:lvl>
  </w:abstractNum>
  <w:abstractNum w:abstractNumId="288">
    <w:nsid w:val="1AF7F0EA"/>
    <w:multiLevelType w:val="hybridMultilevel"/>
    <w:lvl w:ilvl="0">
      <w:lvlJc w:val="left"/>
      <w:lvlText w:val="(%1)"/>
      <w:numFmt w:val="lowerLetter"/>
      <w:start w:val="3"/>
    </w:lvl>
    <w:lvl w:ilvl="1">
      <w:lvlJc w:val="left"/>
      <w:lvlText w:val="%2"/>
      <w:numFmt w:val="lowerLetter"/>
      <w:start w:val="1"/>
    </w:lvl>
  </w:abstractNum>
  <w:abstractNum w:abstractNumId="289">
    <w:nsid w:val="4DA32C7E"/>
    <w:multiLevelType w:val="hybridMultilevel"/>
    <w:lvl w:ilvl="0">
      <w:lvlJc w:val="left"/>
      <w:lvlText w:val="(%1)"/>
      <w:numFmt w:val="lowerLetter"/>
      <w:start w:val="5"/>
    </w:lvl>
  </w:abstractNum>
  <w:abstractNum w:abstractNumId="290">
    <w:nsid w:val="6EC68664"/>
    <w:multiLevelType w:val="hybridMultilevel"/>
    <w:lvl w:ilvl="0">
      <w:lvlJc w:val="left"/>
      <w:lvlText w:val="(%1)"/>
      <w:numFmt w:val="lowerLetter"/>
      <w:start w:val="1"/>
    </w:lvl>
    <w:lvl w:ilvl="1">
      <w:lvlJc w:val="left"/>
      <w:lvlText w:val="(%2)"/>
      <w:numFmt w:val="lowerRoman"/>
      <w:start w:val="1"/>
    </w:lvl>
  </w:abstractNum>
  <w:abstractNum w:abstractNumId="291">
    <w:nsid w:val="E0D31FF"/>
    <w:multiLevelType w:val="hybridMultilevel"/>
    <w:lvl w:ilvl="0">
      <w:lvlJc w:val="left"/>
      <w:lvlText w:val="(%1)"/>
      <w:numFmt w:val="lowerLetter"/>
      <w:start w:val="2"/>
    </w:lvl>
  </w:abstractNum>
  <w:abstractNum w:abstractNumId="292">
    <w:nsid w:val="2FD0AD81"/>
    <w:multiLevelType w:val="hybridMultilevel"/>
    <w:lvl w:ilvl="0">
      <w:lvlJc w:val="left"/>
      <w:lvlText w:val="(%1)"/>
      <w:numFmt w:val="lowerLetter"/>
      <w:start w:val="1"/>
    </w:lvl>
  </w:abstractNum>
  <w:abstractNum w:abstractNumId="293">
    <w:nsid w:val="1978EBEB"/>
    <w:multiLevelType w:val="hybridMultilevel"/>
    <w:lvl w:ilvl="0">
      <w:lvlJc w:val="left"/>
      <w:lvlText w:val="(%1)"/>
      <w:numFmt w:val="upperLetter"/>
      <w:start w:val="9"/>
    </w:lvl>
    <w:lvl w:ilvl="1">
      <w:lvlJc w:val="left"/>
      <w:lvlText w:val="(%2)"/>
      <w:numFmt w:val="lowerLetter"/>
      <w:start w:val="2"/>
    </w:lvl>
    <w:lvl w:ilvl="2">
      <w:lvlJc w:val="left"/>
      <w:lvlText w:val="(%3)"/>
      <w:numFmt w:val="lowerRoman"/>
      <w:start w:val="1"/>
    </w:lvl>
  </w:abstractNum>
  <w:abstractNum w:abstractNumId="294">
    <w:nsid w:val="52C12C61"/>
    <w:multiLevelType w:val="hybridMultilevel"/>
    <w:lvl w:ilvl="0">
      <w:lvlJc w:val="left"/>
      <w:lvlText w:val="(%1)"/>
      <w:numFmt w:val="lowerLetter"/>
      <w:start w:val="4"/>
    </w:lvl>
  </w:abstractNum>
  <w:abstractNum w:abstractNumId="295">
    <w:nsid w:val="4BDD53FD"/>
    <w:multiLevelType w:val="hybridMultilevel"/>
    <w:lvl w:ilvl="0">
      <w:lvlJc w:val="left"/>
      <w:lvlText w:val="(%1)"/>
      <w:numFmt w:val="lowerLetter"/>
      <w:start w:val="1"/>
    </w:lvl>
  </w:abstractNum>
  <w:abstractNum w:abstractNumId="296">
    <w:nsid w:val="569951FE"/>
    <w:multiLevelType w:val="hybridMultilevel"/>
    <w:lvl w:ilvl="0">
      <w:lvlJc w:val="left"/>
      <w:lvlText w:val="(%1)"/>
      <w:numFmt w:val="lowerLetter"/>
      <w:start w:val="3"/>
    </w:lvl>
    <w:lvl w:ilvl="1">
      <w:lvlJc w:val="left"/>
      <w:lvlText w:val="(%2)"/>
      <w:numFmt w:val="lowerLetter"/>
      <w:start w:val="35"/>
    </w:lvl>
  </w:abstractNum>
  <w:abstractNum w:abstractNumId="297">
    <w:nsid w:val="4C54E2C3"/>
    <w:multiLevelType w:val="hybridMultilevel"/>
    <w:lvl w:ilvl="0">
      <w:lvlJc w:val="left"/>
      <w:lvlText w:val="%1"/>
      <w:numFmt w:val="upperLetter"/>
      <w:start w:val="1"/>
    </w:lvl>
    <w:lvl w:ilvl="1">
      <w:lvlJc w:val="left"/>
      <w:lvlText w:val="(%2)"/>
      <w:numFmt w:val="lowerLetter"/>
      <w:start w:val="1"/>
    </w:lvl>
  </w:abstractNum>
  <w:abstractNum w:abstractNumId="298">
    <w:nsid w:val="788BD9B"/>
    <w:multiLevelType w:val="hybridMultilevel"/>
    <w:lvl w:ilvl="0">
      <w:lvlJc w:val="left"/>
      <w:lvlText w:val="(%1)"/>
      <w:numFmt w:val="upperLetter"/>
      <w:start w:val="1"/>
    </w:lvl>
    <w:lvl w:ilvl="1">
      <w:lvlJc w:val="left"/>
      <w:lvlText w:val="(%2)"/>
      <w:numFmt w:val="lowerLetter"/>
      <w:start w:val="2"/>
    </w:lvl>
  </w:abstractNum>
  <w:abstractNum w:abstractNumId="299">
    <w:nsid w:val="47CAA567"/>
    <w:multiLevelType w:val="hybridMultilevel"/>
    <w:lvl w:ilvl="0">
      <w:lvlJc w:val="left"/>
      <w:lvlText w:val="(%1)"/>
      <w:numFmt w:val="lowerRoman"/>
      <w:start w:val="4"/>
    </w:lvl>
    <w:lvl w:ilvl="1">
      <w:lvlJc w:val="left"/>
      <w:lvlText w:val="(%2)"/>
      <w:numFmt w:val="lowerLetter"/>
      <w:start w:val="3"/>
    </w:lvl>
  </w:abstractNum>
  <w:abstractNum w:abstractNumId="300">
    <w:nsid w:val="48249DBF"/>
    <w:multiLevelType w:val="hybridMultilevel"/>
    <w:lvl w:ilvl="0">
      <w:lvlJc w:val="left"/>
      <w:lvlText w:val="(%1)"/>
      <w:numFmt w:val="lowerLetter"/>
      <w:start w:val="6"/>
    </w:lvl>
  </w:abstractNum>
  <w:abstractNum w:abstractNumId="301">
    <w:nsid w:val="1F0E5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2">
    <w:nsid w:val="26BAAE9"/>
    <w:multiLevelType w:val="hybridMultilevel"/>
    <w:lvl w:ilvl="0">
      <w:lvlJc w:val="left"/>
      <w:lvlText w:val="%1"/>
      <w:numFmt w:val="lowerRoman"/>
      <w:start w:val="1"/>
    </w:lvl>
    <w:lvl w:ilvl="1">
      <w:lvlJc w:val="left"/>
      <w:lvlText w:val="(%2)"/>
      <w:numFmt w:val="upperLetter"/>
      <w:start w:val="2"/>
    </w:lvl>
  </w:abstractNum>
  <w:abstractNum w:abstractNumId="303">
    <w:nsid w:val="2C02FE8C"/>
    <w:multiLevelType w:val="hybridMultilevel"/>
    <w:lvl w:ilvl="0">
      <w:lvlJc w:val="left"/>
      <w:lvlText w:val="(%1)"/>
      <w:numFmt w:val="lowerRoman"/>
      <w:start w:val="4"/>
    </w:lvl>
    <w:lvl w:ilvl="1">
      <w:lvlJc w:val="left"/>
      <w:lvlText w:val="%2"/>
      <w:numFmt w:val="upperLetter"/>
      <w:start w:val="1"/>
    </w:lvl>
  </w:abstractNum>
  <w:abstractNum w:abstractNumId="304">
    <w:nsid w:val="129517E"/>
    <w:multiLevelType w:val="hybridMultilevel"/>
    <w:lvl w:ilvl="0">
      <w:lvlJc w:val="left"/>
      <w:lvlText w:val="%1"/>
      <w:numFmt w:val="lowerLetter"/>
      <w:start w:val="1"/>
    </w:lvl>
    <w:lvl w:ilvl="1">
      <w:lvlJc w:val="left"/>
      <w:lvlText w:val="(%2)"/>
      <w:numFmt w:val="lowerLetter"/>
      <w:start w:val="3"/>
    </w:lvl>
  </w:abstractNum>
  <w:abstractNum w:abstractNumId="305">
    <w:nsid w:val="763B8C4E"/>
    <w:multiLevelType w:val="hybridMultilevel"/>
    <w:lvl w:ilvl="0">
      <w:lvlJc w:val="left"/>
      <w:lvlText w:val="(%1)"/>
      <w:numFmt w:val="lowerLetter"/>
      <w:start w:val="35"/>
    </w:lvl>
    <w:lvl w:ilvl="1">
      <w:lvlJc w:val="left"/>
      <w:lvlText w:val="%2"/>
      <w:numFmt w:val="lowerLetter"/>
      <w:start w:val="1"/>
    </w:lvl>
  </w:abstractNum>
  <w:abstractNum w:abstractNumId="306">
    <w:nsid w:val="4CFB8D32"/>
    <w:multiLevelType w:val="hybridMultilevel"/>
    <w:lvl w:ilvl="0">
      <w:lvlJc w:val="left"/>
      <w:lvlText w:val="(%1)"/>
      <w:numFmt w:val="lowerLetter"/>
      <w:start w:val="5"/>
    </w:lvl>
  </w:abstractNum>
  <w:abstractNum w:abstractNumId="307">
    <w:nsid w:val="62A5D5BD"/>
    <w:multiLevelType w:val="hybridMultilevel"/>
    <w:lvl w:ilvl="0">
      <w:lvlJc w:val="left"/>
      <w:lvlText w:val="(%1)"/>
      <w:numFmt w:val="lowerLetter"/>
      <w:start w:val="1"/>
    </w:lvl>
  </w:abstractNum>
  <w:abstractNum w:abstractNumId="308">
    <w:nsid w:val="718FABF9"/>
    <w:multiLevelType w:val="hybridMultilevel"/>
    <w:lvl w:ilvl="0">
      <w:lvlJc w:val="left"/>
      <w:lvlText w:val="(%1)"/>
      <w:numFmt w:val="lowerLetter"/>
      <w:start w:val="2"/>
    </w:lvl>
  </w:abstractNum>
  <w:abstractNum w:abstractNumId="309">
    <w:nsid w:val="7775797C"/>
    <w:multiLevelType w:val="hybridMultilevel"/>
    <w:lvl w:ilvl="0">
      <w:lvlJc w:val="left"/>
      <w:lvlText w:val="(%1)"/>
      <w:numFmt w:val="lowerLetter"/>
      <w:start w:val="1"/>
    </w:lvl>
  </w:abstractNum>
  <w:abstractNum w:abstractNumId="310">
    <w:nsid w:val="1626FB8C"/>
    <w:multiLevelType w:val="hybridMultilevel"/>
    <w:lvl w:ilvl="0">
      <w:lvlJc w:val="left"/>
      <w:lvlText w:val="(%1)"/>
      <w:numFmt w:val="lowerLetter"/>
      <w:start w:val="1"/>
    </w:lvl>
  </w:abstractNum>
  <w:abstractNum w:abstractNumId="311">
    <w:nsid w:val="3957756A"/>
    <w:multiLevelType w:val="hybridMultilevel"/>
    <w:lvl w:ilvl="0">
      <w:lvlJc w:val="left"/>
      <w:lvlText w:val="(%1)"/>
      <w:numFmt w:val="lowerLetter"/>
      <w:start w:val="3"/>
    </w:lvl>
  </w:abstractNum>
  <w:abstractNum w:abstractNumId="312">
    <w:nsid w:val="3E6DA1C7"/>
    <w:multiLevelType w:val="hybridMultilevel"/>
    <w:lvl w:ilvl="0">
      <w:lvlJc w:val="left"/>
      <w:lvlText w:val="(%1)"/>
      <w:numFmt w:val="lowerLetter"/>
      <w:start w:val="1"/>
    </w:lvl>
  </w:abstractNum>
  <w:abstractNum w:abstractNumId="313">
    <w:nsid w:val="65CA235B"/>
    <w:multiLevelType w:val="hybridMultilevel"/>
    <w:lvl w:ilvl="0">
      <w:lvlJc w:val="left"/>
      <w:lvlText w:val="%1"/>
      <w:numFmt w:val="upperLetter"/>
      <w:start w:val="1"/>
    </w:lvl>
    <w:lvl w:ilvl="1">
      <w:lvlJc w:val="left"/>
      <w:lvlText w:val="(%2)"/>
      <w:numFmt w:val="lowerLetter"/>
      <w:start w:val="2"/>
    </w:lvl>
  </w:abstractNum>
  <w:abstractNum w:abstractNumId="314">
    <w:nsid w:val="51CB0DA4"/>
    <w:multiLevelType w:val="hybridMultilevel"/>
    <w:lvl w:ilvl="0">
      <w:lvlJc w:val="left"/>
      <w:lvlText w:val="(%1)"/>
      <w:numFmt w:val="upperLetter"/>
      <w:start w:val="2"/>
    </w:lvl>
    <w:lvl w:ilvl="1">
      <w:lvlJc w:val="left"/>
      <w:lvlText w:val="(%2)"/>
      <w:numFmt w:val="lowerLetter"/>
      <w:start w:val="3"/>
    </w:lvl>
  </w:abstractNum>
  <w:abstractNum w:abstractNumId="315">
    <w:nsid w:val="7B9B743C"/>
    <w:multiLevelType w:val="hybridMultilevel"/>
    <w:lvl w:ilvl="0">
      <w:lvlJc w:val="left"/>
      <w:lvlText w:val="(%1)"/>
      <w:numFmt w:val="lowerLetter"/>
      <w:start w:val="1"/>
    </w:lvl>
  </w:abstractNum>
  <w:abstractNum w:abstractNumId="316">
    <w:nsid w:val="13E21002"/>
    <w:multiLevelType w:val="hybridMultilevel"/>
    <w:lvl w:ilvl="0">
      <w:lvlJc w:val="left"/>
      <w:lvlText w:val="(%1)"/>
      <w:numFmt w:val="lowerLetter"/>
      <w:start w:val="1"/>
    </w:lvl>
  </w:abstractNum>
  <w:abstractNum w:abstractNumId="317">
    <w:nsid w:val="257D63F4"/>
    <w:multiLevelType w:val="hybridMultilevel"/>
    <w:lvl w:ilvl="0">
      <w:lvlJc w:val="left"/>
      <w:lvlText w:val="(%1)"/>
      <w:numFmt w:val="lowerLetter"/>
      <w:start w:val="2"/>
    </w:lvl>
    <w:lvl w:ilvl="1">
      <w:lvlJc w:val="left"/>
      <w:lvlText w:val="(%2)"/>
      <w:numFmt w:val="lowerRoman"/>
      <w:start w:val="1"/>
    </w:lvl>
  </w:abstractNum>
  <w:abstractNum w:abstractNumId="318">
    <w:nsid w:val="70EC11B2"/>
    <w:multiLevelType w:val="hybridMultilevel"/>
    <w:lvl w:ilvl="0">
      <w:lvlJc w:val="left"/>
      <w:lvlText w:val="(%1)"/>
      <w:numFmt w:val="lowerLetter"/>
      <w:start w:val="1"/>
    </w:lvl>
  </w:abstractNum>
  <w:abstractNum w:abstractNumId="319">
    <w:nsid w:val="2EDA00ED"/>
    <w:multiLevelType w:val="hybridMultilevel"/>
    <w:lvl w:ilvl="0">
      <w:lvlJc w:val="left"/>
      <w:lvlText w:val="(%1)"/>
      <w:numFmt w:val="lowerLetter"/>
      <w:start w:val="3"/>
    </w:lvl>
    <w:lvl w:ilvl="1">
      <w:lvlJc w:val="left"/>
      <w:lvlText w:val="(%2)"/>
      <w:numFmt w:val="lowerLetter"/>
      <w:start w:val="35"/>
    </w:lvl>
  </w:abstractNum>
  <w:abstractNum w:abstractNumId="320">
    <w:nsid w:val="73209072"/>
    <w:multiLevelType w:val="hybridMultilevel"/>
    <w:lvl w:ilvl="0">
      <w:lvlJc w:val="left"/>
      <w:lvlText w:val="(%1)"/>
      <w:numFmt w:val="lowerRoman"/>
      <w:start w:val="1"/>
    </w:lvl>
  </w:abstractNum>
  <w:abstractNum w:abstractNumId="321">
    <w:nsid w:val="5FB29816"/>
    <w:multiLevelType w:val="hybridMultilevel"/>
    <w:lvl w:ilvl="0">
      <w:lvlJc w:val="left"/>
      <w:lvlText w:val="(%1)"/>
      <w:numFmt w:val="lowerRoman"/>
      <w:start w:val="2"/>
    </w:lvl>
    <w:lvl w:ilvl="1">
      <w:lvlJc w:val="left"/>
      <w:lvlText w:val="(%2)"/>
      <w:numFmt w:val="upperLetter"/>
      <w:start w:val="1"/>
    </w:lvl>
  </w:abstractNum>
  <w:abstractNum w:abstractNumId="322">
    <w:nsid w:val="3CE732EC"/>
    <w:multiLevelType w:val="hybridMultilevel"/>
    <w:lvl w:ilvl="0">
      <w:lvlJc w:val="left"/>
      <w:lvlText w:val="%1."/>
      <w:numFmt w:val="decimal"/>
      <w:start w:val="1"/>
    </w:lvl>
    <w:lvl w:ilvl="1">
      <w:lvlJc w:val="left"/>
      <w:lvlText w:val="(%2)"/>
      <w:numFmt w:val="lowerLetter"/>
      <w:start w:val="1"/>
    </w:lvl>
  </w:abstractNum>
  <w:abstractNum w:abstractNumId="323">
    <w:nsid w:val="22F13DF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64"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jpeg"/><Relationship Id="rId179" Type="http://schemas.openxmlformats.org/officeDocument/2006/relationships/image" Target="media/image140.jpeg"/><Relationship Id="rId180" Type="http://schemas.openxmlformats.org/officeDocument/2006/relationships/image" Target="media/image141.jpeg"/><Relationship Id="rId181" Type="http://schemas.openxmlformats.org/officeDocument/2006/relationships/image" Target="media/image142.jpeg"/><Relationship Id="rId182" Type="http://schemas.openxmlformats.org/officeDocument/2006/relationships/image" Target="media/image143.jpe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jpe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jpe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jpe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141" Type="http://schemas.openxmlformats.org/officeDocument/2006/relationships/hyperlink" Target="http://www.sec.gov/Archives/edgar/data/1535527/000110465919035685/a19-11597_1ex3d1.htm" TargetMode="External"/><Relationship Id="rId142" Type="http://schemas.openxmlformats.org/officeDocument/2006/relationships/hyperlink" Target="http://www.sec.gov/Archives/edgar/data/1535527/000110465919035685/a19-11597_1ex3d2.htm" TargetMode="External"/><Relationship Id="rId143" Type="http://schemas.openxmlformats.org/officeDocument/2006/relationships/hyperlink" Target="http://www.sec.gov/Archives/edgar/data/1535527/000104746919003095/a2238800zex-4_1.htm" TargetMode="External"/><Relationship Id="rId144" Type="http://schemas.openxmlformats.org/officeDocument/2006/relationships/hyperlink" Target="http://www.sec.gov/Archives/edgar/data/1535527/000104746919003095/a2238800zex-4_2.htm" TargetMode="External"/><Relationship Id="rId145" Type="http://schemas.openxmlformats.org/officeDocument/2006/relationships/hyperlink" Target="http://www.sec.gov/Archives/edgar/data/1535527/000104746919003341/a2238881zex-4_3.htm" TargetMode="External"/><Relationship Id="rId146" Type="http://schemas.openxmlformats.org/officeDocument/2006/relationships/hyperlink" Target="http://www.sec.gov/Archives/edgar/data/1535527/000153552720000006/crwdex44-descriptionof.htm" TargetMode="External"/><Relationship Id="rId147" Type="http://schemas.openxmlformats.org/officeDocument/2006/relationships/hyperlink" Target="http://www.sec.gov/Archives/edgar/data/1535527/000110465921005883/tm213272d1_ex4-1.htm" TargetMode="External"/><Relationship Id="rId148" Type="http://schemas.openxmlformats.org/officeDocument/2006/relationships/hyperlink" Target="http://www.sec.gov/Archives/edgar/data/1535527/000110465921005883/tm213272d1_ex4-2.htm" TargetMode="External"/><Relationship Id="rId149" Type="http://schemas.openxmlformats.org/officeDocument/2006/relationships/hyperlink" Target="http://www.sec.gov/Archives/edgar/data/1535527/000104746919003095/a2238800zex-10_1.htm" TargetMode="External"/><Relationship Id="rId150" Type="http://schemas.openxmlformats.org/officeDocument/2006/relationships/hyperlink" Target="http://www.sec.gov/Archives/edgar/data/1535527/000104746919003341/a2238881zex-10_2.htm" TargetMode="External"/><Relationship Id="rId151" Type="http://schemas.openxmlformats.org/officeDocument/2006/relationships/hyperlink" Target="http://www.sec.gov/Archives/edgar/data/1535527/000153552720000019/ex-101formofdirectoran.htm" TargetMode="External"/><Relationship Id="rId152" Type="http://schemas.openxmlformats.org/officeDocument/2006/relationships/hyperlink" Target="http://www.sec.gov/Archives/edgar/data/1535527/000153552721000007/exhibit104_crwd-directorin.htm" TargetMode="External"/><Relationship Id="rId153" Type="http://schemas.openxmlformats.org/officeDocument/2006/relationships/hyperlink" Target="http://www.sec.gov/Archives/edgar/data/1535527/000153552720000012/crwd-20200430xex101.htm" TargetMode="External"/><Relationship Id="rId154" Type="http://schemas.openxmlformats.org/officeDocument/2006/relationships/hyperlink" Target="http://www.sec.gov/Archives/edgar/data/1535527/000104746919003095/a2238800zex-10_4.htm" TargetMode="External"/><Relationship Id="rId155" Type="http://schemas.openxmlformats.org/officeDocument/2006/relationships/hyperlink" Target="http://www.sec.gov/Archives/edgar/data/0001535527/000153552721000022/crowdstrike-2019espp.htm" TargetMode="External"/><Relationship Id="rId156" Type="http://schemas.openxmlformats.org/officeDocument/2006/relationships/hyperlink" Target="http://www.sec.gov/Archives/edgar/data/0001535527/000110465921035670/tm219494d1_ex99-1.htm" TargetMode="External"/><Relationship Id="rId157" Type="http://schemas.openxmlformats.org/officeDocument/2006/relationships/hyperlink" Target="http://www.sec.gov/Archives/edgar/data/0001535527/000110465921089005/tm2121414d1_ex10-1.htm" TargetMode="External"/><Relationship Id="rId158" Type="http://schemas.openxmlformats.org/officeDocument/2006/relationships/hyperlink" Target="http://www.sec.gov/Archives/edgar/data/1535527/000104746919003095/a2238800zex-10_6.htm" TargetMode="External"/><Relationship Id="rId159" Type="http://schemas.openxmlformats.org/officeDocument/2006/relationships/hyperlink" Target="http://www.sec.gov/Archives/edgar/data/1535527/000104746919003095/a2238800zex-10_7.htm" TargetMode="External"/><Relationship Id="rId160" Type="http://schemas.openxmlformats.org/officeDocument/2006/relationships/hyperlink" Target="http://www.sec.gov/Archives/edgar/data/1535527/000104746919003095/a2238800zex-10_8.htm" TargetMode="External"/><Relationship Id="rId161" Type="http://schemas.openxmlformats.org/officeDocument/2006/relationships/hyperlink" Target="http://www.sec.gov/Archives/edgar/data/1535527/000104746919003095/a2238800zex-10_9.htm" TargetMode="External"/><Relationship Id="rId162" Type="http://schemas.openxmlformats.org/officeDocument/2006/relationships/hyperlink" Target="http://www.sec.gov/Archives/edgar/data/1535527/000104746919003095/a2238800zex-10_10.htm" TargetMode="External"/><Relationship Id="rId163" Type="http://schemas.openxmlformats.org/officeDocument/2006/relationships/hyperlink" Target="http://www.sec.gov/Archives/edgar/data/1535527/000104746919003095/a2238800zex-10_12.htm" TargetMode="External"/><Relationship Id="rId165" Type="http://schemas.openxmlformats.org/officeDocument/2006/relationships/hyperlink" Target="http://www.sec.gov/Archives/edgar/data/1535527/000153552719000011/crowdstrikefourthamendme.htm" TargetMode="External"/><Relationship Id="rId166" Type="http://schemas.openxmlformats.org/officeDocument/2006/relationships/hyperlink" Target="http://www.sec.gov/Archives/edgar/data/1535527/000153552720000006/crwd_sunnyvale5thamend10.htm" TargetMode="External"/><Relationship Id="rId167" Type="http://schemas.openxmlformats.org/officeDocument/2006/relationships/hyperlink" Target="https://www.sec.gov/Archives/edgar/data/1535527/000153552721000022/gk-specialpsuawardagreemen.htm" TargetMode="External"/><Relationship Id="rId168" Type="http://schemas.openxmlformats.org/officeDocument/2006/relationships/hyperlink" Target="http://www.sec.gov/Archives/edgar/data/1535527/000153552721000022/gk-specialpsuawardagreemen.htm" TargetMode="External"/><Relationship Id="rId169" Type="http://schemas.openxmlformats.org/officeDocument/2006/relationships/hyperlink" Target="http://www.sec.gov/Archives/edgar/data/1535527/000153552721000022/crowdstrike-ceocicandsever.htm" TargetMode="External"/><Relationship Id="rId170" Type="http://schemas.openxmlformats.org/officeDocument/2006/relationships/hyperlink" Target="http://www.sec.gov/Archives/edgar/data/1535527/000110465922004504/tm222862d1_ex10-1.htm" TargetMode="External"/><Relationship Id="rId171" Type="http://schemas.openxmlformats.org/officeDocument/2006/relationships/hyperlink" Target="http://www.sec.gov/Archives/edgar/data/1535527/000153552721000013/a101_carpentermupdated.htm" TargetMode="External"/><Relationship Id="rId172" Type="http://schemas.openxmlformats.org/officeDocument/2006/relationships/hyperlink" Target="http://www.sec.gov/Archives/edgar/data/1535527/000153552721000013/a102_henrysupdated.htm" TargetMode="External"/><Relationship Id="rId173"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2022-03-16T15:18:13Z</dcterms:created>
  <dcterms:modified xsi:type="dcterms:W3CDTF">2022-03-16T15:18:13Z</dcterms:modified>
</cp:coreProperties>
</file>