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079-1_s3asr.htm"/>
        <w:bookmarkStart w:id="1" w:name="kstm2625079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As filed with the Securities and Exchange Commission on September 11, 2026</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30" w:before="40" w:after="283"/>
        <w:jc w:val="righ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No. 333-     </w:t>
      </w:r>
      <w:r>
        <w:rPr>
          <w:rFonts w:ascii="Times New Roman;Times;serif" w:hAnsi="Times New Roman;Times;serif"/>
          <w:b/>
          <w:i w:val="false"/>
          <w:caps w:val="false"/>
          <w:smallCaps w:val="false"/>
          <w:color w:val="000000"/>
          <w:sz w:val="19"/>
        </w:rPr>
        <w:t>​</w:t>
      </w:r>
    </w:p>
    <w:p>
      <w:pPr>
        <w:pStyle w:val="TextBody"/>
        <w:bidi w:val="0"/>
        <w:spacing w:before="47"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11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9"/>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before="8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44"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FORM S-3 </w:t>
      </w:r>
    </w:p>
    <w:p>
      <w:pPr>
        <w:pStyle w:val="TextBody"/>
        <w:bidi w:val="0"/>
        <w:spacing w:lineRule="atLeast" w:line="210" w:before="8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STATEMENT</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00" w:before="20"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UNDER</w:t>
      </w:r>
      <w:r>
        <w:rPr>
          <w:rFonts w:ascii="Times New Roman;Times;serif" w:hAnsi="Times New Roman;Times;serif"/>
          <w:b/>
          <w:i/>
          <w:caps w:val="false"/>
          <w:smallCaps w:val="false"/>
          <w:color w:val="000000"/>
          <w:spacing w:val="4"/>
          <w:sz w:val="19"/>
        </w:rPr>
        <w:t xml:space="preserve"> </w:t>
      </w:r>
      <w:r>
        <w:rPr>
          <w:rFonts w:ascii="Times New Roman;Times;serif" w:hAnsi="Times New Roman;Times;serif"/>
          <w:b/>
          <w:i/>
          <w:caps w:val="false"/>
          <w:smallCaps w:val="false"/>
          <w:color w:val="000000"/>
          <w:sz w:val="19"/>
        </w:rPr>
        <w:br/>
      </w:r>
      <w:r>
        <w:rPr>
          <w:rFonts w:ascii="Times New Roman;Times;serif" w:hAnsi="Times New Roman;Times;serif"/>
          <w:b/>
          <w:i/>
          <w:caps w:val="false"/>
          <w:smallCaps w:val="false"/>
          <w:color w:val="000000"/>
          <w:spacing w:val="-4"/>
          <w:sz w:val="19"/>
        </w:rPr>
        <w:t>THE SECURITIES ACT OF 1933</w:t>
      </w:r>
      <w:r>
        <w:rPr>
          <w:rFonts w:ascii="Times New Roman;Times;serif" w:hAnsi="Times New Roman;Times;serif"/>
          <w:b/>
          <w:i/>
          <w:caps w:val="false"/>
          <w:smallCaps w:val="false"/>
          <w:color w:val="000000"/>
          <w:spacing w:val="4"/>
          <w:sz w:val="19"/>
        </w:rPr>
        <w:t xml:space="preserve"> </w:t>
      </w:r>
    </w:p>
    <w:p>
      <w:pPr>
        <w:pStyle w:val="TextBody"/>
        <w:bidi w:val="0"/>
        <w:spacing w:before="8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4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CROWDSTRIKE HOLDINGS,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tbl>
      <w:tblPr>
        <w:tblW w:w="6009" w:type="dxa"/>
        <w:jc w:val="left"/>
        <w:tblInd w:w="540" w:type="dxa"/>
        <w:tblLayout w:type="fixed"/>
        <w:tblCellMar>
          <w:top w:w="0" w:type="dxa"/>
          <w:left w:w="0" w:type="dxa"/>
          <w:bottom w:w="0" w:type="dxa"/>
          <w:right w:w="0" w:type="dxa"/>
        </w:tblCellMar>
      </w:tblPr>
      <w:tblGrid>
        <w:gridCol w:w="124"/>
        <w:gridCol w:w="3133"/>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133" w:type="dxa"/>
            <w:tcBorders/>
            <w:vAlign w:val="center"/>
          </w:tcPr>
          <w:p>
            <w:pPr>
              <w:pStyle w:val="TableContents"/>
              <w:bidi w:val="0"/>
              <w:spacing w:before="0" w:after="0"/>
              <w:jc w:val="center"/>
              <w:rPr>
                <w:b/>
                <w:sz w:val="19"/>
              </w:rPr>
            </w:pPr>
            <w:r>
              <w:rPr>
                <w:b/>
                <w:spacing w:val="-4"/>
                <w:sz w:val="19"/>
              </w:rPr>
              <w:t>Delaware</w:t>
            </w:r>
            <w:r>
              <w:rPr>
                <w:b/>
                <w:sz w:val="19"/>
              </w:rPr>
              <w:t xml:space="preserve"> </w:t>
            </w:r>
          </w:p>
          <w:p>
            <w:pPr>
              <w:pStyle w:val="TableContents"/>
              <w:bidi w:val="0"/>
              <w:spacing w:lineRule="atLeast" w:line="180" w:before="38"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9"/>
              </w:rPr>
            </w:pPr>
            <w:r>
              <w:rPr>
                <w:b/>
                <w:spacing w:val="-4"/>
                <w:sz w:val="19"/>
              </w:rPr>
              <w:t>45-3788918</w:t>
            </w:r>
            <w:r>
              <w:rPr>
                <w:b/>
                <w:sz w:val="19"/>
              </w:rPr>
              <w:t xml:space="preserve"> </w:t>
            </w:r>
          </w:p>
          <w:p>
            <w:pPr>
              <w:pStyle w:val="TableContents"/>
              <w:bidi w:val="0"/>
              <w:spacing w:lineRule="atLeast" w:line="180" w:before="38"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94"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206 E. 9th Street, Suite 1400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Austin, Texas 78701</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(888) 512-8906</w:t>
      </w:r>
      <w:r>
        <w:rPr>
          <w:rFonts w:ascii="Times New Roman;Times;serif" w:hAnsi="Times New Roman;Times;serif"/>
          <w:b/>
          <w:i w:val="false"/>
          <w:caps w:val="false"/>
          <w:smallCaps w:val="false"/>
          <w:color w:val="000000"/>
          <w:sz w:val="19"/>
        </w:rPr>
        <w:t xml:space="preserve"> </w:t>
      </w:r>
    </w:p>
    <w:p>
      <w:pPr>
        <w:pStyle w:val="TextBody"/>
        <w:bidi w:val="0"/>
        <w:spacing w:lineRule="atLeast" w:line="180" w:before="1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0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04"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George Kurtz</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President and Chief Executive Officer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CrowdStrike Holdings, Inc.</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206 E. 9th Street, Suite 1400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Austin, Texas 78701</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(888) 512-8906</w:t>
      </w:r>
      <w:r>
        <w:rPr>
          <w:rFonts w:ascii="Times New Roman;Times;serif" w:hAnsi="Times New Roman;Times;serif"/>
          <w:b/>
          <w:i w:val="false"/>
          <w:caps w:val="false"/>
          <w:smallCaps w:val="false"/>
          <w:color w:val="000000"/>
          <w:sz w:val="19"/>
        </w:rPr>
        <w:t xml:space="preserve"> </w:t>
      </w:r>
    </w:p>
    <w:p>
      <w:pPr>
        <w:pStyle w:val="TextBody"/>
        <w:bidi w:val="0"/>
        <w:spacing w:lineRule="atLeast" w:line="180" w:before="1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0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04"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caps w:val="false"/>
          <w:smallCaps w:val="false"/>
          <w:color w:val="000000"/>
          <w:spacing w:val="-4"/>
          <w:sz w:val="19"/>
        </w:rPr>
        <w:t>Copy to:</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Emily Roberts</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Elizabeth W. LeBow</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Davis Polk &amp; Wardwell LLP</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900 Middlefield Road</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Redwood City, California 94063</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(650) 752-2000</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i w:val="false"/>
          <w:caps w:val="false"/>
          <w:smallCaps w:val="false"/>
          <w:color w:val="000000"/>
          <w:spacing w:val="-4"/>
          <w:sz w:val="19"/>
        </w:rPr>
        <w:t>Approximate date of commencement of proposed sale to the public</w:t>
      </w:r>
      <w:r>
        <w:rPr>
          <w:rFonts w:ascii="Times New Roman;Times;serif" w:hAnsi="Times New Roman;Times;serif"/>
          <w:b w:val="false"/>
          <w:i w:val="false"/>
          <w:caps w:val="false"/>
          <w:smallCaps w:val="false"/>
          <w:color w:val="000000"/>
          <w:spacing w:val="4"/>
          <w:sz w:val="19"/>
        </w:rPr>
        <w:t xml:space="preserve">: From time to time after this Registration Statement becomes effective.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the only securities being registered on this Form are being offered pursuant to dividend or interest reinvestment plans, please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48" w:type="dxa"/>
        <w:jc w:val="left"/>
        <w:tblInd w:w="540" w:type="dxa"/>
        <w:tblLayout w:type="fixed"/>
        <w:tblCellMar>
          <w:top w:w="0" w:type="dxa"/>
          <w:left w:w="0" w:type="dxa"/>
          <w:bottom w:w="0" w:type="dxa"/>
          <w:right w:w="0" w:type="dxa"/>
        </w:tblCellMar>
      </w:tblPr>
      <w:tblGrid>
        <w:gridCol w:w="124"/>
        <w:gridCol w:w="2536"/>
        <w:gridCol w:w="109"/>
        <w:gridCol w:w="109"/>
        <w:gridCol w:w="2916"/>
        <w:gridCol w:w="154"/>
      </w:tblGrid>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90" w:before="0" w:after="0"/>
              <w:ind w:left="2160" w:right="0" w:hanging="0"/>
              <w:jc w:val="left"/>
              <w:rPr>
                <w:spacing w:val="4"/>
              </w:rPr>
            </w:pPr>
            <w:r>
              <w:rPr>
                <w:spacing w:val="4"/>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371600" cy="525780"/>
                      <wp:effectExtent l="0" t="0" r="0" b="0"/>
                      <wp:wrapSquare wrapText="right"/>
                      <wp:docPr id="1" name="Frame1"/>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9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lineRule="atLeast" w:line="190" w:before="0" w:after="0"/>
              <w:ind w:left="254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6129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612900" cy="350520"/>
                              </a:xfrm>
                              <a:prstGeom prst="rect"/>
                              <a:solidFill>
                                <a:srgbClr val="FFFFFF"/>
                              </a:solidFill>
                            </wps:spPr>
                            <wps:txbx>
                              <w:txbxContent>
                                <w:p>
                                  <w:pPr>
                                    <w:pStyle w:val="TextBody"/>
                                    <w:bidi w:val="0"/>
                                    <w:spacing w:lineRule="atLeast" w:line="19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90" w:before="0" w:after="0"/>
              <w:ind w:left="2160" w:right="0" w:hanging="0"/>
              <w:jc w:val="left"/>
              <w:rPr>
                <w:spacing w:val="4"/>
              </w:rPr>
            </w:pPr>
            <w:r>
              <w:rPr>
                <w:spacing w:val="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371600" cy="525780"/>
                      <wp:effectExtent l="0" t="0" r="0" b="0"/>
                      <wp:wrapSquare wrapText="right"/>
                      <wp:docPr id="3" name="Frame3"/>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9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lineRule="atLeast" w:line="190" w:before="0" w:after="0"/>
              <w:ind w:left="2540" w:right="0" w:hanging="0"/>
              <w:jc w:val="left"/>
              <w:rPr>
                <w:spacing w:val="4"/>
              </w:rPr>
            </w:pPr>
            <w:r>
              <w:rPr>
                <w:spacing w:val="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6129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612900" cy="525780"/>
                              </a:xfrm>
                              <a:prstGeom prst="rect"/>
                              <a:solidFill>
                                <a:srgbClr val="FFFFFF"/>
                              </a:solidFill>
                            </wps:spPr>
                            <wps:txbx>
                              <w:txbxContent>
                                <w:p>
                                  <w:pPr>
                                    <w:pStyle w:val="TextBody"/>
                                    <w:bidi w:val="0"/>
                                    <w:spacing w:lineRule="atLeast" w:line="19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lineRule="atLeast" w:line="190" w:before="0" w:after="0"/>
              <w:ind w:left="2540" w:right="0" w:hanging="0"/>
              <w:jc w:val="left"/>
              <w:rPr/>
            </w:pPr>
            <w:r>
              <w:rPr>
                <w:spacing w:val="4"/>
              </w:rPr>
              <w:t>☐</w:t>
            </w:r>
            <w:r>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6129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612900" cy="525780"/>
                              </a:xfrm>
                              <a:prstGeom prst="rect"/>
                              <a:solidFill>
                                <a:srgbClr val="FFFFFF"/>
                              </a:solidFill>
                            </wps:spPr>
                            <wps:txbx>
                              <w:txbxContent>
                                <w:p>
                                  <w:pPr>
                                    <w:pStyle w:val="TextBody"/>
                                    <w:bidi w:val="0"/>
                                    <w:spacing w:lineRule="atLeast" w:line="19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4"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97"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381375" cy="6381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3381375" cy="6381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CrowdStrike Holdings,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2,118,022 Shares of Class A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Offered by the Selling Stockholder</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proposed resale or other disposition of up to an aggregate of 2,118,022 shares of our Class A common stock, par value $0.0005 per share (our “common stock”), by the selling stockholder named in the section of this prospectus titled “Selling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offer and sale of the shares of our common stock owned by the selling stockholder to satisfy registration rights we granted pursuant to our acquisition of the technology assets of XM Cyber Ltd., a Schwarz Digits company, under an Asset Purchase Agreement (the “Asset Purchase Agreement”). We are not selling any shares of our common stock under this prospectus and will not receive any proceeds from the sale of our common stock by the selling stockholder. We will bear all costs, expenses and fees in connection with the registration of the shares of our common stock covered by this prospectus, including with regard to compliance with state securities or “blue sky” laws. The selling stockholder will bear all underwriting discounts, selling commissions, stock transfer taxes, or any other expenses incurred by the selling stockholder in connection with the sale of the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registration of the shares of our common stock covered by this prospectus does not mean that the selling stockholder will offer or sell any of such shares. The shares of our common stock offered hereby by the selling stockholder, or its pledgees, donees, assignees, transferees, or other successors-in-interest, may be sold from time to time through public or private transactions at market prices prevailing at the time of sale or at negotiated prices. The timing and amount of any sale is within the sole discretion of the selling stockholder, see the section of this prospectus titled “Plan of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the selling stockholder offers and sells shares of our common stock, the selling stockholder may provide a supplement to this prospectus that contains specific information about the offering and the amounts, prices and terms of the shares offered. Any such prospectus supplement may also add, update or change information contained or incorporated by reference in this prospectus with respect to that offering. You should carefully read this prospectus and the applicable prospectus supplement before you invest in any of our common stock. If any underwriters, dealers or agents are involved in the sale of any of the shares, their names and any applicable purchase price, fee, commission or discount arrangement between or among them will be set forth, or will be calculable from the information set forth, in the applicable prospectus supplement. See the sections of this prospectus titled “About this Prospectus” and “Plan of Distribution” for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(“Nasdaq”) under the symbol “CRWD.” On September 10, 2026, the last reported sale price of our common stock was $208.86 per share.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certain risks. See “Risk Factors” beginning on page </w:t>
      </w:r>
      <w:hyperlink w:anchor="tRIFA">
        <w:r>
          <w:rPr>
            <w:rStyle w:val="InternetLink"/>
          </w:rPr>
          <w:t>4</w:t>
        </w:r>
      </w:hyperlink>
      <w:r>
        <w:rPr>
          <w:rFonts w:ascii="Times New Roman;Times;serif" w:hAnsi="Times New Roman;Times;serif"/>
          <w:b/>
          <w:i w:val="false"/>
          <w:caps w:val="false"/>
          <w:smallCaps w:val="false"/>
          <w:color w:val="000000"/>
          <w:spacing w:val="-4"/>
          <w:sz w:val="20"/>
        </w:rPr>
        <w:t xml:space="preserve"> of this prospectus and in the documents incorporated by reference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September 11,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659" w:type="dxa"/>
        <w:jc w:val="left"/>
        <w:tblInd w:w="1393" w:type="dxa"/>
        <w:tblLayout w:type="fixed"/>
        <w:tblCellMar>
          <w:top w:w="0" w:type="dxa"/>
          <w:left w:w="0" w:type="dxa"/>
          <w:bottom w:w="0" w:type="dxa"/>
          <w:right w:w="0" w:type="dxa"/>
        </w:tblCellMar>
      </w:tblPr>
      <w:tblGrid>
        <w:gridCol w:w="124"/>
        <w:gridCol w:w="5426"/>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2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26" w:type="dxa"/>
            <w:tcBorders/>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RSU">
              <w:r>
                <w:rPr>
                  <w:rStyle w:val="InternetLink"/>
                  <w:spacing w:val="4"/>
                </w:rPr>
                <w:t>2</w:t>
              </w:r>
            </w:hyperlink>
            <w:hyperlink w:anchor="t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26" w:type="dxa"/>
            <w:tcBorders/>
            <w:shd w:fill="CCEEFF" w:val="cle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THOF">
              <w:r>
                <w:rPr>
                  <w:rStyle w:val="InternetLink"/>
                  <w:spacing w:val="4"/>
                </w:rPr>
                <w:t>3</w:t>
              </w:r>
            </w:hyperlink>
            <w:hyperlink w:anchor="t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2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IFA">
              <w:r>
                <w:rPr>
                  <w:rStyle w:val="InternetLink"/>
                  <w:spacing w:val="4"/>
                </w:rPr>
                <w:t>4</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26" w:type="dxa"/>
            <w:tcBorders/>
            <w:shd w:fill="CCEEFF" w:val="cle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SNRF">
              <w:r>
                <w:rPr>
                  <w:rStyle w:val="InternetLink"/>
                  <w:spacing w:val="4"/>
                </w:rPr>
                <w:t>5</w:t>
              </w:r>
            </w:hyperlink>
            <w:hyperlink w:anchor="t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26"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26"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CS">
              <w:r>
                <w:rPr>
                  <w:rStyle w:val="InternetLink"/>
                  <w:spacing w:val="4"/>
                </w:rPr>
                <w:t>7</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26" w:type="dxa"/>
            <w:tcBorders/>
            <w:vAlign w:val="center"/>
          </w:tcPr>
          <w:p>
            <w:pPr>
              <w:pStyle w:val="TableContents"/>
              <w:bidi w:val="0"/>
              <w:spacing w:before="0" w:after="0"/>
              <w:jc w:val="left"/>
              <w:rPr/>
            </w:pPr>
            <w:hyperlink w:anchor="tSEST">
              <w:r>
                <w:rPr>
                  <w:rStyle w:val="InternetLink"/>
                  <w:spacing w:val="4"/>
                </w:rPr>
                <w:t xml:space="preserve">Selling Stockholder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SEST">
              <w:r>
                <w:rPr>
                  <w:rStyle w:val="InternetLink"/>
                  <w:spacing w:val="4"/>
                </w:rPr>
                <w:t>11</w:t>
              </w:r>
            </w:hyperlink>
            <w:hyperlink w:anchor="tSE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26"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12</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2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14</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2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14</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26" w:type="dxa"/>
            <w:tcBorders/>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IOCI">
              <w:r>
                <w:rPr>
                  <w:rStyle w:val="InternetLink"/>
                  <w:spacing w:val="4"/>
                </w:rPr>
                <w:t>15</w:t>
              </w:r>
            </w:hyperlink>
            <w:hyperlink w:anchor="tIOC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2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WYCF">
              <w:r>
                <w:rPr>
                  <w:rStyle w:val="InternetLink"/>
                  <w:spacing w:val="4"/>
                </w:rPr>
                <w:t>16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on Form S-3 that we filed with the Securities and Exchange Commission (“SEC”) as a “well-known seasoned issuer” as defined in Rule 405 under the Securities Act of 1933, as amended (the “Securities Act”), using a “shelf” registration process. Under this shelf registration statement, the selling stockholder may, from time to time and subject to certain restrictions, offer to sell our common stock described in this prospectus in one or more offerings.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the selling stockholder may offer. Before buying any of the common stock that the selling stockholder is offering, we urge you to carefully read this prospectus, the information incorporated by reference in this prospectus, any accompanying prospectus supplement and any free writing prospectus, together with the additional information described in the section of this prospectus titled “Where You Can Find More Information,” before making your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selling stockholder have not authorized anyone to provide you with different or additional information or to make any representations other than those contained in this prospectus, any accompanying prospectus supplement or any free writing prospectus filed by us with the SEC. We and the selling stockholder take no responsibility for, and can provide no assurance as to the reliability of, any other information that others may give you or any representation that others may make to you. This prospectus and any accompanying prospectus supplement or any free writing prospectus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We are not making an offer of these securities in any jurisdiction where the offer is not permitted.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in the section of this prospectus titled “Where You Can Find More Information.”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On June 3, 2026, we announced a four-for-one split of the outstanding shares our common stock in the form of a stock dividend (the “Stock Split”). Each stockholder of record at the close of business on June 25, 2026 (the “Record Date”) received, after the close of business on July 1, 2026, three additional shares for every share held on the Record Date. The relevant per share information as adjusted for the Stock Split for the periods presented are provided in certain of the documents incorporated by reference including our Quarterly Reports on Form 10-Q for the quarters ended </w:t>
      </w:r>
      <w:hyperlink r:id="rId3">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and </w:t>
      </w:r>
      <w:hyperlink r:id="rId4">
        <w:r>
          <w:rPr>
            <w:rStyle w:val="InternetLink"/>
          </w:rPr>
          <w:t>July 31, 2026</w:t>
        </w:r>
      </w:hyperlink>
      <w:r>
        <w:rPr>
          <w:rFonts w:ascii="Times New Roman;Times;serif" w:hAnsi="Times New Roman;Times;serif"/>
          <w:b w:val="false"/>
          <w:i w:val="false"/>
          <w:caps w:val="false"/>
          <w:smallCaps w:val="false"/>
          <w:color w:val="000000"/>
          <w:spacing w:val="4"/>
          <w:sz w:val="20"/>
        </w:rPr>
        <w:t xml:space="preserve">. The applicable disclosures herein reflect the effects of the Stock Split.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terms “CrowdStrike,” the “company,” “us,” “we,” and “our” refer to CrowdStrike Holdings, Inc., together with our consolidated subsidiaries, unless the context otherwise requires.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information about our common stock registered pursuant to this prospectus. It does not contain all of the information that may be important to you in making a decision to purchase our common stock. For a more complete understanding of CrowdStrike and our common stock registered pursuant to this prospectus, we urge you to carefully read this entire prospectus and the documents incorporated by reference herein, including the “Risk Factors” sections and our financial statements and the notes to those financial statements.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CrowdStrike Holdings,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platform — the first, true cloud-native unified platform built with artificial intelligence (“AI”) at the core, capable of harnessing vast amounts of security and enterprise data to deliver highly modular solutions through a single lightweight sensor.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approach has defined a new category called the Security Cloud, which has transformed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t>
      </w:r>
      <w:r>
        <w:rPr>
          <w:rFonts w:ascii="Times New Roman;Times;serif" w:hAnsi="Times New Roman;Times;serif"/>
          <w:b w:val="false"/>
          <w:i/>
          <w:caps w:val="false"/>
          <w:smallCaps w:val="false"/>
          <w:color w:val="000000"/>
          <w:spacing w:val="4"/>
          <w:sz w:val="20"/>
          <w:bdr w:val="single" w:sz="8" w:space="1" w:color="000000"/>
        </w:rPr>
        <w:t>www.crowdstrike.com</w:t>
      </w:r>
      <w:r>
        <w:rPr>
          <w:rFonts w:ascii="Times New Roman;Times;serif" w:hAnsi="Times New Roman;Times;serif"/>
          <w:b w:val="false"/>
          <w:i w:val="false"/>
          <w:caps w:val="false"/>
          <w:smallCaps w:val="false"/>
          <w:color w:val="000000"/>
          <w:spacing w:val="4"/>
          <w:sz w:val="20"/>
          <w:bdr w:val="single" w:sz="8" w:space="1" w:color="000000"/>
        </w:rPr>
        <w:t xml:space="preserve">. Information contained on or accessible through our website is not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about our platform and services, see the discussion in the section titled “Business” in our most recent Annual Report on Form 10-K.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THO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offered by the selling stockholder: </w:t>
      </w:r>
    </w:p>
    <w:p>
      <w:pPr>
        <w:pStyle w:val="TextBody"/>
        <w:bidi w:val="0"/>
        <w:spacing w:lineRule="atLeast" w:line="240" w:before="0" w:after="283"/>
        <w:ind w:left="571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2,118,022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Terms of the potential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offering: </w:t>
      </w:r>
    </w:p>
    <w:p>
      <w:pPr>
        <w:pStyle w:val="TextBody"/>
        <w:bidi w:val="0"/>
        <w:spacing w:lineRule="atLeast" w:line="240" w:before="0" w:after="283"/>
        <w:ind w:left="571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selling stockholder may, from time to time and subject to certain restrictions, offer shares of our common stock registered for resale under this prospectus. See the section titled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71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An investment in our common stock involves significant risks, and prospective investors should carefully consider the matters in the section titled “Risk Factors” beginning on page </w:t>
      </w:r>
      <w:hyperlink w:anchor="tRIFA">
        <w:r>
          <w:rPr>
            <w:rStyle w:val="InternetLink"/>
          </w:rPr>
          <w:t>4</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71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proceeds from the sale of the shares of common stock covered by this prospectus.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Global Select Market symbol: </w:t>
      </w:r>
    </w:p>
    <w:p>
      <w:pPr>
        <w:pStyle w:val="TextBody"/>
        <w:bidi w:val="0"/>
        <w:spacing w:lineRule="atLeast" w:line="240" w:before="0" w:after="283"/>
        <w:ind w:left="571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CRWD”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common stock offered pursuant to this prospectus and any applicable prospectus supplement involves significant risks. Before deciding whether to invest in our common stock,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other reports and documents we file with the SEC after the date of this prospectus, and the risk factors and other information contained in any applicable prospectus supplement and any applicable free writing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financial condition, results of operations, or prospects could be adversely affected by any of these risks or by additional risks and uncertainties not currently known to us or that we currently consider immaterial, and the occurrence of any of these risks might cause you to lose all or part of your investment in the common stock offered in this prospectus.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prospects could be seriously harmed. This could cause the trading price of our common stock to decline, resulting in a loss of all or part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prospectus supplement, and the documents incorporated by reference herein or therein contain forward-looking statements within the meaning of the Securities Act, the Securities Exchange Act of 1934, as amended (the “Exchange Act”), and the Private Securities Litigation Reform Act of 1995. Any statements contained in this prospectus or any prospectus supplement or incorporated by reference herein or therein that are not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statements may be affected by risks, uncertainties, and other factors discussed elsewhere in this prospectus, including in the section titled “Risk Factors” and under the heading “Risk Factors” in the documents incorporated by reference herein.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common stock could decline. Forward-looking statements made in this prospectus speak only as of the date on which such statements are made, and we undertake no obligation to update them in light of new information or future events, except as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of the proceeds from the sale of common stock being offered by the selling stockholder. The selling stockholder will pay any underwriting discounts, selling commissions, stock transfer taxes, or any other expenses incurred by the selling stockholder in connection with the sale of the shares of our common stock. We will bear all other fees and expenses incurred in effecting the registration of the shares of our common stock covered by this prospectus, including, without limitation, all registration, filing, and printing fees and expenses, listing fees, and fees and expenses of our counsel and our independent registered public accountants.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C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terms of our capital stock is not complete and is qualified in its entirety by reference to our Amended and Restated Certificate of Incorporation filed with the Secretary of State of the State of Delaware on June 22, 2026 (together with the Certificate of Retirement with respect to our Class B common stock filed with the Secretary of State of the State of Delaware on December 12, 2024, our “Certificate of Incorporation”), and our Amended and Restated Bylaws (our “Bylaws”), as well as to the applicable provisions of the Delaware General Corporation Law (the “DGCL”). For a complete description of the matters set forth in this section titled “Description of Capital Stock,” you should refer to the provisions of our Certificate of Incorporation and Bylaws incorporated by reference as exhibits to the registration statement of which this prospectus forms a part. See also the sections in this prospectus titled “Where You Can Find More Information” and “Incorporation of Certain Information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authorizes us to issue up to 2,000,000,000 shares of Class A common stock, up to 92,363,616 shares of Class B common stock, and up to 100,000,000 shares of preferred stock with such rights and preferences as may be determined by our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par value $0.0005 per share, is listed on the Nasdaq Global Select Market, under the symbol “CRWD” and began trading on June 12, 2019. Prior to that date, there was no public trading market for our Class A common stock. There is no public trading market for our Class B common stock, par value $0.0005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preferred stock or Class B common stock outstanding. We refer to our Class A common stock as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any cash dividends on our capital stock. Subject to preferences that may be applicable to any preferred stock outstanding at the time, the holders of outstanding shares of our common stock are entitled to receive ratably any dividends declared by our board of directors out of assets legally available.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common stock are entitled to one vote per share. The holders of our common stock vote together as a single class on all matters submitted to a vote of our stockholders.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No Conversion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dissolution, or winding up, holders of our common stock are entitled to share ratably in all assets remaining after payment of liabilities and the liquidation preference of any then outstanding shares of preferred stock. Holders of common stock have no conversion rights or other subscription rights.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Preemptive or Similar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not entitled to preemptive rights, and there are no redemption or sinking fund provisions applicable to the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Certificate of Incorporation, our board of directors has the authority, without further action by the stockholders, to issue from time to time up to 100,000,000 shares of preferred stock in one or more series. Our board of directors may designate the rights, preferences, privileges and restrictions of the preferred stock, including dividend rights, conversion rights, voting rights, redemption rights, liquidation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preference, sinking fund terms, and the number of shares constituting any series or the designation of any series. The issuance of preferred stock could have the effect of restricting dividends on the common stock, diluting the voting power of the common stock, impairing the liquidation rights of the common stock or delaying, deterring, or preventing a change in control. Such issuance could have the effect of decreasing the market price of the common stock. We currently have no plans to issue any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 of our Certificate of Incorporation, Bylaws, and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contain provisions that could have the effect of delaying, deferring, or discouraging another party from acquiring control of us. These provisions and certain provisions of Delaware law, which are summarized below, could discourage takeovers, coercive or otherwise. These provisions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Issuance of Undesignated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under the heading “Preferred Stock,” our board of directors has the ability to designate and issue preferred stock with voting or other rights or preferences that could deter hostile takeovers or delay changes in our control or management.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Limits on Ability of Stockholders to Act by Written Consent or Call a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our stockholders may not act by written consent. This limit on the ability of stockholders to act by written consent may lengthen the amount of time required to take stockholder actions. As a result, the holders of two-thirds of our outstanding capital stock would not be able to amend our Bylaws or remove directors without holding a meeting of stockholders called in accordance with our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Certificate of Incorporation provides that special meetings of the stockholders may be called only by the chairman of the board, the chief executive officer, or our board of directors acting pursuant to a resolution adopted by a majority of the board of directors. A stockholder may not call a special meeting, which may delay the ability of our stockholders to force consideration of a proposal or for holders controlling a majority of our capital stock to take any action, including the removal of directors.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Advance Notification of Stockholder Nominations and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establish advance notice procedures with respect to stockholder proposals and the nomination of candidates for election as directors, other than nominations made by or at the direction of our board of directors or a committee of the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our company.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Board Classification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our board of directors is divided into three classes, one class of which is elected each year by our stockholders. The directors in each class serve for a three-year term. Our classified board of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Election and Removal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contain provisions that establish specific procedures for appointing and removing members of our board of directors. Under our Certificate of Incorporation and Bylaws, vacancies and newly created directorships on our board of directors may be filled only by a majority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directors then serving on the board of directors. Under our Certificate of Incorporation and Bylaws, directors may be removed only for cause by the affirmative vote of the holders of a majority of the total voting power of all outstanding securities of the Company generally entitled to vote in the election of directors, voting together as a single class.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Cumulative Voting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that stockholders are not entitled to the right to cumulate votes in the election of directors unless our Certificate of Incorporation provides otherwise. Our Certificate of Incorporation and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Amendments to our Certificate of Incorporation and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at least two-thirds of the voting power of the outstanding shares of stock of the Company entitled to vote generally in the election of directors, voting together as a single class, is required to adopt, amend or repeal our Bylaws and certain provisions of our Certificate of Incorporation.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Delaware Anti-Takeover Statute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DGCL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date of the transaction, our board of directors approved either the business combination or the transaction that resulted in the stockholder becoming an interested stockholder; </w:t>
      </w:r>
      <w:r>
        <mc:AlternateContent>
          <mc:Choice Requires="wps">
            <w:drawing>
              <wp:anchor behindDoc="0" distT="7874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r>
        <mc:AlternateContent>
          <mc:Choice Requires="wps">
            <w:drawing>
              <wp:anchor behindDoc="0" distT="7874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subsequent to the date of the transaction, the business combination is approved by our board of directors and authorized at an annual or special meeting of stockholders, and not by written consent, by the affirmative vote of at least two-thirds of the outstanding voting stock that is not owned by the interested stockholder. </w:t>
      </w:r>
      <w:r>
        <mc:AlternateContent>
          <mc:Choice Requires="wps">
            <w:drawing>
              <wp:anchor behindDoc="0" distT="787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existence of this provision could have an anti-takeover effect with respect to transactions our board of directors does not approve in advance. We also anticipate that Section 203 may discourage attempts that might result in a premium over the market price for the shares of common stock held by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Delaware law and the provisions of our Certificate of Incorporation and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also possible that these provisions could make it more difficult to accomplish transactions that stockholders might otherwise deem to be in their best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Exclusive Forum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DGCL, our Certificate of Incorporation or our Bylaws, (4) any action to interpret, apply, enforce, or determine the validity of our Certificate of Incorporation, or (5) any other action asserting a claim that is governed by the internal affairs doctrine shall be a state or federal court located within the State of Delaware, in all cases subject to the court’s having jurisdiction over indispensable parties named as defendants. However, this exclusive forum provision does not apply to suits brought to enforce a duty or liability created by the Exchange Act. In addition, our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Any person or entity purchasing or otherwise acquiring any interest in our shares of capital stock shall be deemed to have notice of and consented to these provisions. Although we believe these provisions benefit us by providing increased consistency in the application of Delaware law or federal law for the specified types of actions and proceedings, these provisions may have the effect of discouraging lawsuits against us or our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The transfer agent’s address is 28 Liberty Street, 53rd Floor, New York, NY 10005, and its telephone number is (800) 937-5449.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ES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possible resale by the selling stockholder from time to time of up to 2,118,022 shares of our common stock. The term “selling stockholder” in this prospectus means the selling stockholder listed in the table below, as well as its pledgees, donees, assignees, transferees and other successors-in-interest and others who may hold any of such selling stockholder’s interest received after the date of this prospectus from the selling stockholder as a gift, pledge, partnership distribution or other non-sale related transfer.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8, 2026, we consummated our acquisition of the technology assets of XM Cyber Ltd., a Schwarz Digits company, under the Asset Purchase Agreement, pursuant to which we issued 2,118,022 shares of our common stock to XM Cyber Ltd.’s affiliate, the selling stockholder. We issued the shares of common stock in reliance upon the exemptions from registration afforded by Section 4(a)(2) of the Securities Act. In accordance with our obligations under the Asset Purchase Agreement, we agreed to register the resale of the shares of common stock offered by the selling stockholder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information concerning the shares of our common stock that may be offered from time to time by the selling stockholder. The number of shares beneficially owned by the selling stockholder is determined under rules issued by the SEC. Under these rules, beneficial ownership includes any shares over which the selling stockholder has sole or shared voting power or investment power and also any shares that the selling stockholder has the right to acquire within 60 days of such date through the exercise of any options or other rights. The percentage ownership shown below is based on 1,026,129,839 shares of common stock outstanding as of September 8, 2026. The selling stockholder listed has sole voting and investment power with respect to the shares beneficially owned by the selling stockholder unless noted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following table has been provided to us by or on behalf of the selling stockholder and the selling stockholder may have sold, transferred or otherwise disposed of all or a portion of the shares of our common stock after the date on which it provided us with information regarding its securities. We have not independently verified this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advise you as to whether the selling stockholder will in fact sell any or all of the shares of our common stock set forth below. For purposes of the table, unless otherwise indicated below, we have assumed that the selling stockholder will have sold all of the shares of our common stock covered by this prospectus upon the completion of the offering as described in the section of this prospectus titled “Plan of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knowledge, except as may be disclosed herein, the selling stockholder does not have and has not within the past three years had, any position, office, or other material relationship with us or any of our affiliates, other than as a result of the transactions contemplated by the Asset Purchase Agreement and a certain commercial agreement among us and certain affiliates of the selling stockholder providing for a strategic partnership. To our knowledge, the selling stockholder is not a broker-dealer, nor at the time of the transactions contemplated by the Asset Purchase Agreement did the selling stockholder have direct or indirect agreements or understandings with any person to distribute any of our common stock. </w:t>
      </w:r>
    </w:p>
    <w:tbl>
      <w:tblPr>
        <w:tblW w:w="8900" w:type="dxa"/>
        <w:jc w:val="left"/>
        <w:tblInd w:w="1393" w:type="dxa"/>
        <w:tblLayout w:type="fixed"/>
        <w:tblCellMar>
          <w:top w:w="0" w:type="dxa"/>
          <w:left w:w="0" w:type="dxa"/>
          <w:bottom w:w="28" w:type="dxa"/>
          <w:right w:w="0" w:type="dxa"/>
        </w:tblCellMar>
      </w:tblPr>
      <w:tblGrid>
        <w:gridCol w:w="1231"/>
        <w:gridCol w:w="109"/>
        <w:gridCol w:w="109"/>
        <w:gridCol w:w="109"/>
        <w:gridCol w:w="109"/>
        <w:gridCol w:w="1066"/>
        <w:gridCol w:w="109"/>
        <w:gridCol w:w="109"/>
        <w:gridCol w:w="109"/>
        <w:gridCol w:w="239"/>
        <w:gridCol w:w="239"/>
        <w:gridCol w:w="495"/>
        <w:gridCol w:w="240"/>
        <w:gridCol w:w="109"/>
        <w:gridCol w:w="109"/>
        <w:gridCol w:w="109"/>
        <w:gridCol w:w="109"/>
        <w:gridCol w:w="1066"/>
        <w:gridCol w:w="109"/>
        <w:gridCol w:w="109"/>
        <w:gridCol w:w="109"/>
        <w:gridCol w:w="196"/>
        <w:gridCol w:w="196"/>
        <w:gridCol w:w="623"/>
        <w:gridCol w:w="198"/>
        <w:gridCol w:w="109"/>
        <w:gridCol w:w="109"/>
        <w:gridCol w:w="239"/>
        <w:gridCol w:w="239"/>
        <w:gridCol w:w="495"/>
        <w:gridCol w:w="240"/>
        <w:gridCol w:w="154"/>
      </w:tblGrid>
      <w:tr>
        <w:trPr/>
        <w:tc>
          <w:tcPr>
            <w:tcW w:w="12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97"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Common Stock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3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Selling Stockholder 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w:t>
            </w:r>
            <w:r>
              <w:rPr/>
              <w:t xml:space="preserve"> </w:t>
              <w:br/>
            </w:r>
            <w:r>
              <w:rPr>
                <w:spacing w:val="-3"/>
              </w:rPr>
              <w:t>Beneficially</w:t>
            </w:r>
            <w:r>
              <w:rPr/>
              <w:t xml:space="preserve"> </w:t>
              <w:br/>
            </w:r>
            <w:r>
              <w:rPr>
                <w:spacing w:val="-3"/>
              </w:rPr>
              <w:t xml:space="preserve">Owned Prior </w:t>
            </w:r>
            <w:r>
              <w:rPr/>
              <w:br/>
            </w:r>
            <w:r>
              <w:rPr>
                <w:spacing w:val="-3"/>
              </w:rPr>
              <w:t xml:space="preserve">to 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w:t>
            </w:r>
            <w:r>
              <w:rPr/>
              <w:t xml:space="preserve"> </w:t>
              <w:br/>
            </w:r>
            <w:r>
              <w:rPr>
                <w:spacing w:val="-3"/>
              </w:rPr>
              <w:t>Beneficially</w:t>
            </w:r>
            <w:r>
              <w:rPr/>
              <w:t xml:space="preserve"> </w:t>
              <w:br/>
            </w:r>
            <w:r>
              <w:rPr>
                <w:spacing w:val="-3"/>
              </w:rPr>
              <w:t xml:space="preserve">Owned Prior </w:t>
            </w:r>
            <w:r>
              <w:rPr/>
              <w:br/>
            </w:r>
            <w:r>
              <w:rPr>
                <w:spacing w:val="-3"/>
              </w:rPr>
              <w:t xml:space="preserve">to 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w:t>
            </w:r>
            <w:r>
              <w:rPr/>
              <w:br/>
            </w:r>
            <w:r>
              <w:rPr>
                <w:spacing w:val="-3"/>
              </w:rPr>
              <w:t xml:space="preserve">Offered for </w:t>
            </w:r>
            <w:r>
              <w:rPr/>
              <w:br/>
            </w:r>
            <w:r>
              <w:rPr>
                <w:spacing w:val="-3"/>
              </w:rPr>
              <w:t xml:space="preserve">Sale Hereby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w:t>
            </w:r>
            <w:r>
              <w:rPr/>
              <w:t xml:space="preserve"> </w:t>
              <w:br/>
            </w:r>
            <w:r>
              <w:rPr>
                <w:spacing w:val="-3"/>
              </w:rPr>
              <w:t>Beneficially</w:t>
            </w:r>
            <w:r>
              <w:rPr/>
              <w:t xml:space="preserve"> </w:t>
              <w:br/>
            </w:r>
            <w:r>
              <w:rPr>
                <w:spacing w:val="-3"/>
              </w:rPr>
              <w:t xml:space="preserve">Owned After </w:t>
            </w:r>
            <w:r>
              <w:rPr/>
              <w:br/>
            </w:r>
            <w:r>
              <w:rPr>
                <w:spacing w:val="-3"/>
              </w:rPr>
              <w:t xml:space="preserve">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w:t>
            </w:r>
            <w:r>
              <w:rPr/>
              <w:t xml:space="preserve"> </w:t>
              <w:br/>
            </w:r>
            <w:r>
              <w:rPr>
                <w:spacing w:val="-3"/>
              </w:rPr>
              <w:t>Beneficially</w:t>
            </w:r>
            <w:r>
              <w:rPr/>
              <w:t xml:space="preserve"> </w:t>
              <w:br/>
            </w:r>
            <w:r>
              <w:rPr>
                <w:spacing w:val="-3"/>
              </w:rPr>
              <w:t xml:space="preserve">Owned After </w:t>
            </w:r>
            <w:r>
              <w:rPr/>
              <w:br/>
            </w:r>
            <w:r>
              <w:rPr>
                <w:spacing w:val="-3"/>
              </w:rPr>
              <w:t xml:space="preserve">the Offering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31" w:type="dxa"/>
            <w:tcBorders/>
            <w:shd w:fill="CCEEFF" w:val="clear"/>
            <w:tcMar>
              <w:bottom w:w="0" w:type="dxa"/>
            </w:tcMar>
            <w:vAlign w:val="center"/>
          </w:tcPr>
          <w:p>
            <w:pPr>
              <w:pStyle w:val="TableContents"/>
              <w:bidi w:val="0"/>
              <w:spacing w:before="0" w:after="0"/>
              <w:jc w:val="left"/>
              <w:rPr/>
            </w:pPr>
            <w:r>
              <w:rPr>
                <w:spacing w:val="4"/>
              </w:rPr>
              <w:t>Schwarz Digits Alpha Zwölfte GmbH</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2,118,022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r>
              <w:rPr/>
              <w:t>*</w:t>
            </w:r>
          </w:p>
        </w:tc>
        <w:tc>
          <w:tcPr>
            <w:tcW w:w="2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2,118,022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495" w:type="dxa"/>
            <w:tcBorders/>
            <w:shd w:fill="CCEEFF" w:val="clear"/>
            <w:tcMar>
              <w:bottom w:w="0" w:type="dxa"/>
            </w:tcMar>
            <w:vAlign w:val="center"/>
          </w:tcPr>
          <w:p>
            <w:pPr>
              <w:pStyle w:val="TableContents"/>
              <w:bidi w:val="0"/>
              <w:spacing w:before="0" w:after="283"/>
              <w:jc w:val="right"/>
              <w:rPr/>
            </w:pPr>
            <w:r>
              <w:rPr/>
              <w:t>*</w:t>
            </w:r>
          </w:p>
        </w:tc>
        <w:tc>
          <w:tcPr>
            <w:tcW w:w="24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Schwarz Digits Alpha Zwölfte GmbH is a limited liability company organized under the laws of Germany, registered with the local court of Neckarsulm under HRB 802698, and is an indirect, wholly owned subsidiary of Schwarz Digits KG. Leonie Knorpp and Ulrike Müller are managing directors of Schwarz Digits Alpha Zwölfte GmbH who exercise dispositive power over the Company’s securities. Schwarz Digits Alpha Zwölfte GmbH is located at Stiftsbergstraße 1, 74172 Neckarsulm, Germany. </w:t>
      </w:r>
      <w:r>
        <mc:AlternateContent>
          <mc:Choice Requires="wps">
            <w:drawing>
              <wp:anchor behindDoc="0" distT="10033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4953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O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potential resale by the selling stockholder or its permitted transferees of up to 2,118,022 shares of our common stock, and subject to certain restrictions, the selling stockholder may from time to time offer such shares registered pursuant to this prospectus (the “Registered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the sale of the Registered Shares. The selling stockholder will not pay any of the costs, expenses and fees in connection with the registration of the Registered Shares, but it will pay any and all underwriting discounts, selling commissions, stock transfer taxes, or any other expenses incurred by the selling stockholder in connection with the sale of the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and its permitted transferees have agreed with CrowdStrike to contractual restrictions on their ability to sell or transfer the Registered Shares. Except for certain permitted transfers, the selling stockholder and its permitted transferees may not sell more than a certain number of the Registered Shares during certain periods. These restrictions will terminate when all of the Registered Shares have been sold.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the selling stockholder may sell Registered Shares covered by this prospectus from time to time. The selling stockholder will act independently of us in making decisions regarding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 may sell Registered Shares by one or more of, or a combination of, the following methods: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such broker-dealer for its own account pursuant to this prospectus;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 solicits purchasers;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so engaged will attempt to sell the Registered Shares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over-the-counter distribution in accordance with the rules of The Nasdaq Global Select Market;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trading plans entered into by the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or broker-dealers;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privately negotiated transactions;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options transactions;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 above methods of sale; or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by applicable law.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Registered Shares that qualify for sale pursuant to Rule 144 may be sold under Rule 144 rather than pursuant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In connection with distributions of the Registered Shares or otherwise, the selling stockholder may enter into hedging transactions with broker-dealers or other financial institutions. In connection with such transactions, broker-dealers or other financial institutions may engage in short sales of our common stock in the course of hedging transactions, and broker-dealers or other financial institutions may engage in short sales of our common stock in the course of hedging the positions they assume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The selling stockholder may also sell our common stock short and redeliver Registered Shares to close out such short positions. The selling stockholder may also enter into option or other transactions with broker-dealers or other financial institutions which require the delivery to such broker-dealer or other financial institution of the Registered Shares, which shares such broker-dealer or other financial institution may resell pursuant to this prospectus (as supplemented or amended to reflect such transaction). The selling stockholder may also pledge Registered Shares to a broker-dealer or other financial institution, and, upon a default, such broker-dealer or other financial institution may effect sales of the pledged Registered Shares pursuant to this prospectus (as supplemented or amended to reflect such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 or borrowed from the selling stockholder or others to settle those sales or to close out any related open borrowings of stock, and may use securities received from the selling stockholder in settlement of those derivatives to close out any related open borrowings of stock. The third party in such sale transactions will be an underwriter and will be identified in the applicable prospectus supplement (or a post-effective amendment). In addition, the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effecting sales, broker-dealers or agents engaged by the selling stockholder may arrange for other broker-dealers to participate. Broker-dealers or agents may receive commissions, discounts, or concessions from the selling stockholder in amounts to be negotiated immediately prior to the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offering the Registered Shares, the selling stockholder and any broker-dealers who execute sales for the selling stockholder may be deemed to be “underwriters” within the meaning of the Securities Act in connection with such sales. Any profits realized by the selling stockholder and the compensation of any broker-dealer may be deemed to be underwriting discounts and commissions.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securities laws of certain states, if applicable, the Registered Shares must be sold in such jurisdictions only through registered or licensed brokers or dealers. In addition, in certain states the Registered Shares may not be sold unless they have been registered or qualified for sale in the applicable state or an exemption from the registration or qualification requirement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advised the selling stockholder that the anti-manipulation rules of Regulation M under the Exchange Act may apply to sales of Registered Shares in the market and to the activities of the selling stockholder and its affiliates. In addition, we will make copies of this prospectus available to the selling stockholder for the purpose of satisfying the prospectus delivery requirements of the Securities Act. The selling stockholder may indemnify any broker-dealer that participates in transactions involving the sale of the Registered Shares against certain liabilities, including liabilities arising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a particular offer of Registered Shares is made, if required, a prospectus supplement will be distributed that will set forth the number of Registered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sold under this prospectus, the Registered Shares will be freely tradable in the hands of persons other than our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“CRWD.”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LEMA"/>
      <w:bookmarkEnd w:id="12"/>
      <w:r>
        <w:rPr>
          <w:rFonts w:ascii="calibri;arial;sans-serif" w:hAnsi="calibri;arial;sans-serif"/>
          <w:b w:val="false"/>
          <w:i w:val="false"/>
          <w:caps w:val="false"/>
          <w:smallCaps w:val="false"/>
          <w:color w:val="000000"/>
          <w:sz w:val="16"/>
        </w:rPr>
        <w:t>​</w:t>
      </w:r>
      <w:bookmarkStart w:id="13" w:name="tEX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Davis Polk &amp; Wardwell LLP, Redwood City, California, has passed upon the validity of our common stock offered by this prospectus and certain other legal matters related to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5">
        <w:r>
          <w:rPr>
            <w:rStyle w:val="InternetLink"/>
          </w:rPr>
          <w:t>Annual Report on Form 10-K for the year ended January 31, 2026</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IOC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as amended, prior to the termination of the offering under this prospectus: </w:t>
      </w:r>
    </w:p>
    <w:p>
      <w:pPr>
        <w:pStyle w:val="TextBody"/>
        <w:bidi w:val="0"/>
        <w:spacing w:lineRule="atLeast" w:line="240" w:before="120" w:after="0"/>
        <w:ind w:left="1993" w:right="0" w:hanging="0"/>
        <w:jc w:val="left"/>
        <w:rPr/>
      </w:pPr>
      <w:hyperlink r:id="rId6">
        <w:r>
          <w:rPr>
            <w:rStyle w:val="InternetLink"/>
          </w:rPr>
          <w:t>Annual Report on Form 10-K for the year ended January 31,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7">
        <w:r>
          <w:rPr>
            <w:rStyle w:val="InternetLink"/>
          </w:rPr>
          <w:t>Definitive Proxy Statement on Schedule 14A filed on May 5, 2026</w:t>
        </w:r>
      </w:hyperlink>
      <w:r>
        <w:rPr>
          <w:rFonts w:ascii="Times New Roman;Times;serif" w:hAnsi="Times New Roman;Times;serif"/>
          <w:b w:val="false"/>
          <w:i w:val="false"/>
          <w:caps w:val="false"/>
          <w:smallCaps w:val="false"/>
          <w:color w:val="000000"/>
          <w:spacing w:val="4"/>
          <w:sz w:val="20"/>
        </w:rPr>
        <w:t xml:space="preserve">, to the extent specifically incorporated by reference into our Annual Report on Form 10-K for the year ended January 31, 2026;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Quarterly Reports on Form 10-Q for the quarters ended </w:t>
      </w:r>
      <w:hyperlink r:id="rId8">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and </w:t>
      </w:r>
      <w:hyperlink r:id="rId9">
        <w:r>
          <w:rPr>
            <w:rStyle w:val="InternetLink"/>
          </w:rPr>
          <w:t>July 31,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on </w:t>
      </w:r>
      <w:hyperlink r:id="rId10">
        <w:r>
          <w:rPr>
            <w:rStyle w:val="InternetLink"/>
          </w:rPr>
          <w:t>April 6,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21,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June 3, 2026</w:t>
        </w:r>
      </w:hyperlink>
      <w:r>
        <w:rPr>
          <w:rFonts w:ascii="Times New Roman;Times;serif" w:hAnsi="Times New Roman;Times;serif"/>
          <w:b w:val="false"/>
          <w:i w:val="false"/>
          <w:caps w:val="false"/>
          <w:smallCaps w:val="false"/>
          <w:color w:val="000000"/>
          <w:spacing w:val="4"/>
          <w:sz w:val="20"/>
        </w:rPr>
        <w:t xml:space="preserve"> (only with respect to item 8.01), and </w:t>
      </w:r>
      <w:hyperlink r:id="rId13">
        <w:r>
          <w:rPr>
            <w:rStyle w:val="InternetLink"/>
          </w:rPr>
          <w:t>June 22,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outstanding Class A common stock contained in our </w:t>
      </w:r>
      <w:hyperlink r:id="rId14">
        <w:r>
          <w:rPr>
            <w:rStyle w:val="InternetLink"/>
          </w:rPr>
          <w:t>Registration Statement No. 001-38933 on Form 8-A filed with the SEC on June 7, 2019</w:t>
        </w:r>
      </w:hyperlink>
      <w:r>
        <w:rPr>
          <w:rFonts w:ascii="Times New Roman;Times;serif" w:hAnsi="Times New Roman;Times;serif"/>
          <w:b w:val="false"/>
          <w:i w:val="false"/>
          <w:caps w:val="false"/>
          <w:smallCaps w:val="false"/>
          <w:color w:val="000000"/>
          <w:spacing w:val="4"/>
          <w:sz w:val="20"/>
        </w:rPr>
        <w:t xml:space="preserve">, pursuant to Section 12 of the Exchange Act, including any amendment or report filed for the purpose of updating such description.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and we will provide you with, a free copy of these filings, at no cost, by calling us at (888) 512-8906 or by writing to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CrowdStrike Holdings,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206 E. 9th Street, Suite 1400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Austin, Texas 78701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WYCF"/>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that contains periodic and current reports, proxy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Other information about us is also on our website at </w:t>
      </w:r>
      <w:r>
        <w:rPr>
          <w:rFonts w:ascii="Times New Roman;Times;serif" w:hAnsi="Times New Roman;Times;serif"/>
          <w:b w:val="false"/>
          <w:i/>
          <w:caps w:val="false"/>
          <w:smallCaps w:val="false"/>
          <w:color w:val="000000"/>
          <w:spacing w:val="4"/>
          <w:sz w:val="20"/>
        </w:rPr>
        <w:t>www.crowdstrike.com</w:t>
      </w:r>
      <w:r>
        <w:rPr>
          <w:rFonts w:ascii="Times New Roman;Times;serif" w:hAnsi="Times New Roman;Times;serif"/>
          <w:b w:val="false"/>
          <w:i w:val="false"/>
          <w:caps w:val="false"/>
          <w:smallCaps w:val="false"/>
          <w:color w:val="000000"/>
          <w:spacing w:val="4"/>
          <w:sz w:val="20"/>
        </w:rPr>
        <w:t xml:space="preserve">. However, except for the information specifically incorporated by reference herein as set forth above, the information on or accessible through the SEC’s website and the information on or accessible through our website do not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and any prospectus supplement are part of a registration statement that we filed with the SEC and do not contain all of the information in the registration statement. Documents establishing the terms of the offered common stock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368" w:after="283"/>
        <w:jc w:val="center"/>
        <w:rPr>
          <w:caps w:val="false"/>
          <w:smallCaps w:val="false"/>
          <w:color w:val="000000"/>
        </w:rPr>
      </w:pPr>
      <w:r>
        <w:rPr>
          <w:caps w:val="false"/>
          <w:smallCaps w:val="false"/>
          <w:color w:val="000000"/>
        </w:rPr>
        <w:drawing>
          <wp:inline distT="0" distB="0" distL="0" distR="0">
            <wp:extent cx="3381375" cy="638175"/>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15"/>
                    <a:stretch>
                      <a:fillRect/>
                    </a:stretch>
                  </pic:blipFill>
                  <pic:spPr bwMode="auto">
                    <a:xfrm>
                      <a:off x="0" y="0"/>
                      <a:ext cx="3381375" cy="638175"/>
                    </a:xfrm>
                    <a:prstGeom prst="rect">
                      <a:avLst/>
                    </a:prstGeom>
                  </pic:spPr>
                </pic:pic>
              </a:graphicData>
            </a:graphic>
          </wp:inline>
        </w:drawing>
      </w:r>
      <w:r>
        <w:rPr>
          <w:caps w:val="false"/>
          <w:smallCaps w:val="false"/>
          <w:color w:val="000000"/>
        </w:rPr>
        <w:t xml:space="preserve"> </w:t>
      </w:r>
    </w:p>
    <w:p>
      <w:pPr>
        <w:pStyle w:val="TextBody"/>
        <w:bidi w:val="0"/>
        <w:spacing w:before="6404"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w:t>
      </w:r>
      <w:r>
        <w:rPr>
          <w:rFonts w:ascii="Times New Roman;Times;serif" w:hAnsi="Times New Roman;Times;serif"/>
          <w:b/>
          <w:i/>
          <w:caps w:val="false"/>
          <w:smallCaps w:val="false"/>
          <w:color w:val="000000"/>
          <w:spacing w:val="-4"/>
          <w:sz w:val="20"/>
        </w:rPr>
        <w:t>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statement of estimated fees and expenses payable by us in connection with the issuance and distribution of the securities being registered, other than underwriting discounts and commissions, no portion of which will be borne by the selling stockholder. </w:t>
      </w:r>
    </w:p>
    <w:tbl>
      <w:tblPr>
        <w:tblW w:w="5132" w:type="dxa"/>
        <w:jc w:val="left"/>
        <w:tblInd w:w="1393" w:type="dxa"/>
        <w:tblLayout w:type="fixed"/>
        <w:tblCellMar>
          <w:top w:w="0" w:type="dxa"/>
          <w:left w:w="0" w:type="dxa"/>
          <w:bottom w:w="28" w:type="dxa"/>
          <w:right w:w="0" w:type="dxa"/>
        </w:tblCellMar>
      </w:tblPr>
      <w:tblGrid>
        <w:gridCol w:w="3130"/>
        <w:gridCol w:w="109"/>
        <w:gridCol w:w="109"/>
        <w:gridCol w:w="109"/>
        <w:gridCol w:w="226"/>
        <w:gridCol w:w="1186"/>
        <w:gridCol w:w="109"/>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60,997.71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Printing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7,000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ind w:left="200" w:right="0" w:hanging="0"/>
              <w:jc w:val="left"/>
              <w:rPr>
                <w:b/>
              </w:rPr>
            </w:pPr>
            <w:r>
              <w:rPr>
                <w:b/>
                <w:spacing w:val="-4"/>
              </w:rPr>
              <w:t>Total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152,997.71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w:t>
      </w:r>
      <w:r>
        <w:rPr>
          <w:rFonts w:ascii="Times New Roman;Times;serif" w:hAnsi="Times New Roman;Times;serif"/>
          <w:b/>
          <w:i/>
          <w:caps w:val="false"/>
          <w:smallCaps w:val="false"/>
          <w:color w:val="000000"/>
          <w:spacing w:val="-4"/>
          <w:sz w:val="20"/>
        </w:rPr>
        <w:t>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Delaware General Corporation Law provides that Section 145 is not exclusive of other rights to which those seeking indemnification may be entitled under any bylaw, agreement, vote of stockholders or disinterested directors or otherwise. Article VIII of the registrant’s Amended and Restated Certificate of Incorporation provides for indemnification by the registrant of its directors, officers, and employees to the fullest extent permitted by the Delaware General Corporation Law.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Article VIII of the registrant’s Amended and Restated Certificate of Incorporation provides for such limitation of liability.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w:t>
      </w:r>
      <w:r>
        <w:rPr>
          <w:rFonts w:ascii="Times New Roman;Times;serif" w:hAnsi="Times New Roman;Times;serif"/>
          <w:b/>
          <w:i/>
          <w:caps w:val="false"/>
          <w:smallCaps w:val="false"/>
          <w:color w:val="000000"/>
          <w:spacing w:val="-4"/>
          <w:sz w:val="20"/>
        </w:rPr>
        <w:t>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exhibits are filed as part of this registration statement: </w:t>
      </w:r>
    </w:p>
    <w:tbl>
      <w:tblPr>
        <w:tblW w:w="9706" w:type="dxa"/>
        <w:jc w:val="left"/>
        <w:tblInd w:w="1393" w:type="dxa"/>
        <w:tblLayout w:type="fixed"/>
        <w:tblCellMar>
          <w:top w:w="0" w:type="dxa"/>
          <w:left w:w="0" w:type="dxa"/>
          <w:bottom w:w="28" w:type="dxa"/>
          <w:right w:w="0" w:type="dxa"/>
        </w:tblCellMar>
      </w:tblPr>
      <w:tblGrid>
        <w:gridCol w:w="124"/>
        <w:gridCol w:w="871"/>
        <w:gridCol w:w="109"/>
        <w:gridCol w:w="109"/>
        <w:gridCol w:w="2545"/>
        <w:gridCol w:w="109"/>
        <w:gridCol w:w="109"/>
        <w:gridCol w:w="607"/>
        <w:gridCol w:w="109"/>
        <w:gridCol w:w="109"/>
        <w:gridCol w:w="846"/>
        <w:gridCol w:w="109"/>
        <w:gridCol w:w="109"/>
        <w:gridCol w:w="778"/>
        <w:gridCol w:w="109"/>
        <w:gridCol w:w="109"/>
        <w:gridCol w:w="1503"/>
        <w:gridCol w:w="109"/>
        <w:gridCol w:w="109"/>
        <w:gridCol w:w="970"/>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8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Incorporated by Reference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871"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5"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Form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File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7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Filing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000000"/>
            </w:tcBorders>
            <w:tcMar>
              <w:bottom w:w="43" w:type="dxa"/>
            </w:tcMar>
            <w:vAlign w:val="center"/>
          </w:tcPr>
          <w:p>
            <w:pPr>
              <w:pStyle w:val="TableContents"/>
              <w:bidi w:val="0"/>
              <w:spacing w:before="0" w:after="0"/>
              <w:jc w:val="center"/>
              <w:rPr/>
            </w:pPr>
            <w:r>
              <w:rPr>
                <w:spacing w:val="-3"/>
              </w:rPr>
              <w:t>Filed</w:t>
            </w:r>
            <w:r>
              <w:rPr/>
              <w:t xml:space="preserve"> </w:t>
              <w:br/>
            </w:r>
            <w:r>
              <w:rPr>
                <w:spacing w:val="-3"/>
              </w:rPr>
              <w:t xml:space="preserve">Herewith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2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r:id="rId16">
              <w:r>
                <w:rPr>
                  <w:rStyle w:val="InternetLink"/>
                  <w:spacing w:val="4"/>
                </w:rPr>
                <w:t>Amended and Restated Certificate of Incorporation of the registrant, as currently in effect.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0"/>
              <w:jc w:val="center"/>
              <w:rPr>
                <w:spacing w:val="4"/>
              </w:rPr>
            </w:pPr>
            <w:r>
              <w:rPr>
                <w:spacing w:val="4"/>
              </w:rPr>
              <w:t xml:space="preserve">001-38933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spacing w:val="4"/>
              </w:rPr>
            </w:pPr>
            <w:r>
              <w:rPr>
                <w:spacing w:val="4"/>
              </w:rPr>
              <w:t xml:space="preserve">June 22,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2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r:id="rId17">
              <w:r>
                <w:rPr>
                  <w:rStyle w:val="InternetLink"/>
                  <w:spacing w:val="4"/>
                </w:rPr>
                <w:t>Amended and Restated Bylaws of the registrant, as currently in effect.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0"/>
              <w:jc w:val="center"/>
              <w:rPr>
                <w:spacing w:val="4"/>
              </w:rPr>
            </w:pPr>
            <w:r>
              <w:rPr>
                <w:spacing w:val="4"/>
              </w:rPr>
              <w:t xml:space="preserve">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0"/>
              <w:jc w:val="center"/>
              <w:rPr>
                <w:spacing w:val="4"/>
              </w:rPr>
            </w:pPr>
            <w:r>
              <w:rPr>
                <w:spacing w:val="4"/>
              </w:rPr>
              <w:t xml:space="preserve">001-38933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0"/>
              <w:jc w:val="left"/>
              <w:rPr>
                <w:spacing w:val="4"/>
              </w:rPr>
            </w:pPr>
            <w:r>
              <w:rPr>
                <w:spacing w:val="4"/>
              </w:rPr>
              <w:t xml:space="preserve">November 27,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2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r:id="rId18">
              <w:r>
                <w:rPr>
                  <w:rStyle w:val="InternetLink"/>
                  <w:spacing w:val="4"/>
                </w:rPr>
                <w:t>Certificate of Retirement of Class B common stock.</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0"/>
              <w:jc w:val="center"/>
              <w:rPr>
                <w:spacing w:val="4"/>
              </w:rPr>
            </w:pPr>
            <w:r>
              <w:rPr>
                <w:spacing w:val="4"/>
              </w:rPr>
              <w:t xml:space="preserve">001-38933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0"/>
              <w:jc w:val="left"/>
              <w:rPr>
                <w:spacing w:val="4"/>
              </w:rPr>
            </w:pPr>
            <w:r>
              <w:rPr>
                <w:spacing w:val="4"/>
              </w:rPr>
              <w:t xml:space="preserve">December 13,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r:id="rId19">
              <w:r>
                <w:rPr>
                  <w:rStyle w:val="InternetLink"/>
                  <w:spacing w:val="4"/>
                </w:rPr>
                <w:t>Amended and Restated Stockholders Agreement among the registrant and certain holders of its capital stock, dated as of June 21, 2018, as amended on September 25, 2018 and April 17, 2019.</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0"/>
              <w:jc w:val="center"/>
              <w:rPr>
                <w:spacing w:val="4"/>
              </w:rPr>
            </w:pPr>
            <w:r>
              <w:rPr>
                <w:spacing w:val="4"/>
              </w:rPr>
              <w:t xml:space="preserve">S-1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0"/>
              <w:jc w:val="center"/>
              <w:rPr>
                <w:spacing w:val="4"/>
              </w:rPr>
            </w:pPr>
            <w:r>
              <w:rPr>
                <w:spacing w:val="4"/>
              </w:rPr>
              <w:t xml:space="preserve">333-231461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0"/>
              <w:jc w:val="center"/>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spacing w:val="4"/>
              </w:rPr>
            </w:pPr>
            <w:r>
              <w:rPr>
                <w:spacing w:val="4"/>
              </w:rPr>
              <w:t xml:space="preserve">May 14,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r:id="rId20">
              <w:r>
                <w:rPr>
                  <w:rStyle w:val="InternetLink"/>
                  <w:spacing w:val="4"/>
                </w:rPr>
                <w:t>Amended and Restated Registration Rights Agreement among the registrant and certain holders of its capital stock, dated as of June 21, 2018.</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0"/>
              <w:jc w:val="center"/>
              <w:rPr>
                <w:spacing w:val="4"/>
              </w:rPr>
            </w:pPr>
            <w:r>
              <w:rPr>
                <w:spacing w:val="4"/>
              </w:rPr>
              <w:t xml:space="preserve">S-1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0"/>
              <w:jc w:val="center"/>
              <w:rPr>
                <w:spacing w:val="4"/>
              </w:rPr>
            </w:pPr>
            <w:r>
              <w:rPr>
                <w:spacing w:val="4"/>
              </w:rPr>
              <w:t xml:space="preserve">333-231461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0"/>
              <w:jc w:val="center"/>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spacing w:val="4"/>
              </w:rPr>
            </w:pPr>
            <w:r>
              <w:rPr>
                <w:spacing w:val="4"/>
              </w:rPr>
              <w:t xml:space="preserve">May 14,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2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r:id="rId21">
              <w:r>
                <w:rPr>
                  <w:rStyle w:val="InternetLink"/>
                  <w:spacing w:val="4"/>
                </w:rPr>
                <w:t>Class A common stock certificate of the registrant.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0"/>
              <w:jc w:val="center"/>
              <w:rPr>
                <w:spacing w:val="4"/>
              </w:rPr>
            </w:pPr>
            <w:r>
              <w:rPr>
                <w:spacing w:val="4"/>
              </w:rPr>
              <w:t xml:space="preserve">S-1/A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0"/>
              <w:jc w:val="center"/>
              <w:rPr>
                <w:spacing w:val="4"/>
              </w:rPr>
            </w:pPr>
            <w:r>
              <w:rPr>
                <w:spacing w:val="4"/>
              </w:rPr>
              <w:t xml:space="preserve">333-231461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0"/>
              <w:jc w:val="center"/>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spacing w:val="4"/>
              </w:rPr>
            </w:pPr>
            <w:r>
              <w:rPr>
                <w:spacing w:val="4"/>
              </w:rPr>
              <w:t xml:space="preserve">May 29,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2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r:id="rId22">
              <w:r>
                <w:rPr>
                  <w:rStyle w:val="InternetLink"/>
                  <w:spacing w:val="4"/>
                </w:rPr>
                <w:t>Description of registrant’s securities.</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0"/>
              <w:jc w:val="center"/>
              <w:rPr>
                <w:spacing w:val="4"/>
              </w:rPr>
            </w:pPr>
            <w:r>
              <w:rPr>
                <w:spacing w:val="4"/>
              </w:rPr>
              <w:t xml:space="preserve">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0"/>
              <w:jc w:val="center"/>
              <w:rPr>
                <w:spacing w:val="4"/>
              </w:rPr>
            </w:pPr>
            <w:r>
              <w:rPr>
                <w:spacing w:val="4"/>
              </w:rPr>
              <w:t xml:space="preserve">001-38933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0"/>
              <w:jc w:val="center"/>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spacing w:val="4"/>
              </w:rPr>
            </w:pPr>
            <w:r>
              <w:rPr>
                <w:spacing w:val="4"/>
              </w:rPr>
              <w:t xml:space="preserve">March 10,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w:anchor="tm2625079d2_ex5-1.htm">
              <w:r>
                <w:rPr>
                  <w:rStyle w:val="InternetLink"/>
                  <w:spacing w:val="4"/>
                </w:rPr>
                <w:t>Opinion of Davis Polk and Wardwell LLP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100" w:right="0" w:hanging="0"/>
              <w:jc w:val="left"/>
              <w:rPr>
                <w:spacing w:val="4"/>
              </w:rPr>
            </w:pPr>
            <w:r>
              <w:rPr>
                <w:spacing w:val="4"/>
              </w:rPr>
              <w:t xml:space="preserve">22.1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r:id="rId23">
              <w:r>
                <w:rPr>
                  <w:rStyle w:val="InternetLink"/>
                  <w:spacing w:val="4"/>
                </w:rPr>
                <w:t>List of Subsidiary Guarantors</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0"/>
              <w:jc w:val="center"/>
              <w:rPr>
                <w:spacing w:val="4"/>
              </w:rPr>
            </w:pPr>
            <w:r>
              <w:rPr>
                <w:spacing w:val="4"/>
              </w:rPr>
              <w:t xml:space="preserve">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0"/>
              <w:jc w:val="center"/>
              <w:rPr>
                <w:spacing w:val="4"/>
              </w:rPr>
            </w:pPr>
            <w:r>
              <w:rPr>
                <w:spacing w:val="4"/>
              </w:rPr>
              <w:t xml:space="preserve">001-38933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0"/>
              <w:jc w:val="center"/>
              <w:rPr>
                <w:spacing w:val="4"/>
              </w:rPr>
            </w:pPr>
            <w:r>
              <w:rPr>
                <w:spacing w:val="4"/>
              </w:rPr>
              <w:t xml:space="preserve">22.1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spacing w:val="4"/>
              </w:rPr>
            </w:pPr>
            <w:r>
              <w:rPr>
                <w:spacing w:val="4"/>
              </w:rPr>
              <w:t xml:space="preserve">March 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w:anchor="tm2625079d2_ex23-1.htm">
              <w:r>
                <w:rPr>
                  <w:rStyle w:val="InternetLink"/>
                  <w:spacing w:val="4"/>
                </w:rPr>
                <w:t>Consent of PricewaterhouseCoopers LLP, independent registered public accounting firm.</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w:anchor="tm2625079d2_ex5-1.htm">
              <w:r>
                <w:rPr>
                  <w:rStyle w:val="InternetLink"/>
                  <w:spacing w:val="4"/>
                </w:rPr>
                <w:t>Consent of Davis Polk and Wardwell LLP (included in Exhibit 5.1)</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ind w:left="100" w:right="0" w:hanging="0"/>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w:anchor="tPOT">
              <w:r>
                <w:rPr>
                  <w:rStyle w:val="InternetLink"/>
                  <w:spacing w:val="4"/>
                </w:rPr>
                <w:t>Power of Attorney (reference is made to the signature page hereto).</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283"/>
              <w:jc w:val="left"/>
              <w:rPr>
                <w:spacing w:val="4"/>
              </w:rPr>
            </w:pPr>
            <w:r>
              <w:rPr>
                <w:spacing w:val="4"/>
              </w:rPr>
              <w:t xml:space="preserve">107.1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pPr>
            <w:hyperlink w:anchor="tm2625079d1_ex-fillingfees.htm">
              <w:r>
                <w:rPr>
                  <w:rStyle w:val="InternetLink"/>
                  <w:spacing w:val="4"/>
                </w:rPr>
                <w:t>Filing Fee Table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pPr>
            <w:r>
              <w:rPr>
                <w:spacing w:val="4"/>
              </w:rPr>
              <w:t>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w:t>
      </w:r>
      <w:r>
        <w:rPr>
          <w:rFonts w:ascii="Times New Roman;Times;serif" w:hAnsi="Times New Roman;Times;serif"/>
          <w:b/>
          <w:i/>
          <w:caps w:val="false"/>
          <w:smallCaps w:val="false"/>
          <w:color w:val="000000"/>
          <w:spacing w:val="-4"/>
          <w:sz w:val="20"/>
        </w:rPr>
        <w:t>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of securities registered hereby, a post-effective amendment to this registration statement: </w:t>
      </w:r>
      <w:r>
        <mc:AlternateContent>
          <mc:Choice Requires="wps">
            <w:drawing>
              <wp:anchor behindDoc="0" distT="104140" distB="0" distL="508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4140" distB="0" distL="762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2pt;mso-wrap-distance-bottom:0pt;margin-top:8.2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w:t>
      </w:r>
      <w:r>
        <mc:AlternateContent>
          <mc:Choice Requires="wps">
            <w:drawing>
              <wp:anchor behindDoc="0" distT="105410" distB="0" distL="762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3pt;mso-wrap-distance-bottom:0pt;margin-top:8.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w:t>
      </w:r>
    </w:p>
    <w:p>
      <w:pPr>
        <w:pStyle w:val="TextBody"/>
        <w:bidi w:val="0"/>
        <w:spacing w:lineRule="atLeast" w:line="240" w:before="18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14300" distB="0" distL="762000" distR="0" simplePos="0" locked="0" layoutInCell="1" allowOverlap="1" relativeHeight="36">
                <wp:simplePos x="0" y="0"/>
                <wp:positionH relativeFrom="column">
                  <wp:align>left</wp:align>
                </wp:positionH>
                <wp:positionV relativeFrom="line">
                  <wp:align>top</wp:align>
                </wp:positionV>
                <wp:extent cx="254000" cy="52578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9pt;mso-wrap-distance-bottom:0pt;margin-top: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(i), (ii) and (iii) above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 </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14300" distB="0" distL="508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14300" distB="0" distL="508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w:t>
      </w:r>
      <w:r>
        <mc:AlternateContent>
          <mc:Choice Requires="wps">
            <w:drawing>
              <wp:anchor behindDoc="0" distT="114300" distB="0" distL="508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114300" distB="0" distL="762000" distR="0" simplePos="0" locked="0" layoutInCell="1" allowOverlap="1" relativeHeight="40">
                <wp:simplePos x="0" y="0"/>
                <wp:positionH relativeFrom="column">
                  <wp:align>left</wp:align>
                </wp:positionH>
                <wp:positionV relativeFrom="line">
                  <wp:align>top</wp:align>
                </wp:positionV>
                <wp:extent cx="254000" cy="52578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9pt;mso-wrap-distance-bottom:0pt;margin-top: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14300" distB="0" distL="762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9pt;mso-wrap-distance-bottom:0pt;margin-top: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w:t>
      </w:r>
      <w:r>
        <mc:AlternateContent>
          <mc:Choice Requires="wps">
            <w:drawing>
              <wp:anchor behindDoc="0" distT="114300" distB="0" distL="508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1016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pt;mso-wrap-distance-bottom:0pt;margin-top:8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1016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pt;mso-wrap-distance-bottom:0pt;margin-top:8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1016000" distR="0" simplePos="0" locked="0" layoutInCell="1" allowOverlap="1" relativeHeight="45">
                <wp:simplePos x="0" y="0"/>
                <wp:positionH relativeFrom="column">
                  <wp:align>left</wp:align>
                </wp:positionH>
                <wp:positionV relativeFrom="line">
                  <wp:align>top</wp:align>
                </wp:positionV>
                <wp:extent cx="254000" cy="525780"/>
                <wp:effectExtent l="0" t="0" r="0" b="0"/>
                <wp:wrapSquare wrapText="right"/>
                <wp:docPr id="42" name="Frame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80pt;mso-wrap-distance-right:0pt;mso-wrap-distance-top:8pt;mso-wrap-distance-bottom:0pt;margin-top:8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1016000" distR="0" simplePos="0" locked="0" layoutInCell="1" allowOverlap="1" relativeHeight="46">
                <wp:simplePos x="0" y="0"/>
                <wp:positionH relativeFrom="column">
                  <wp:align>left</wp:align>
                </wp:positionH>
                <wp:positionV relativeFrom="line">
                  <wp:align>top</wp:align>
                </wp:positionV>
                <wp:extent cx="254000" cy="525780"/>
                <wp:effectExtent l="0" t="0" r="0" b="0"/>
                <wp:wrapSquare wrapText="right"/>
                <wp:docPr id="43" name="Frame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80pt;mso-wrap-distance-right:0pt;mso-wrap-distance-top:8pt;mso-wrap-distance-bottom:0pt;margin-top:8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on September 11,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CROWDSTRIKE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George Kurtz</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49">
                <wp:simplePos x="0" y="0"/>
                <wp:positionH relativeFrom="column">
                  <wp:align>left</wp:align>
                </wp:positionH>
                <wp:positionV relativeFrom="line">
                  <wp:align>top</wp:align>
                </wp:positionV>
                <wp:extent cx="254000" cy="30480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George Kurtz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 Chief Executive Officer and Director (Principal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O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constitutes and appoints George Kurtz, Burt W. Podbere and Cathleen Anderson,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917"/>
        <w:gridCol w:w="109"/>
        <w:gridCol w:w="109"/>
        <w:gridCol w:w="3230"/>
        <w:gridCol w:w="109"/>
        <w:gridCol w:w="109"/>
        <w:gridCol w:w="194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9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GEORGE KURTZ</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George Kurtz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pPr>
            <w:r>
              <w:rPr>
                <w:spacing w:val="4"/>
              </w:rPr>
              <w:t xml:space="preserve">President, Chief Executive Officer, and </w:t>
            </w:r>
            <w:r>
              <w:rPr/>
              <w:br/>
            </w:r>
            <w:r>
              <w:rPr>
                <w:spacing w:val="4"/>
              </w:rPr>
              <w:t xml:space="preserve">Director (Principal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BURT W. PODBERE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Burt W. Podbere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pPr>
            <w:r>
              <w:rPr>
                <w:spacing w:val="4"/>
              </w:rPr>
              <w:t xml:space="preserve">Chief Financial Officer </w:t>
            </w:r>
            <w:r>
              <w:rPr/>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ANURAG SAHA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Anurag Saha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pPr>
            <w:r>
              <w:rPr>
                <w:spacing w:val="4"/>
              </w:rPr>
              <w:t xml:space="preserve">Chief Accounting Officer </w:t>
            </w:r>
            <w:r>
              <w:rPr/>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GERHARD WATZINGER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Gerhard Watzinger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spacing w:val="4"/>
              </w:rPr>
            </w:pPr>
            <w:r>
              <w:rPr>
                <w:spacing w:val="4"/>
              </w:rPr>
              <w:t xml:space="preserve">Chairman of the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CARY J. DAVIS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Cary J. 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DENIS J. O’LEARY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Denis J. O’Leary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JOHANNA FLOWER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Johanna Flower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LAURA J. SCHUMACHER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Laura J. Schumacher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ROXANNE S. AUSTIN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Roxanne S. Austin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17" w:type="dxa"/>
            <w:tcBorders/>
            <w:tcMar>
              <w:bottom w:w="0" w:type="dxa"/>
            </w:tcMar>
            <w:vAlign w:val="center"/>
          </w:tcPr>
          <w:p>
            <w:pPr>
              <w:pStyle w:val="TableContents"/>
              <w:bidi w:val="0"/>
              <w:spacing w:before="0" w:after="0"/>
              <w:jc w:val="left"/>
              <w:rPr/>
            </w:pPr>
            <w:r>
              <w:rPr>
                <w:spacing w:val="4"/>
              </w:rPr>
              <w:t>/s/ SAMEER K. GANDHI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Sameer K. Gandhi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9" w:type="dxa"/>
            <w:tcBorders/>
            <w:tcMar>
              <w:bottom w:w="0" w:type="dxa"/>
            </w:tcMar>
            <w:vAlign w:val="center"/>
          </w:tcPr>
          <w:p>
            <w:pPr>
              <w:pStyle w:val="TableContents"/>
              <w:bidi w:val="0"/>
              <w:spacing w:before="0" w:after="0"/>
              <w:jc w:val="left"/>
              <w:rPr/>
            </w:pPr>
            <w:r>
              <w:rPr>
                <w:spacing w:val="4"/>
              </w:rPr>
              <w:t>September 11,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7" w:name="tm2625079d2_ex5-1.htm"/>
      <w:bookmarkStart w:id="18" w:name="kstm2625079d2_ex51"/>
      <w:bookmarkEnd w:id="17"/>
      <w:bookmarkEnd w:id="18"/>
      <w:r>
        <w:rPr/>
        <w:t> </w:t>
      </w:r>
      <w:r>
        <w:br w:type="page"/>
      </w:r>
    </w:p>
    <w:p>
      <w:pPr>
        <w:pStyle w:val="TextBody"/>
        <w:bidi w:val="0"/>
        <w:jc w:val="right"/>
        <w:rPr>
          <w:b/>
        </w:rPr>
      </w:pPr>
      <w:r>
        <w:rPr>
          <w:b/>
        </w:rPr>
        <w:t>Exhibits 5.1 and 23.2</w:t>
      </w:r>
    </w:p>
    <w:p>
      <w:pPr>
        <w:pStyle w:val="TextBody"/>
        <w:bidi w:val="0"/>
        <w:spacing w:before="0" w:after="283"/>
        <w:jc w:val="left"/>
        <w:rPr/>
      </w:pPr>
      <w:r>
        <w:rPr/>
        <w:t> </w:t>
      </w:r>
    </w:p>
    <w:tbl>
      <w:tblPr>
        <w:tblW w:w="4310" w:type="dxa"/>
        <w:jc w:val="left"/>
        <w:tblInd w:w="0" w:type="dxa"/>
        <w:tblLayout w:type="fixed"/>
        <w:tblCellMar>
          <w:top w:w="0" w:type="dxa"/>
          <w:left w:w="0" w:type="dxa"/>
          <w:bottom w:w="0" w:type="dxa"/>
          <w:right w:w="0" w:type="dxa"/>
        </w:tblCellMar>
      </w:tblPr>
      <w:tblGrid>
        <w:gridCol w:w="1965"/>
        <w:gridCol w:w="2270"/>
        <w:gridCol w:w="75"/>
      </w:tblGrid>
      <w:tr>
        <w:trPr/>
        <w:tc>
          <w:tcPr>
            <w:tcW w:w="1965" w:type="dxa"/>
            <w:tcBorders/>
            <w:vAlign w:val="center"/>
          </w:tcPr>
          <w:p>
            <w:pPr>
              <w:pStyle w:val="TableContents"/>
              <w:bidi w:val="0"/>
              <w:spacing w:before="0" w:after="283"/>
              <w:jc w:val="left"/>
              <w:rPr/>
            </w:pPr>
            <w:r>
              <w:rPr/>
              <w:drawing>
                <wp:inline distT="0" distB="0" distL="0" distR="0">
                  <wp:extent cx="1200150" cy="285750"/>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24"/>
                          <a:stretch>
                            <a:fillRect/>
                          </a:stretch>
                        </pic:blipFill>
                        <pic:spPr bwMode="auto">
                          <a:xfrm>
                            <a:off x="0" y="0"/>
                            <a:ext cx="1200150" cy="285750"/>
                          </a:xfrm>
                          <a:prstGeom prst="rect">
                            <a:avLst/>
                          </a:prstGeom>
                        </pic:spPr>
                      </pic:pic>
                    </a:graphicData>
                  </a:graphic>
                </wp:inline>
              </w:drawing>
            </w:r>
            <w:r>
              <w:rPr/>
              <w:t> </w:t>
            </w:r>
          </w:p>
        </w:tc>
        <w:tc>
          <w:tcPr>
            <w:tcW w:w="22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Davis Polk &amp; Wardwell </w:t>
            </w:r>
            <w:r>
              <w:rPr>
                <w:rFonts w:ascii="Times New Roman;Times;Serif" w:hAnsi="Times New Roman;Times;Serif"/>
                <w:b w:val="false"/>
                <w:i w:val="false"/>
                <w:smallCaps/>
                <w:sz w:val="20"/>
              </w:rPr>
              <w:t>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 Middlefield Road</w:t>
              <w:br/>
              <w:t>Redwood City, CA 94063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davispolk.com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CrowdStrike Holdings, Inc.</w:t>
        <w:br/>
        <w:t>206 E. 9th Street, Suite 1400</w:t>
        <w:br/>
        <w:t>Austin, Texas 78701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CrowdStrike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are delivering this opinion in connection with the Company’s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on September 11, 2026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and the related prospectus dated September 11, 2026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for the purpose of registering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among other things, the resale from time to time of up to 2,118,022 shares of its Class A common stock, par value $0.0005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that may be sold by the selling stockholder named in the Registration Statement (the “</w:t>
      </w:r>
      <w:r>
        <w:rPr>
          <w:rFonts w:ascii="Times New Roman;Times;Serif" w:hAnsi="Times New Roman;Times;Serif"/>
          <w:b/>
          <w:i w:val="false"/>
          <w:caps w:val="false"/>
          <w:smallCaps w:val="false"/>
          <w:sz w:val="20"/>
        </w:rPr>
        <w:t>Selling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additional assumptions and qualifications set forth below, we advise you that, in our opinion, the shares of Common Stock proposed to be sold by the Selling Stockholder have been duly authorized and validly issued and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 expressed above, we have assumed that the Company is validly existing as a corporation in good standing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Bars of the States of New York and California, and the foregoing opinion is limited to the laws of the State of New York and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00150" cy="285750"/>
            <wp:effectExtent l="0" t="0" r="0" b="0"/>
            <wp:docPr id="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 descr=""/>
                    <pic:cNvPicPr>
                      <a:picLocks noChangeAspect="1" noChangeArrowheads="1"/>
                    </pic:cNvPicPr>
                  </pic:nvPicPr>
                  <pic:blipFill>
                    <a:blip r:embed="rId25"/>
                    <a:stretch>
                      <a:fillRect/>
                    </a:stretch>
                  </pic:blipFill>
                  <pic:spPr bwMode="auto">
                    <a:xfrm>
                      <a:off x="0" y="0"/>
                      <a:ext cx="1200150" cy="2857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Davis Polk &amp; Wardwell LLP</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1940"/>
        <w:gridCol w:w="155"/>
      </w:tblGrid>
      <w:tr>
        <w:trPr/>
        <w:tc>
          <w:tcPr>
            <w:tcW w:w="1940" w:type="dxa"/>
            <w:tcBorders/>
            <w:vAlign w:val="center"/>
          </w:tcPr>
          <w:p>
            <w:pPr>
              <w:pStyle w:val="TableContents"/>
              <w:bidi w:val="0"/>
              <w:spacing w:before="0" w:after="283"/>
              <w:jc w:val="left"/>
              <w:rPr/>
            </w:pPr>
            <w:r>
              <w:rPr/>
              <w:t>September 11, 2026</w:t>
            </w:r>
          </w:p>
        </w:tc>
        <w:tc>
          <w:tcPr>
            <w:tcW w:w="155" w:type="dxa"/>
            <w:tcBorders/>
            <w:vAlign w:val="center"/>
          </w:tcPr>
          <w:p>
            <w:pPr>
              <w:pStyle w:val="TableContents"/>
              <w:bidi w:val="0"/>
              <w:spacing w:before="0" w:after="283"/>
              <w:jc w:val="right"/>
              <w:rPr/>
            </w:pPr>
            <w:r>
              <w:rPr/>
              <w:t>2</w:t>
            </w:r>
          </w:p>
        </w:tc>
      </w:tr>
    </w:tbl>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9" w:name="tm2625079d2_ex23-1.htm"/>
      <w:bookmarkStart w:id="20" w:name="kstm2625079d2_ex231"/>
      <w:bookmarkEnd w:id="19"/>
      <w:bookmarkEnd w:id="20"/>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CrowdStrike Holdings, Inc. of our report dated March 4, 2026 relating to the financial statements and the effectiveness of internal control over financial reporting, which appears in CrowdStrike Holdings, Inc.’s Annual Report on Form 10-K for the year ended January 31,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 xml:space="preserve">San Jose, California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 w:name="tm2625079d1_ex-fillingfees.htm"/>
      <w:bookmarkStart w:id="22" w:name="kstm2625079d1_exfillingfees"/>
      <w:bookmarkStart w:id="23" w:name="tm2625079d1_ex-fillingfees.htm"/>
      <w:bookmarkStart w:id="24" w:name="kstm2625079d1_exfillingfees"/>
      <w:bookmarkEnd w:id="23"/>
      <w:bookmarkEnd w:id="24"/>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CrowdStrike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A Common Stock, $0.0005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2,118,022 </w:t>
            </w:r>
          </w:p>
        </w:tc>
        <w:tc>
          <w:tcPr>
            <w:tcW w:w="1156" w:type="dxa"/>
            <w:tcBorders/>
            <w:shd w:fill="E7E7E2" w:val="clear"/>
            <w:vAlign w:val="center"/>
          </w:tcPr>
          <w:p>
            <w:pPr>
              <w:pStyle w:val="TableContents"/>
              <w:bidi w:val="0"/>
              <w:spacing w:before="0" w:after="283"/>
              <w:jc w:val="right"/>
              <w:rPr/>
            </w:pPr>
            <w:r>
              <w:rPr/>
              <w:t xml:space="preserve">$ 208.54 </w:t>
            </w:r>
          </w:p>
        </w:tc>
        <w:tc>
          <w:tcPr>
            <w:tcW w:w="1786" w:type="dxa"/>
            <w:tcBorders/>
            <w:shd w:fill="E7E7E2" w:val="clear"/>
            <w:vAlign w:val="center"/>
          </w:tcPr>
          <w:p>
            <w:pPr>
              <w:pStyle w:val="TableContents"/>
              <w:bidi w:val="0"/>
              <w:spacing w:before="0" w:after="283"/>
              <w:jc w:val="right"/>
              <w:rPr/>
            </w:pPr>
            <w:r>
              <w:rPr/>
              <w:t xml:space="preserve">$ 441,692,307.88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$ 60,997.71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5" w:name="MaxAggtOfferingPrice"/>
            <w:bookmarkEnd w:id="25"/>
            <w:r>
              <w:rPr/>
              <w:t xml:space="preserve">$ 441,692,307.88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6" w:name="TotalFeeAmt"/>
            <w:bookmarkEnd w:id="26"/>
            <w:r>
              <w:rPr/>
              <w:t xml:space="preserve">$ 60,997.71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PreviouslyPaid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Offset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NetFeeAmt"/>
            <w:bookmarkEnd w:id="29"/>
            <w:r>
              <w:rPr/>
              <w:t xml:space="preserve">$ 60,997.71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 In the event of a stock split, stock dividend or similar transaction involving the Registrant's Class A common stock, $0.0005 par value per share ("Class A Common Stock"), the number of shares registered hereby shall automatically be adjusted in accordance with Rule 416 under the Securities Act of 1933, as amended (the "Securities Act"). (b) Represents 2,118,022 shares of Class A Common Stock registered for resale by the selling stockholder or its permitted transferees, which resale has not previously been registered. (c) Estimated solely for the purpose of calculating the registration fee pursuant to Rule 457(c) under the Securities Act. The Proposed Maximum Offering Price Per Share is based on the average of the high and low prices of the Registrant's Class A Common Stock on The Nasdaq Global Select Market on September 8, 2026. (d) Rounded to the nearest cent. (e) The Registrant does not have any fee offsets.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535527/000153552726000025/crwd-20260430.htm" TargetMode="External"/><Relationship Id="rId4" Type="http://schemas.openxmlformats.org/officeDocument/2006/relationships/hyperlink" Target="http://www.sec.gov/ix?doc=/Archives/edgar/data/1535527/000153552726000031/crwd-20260731.htm" TargetMode="External"/><Relationship Id="rId5" Type="http://schemas.openxmlformats.org/officeDocument/2006/relationships/hyperlink" Target="http://www.sec.gov/ix?doc=/Archives/edgar/data/1535527/000153552726000010/crwd-20260131.htm" TargetMode="External"/><Relationship Id="rId6" Type="http://schemas.openxmlformats.org/officeDocument/2006/relationships/hyperlink" Target="http://www.sec.gov/ix?doc=/Archives/edgar/data/1535527/000153552726000010/crwd-20260131.htm" TargetMode="External"/><Relationship Id="rId7" Type="http://schemas.openxmlformats.org/officeDocument/2006/relationships/hyperlink" Target="http://www.sec.gov/ix?doc=/Archives/edgar/data/1535527/000110465926055599/tm2532333-4_def14a.htm" TargetMode="External"/><Relationship Id="rId8" Type="http://schemas.openxmlformats.org/officeDocument/2006/relationships/hyperlink" Target="http://www.sec.gov/ix?doc=/Archives/edgar/data/1535527/000153552726000025/crwd-20260430.htm" TargetMode="External"/><Relationship Id="rId9" Type="http://schemas.openxmlformats.org/officeDocument/2006/relationships/hyperlink" Target="http://www.sec.gov/ix?doc=/Archives/edgar/data/1535527/000153552726000031/crwd-20260731.htm" TargetMode="External"/><Relationship Id="rId10" Type="http://schemas.openxmlformats.org/officeDocument/2006/relationships/hyperlink" Target="http://www.sec.gov/ix?doc=/Archives/edgar/data/1535527/000153552726000013/crwd-20260406.htm" TargetMode="External"/><Relationship Id="rId11" Type="http://schemas.openxmlformats.org/officeDocument/2006/relationships/hyperlink" Target="http://www.sec.gov/ix?doc=/Archives/edgar/data/1535527/000153552726000018/crwd-20260416.htm" TargetMode="External"/><Relationship Id="rId12" Type="http://schemas.openxmlformats.org/officeDocument/2006/relationships/hyperlink" Target="http://www.sec.gov/ix?doc=/Archives/edgar/data/1535527/000153552726000022/crwd-20260603.htm" TargetMode="External"/><Relationship Id="rId13" Type="http://schemas.openxmlformats.org/officeDocument/2006/relationships/hyperlink" Target="http://www.sec.gov/ix?doc=/Archives/edgar/data/1535527/000110465926076376/tm2618192d1_8k.htm" TargetMode="External"/><Relationship Id="rId14" Type="http://schemas.openxmlformats.org/officeDocument/2006/relationships/hyperlink" Target="http://www.sec.gov/Archives/edgar/data/1535527/000110465919034512/a18-40307_58a12b.htm" TargetMode="External"/><Relationship Id="rId15" Type="http://schemas.openxmlformats.org/officeDocument/2006/relationships/image" Target="media/image1.jpeg"/><Relationship Id="rId16" Type="http://schemas.openxmlformats.org/officeDocument/2006/relationships/hyperlink" Target="http://www.sec.gov/Archives/edgar/data/1535527/000110465926076376/tm2618192d1_ex3-1.htm" TargetMode="External"/><Relationship Id="rId17" Type="http://schemas.openxmlformats.org/officeDocument/2006/relationships/hyperlink" Target="http://www.sec.gov/Archives/edgar/data/1535527/000153552724000026/crowdstrikeholdingsincam.htm" TargetMode="External"/><Relationship Id="rId18" Type="http://schemas.openxmlformats.org/officeDocument/2006/relationships/hyperlink" Target="http://www.sec.gov/Archives/edgar/data/1535527/000110465924128515/tm2430723d1_ex3-1.htm" TargetMode="External"/><Relationship Id="rId19" Type="http://schemas.openxmlformats.org/officeDocument/2006/relationships/hyperlink" Target="http://www.sec.gov/Archives/edgar/data/1535527/000104746919003095/a2238800zex-4_1.htm" TargetMode="External"/><Relationship Id="rId20" Type="http://schemas.openxmlformats.org/officeDocument/2006/relationships/hyperlink" Target="http://www.sec.gov/Archives/edgar/data/1535527/000104746919003095/a2238800zex-4_2.htm" TargetMode="External"/><Relationship Id="rId21" Type="http://schemas.openxmlformats.org/officeDocument/2006/relationships/hyperlink" Target="http://www.sec.gov/Archives/edgar/data/1535527/000104746919003341/a2238881zex-4_3.htm" TargetMode="External"/><Relationship Id="rId22" Type="http://schemas.openxmlformats.org/officeDocument/2006/relationships/hyperlink" Target="http://www.sec.gov/Archives/edgar/data/1535527/000153552725000009/crwd-10xk_exx44description.htm" TargetMode="External"/><Relationship Id="rId23" Type="http://schemas.openxmlformats.org/officeDocument/2006/relationships/hyperlink" Target="http://www.sec.gov/Archives/edgar/data/1535527/000153552726000010/ex-221listofsubsidiaryguar.htm" TargetMode="External"/><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11161</Words>
  <Characters>60086</Characters>
  <CharactersWithSpaces>72020</CharactersWithSpaces>
  <Paragraphs>1209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