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83">
        <w:r>
          <w:rPr>
            <w:rFonts w:ascii="Arial" w:cs="Arial" w:eastAsia="Arial" w:hAnsi="Arial"/>
            <w:sz w:val="22"/>
            <w:szCs w:val="22"/>
            <w:u w:val="single" w:color="auto"/>
            <w:color w:val="0000EE"/>
          </w:rPr>
          <w:t>CROWDSTRIKE HOLDINGS, INC. INDEX TO CONSOLIDATED FINANCIAL STATEMENTS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4"/>
          <w:szCs w:val="24"/>
          <w:color w:val="auto"/>
        </w:rPr>
      </w:pPr>
    </w:p>
    <w:p>
      <w:pPr>
        <w:jc w:val="center"/>
        <w:ind w:left="420" w:right="1640"/>
        <w:spacing w:after="0" w:line="263" w:lineRule="auto"/>
        <w:rPr>
          <w:sz w:val="20"/>
          <w:szCs w:val="20"/>
          <w:color w:val="auto"/>
        </w:rPr>
      </w:pPr>
      <w:r>
        <w:rPr>
          <w:rFonts w:ascii="Arial" w:cs="Arial" w:eastAsia="Arial" w:hAnsi="Arial"/>
          <w:sz w:val="14"/>
          <w:szCs w:val="14"/>
          <w:b w:val="1"/>
          <w:bCs w:val="1"/>
          <w:color w:val="auto"/>
        </w:rPr>
        <w:t>As confidentially submitted to the Securities and Exchange Commission on February 25, 2019 This draft registration statement has not been publicly filed with the Securities and Exchange Commission and all information herein remains strictly confidential.</w:t>
      </w:r>
    </w:p>
    <w:p>
      <w:pPr>
        <w:spacing w:after="0" w:line="173" w:lineRule="exact"/>
        <w:rPr>
          <w:sz w:val="24"/>
          <w:szCs w:val="24"/>
          <w:color w:val="auto"/>
        </w:rPr>
      </w:pPr>
    </w:p>
    <w:p>
      <w:pPr>
        <w:ind w:left="92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135255</wp:posOffset>
            </wp:positionV>
            <wp:extent cx="1440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S-1</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134620</wp:posOffset>
            </wp:positionV>
            <wp:extent cx="1440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CROWDSTRIKE HOLDINGS, INC.</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134620</wp:posOffset>
            </wp:positionV>
            <wp:extent cx="1440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tbl>
      <w:tblPr>
        <w:tblLayout w:type="fixed"/>
        <w:tblInd w:w="2640" w:type="dxa"/>
        <w:tblCellMar>
          <w:top w:w="0" w:type="dxa"/>
          <w:left w:w="0" w:type="dxa"/>
          <w:bottom w:w="0" w:type="dxa"/>
          <w:right w:w="0" w:type="dxa"/>
        </w:tblCellMar>
      </w:tblPr>
      <w:tr>
        <w:trPr>
          <w:trHeight w:val="180"/>
        </w:trPr>
        <w:tc>
          <w:tcPr>
            <w:tcW w:w="1920" w:type="dxa"/>
            <w:vAlign w:val="bottom"/>
          </w:tcPr>
          <w:p>
            <w:pPr>
              <w:jc w:val="center"/>
              <w:ind w:right="68"/>
              <w:spacing w:after="0"/>
              <w:rPr>
                <w:sz w:val="20"/>
                <w:szCs w:val="20"/>
                <w:color w:val="auto"/>
              </w:rPr>
            </w:pPr>
            <w:r>
              <w:rPr>
                <w:rFonts w:ascii="Arial" w:cs="Arial" w:eastAsia="Arial" w:hAnsi="Arial"/>
                <w:sz w:val="14"/>
                <w:szCs w:val="14"/>
                <w:b w:val="1"/>
                <w:bCs w:val="1"/>
                <w:color w:val="auto"/>
              </w:rPr>
              <w:t>Delaware</w:t>
            </w:r>
          </w:p>
        </w:tc>
        <w:tc>
          <w:tcPr>
            <w:tcW w:w="2220" w:type="dxa"/>
            <w:vAlign w:val="bottom"/>
          </w:tcPr>
          <w:p>
            <w:pPr>
              <w:jc w:val="center"/>
              <w:ind w:right="28"/>
              <w:spacing w:after="0"/>
              <w:rPr>
                <w:sz w:val="20"/>
                <w:szCs w:val="20"/>
                <w:color w:val="auto"/>
              </w:rPr>
            </w:pPr>
            <w:r>
              <w:rPr>
                <w:rFonts w:ascii="Arial" w:cs="Arial" w:eastAsia="Arial" w:hAnsi="Arial"/>
                <w:sz w:val="14"/>
                <w:szCs w:val="14"/>
                <w:b w:val="1"/>
                <w:bCs w:val="1"/>
                <w:color w:val="auto"/>
              </w:rPr>
              <w:t>7372</w:t>
            </w:r>
          </w:p>
        </w:tc>
        <w:tc>
          <w:tcPr>
            <w:tcW w:w="1640" w:type="dxa"/>
            <w:vAlign w:val="bottom"/>
          </w:tcPr>
          <w:p>
            <w:pPr>
              <w:jc w:val="center"/>
              <w:ind w:left="168"/>
              <w:spacing w:after="0"/>
              <w:rPr>
                <w:sz w:val="20"/>
                <w:szCs w:val="20"/>
                <w:color w:val="auto"/>
              </w:rPr>
            </w:pPr>
            <w:r>
              <w:rPr>
                <w:rFonts w:ascii="Arial" w:cs="Arial" w:eastAsia="Arial" w:hAnsi="Arial"/>
                <w:sz w:val="14"/>
                <w:szCs w:val="14"/>
                <w:b w:val="1"/>
                <w:bCs w:val="1"/>
                <w:color w:val="auto"/>
              </w:rPr>
              <w:t>45-3788918</w:t>
            </w:r>
          </w:p>
        </w:tc>
      </w:tr>
      <w:tr>
        <w:trPr>
          <w:trHeight w:val="162"/>
        </w:trPr>
        <w:tc>
          <w:tcPr>
            <w:tcW w:w="1920" w:type="dxa"/>
            <w:vAlign w:val="bottom"/>
          </w:tcPr>
          <w:p>
            <w:pPr>
              <w:jc w:val="center"/>
              <w:ind w:right="48"/>
              <w:spacing w:after="0"/>
              <w:rPr>
                <w:sz w:val="20"/>
                <w:szCs w:val="20"/>
                <w:color w:val="auto"/>
              </w:rPr>
            </w:pPr>
            <w:r>
              <w:rPr>
                <w:rFonts w:ascii="Arial" w:cs="Arial" w:eastAsia="Arial" w:hAnsi="Arial"/>
                <w:sz w:val="14"/>
                <w:szCs w:val="14"/>
                <w:color w:val="auto"/>
              </w:rPr>
              <w:t>(State or other jurisdiction of</w:t>
            </w:r>
          </w:p>
        </w:tc>
        <w:tc>
          <w:tcPr>
            <w:tcW w:w="2220" w:type="dxa"/>
            <w:vAlign w:val="bottom"/>
          </w:tcPr>
          <w:p>
            <w:pPr>
              <w:jc w:val="center"/>
              <w:ind w:right="28"/>
              <w:spacing w:after="0"/>
              <w:rPr>
                <w:sz w:val="20"/>
                <w:szCs w:val="20"/>
                <w:color w:val="auto"/>
              </w:rPr>
            </w:pPr>
            <w:r>
              <w:rPr>
                <w:rFonts w:ascii="Arial" w:cs="Arial" w:eastAsia="Arial" w:hAnsi="Arial"/>
                <w:sz w:val="14"/>
                <w:szCs w:val="14"/>
                <w:color w:val="auto"/>
              </w:rPr>
              <w:t>(Primary Standard Industrial</w:t>
            </w:r>
          </w:p>
        </w:tc>
        <w:tc>
          <w:tcPr>
            <w:tcW w:w="1640" w:type="dxa"/>
            <w:vAlign w:val="bottom"/>
          </w:tcPr>
          <w:p>
            <w:pPr>
              <w:jc w:val="center"/>
              <w:ind w:left="148"/>
              <w:spacing w:after="0"/>
              <w:rPr>
                <w:sz w:val="20"/>
                <w:szCs w:val="20"/>
                <w:color w:val="auto"/>
              </w:rPr>
            </w:pPr>
            <w:r>
              <w:rPr>
                <w:rFonts w:ascii="Arial" w:cs="Arial" w:eastAsia="Arial" w:hAnsi="Arial"/>
                <w:sz w:val="14"/>
                <w:szCs w:val="14"/>
                <w:color w:val="auto"/>
              </w:rPr>
              <w:t>(I.R.S. Employer</w:t>
            </w:r>
          </w:p>
        </w:tc>
      </w:tr>
      <w:tr>
        <w:trPr>
          <w:trHeight w:val="162"/>
        </w:trPr>
        <w:tc>
          <w:tcPr>
            <w:tcW w:w="1920" w:type="dxa"/>
            <w:vAlign w:val="bottom"/>
          </w:tcPr>
          <w:p>
            <w:pPr>
              <w:jc w:val="center"/>
              <w:ind w:right="48"/>
              <w:spacing w:after="0"/>
              <w:rPr>
                <w:sz w:val="20"/>
                <w:szCs w:val="20"/>
                <w:color w:val="auto"/>
              </w:rPr>
            </w:pPr>
            <w:r>
              <w:rPr>
                <w:rFonts w:ascii="Arial" w:cs="Arial" w:eastAsia="Arial" w:hAnsi="Arial"/>
                <w:sz w:val="14"/>
                <w:szCs w:val="14"/>
                <w:color w:val="auto"/>
              </w:rPr>
              <w:t>incorporation or</w:t>
            </w:r>
          </w:p>
        </w:tc>
        <w:tc>
          <w:tcPr>
            <w:tcW w:w="2220" w:type="dxa"/>
            <w:vAlign w:val="bottom"/>
          </w:tcPr>
          <w:p>
            <w:pPr>
              <w:jc w:val="center"/>
              <w:ind w:right="28"/>
              <w:spacing w:after="0"/>
              <w:rPr>
                <w:sz w:val="20"/>
                <w:szCs w:val="20"/>
                <w:color w:val="auto"/>
              </w:rPr>
            </w:pPr>
            <w:r>
              <w:rPr>
                <w:rFonts w:ascii="Arial" w:cs="Arial" w:eastAsia="Arial" w:hAnsi="Arial"/>
                <w:sz w:val="14"/>
                <w:szCs w:val="14"/>
                <w:color w:val="auto"/>
              </w:rPr>
              <w:t>Classification Code Number)</w:t>
            </w:r>
          </w:p>
        </w:tc>
        <w:tc>
          <w:tcPr>
            <w:tcW w:w="1640" w:type="dxa"/>
            <w:vAlign w:val="bottom"/>
          </w:tcPr>
          <w:p>
            <w:pPr>
              <w:jc w:val="center"/>
              <w:ind w:left="168"/>
              <w:spacing w:after="0"/>
              <w:rPr>
                <w:sz w:val="20"/>
                <w:szCs w:val="20"/>
                <w:color w:val="auto"/>
              </w:rPr>
            </w:pPr>
            <w:r>
              <w:rPr>
                <w:rFonts w:ascii="Arial" w:cs="Arial" w:eastAsia="Arial" w:hAnsi="Arial"/>
                <w:sz w:val="14"/>
                <w:szCs w:val="14"/>
                <w:color w:val="auto"/>
              </w:rPr>
              <w:t>Identification Number)</w:t>
            </w:r>
          </w:p>
        </w:tc>
      </w:tr>
    </w:tbl>
    <w:p>
      <w:pPr>
        <w:ind w:left="3120"/>
        <w:spacing w:after="0"/>
        <w:rPr>
          <w:sz w:val="20"/>
          <w:szCs w:val="20"/>
          <w:color w:val="auto"/>
        </w:rPr>
      </w:pPr>
      <w:r>
        <w:rPr>
          <w:rFonts w:ascii="Arial" w:cs="Arial" w:eastAsia="Arial" w:hAnsi="Arial"/>
          <w:sz w:val="14"/>
          <w:szCs w:val="14"/>
          <w:color w:val="auto"/>
        </w:rPr>
        <w:t>organization)</w:t>
      </w:r>
    </w:p>
    <w:p>
      <w:pPr>
        <w:spacing w:after="0" w:line="19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150 Mathilda Place, Suite 300</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Sunnyvale, California 94086</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(888) 512-8906</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(Address, including zip code, and telephone number, including</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134620</wp:posOffset>
            </wp:positionV>
            <wp:extent cx="1440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George Kurtz</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CrowdStrike Holdings, Inc.</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150 Mathilda Place, Suite 300</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Sunnyvale, California 94086</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(888) 512-8906</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134620</wp:posOffset>
            </wp:positionV>
            <wp:extent cx="1440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tbl>
      <w:tblPr>
        <w:tblLayout w:type="fixed"/>
        <w:tblInd w:w="328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b w:val="1"/>
                <w:bCs w:val="1"/>
                <w:color w:val="auto"/>
              </w:rPr>
              <w:t>Copies to:</w:t>
            </w:r>
          </w:p>
        </w:tc>
      </w:tr>
      <w:tr>
        <w:trPr>
          <w:trHeight w:val="377"/>
        </w:trPr>
        <w:tc>
          <w:tcPr>
            <w:tcW w:w="1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Alan F. Denenberg</w:t>
            </w:r>
          </w:p>
        </w:tc>
        <w:tc>
          <w:tcPr>
            <w:tcW w:w="264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rPr>
              <w:t>David J. Segre, Esq.</w:t>
            </w:r>
          </w:p>
        </w:tc>
      </w:tr>
      <w:tr>
        <w:trPr>
          <w:trHeight w:val="162"/>
        </w:trPr>
        <w:tc>
          <w:tcPr>
            <w:tcW w:w="1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Stephen Salmon</w:t>
            </w:r>
          </w:p>
        </w:tc>
        <w:tc>
          <w:tcPr>
            <w:tcW w:w="264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rPr>
              <w:t>Jon C. Avina, Esq.</w:t>
            </w:r>
          </w:p>
        </w:tc>
      </w:tr>
      <w:tr>
        <w:trPr>
          <w:trHeight w:val="162"/>
        </w:trPr>
        <w:tc>
          <w:tcPr>
            <w:tcW w:w="1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Davis Polk &amp; Wardwell LLP</w:t>
            </w:r>
          </w:p>
        </w:tc>
        <w:tc>
          <w:tcPr>
            <w:tcW w:w="264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rPr>
              <w:t>Jonie I. Kondracki, Esq.</w:t>
            </w:r>
          </w:p>
        </w:tc>
      </w:tr>
      <w:tr>
        <w:trPr>
          <w:trHeight w:val="162"/>
        </w:trPr>
        <w:tc>
          <w:tcPr>
            <w:tcW w:w="1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1600 El Camino Real</w:t>
            </w:r>
          </w:p>
        </w:tc>
        <w:tc>
          <w:tcPr>
            <w:tcW w:w="264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1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Menlo Park, California 94025</w:t>
            </w:r>
          </w:p>
        </w:tc>
        <w:tc>
          <w:tcPr>
            <w:tcW w:w="264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rPr>
              <w:t>3175 Hanover Street</w:t>
            </w:r>
          </w:p>
        </w:tc>
      </w:tr>
      <w:tr>
        <w:trPr>
          <w:trHeight w:val="162"/>
        </w:trPr>
        <w:tc>
          <w:tcPr>
            <w:tcW w:w="1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(650) 752-2000</w:t>
            </w:r>
          </w:p>
        </w:tc>
        <w:tc>
          <w:tcPr>
            <w:tcW w:w="2640" w:type="dxa"/>
            <w:vAlign w:val="bottom"/>
            <w:gridSpan w:val="2"/>
          </w:tcPr>
          <w:p>
            <w:pPr>
              <w:jc w:val="center"/>
              <w:ind w:left="768"/>
              <w:spacing w:after="0"/>
              <w:rPr>
                <w:sz w:val="20"/>
                <w:szCs w:val="20"/>
                <w:color w:val="auto"/>
              </w:rPr>
            </w:pPr>
            <w:r>
              <w:rPr>
                <w:rFonts w:ascii="Arial" w:cs="Arial" w:eastAsia="Arial" w:hAnsi="Arial"/>
                <w:sz w:val="14"/>
                <w:szCs w:val="14"/>
                <w:b w:val="1"/>
                <w:bCs w:val="1"/>
                <w:color w:val="auto"/>
              </w:rPr>
              <w:t>Palo Alto, California 94304</w:t>
            </w:r>
          </w:p>
        </w:tc>
      </w:tr>
      <w:tr>
        <w:trPr>
          <w:trHeight w:val="190"/>
        </w:trPr>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4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rPr>
              <w:t>(650) 843-5000</w:t>
            </w:r>
          </w:p>
        </w:tc>
      </w:tr>
      <w:tr>
        <w:trPr>
          <w:trHeight w:val="201"/>
        </w:trPr>
        <w:tc>
          <w:tcPr>
            <w:tcW w:w="1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bl>
    <w:p>
      <w:pPr>
        <w:spacing w:after="0" w:line="200" w:lineRule="exact"/>
        <w:rPr>
          <w:sz w:val="24"/>
          <w:szCs w:val="24"/>
          <w:color w:val="auto"/>
        </w:rPr>
      </w:pPr>
    </w:p>
    <w:p>
      <w:pPr>
        <w:spacing w:after="0" w:line="27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17" w:lineRule="exact"/>
        <w:rPr>
          <w:sz w:val="24"/>
          <w:szCs w:val="24"/>
          <w:color w:val="auto"/>
        </w:rPr>
      </w:pPr>
    </w:p>
    <w:p>
      <w:pPr>
        <w:ind w:right="440" w:firstLine="520"/>
        <w:spacing w:after="0" w:line="258"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check the following box: o</w:t>
      </w:r>
    </w:p>
    <w:p>
      <w:pPr>
        <w:spacing w:after="0" w:line="207" w:lineRule="exact"/>
        <w:rPr>
          <w:sz w:val="24"/>
          <w:szCs w:val="24"/>
          <w:color w:val="auto"/>
        </w:rPr>
      </w:pPr>
    </w:p>
    <w:p>
      <w:pPr>
        <w:ind w:firstLine="520"/>
        <w:spacing w:after="0" w:line="258"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7" w:lineRule="exact"/>
        <w:rPr>
          <w:sz w:val="24"/>
          <w:szCs w:val="24"/>
          <w:color w:val="auto"/>
        </w:rPr>
      </w:pPr>
    </w:p>
    <w:p>
      <w:pPr>
        <w:ind w:right="560" w:firstLine="520"/>
        <w:spacing w:after="0" w:line="258"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ectPr>
          <w:pgSz w:w="11900" w:h="16838" w:orient="portrait"/>
          <w:cols w:equalWidth="0" w:num="1">
            <w:col w:w="11160"/>
          </w:cols>
          <w:pgMar w:left="320" w:top="685" w:right="419" w:bottom="0" w:gutter="0" w:footer="0" w:header="0"/>
        </w:sectPr>
      </w:pPr>
    </w:p>
    <w:bookmarkStart w:id="1" w:name="page2"/>
    <w:bookmarkEnd w:id="1"/>
    <w:p>
      <w:pPr>
        <w:ind w:right="580" w:firstLine="520"/>
        <w:spacing w:after="0" w:line="258"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7" w:lineRule="exact"/>
        <w:rPr>
          <w:sz w:val="20"/>
          <w:szCs w:val="20"/>
          <w:color w:val="auto"/>
        </w:rPr>
      </w:pPr>
    </w:p>
    <w:p>
      <w:pPr>
        <w:ind w:firstLine="5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5" w:lineRule="exact"/>
        <w:rPr>
          <w:sz w:val="20"/>
          <w:szCs w:val="20"/>
          <w:color w:val="auto"/>
        </w:rPr>
      </w:pPr>
    </w:p>
    <w:p>
      <w:pPr>
        <w:jc w:val="right"/>
        <w:ind w:left="240" w:right="240"/>
        <w:spacing w:after="0" w:line="200" w:lineRule="exact"/>
        <w:rPr>
          <w:sz w:val="20"/>
          <w:szCs w:val="20"/>
          <w:color w:val="auto"/>
        </w:rPr>
      </w:pPr>
      <w:r>
        <w:rPr>
          <w:rFonts w:ascii="Arial" w:cs="Arial" w:eastAsia="Arial" w:hAnsi="Arial"/>
          <w:sz w:val="14"/>
          <w:szCs w:val="14"/>
          <w:color w:val="auto"/>
        </w:rPr>
        <w:t xml:space="preserve">Large accelerated filer o                    Accelerated filer o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o 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4" w:lineRule="exact"/>
        <w:rPr>
          <w:sz w:val="20"/>
          <w:szCs w:val="20"/>
          <w:color w:val="auto"/>
        </w:rPr>
      </w:pPr>
    </w:p>
    <w:p>
      <w:pPr>
        <w:ind w:right="300" w:firstLine="52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128905</wp:posOffset>
            </wp:positionV>
            <wp:extent cx="1440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53" w:lineRule="exact"/>
        <w:rPr>
          <w:sz w:val="20"/>
          <w:szCs w:val="20"/>
          <w:color w:val="auto"/>
        </w:rPr>
      </w:pPr>
    </w:p>
    <w:tbl>
      <w:tblPr>
        <w:tblLayout w:type="fixed"/>
        <w:tblInd w:w="1340" w:type="dxa"/>
        <w:tblCellMar>
          <w:top w:w="0" w:type="dxa"/>
          <w:left w:w="0" w:type="dxa"/>
          <w:bottom w:w="0" w:type="dxa"/>
          <w:right w:w="0" w:type="dxa"/>
        </w:tblCellMar>
      </w:tblPr>
      <w:tr>
        <w:trPr>
          <w:trHeight w:val="40"/>
        </w:trPr>
        <w:tc>
          <w:tcPr>
            <w:tcW w:w="4800" w:type="dxa"/>
            <w:vAlign w:val="bottom"/>
            <w:tcBorders>
              <w:top w:val="single" w:sz="8" w:color="auto"/>
              <w:bottom w:val="single" w:sz="8" w:color="auto"/>
            </w:tcBorders>
          </w:tcPr>
          <w:p>
            <w:pPr>
              <w:spacing w:after="0"/>
              <w:rPr>
                <w:sz w:val="3"/>
                <w:szCs w:val="3"/>
                <w:color w:val="auto"/>
              </w:rPr>
            </w:pPr>
          </w:p>
        </w:tc>
        <w:tc>
          <w:tcPr>
            <w:tcW w:w="242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r>
      <w:tr>
        <w:trPr>
          <w:trHeight w:val="129"/>
        </w:trPr>
        <w:tc>
          <w:tcPr>
            <w:tcW w:w="4800" w:type="dxa"/>
            <w:vAlign w:val="bottom"/>
          </w:tcPr>
          <w:p>
            <w:pPr>
              <w:spacing w:after="0"/>
              <w:rPr>
                <w:sz w:val="11"/>
                <w:szCs w:val="11"/>
                <w:color w:val="auto"/>
              </w:rPr>
            </w:pPr>
          </w:p>
        </w:tc>
        <w:tc>
          <w:tcPr>
            <w:tcW w:w="2420" w:type="dxa"/>
            <w:vAlign w:val="bottom"/>
          </w:tcPr>
          <w:p>
            <w:pPr>
              <w:jc w:val="center"/>
              <w:ind w:left="753"/>
              <w:spacing w:after="0" w:line="129" w:lineRule="exact"/>
              <w:rPr>
                <w:sz w:val="20"/>
                <w:szCs w:val="20"/>
                <w:color w:val="auto"/>
              </w:rPr>
            </w:pPr>
            <w:r>
              <w:rPr>
                <w:rFonts w:ascii="Arial" w:cs="Arial" w:eastAsia="Arial" w:hAnsi="Arial"/>
                <w:sz w:val="14"/>
                <w:szCs w:val="14"/>
                <w:b w:val="1"/>
                <w:bCs w:val="1"/>
                <w:color w:val="auto"/>
              </w:rPr>
              <w:t>Proposed Maximum</w:t>
            </w:r>
          </w:p>
        </w:tc>
        <w:tc>
          <w:tcPr>
            <w:tcW w:w="1340" w:type="dxa"/>
            <w:vAlign w:val="bottom"/>
          </w:tcPr>
          <w:p>
            <w:pPr>
              <w:spacing w:after="0"/>
              <w:rPr>
                <w:sz w:val="11"/>
                <w:szCs w:val="11"/>
                <w:color w:val="auto"/>
              </w:rPr>
            </w:pPr>
          </w:p>
        </w:tc>
      </w:tr>
      <w:tr>
        <w:trPr>
          <w:trHeight w:val="175"/>
        </w:trPr>
        <w:tc>
          <w:tcPr>
            <w:tcW w:w="4800" w:type="dxa"/>
            <w:vAlign w:val="bottom"/>
          </w:tcPr>
          <w:p>
            <w:pPr>
              <w:jc w:val="center"/>
              <w:ind w:left="708"/>
              <w:spacing w:after="0"/>
              <w:rPr>
                <w:sz w:val="20"/>
                <w:szCs w:val="20"/>
                <w:color w:val="auto"/>
              </w:rPr>
            </w:pPr>
            <w:r>
              <w:rPr>
                <w:rFonts w:ascii="Arial" w:cs="Arial" w:eastAsia="Arial" w:hAnsi="Arial"/>
                <w:sz w:val="14"/>
                <w:szCs w:val="14"/>
                <w:b w:val="1"/>
                <w:bCs w:val="1"/>
                <w:color w:val="auto"/>
              </w:rPr>
              <w:t>Title of Each Class of Securities</w:t>
            </w:r>
          </w:p>
        </w:tc>
        <w:tc>
          <w:tcPr>
            <w:tcW w:w="2420" w:type="dxa"/>
            <w:vAlign w:val="bottom"/>
          </w:tcPr>
          <w:p>
            <w:pPr>
              <w:jc w:val="center"/>
              <w:ind w:left="753"/>
              <w:spacing w:after="0"/>
              <w:rPr>
                <w:sz w:val="20"/>
                <w:szCs w:val="20"/>
                <w:color w:val="auto"/>
              </w:rPr>
            </w:pPr>
            <w:r>
              <w:rPr>
                <w:rFonts w:ascii="Arial" w:cs="Arial" w:eastAsia="Arial" w:hAnsi="Arial"/>
                <w:sz w:val="14"/>
                <w:szCs w:val="14"/>
                <w:b w:val="1"/>
                <w:bCs w:val="1"/>
                <w:color w:val="auto"/>
              </w:rPr>
              <w:t>Aggregate Offering</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Amount of</w:t>
            </w:r>
          </w:p>
        </w:tc>
      </w:tr>
      <w:tr>
        <w:trPr>
          <w:trHeight w:val="223"/>
        </w:trPr>
        <w:tc>
          <w:tcPr>
            <w:tcW w:w="480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rPr>
              <w:t>to be Registered</w:t>
            </w:r>
          </w:p>
        </w:tc>
        <w:tc>
          <w:tcPr>
            <w:tcW w:w="2420" w:type="dxa"/>
            <w:vAlign w:val="bottom"/>
            <w:tcBorders>
              <w:bottom w:val="single" w:sz="8" w:color="auto"/>
            </w:tcBorders>
          </w:tcPr>
          <w:p>
            <w:pPr>
              <w:jc w:val="center"/>
              <w:ind w:left="733"/>
              <w:spacing w:after="0" w:line="216" w:lineRule="exact"/>
              <w:rPr>
                <w:sz w:val="20"/>
                <w:szCs w:val="20"/>
                <w:color w:val="auto"/>
              </w:rPr>
            </w:pPr>
            <w:r>
              <w:rPr>
                <w:rFonts w:ascii="Arial" w:cs="Arial" w:eastAsia="Arial" w:hAnsi="Arial"/>
                <w:sz w:val="25"/>
                <w:szCs w:val="25"/>
                <w:b w:val="1"/>
                <w:bCs w:val="1"/>
                <w:color w:val="auto"/>
                <w:w w:val="95"/>
                <w:vertAlign w:val="subscript"/>
              </w:rPr>
              <w:t>Price</w:t>
            </w:r>
            <w:r>
              <w:rPr>
                <w:rFonts w:ascii="Arial" w:cs="Arial" w:eastAsia="Arial" w:hAnsi="Arial"/>
                <w:sz w:val="10"/>
                <w:szCs w:val="10"/>
                <w:b w:val="1"/>
                <w:bCs w:val="1"/>
                <w:color w:val="auto"/>
                <w:w w:val="95"/>
              </w:rPr>
              <w:t>(1)(2)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r>
      <w:tr>
        <w:trPr>
          <w:trHeight w:val="183"/>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$0.0005 par value per share</w:t>
            </w:r>
          </w:p>
        </w:tc>
        <w:tc>
          <w:tcPr>
            <w:tcW w:w="2420" w:type="dxa"/>
            <w:vAlign w:val="bottom"/>
            <w:tcBorders>
              <w:bottom w:val="single" w:sz="8" w:color="auto"/>
            </w:tcBorders>
          </w:tcPr>
          <w:p>
            <w:pPr>
              <w:jc w:val="right"/>
              <w:ind w:right="953"/>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spacing w:after="0" w:line="163"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spacing w:after="0" w:line="199" w:lineRule="exact"/>
        <w:rPr>
          <w:sz w:val="20"/>
          <w:szCs w:val="20"/>
          <w:color w:val="auto"/>
        </w:rPr>
      </w:pPr>
    </w:p>
    <w:p>
      <w:pPr>
        <w:ind w:right="160" w:firstLine="520"/>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539115</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8" w:lineRule="exact"/>
        <w:rPr>
          <w:sz w:val="20"/>
          <w:szCs w:val="20"/>
          <w:color w:val="auto"/>
        </w:rPr>
      </w:pPr>
    </w:p>
    <w:tbl>
      <w:tblPr>
        <w:tblLayout w:type="fixed"/>
        <w:tblInd w:w="3580" w:type="dxa"/>
        <w:tblCellMar>
          <w:top w:w="0" w:type="dxa"/>
          <w:left w:w="0" w:type="dxa"/>
          <w:bottom w:w="0" w:type="dxa"/>
          <w:right w:w="0" w:type="dxa"/>
        </w:tblCellMar>
      </w:tblPr>
      <w:tr>
        <w:trPr>
          <w:trHeight w:val="211"/>
        </w:trPr>
        <w:tc>
          <w:tcPr>
            <w:tcW w:w="2920" w:type="dxa"/>
            <w:vAlign w:val="bottom"/>
          </w:tcPr>
          <w:p>
            <w:pPr>
              <w:spacing w:after="0"/>
              <w:rPr>
                <w:sz w:val="20"/>
                <w:szCs w:val="20"/>
                <w:color w:val="auto"/>
              </w:rPr>
            </w:pPr>
            <w:r>
              <w:rPr>
                <w:rFonts w:ascii="Arial" w:cs="Arial" w:eastAsia="Arial" w:hAnsi="Arial"/>
                <w:sz w:val="18"/>
                <w:szCs w:val="18"/>
                <w:color w:val="F1665F"/>
              </w:rPr>
              <w:t>Subject to Completion. Dated</w:t>
            </w:r>
          </w:p>
        </w:tc>
        <w:tc>
          <w:tcPr>
            <w:tcW w:w="1160" w:type="dxa"/>
            <w:vAlign w:val="bottom"/>
          </w:tcPr>
          <w:p>
            <w:pPr>
              <w:jc w:val="right"/>
              <w:spacing w:after="0"/>
              <w:rPr>
                <w:sz w:val="20"/>
                <w:szCs w:val="20"/>
                <w:color w:val="auto"/>
              </w:rPr>
            </w:pPr>
            <w:r>
              <w:rPr>
                <w:rFonts w:ascii="Arial" w:cs="Arial" w:eastAsia="Arial" w:hAnsi="Arial"/>
                <w:sz w:val="18"/>
                <w:szCs w:val="18"/>
                <w:color w:val="F1665F"/>
              </w:rPr>
              <w:t>, 2019.</w:t>
            </w:r>
          </w:p>
        </w:tc>
      </w:tr>
    </w:tbl>
    <w:p>
      <w:pPr>
        <w:spacing w:after="0" w:line="201" w:lineRule="exact"/>
        <w:rPr>
          <w:sz w:val="20"/>
          <w:szCs w:val="20"/>
          <w:color w:val="auto"/>
        </w:rPr>
      </w:pPr>
    </w:p>
    <w:p>
      <w:pPr>
        <w:ind w:left="5980"/>
        <w:spacing w:after="0"/>
        <w:rPr>
          <w:sz w:val="20"/>
          <w:szCs w:val="20"/>
          <w:color w:val="auto"/>
        </w:rPr>
      </w:pPr>
      <w:r>
        <w:rPr>
          <w:rFonts w:ascii="Arial" w:cs="Arial" w:eastAsia="Arial" w:hAnsi="Arial"/>
          <w:sz w:val="24"/>
          <w:szCs w:val="24"/>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CrowdStrike Holdings, Inc.</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144145</wp:posOffset>
            </wp:positionV>
            <wp:extent cx="1508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is the initial public offering of shares of common stock of CrowdStrike Holdings, Inc.</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 to this offering, there has been no public market for shares of our common stock. It is currently estimated that the initial public</w:t>
      </w:r>
    </w:p>
    <w:p>
      <w:pPr>
        <w:spacing w:after="0"/>
        <w:tabs>
          <w:tab w:leader="none" w:pos="3820" w:val="left"/>
          <w:tab w:leader="none" w:pos="4900" w:val="left"/>
        </w:tabs>
        <w:rPr>
          <w:sz w:val="20"/>
          <w:szCs w:val="20"/>
          <w:color w:val="auto"/>
        </w:rPr>
      </w:pPr>
      <w:r>
        <w:rPr>
          <w:rFonts w:ascii="Arial" w:cs="Arial" w:eastAsia="Arial" w:hAnsi="Arial"/>
          <w:sz w:val="18"/>
          <w:szCs w:val="18"/>
          <w:color w:val="auto"/>
        </w:rPr>
        <w:t>offering price per share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left="500"/>
        <w:spacing w:after="0"/>
        <w:tabs>
          <w:tab w:leader="none" w:pos="5680" w:val="left"/>
          <w:tab w:leader="none" w:pos="7860" w:val="left"/>
        </w:tabs>
        <w:rPr>
          <w:sz w:val="20"/>
          <w:szCs w:val="20"/>
          <w:color w:val="auto"/>
        </w:rPr>
      </w:pPr>
      <w:r>
        <w:rPr>
          <w:rFonts w:ascii="Arial" w:cs="Arial" w:eastAsia="Arial" w:hAnsi="Arial"/>
          <w:sz w:val="18"/>
          <w:szCs w:val="18"/>
          <w:color w:val="auto"/>
        </w:rPr>
        <w:t>We intend to apply to list our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right="580" w:firstLine="488"/>
        <w:spacing w:after="0" w:line="239" w:lineRule="auto"/>
        <w:rPr>
          <w:sz w:val="20"/>
          <w:szCs w:val="20"/>
          <w:color w:val="auto"/>
        </w:rPr>
      </w:pPr>
      <w:r>
        <w:rPr>
          <w:rFonts w:ascii="Arial" w:cs="Arial" w:eastAsia="Arial" w:hAnsi="Arial"/>
          <w:sz w:val="18"/>
          <w:szCs w:val="18"/>
          <w:color w:val="auto"/>
        </w:rPr>
        <w:t>We are an "emerging growth company" as defined under the federal securities laws and, as such, may elect to comply with certain reduced public company reporting requirements for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130810</wp:posOffset>
            </wp:positionV>
            <wp:extent cx="1508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See the section titled "Risk Factors" beginning on page 19 to read about factors you should consider before buying shares of our common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132080</wp:posOffset>
            </wp:positionV>
            <wp:extent cx="1508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60" w:firstLine="487"/>
        <w:spacing w:after="0" w:line="327"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87630</wp:posOffset>
            </wp:positionV>
            <wp:extent cx="1508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12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Per Share</w:t>
            </w: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Total</w:t>
            </w:r>
          </w:p>
        </w:tc>
      </w:tr>
      <w:tr>
        <w:trPr>
          <w:trHeight w:val="205"/>
        </w:trPr>
        <w:tc>
          <w:tcPr>
            <w:tcW w:w="67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Initial public offering price</w:t>
            </w:r>
          </w:p>
        </w:tc>
        <w:tc>
          <w:tcPr>
            <w:tcW w:w="980" w:type="dxa"/>
            <w:vAlign w:val="bottom"/>
          </w:tcPr>
          <w:p>
            <w:pPr>
              <w:jc w:val="right"/>
              <w:ind w:right="796"/>
              <w:spacing w:after="0" w:line="205"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8"/>
              <w:spacing w:after="0" w:line="205" w:lineRule="exact"/>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Underwriting discounts</w:t>
            </w:r>
            <w:r>
              <w:rPr>
                <w:rFonts w:ascii="Arial" w:cs="Arial" w:eastAsia="Arial" w:hAnsi="Arial"/>
                <w:sz w:val="28"/>
                <w:szCs w:val="28"/>
                <w:color w:val="auto"/>
                <w:vertAlign w:val="superscript"/>
              </w:rPr>
              <w:t>(1)</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r>
      <w:tr>
        <w:trPr>
          <w:trHeight w:val="211"/>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Proceeds, before expenses, to CrowdStrike Holdings, Inc.</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r>
      <w:tr>
        <w:trPr>
          <w:trHeight w:val="96"/>
        </w:trPr>
        <w:tc>
          <w:tcPr>
            <w:tcW w:w="94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221" w:lineRule="exact"/>
        <w:rPr>
          <w:sz w:val="20"/>
          <w:szCs w:val="20"/>
          <w:color w:val="auto"/>
        </w:rPr>
      </w:pPr>
    </w:p>
    <w:p>
      <w:pPr>
        <w:ind w:left="1680" w:hanging="549"/>
        <w:spacing w:after="0"/>
        <w:tabs>
          <w:tab w:leader="none" w:pos="1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beginning on page 173 for a description of the compensation payable to the underwriters.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2"/>
          </w:tcPr>
          <w:p>
            <w:pPr>
              <w:ind w:left="500"/>
              <w:spacing w:after="0"/>
              <w:rPr>
                <w:sz w:val="20"/>
                <w:szCs w:val="20"/>
                <w:color w:val="auto"/>
              </w:rPr>
            </w:pPr>
            <w:r>
              <w:rPr>
                <w:rFonts w:ascii="Arial" w:cs="Arial" w:eastAsia="Arial" w:hAnsi="Arial"/>
                <w:sz w:val="18"/>
                <w:szCs w:val="18"/>
                <w:color w:val="auto"/>
                <w:w w:val="99"/>
              </w:rPr>
              <w:t>To the extent that the underwriters sell more than</w:t>
            </w:r>
          </w:p>
        </w:tc>
        <w:tc>
          <w:tcPr>
            <w:tcW w:w="6700" w:type="dxa"/>
            <w:vAlign w:val="bottom"/>
            <w:gridSpan w:val="2"/>
          </w:tcPr>
          <w:p>
            <w:pPr>
              <w:ind w:left="740"/>
              <w:spacing w:after="0"/>
              <w:rPr>
                <w:sz w:val="20"/>
                <w:szCs w:val="20"/>
                <w:color w:val="auto"/>
              </w:rPr>
            </w:pPr>
            <w:r>
              <w:rPr>
                <w:rFonts w:ascii="Arial" w:cs="Arial" w:eastAsia="Arial" w:hAnsi="Arial"/>
                <w:sz w:val="18"/>
                <w:szCs w:val="18"/>
                <w:color w:val="auto"/>
                <w:w w:val="97"/>
              </w:rPr>
              <w:t>shares of our common stock, the underwriters have an option to purchase up</w:t>
            </w:r>
          </w:p>
        </w:tc>
      </w:tr>
      <w:tr>
        <w:trPr>
          <w:trHeight w:val="211"/>
        </w:trPr>
        <w:tc>
          <w:tcPr>
            <w:tcW w:w="1640" w:type="dxa"/>
            <w:vAlign w:val="bottom"/>
          </w:tcPr>
          <w:p>
            <w:pPr>
              <w:spacing w:after="0"/>
              <w:rPr>
                <w:sz w:val="20"/>
                <w:szCs w:val="20"/>
                <w:color w:val="auto"/>
              </w:rPr>
            </w:pPr>
            <w:r>
              <w:rPr>
                <w:rFonts w:ascii="Arial" w:cs="Arial" w:eastAsia="Arial" w:hAnsi="Arial"/>
                <w:sz w:val="18"/>
                <w:szCs w:val="18"/>
                <w:color w:val="auto"/>
              </w:rPr>
              <w:t>to an additional</w:t>
            </w:r>
          </w:p>
        </w:tc>
        <w:tc>
          <w:tcPr>
            <w:tcW w:w="9500" w:type="dxa"/>
            <w:vAlign w:val="bottom"/>
            <w:gridSpan w:val="3"/>
          </w:tcPr>
          <w:p>
            <w:pPr>
              <w:ind w:left="440"/>
              <w:spacing w:after="0"/>
              <w:rPr>
                <w:sz w:val="20"/>
                <w:szCs w:val="20"/>
                <w:color w:val="auto"/>
              </w:rPr>
            </w:pPr>
            <w:r>
              <w:rPr>
                <w:rFonts w:ascii="Arial" w:cs="Arial" w:eastAsia="Arial" w:hAnsi="Arial"/>
                <w:sz w:val="18"/>
                <w:szCs w:val="18"/>
                <w:color w:val="auto"/>
              </w:rPr>
              <w:t>shares from us at the initial public offering price, less the underwriting discount.</w:t>
            </w:r>
          </w:p>
        </w:tc>
      </w:tr>
      <w:tr>
        <w:trPr>
          <w:trHeight w:val="204"/>
        </w:trPr>
        <w:tc>
          <w:tcPr>
            <w:tcW w:w="16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4320" w:type="dxa"/>
            <w:vAlign w:val="bottom"/>
          </w:tcPr>
          <w:p>
            <w:pPr>
              <w:spacing w:after="0"/>
              <w:rPr>
                <w:sz w:val="17"/>
                <w:szCs w:val="17"/>
                <w:color w:val="auto"/>
              </w:rPr>
            </w:pPr>
          </w:p>
        </w:tc>
      </w:tr>
    </w:tbl>
    <w:p>
      <w:pPr>
        <w:spacing w:after="0" w:line="200" w:lineRule="exact"/>
        <w:rPr>
          <w:sz w:val="20"/>
          <w:szCs w:val="20"/>
          <w:color w:val="auto"/>
        </w:rPr>
      </w:pPr>
    </w:p>
    <w:p>
      <w:pPr>
        <w:spacing w:after="0" w:line="343" w:lineRule="exact"/>
        <w:rPr>
          <w:sz w:val="20"/>
          <w:szCs w:val="20"/>
          <w:color w:val="auto"/>
        </w:rPr>
      </w:pPr>
    </w:p>
    <w:tbl>
      <w:tblPr>
        <w:tblLayout w:type="fixed"/>
        <w:tblInd w:w="500" w:type="dxa"/>
        <w:tblCellMar>
          <w:top w:w="0" w:type="dxa"/>
          <w:left w:w="0" w:type="dxa"/>
          <w:bottom w:w="0" w:type="dxa"/>
          <w:right w:w="0" w:type="dxa"/>
        </w:tblCellMar>
      </w:tblPr>
      <w:tr>
        <w:trPr>
          <w:trHeight w:val="211"/>
        </w:trPr>
        <w:tc>
          <w:tcPr>
            <w:tcW w:w="9220" w:type="dxa"/>
            <w:vAlign w:val="bottom"/>
            <w:gridSpan w:val="3"/>
          </w:tcPr>
          <w:p>
            <w:pPr>
              <w:spacing w:after="0"/>
              <w:rPr>
                <w:sz w:val="20"/>
                <w:szCs w:val="20"/>
                <w:color w:val="auto"/>
              </w:rPr>
            </w:pPr>
            <w:r>
              <w:rPr>
                <w:rFonts w:ascii="Arial" w:cs="Arial" w:eastAsia="Arial" w:hAnsi="Arial"/>
                <w:sz w:val="18"/>
                <w:szCs w:val="18"/>
                <w:color w:val="auto"/>
              </w:rPr>
              <w:t>The underwriters expect to deliver the shares of our common stock against payment in New York, New York on</w:t>
            </w:r>
          </w:p>
        </w:tc>
        <w:tc>
          <w:tcPr>
            <w:tcW w:w="1160" w:type="dxa"/>
            <w:vAlign w:val="bottom"/>
          </w:tcPr>
          <w:p>
            <w:pPr>
              <w:jc w:val="right"/>
              <w:spacing w:after="0"/>
              <w:rPr>
                <w:sz w:val="20"/>
                <w:szCs w:val="20"/>
                <w:color w:val="auto"/>
              </w:rPr>
            </w:pPr>
            <w:r>
              <w:rPr>
                <w:rFonts w:ascii="Arial" w:cs="Arial" w:eastAsia="Arial" w:hAnsi="Arial"/>
                <w:sz w:val="18"/>
                <w:szCs w:val="18"/>
                <w:color w:val="auto"/>
              </w:rPr>
              <w:t>, 2019.</w:t>
            </w:r>
          </w:p>
        </w:tc>
      </w:tr>
      <w:tr>
        <w:trPr>
          <w:trHeight w:val="204"/>
        </w:trPr>
        <w:tc>
          <w:tcPr>
            <w:tcW w:w="3940" w:type="dxa"/>
            <w:vAlign w:val="bottom"/>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166370</wp:posOffset>
            </wp:positionV>
            <wp:extent cx="1508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ectPr>
          <w:pgSz w:w="11900" w:h="16838" w:orient="portrait"/>
          <w:cols w:equalWidth="0" w:num="1">
            <w:col w:w="11180"/>
          </w:cols>
          <w:pgMar w:left="320" w:top="143" w:right="399" w:bottom="4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20"/>
        <w:spacing w:after="0"/>
        <w:tabs>
          <w:tab w:leader="none" w:pos="678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493"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Page</w:t>
            </w:r>
          </w:p>
        </w:tc>
        <w:tc>
          <w:tcPr>
            <w:tcW w:w="20" w:type="dxa"/>
            <w:vAlign w:val="bottom"/>
          </w:tcPr>
          <w:p>
            <w:pPr>
              <w:spacing w:after="0"/>
              <w:rPr>
                <w:sz w:val="15"/>
                <w:szCs w:val="15"/>
                <w:color w:val="auto"/>
              </w:rPr>
            </w:pPr>
          </w:p>
        </w:tc>
      </w:tr>
      <w:tr>
        <w:trPr>
          <w:trHeight w:val="175"/>
        </w:trPr>
        <w:tc>
          <w:tcPr>
            <w:tcW w:w="1680" w:type="dxa"/>
            <w:vAlign w:val="bottom"/>
            <w:gridSpan w:val="8"/>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Prospectus Summary</w:t>
              </w:r>
            </w:hyperlink>
          </w:p>
        </w:tc>
        <w:tc>
          <w:tcPr>
            <w:tcW w:w="6900" w:type="dxa"/>
            <w:vAlign w:val="bottom"/>
            <w:gridSpan w:val="13"/>
          </w:tcPr>
          <w:p>
            <w:pPr>
              <w:spacing w:after="0"/>
              <w:rPr>
                <w:sz w:val="15"/>
                <w:szCs w:val="15"/>
                <w:color w:val="auto"/>
              </w:rPr>
            </w:pPr>
          </w:p>
        </w:tc>
        <w:tc>
          <w:tcPr>
            <w:tcW w:w="400" w:type="dxa"/>
            <w:vAlign w:val="bottom"/>
            <w:gridSpan w:val="5"/>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83"/>
        </w:trPr>
        <w:tc>
          <w:tcPr>
            <w:tcW w:w="980" w:type="dxa"/>
            <w:vAlign w:val="bottom"/>
            <w:gridSpan w:val="4"/>
          </w:tcPr>
          <w:p>
            <w:pPr>
              <w:spacing w:after="0" w:line="182"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Risk Factors</w:t>
              </w:r>
            </w:hyperlink>
          </w:p>
        </w:tc>
        <w:tc>
          <w:tcPr>
            <w:tcW w:w="700" w:type="dxa"/>
            <w:vAlign w:val="bottom"/>
            <w:gridSpan w:val="4"/>
          </w:tcPr>
          <w:p>
            <w:pPr>
              <w:spacing w:after="0"/>
              <w:rPr>
                <w:sz w:val="15"/>
                <w:szCs w:val="15"/>
                <w:color w:val="auto"/>
              </w:rPr>
            </w:pPr>
          </w:p>
        </w:tc>
        <w:tc>
          <w:tcPr>
            <w:tcW w:w="6900" w:type="dxa"/>
            <w:vAlign w:val="bottom"/>
            <w:gridSpan w:val="13"/>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19</w:t>
              </w:r>
            </w:hyperlink>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83"/>
        </w:trPr>
        <w:tc>
          <w:tcPr>
            <w:tcW w:w="4160" w:type="dxa"/>
            <w:vAlign w:val="bottom"/>
            <w:gridSpan w:val="17"/>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Special Note Regarding Forward-Looking Statements</w:t>
              </w:r>
            </w:hyperlink>
          </w:p>
        </w:tc>
        <w:tc>
          <w:tcPr>
            <w:tcW w:w="4420" w:type="dxa"/>
            <w:vAlign w:val="bottom"/>
            <w:gridSpan w:val="4"/>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58</w:t>
              </w:r>
            </w:hyperlink>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83"/>
        </w:trPr>
        <w:tc>
          <w:tcPr>
            <w:tcW w:w="4160" w:type="dxa"/>
            <w:vAlign w:val="bottom"/>
            <w:gridSpan w:val="17"/>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Market and Industry Data</w:t>
              </w:r>
            </w:hyperlink>
          </w:p>
        </w:tc>
        <w:tc>
          <w:tcPr>
            <w:tcW w:w="4420" w:type="dxa"/>
            <w:vAlign w:val="bottom"/>
            <w:gridSpan w:val="4"/>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60</w:t>
              </w:r>
            </w:hyperlink>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83"/>
        </w:trPr>
        <w:tc>
          <w:tcPr>
            <w:tcW w:w="1300" w:type="dxa"/>
            <w:vAlign w:val="bottom"/>
            <w:gridSpan w:val="7"/>
          </w:tcPr>
          <w:p>
            <w:pPr>
              <w:spacing w:after="0" w:line="182"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Use of Proceeds</w:t>
              </w:r>
            </w:hyperlink>
          </w:p>
        </w:tc>
        <w:tc>
          <w:tcPr>
            <w:tcW w:w="640" w:type="dxa"/>
            <w:vAlign w:val="bottom"/>
            <w:gridSpan w:val="3"/>
          </w:tcPr>
          <w:p>
            <w:pPr>
              <w:spacing w:after="0"/>
              <w:rPr>
                <w:sz w:val="15"/>
                <w:szCs w:val="15"/>
                <w:color w:val="auto"/>
              </w:rPr>
            </w:pPr>
          </w:p>
        </w:tc>
        <w:tc>
          <w:tcPr>
            <w:tcW w:w="6640" w:type="dxa"/>
            <w:vAlign w:val="bottom"/>
            <w:gridSpan w:val="11"/>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61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83"/>
        </w:trPr>
        <w:tc>
          <w:tcPr>
            <w:tcW w:w="1200" w:type="dxa"/>
            <w:vAlign w:val="bottom"/>
            <w:gridSpan w:val="6"/>
          </w:tcPr>
          <w:p>
            <w:pPr>
              <w:spacing w:after="0" w:line="182" w:lineRule="exact"/>
              <w:rPr>
                <w:rFonts w:ascii="Arial" w:cs="Arial" w:eastAsia="Arial" w:hAnsi="Arial"/>
                <w:sz w:val="18"/>
                <w:szCs w:val="18"/>
                <w:color w:val="0000EE"/>
                <w:w w:val="95"/>
              </w:rPr>
            </w:pPr>
            <w:hyperlink w:anchor="page66">
              <w:r>
                <w:rPr>
                  <w:rFonts w:ascii="Arial" w:cs="Arial" w:eastAsia="Arial" w:hAnsi="Arial"/>
                  <w:sz w:val="18"/>
                  <w:szCs w:val="18"/>
                  <w:color w:val="0000EE"/>
                  <w:w w:val="95"/>
                </w:rPr>
                <w:t>Dividend Policy</w:t>
              </w:r>
            </w:hyperlink>
          </w:p>
        </w:tc>
        <w:tc>
          <w:tcPr>
            <w:tcW w:w="100" w:type="dxa"/>
            <w:vAlign w:val="bottom"/>
          </w:tcPr>
          <w:p>
            <w:pPr>
              <w:spacing w:after="0"/>
              <w:rPr>
                <w:sz w:val="15"/>
                <w:szCs w:val="15"/>
                <w:color w:val="auto"/>
              </w:rPr>
            </w:pPr>
          </w:p>
        </w:tc>
        <w:tc>
          <w:tcPr>
            <w:tcW w:w="7280" w:type="dxa"/>
            <w:vAlign w:val="bottom"/>
            <w:gridSpan w:val="14"/>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83"/>
        </w:trPr>
        <w:tc>
          <w:tcPr>
            <w:tcW w:w="1200" w:type="dxa"/>
            <w:vAlign w:val="bottom"/>
            <w:gridSpan w:val="6"/>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Capitalization</w:t>
              </w:r>
            </w:hyperlink>
          </w:p>
        </w:tc>
        <w:tc>
          <w:tcPr>
            <w:tcW w:w="7380" w:type="dxa"/>
            <w:vAlign w:val="bottom"/>
            <w:gridSpan w:val="15"/>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83"/>
        </w:trPr>
        <w:tc>
          <w:tcPr>
            <w:tcW w:w="980" w:type="dxa"/>
            <w:vAlign w:val="bottom"/>
            <w:gridSpan w:val="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Dilution</w:t>
              </w:r>
            </w:hyperlink>
          </w:p>
        </w:tc>
        <w:tc>
          <w:tcPr>
            <w:tcW w:w="7600" w:type="dxa"/>
            <w:vAlign w:val="bottom"/>
            <w:gridSpan w:val="17"/>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83"/>
        </w:trPr>
        <w:tc>
          <w:tcPr>
            <w:tcW w:w="3760" w:type="dxa"/>
            <w:vAlign w:val="bottom"/>
            <w:gridSpan w:val="16"/>
          </w:tcPr>
          <w:p>
            <w:pPr>
              <w:spacing w:after="0" w:line="182"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Selected Consolidated Financial and Other Data</w:t>
              </w:r>
            </w:hyperlink>
          </w:p>
        </w:tc>
        <w:tc>
          <w:tcPr>
            <w:tcW w:w="4820" w:type="dxa"/>
            <w:vAlign w:val="bottom"/>
            <w:gridSpan w:val="5"/>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69</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83"/>
        </w:trPr>
        <w:tc>
          <w:tcPr>
            <w:tcW w:w="6900" w:type="dxa"/>
            <w:vAlign w:val="bottom"/>
            <w:gridSpan w:val="19"/>
          </w:tcPr>
          <w:p>
            <w:pPr>
              <w:spacing w:after="0" w:line="182"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Management's Discussion and Analysis of Financial Condition and Results of Operations</w:t>
              </w:r>
            </w:hyperlink>
          </w:p>
        </w:tc>
        <w:tc>
          <w:tcPr>
            <w:tcW w:w="1680" w:type="dxa"/>
            <w:vAlign w:val="bottom"/>
            <w:gridSpan w:val="2"/>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73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83"/>
        </w:trPr>
        <w:tc>
          <w:tcPr>
            <w:tcW w:w="6900" w:type="dxa"/>
            <w:vAlign w:val="bottom"/>
            <w:gridSpan w:val="19"/>
          </w:tcPr>
          <w:p>
            <w:pPr>
              <w:spacing w:after="0" w:line="182" w:lineRule="exact"/>
              <w:rPr>
                <w:rFonts w:ascii="Arial" w:cs="Arial" w:eastAsia="Arial" w:hAnsi="Arial"/>
                <w:sz w:val="18"/>
                <w:szCs w:val="18"/>
                <w:color w:val="0000EE"/>
              </w:rPr>
            </w:pPr>
            <w:hyperlink w:anchor="page112">
              <w:r>
                <w:rPr>
                  <w:rFonts w:ascii="Arial" w:cs="Arial" w:eastAsia="Arial" w:hAnsi="Arial"/>
                  <w:sz w:val="18"/>
                  <w:szCs w:val="18"/>
                  <w:color w:val="0000EE"/>
                </w:rPr>
                <w:t>Business</w:t>
              </w:r>
            </w:hyperlink>
          </w:p>
        </w:tc>
        <w:tc>
          <w:tcPr>
            <w:tcW w:w="1680" w:type="dxa"/>
            <w:vAlign w:val="bottom"/>
            <w:gridSpan w:val="2"/>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112">
              <w:r>
                <w:rPr>
                  <w:rFonts w:ascii="Arial" w:cs="Arial" w:eastAsia="Arial" w:hAnsi="Arial"/>
                  <w:sz w:val="18"/>
                  <w:szCs w:val="18"/>
                  <w:color w:val="0000EE"/>
                </w:rPr>
                <w:t>108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980" w:type="dxa"/>
            <w:vAlign w:val="bottom"/>
            <w:gridSpan w:val="4"/>
          </w:tcPr>
          <w:p>
            <w:pPr>
              <w:spacing w:after="0" w:line="182" w:lineRule="exact"/>
              <w:rPr>
                <w:rFonts w:ascii="Arial" w:cs="Arial" w:eastAsia="Arial" w:hAnsi="Arial"/>
                <w:sz w:val="18"/>
                <w:szCs w:val="18"/>
                <w:color w:val="0000EE"/>
                <w:w w:val="89"/>
              </w:rPr>
            </w:pPr>
            <w:hyperlink w:anchor="page133">
              <w:r>
                <w:rPr>
                  <w:rFonts w:ascii="Arial" w:cs="Arial" w:eastAsia="Arial" w:hAnsi="Arial"/>
                  <w:sz w:val="18"/>
                  <w:szCs w:val="18"/>
                  <w:color w:val="0000EE"/>
                  <w:w w:val="89"/>
                </w:rPr>
                <w:t>Management</w:t>
              </w:r>
            </w:hyperlink>
          </w:p>
        </w:tc>
        <w:tc>
          <w:tcPr>
            <w:tcW w:w="7600" w:type="dxa"/>
            <w:vAlign w:val="bottom"/>
            <w:gridSpan w:val="17"/>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129</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1940" w:type="dxa"/>
            <w:vAlign w:val="bottom"/>
            <w:gridSpan w:val="10"/>
          </w:tcPr>
          <w:p>
            <w:pPr>
              <w:spacing w:after="0" w:line="182" w:lineRule="exact"/>
              <w:rPr>
                <w:rFonts w:ascii="Arial" w:cs="Arial" w:eastAsia="Arial" w:hAnsi="Arial"/>
                <w:sz w:val="18"/>
                <w:szCs w:val="18"/>
                <w:color w:val="0000EE"/>
                <w:w w:val="95"/>
              </w:rPr>
            </w:pPr>
            <w:hyperlink w:anchor="page143">
              <w:r>
                <w:rPr>
                  <w:rFonts w:ascii="Arial" w:cs="Arial" w:eastAsia="Arial" w:hAnsi="Arial"/>
                  <w:sz w:val="18"/>
                  <w:szCs w:val="18"/>
                  <w:color w:val="0000EE"/>
                  <w:w w:val="95"/>
                </w:rPr>
                <w:t>Executive Compensation</w:t>
              </w:r>
            </w:hyperlink>
          </w:p>
        </w:tc>
        <w:tc>
          <w:tcPr>
            <w:tcW w:w="6640" w:type="dxa"/>
            <w:vAlign w:val="bottom"/>
            <w:gridSpan w:val="11"/>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143">
              <w:r>
                <w:rPr>
                  <w:rFonts w:ascii="Arial" w:cs="Arial" w:eastAsia="Arial" w:hAnsi="Arial"/>
                  <w:sz w:val="18"/>
                  <w:szCs w:val="18"/>
                  <w:color w:val="0000EE"/>
                </w:rPr>
                <w:t>139</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8580" w:type="dxa"/>
            <w:vAlign w:val="bottom"/>
            <w:gridSpan w:val="21"/>
          </w:tcPr>
          <w:p>
            <w:pPr>
              <w:spacing w:after="0" w:line="182" w:lineRule="exact"/>
              <w:rPr>
                <w:rFonts w:ascii="Arial" w:cs="Arial" w:eastAsia="Arial" w:hAnsi="Arial"/>
                <w:sz w:val="18"/>
                <w:szCs w:val="18"/>
                <w:color w:val="0000EE"/>
              </w:rPr>
            </w:pPr>
            <w:hyperlink w:anchor="page155">
              <w:r>
                <w:rPr>
                  <w:rFonts w:ascii="Arial" w:cs="Arial" w:eastAsia="Arial" w:hAnsi="Arial"/>
                  <w:sz w:val="18"/>
                  <w:szCs w:val="18"/>
                  <w:color w:val="0000EE"/>
                </w:rPr>
                <w:t>Certain Relationships and Related Party Transactions</w:t>
              </w:r>
            </w:hyperlink>
          </w:p>
        </w:tc>
        <w:tc>
          <w:tcPr>
            <w:tcW w:w="400" w:type="dxa"/>
            <w:vAlign w:val="bottom"/>
            <w:gridSpan w:val="5"/>
          </w:tcPr>
          <w:p>
            <w:pPr>
              <w:jc w:val="right"/>
              <w:spacing w:after="0" w:line="182" w:lineRule="exact"/>
              <w:rPr>
                <w:rFonts w:ascii="Arial" w:cs="Arial" w:eastAsia="Arial" w:hAnsi="Arial"/>
                <w:sz w:val="18"/>
                <w:szCs w:val="18"/>
                <w:color w:val="0000EE"/>
              </w:rPr>
            </w:pPr>
            <w:hyperlink w:anchor="page155">
              <w:r>
                <w:rPr>
                  <w:rFonts w:ascii="Arial" w:cs="Arial" w:eastAsia="Arial" w:hAnsi="Arial"/>
                  <w:sz w:val="18"/>
                  <w:szCs w:val="18"/>
                  <w:color w:val="0000EE"/>
                </w:rPr>
                <w:t>151</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1740" w:type="dxa"/>
            <w:vAlign w:val="bottom"/>
            <w:gridSpan w:val="9"/>
          </w:tcPr>
          <w:p>
            <w:pPr>
              <w:spacing w:after="0" w:line="182" w:lineRule="exact"/>
              <w:rPr>
                <w:rFonts w:ascii="Arial" w:cs="Arial" w:eastAsia="Arial" w:hAnsi="Arial"/>
                <w:sz w:val="18"/>
                <w:szCs w:val="18"/>
                <w:color w:val="0000EE"/>
                <w:w w:val="96"/>
              </w:rPr>
            </w:pPr>
            <w:hyperlink w:anchor="page161">
              <w:r>
                <w:rPr>
                  <w:rFonts w:ascii="Arial" w:cs="Arial" w:eastAsia="Arial" w:hAnsi="Arial"/>
                  <w:sz w:val="18"/>
                  <w:szCs w:val="18"/>
                  <w:color w:val="0000EE"/>
                  <w:w w:val="96"/>
                </w:rPr>
                <w:t>Principal Stockholders</w:t>
              </w:r>
            </w:hyperlink>
          </w:p>
        </w:tc>
        <w:tc>
          <w:tcPr>
            <w:tcW w:w="2420" w:type="dxa"/>
            <w:vAlign w:val="bottom"/>
            <w:gridSpan w:val="8"/>
          </w:tcPr>
          <w:p>
            <w:pPr>
              <w:spacing w:after="0"/>
              <w:rPr>
                <w:sz w:val="15"/>
                <w:szCs w:val="15"/>
                <w:color w:val="auto"/>
              </w:rPr>
            </w:pPr>
          </w:p>
        </w:tc>
        <w:tc>
          <w:tcPr>
            <w:tcW w:w="4420" w:type="dxa"/>
            <w:vAlign w:val="bottom"/>
            <w:gridSpan w:val="4"/>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161">
              <w:r>
                <w:rPr>
                  <w:rFonts w:ascii="Arial" w:cs="Arial" w:eastAsia="Arial" w:hAnsi="Arial"/>
                  <w:sz w:val="18"/>
                  <w:szCs w:val="18"/>
                  <w:color w:val="0000EE"/>
                </w:rPr>
                <w:t>157</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2160" w:type="dxa"/>
            <w:vAlign w:val="bottom"/>
            <w:gridSpan w:val="11"/>
          </w:tcPr>
          <w:p>
            <w:pPr>
              <w:spacing w:after="0" w:line="182" w:lineRule="exact"/>
              <w:rPr>
                <w:rFonts w:ascii="Arial" w:cs="Arial" w:eastAsia="Arial" w:hAnsi="Arial"/>
                <w:sz w:val="18"/>
                <w:szCs w:val="18"/>
                <w:color w:val="0000EE"/>
                <w:w w:val="96"/>
              </w:rPr>
            </w:pPr>
            <w:hyperlink w:anchor="page164">
              <w:r>
                <w:rPr>
                  <w:rFonts w:ascii="Arial" w:cs="Arial" w:eastAsia="Arial" w:hAnsi="Arial"/>
                  <w:sz w:val="18"/>
                  <w:szCs w:val="18"/>
                  <w:color w:val="0000EE"/>
                  <w:w w:val="96"/>
                </w:rPr>
                <w:t>Description of Capital Stock</w:t>
              </w:r>
            </w:hyperlink>
          </w:p>
        </w:tc>
        <w:tc>
          <w:tcPr>
            <w:tcW w:w="6420" w:type="dxa"/>
            <w:vAlign w:val="bottom"/>
            <w:gridSpan w:val="10"/>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164">
              <w:r>
                <w:rPr>
                  <w:rFonts w:ascii="Arial" w:cs="Arial" w:eastAsia="Arial" w:hAnsi="Arial"/>
                  <w:sz w:val="18"/>
                  <w:szCs w:val="18"/>
                  <w:color w:val="0000EE"/>
                </w:rPr>
                <w:t>160</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2380" w:type="dxa"/>
            <w:vAlign w:val="bottom"/>
            <w:gridSpan w:val="12"/>
          </w:tcPr>
          <w:p>
            <w:pPr>
              <w:spacing w:after="0" w:line="182" w:lineRule="exact"/>
              <w:rPr>
                <w:rFonts w:ascii="Arial" w:cs="Arial" w:eastAsia="Arial" w:hAnsi="Arial"/>
                <w:sz w:val="18"/>
                <w:szCs w:val="18"/>
                <w:color w:val="0000EE"/>
                <w:w w:val="96"/>
              </w:rPr>
            </w:pPr>
            <w:hyperlink w:anchor="page170">
              <w:r>
                <w:rPr>
                  <w:rFonts w:ascii="Arial" w:cs="Arial" w:eastAsia="Arial" w:hAnsi="Arial"/>
                  <w:sz w:val="18"/>
                  <w:szCs w:val="18"/>
                  <w:color w:val="0000EE"/>
                  <w:w w:val="96"/>
                </w:rPr>
                <w:t>Shares Eligible for Future Sale</w:t>
              </w:r>
            </w:hyperlink>
          </w:p>
        </w:tc>
        <w:tc>
          <w:tcPr>
            <w:tcW w:w="6200" w:type="dxa"/>
            <w:vAlign w:val="bottom"/>
            <w:gridSpan w:val="9"/>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166</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8580" w:type="dxa"/>
            <w:vAlign w:val="bottom"/>
            <w:gridSpan w:val="21"/>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Material U.S. Federal Income Tax Consequences to Non-U.S. Holders of Our Common Stock</w:t>
              </w:r>
            </w:hyperlink>
          </w:p>
        </w:tc>
        <w:tc>
          <w:tcPr>
            <w:tcW w:w="400" w:type="dxa"/>
            <w:vAlign w:val="bottom"/>
            <w:gridSpan w:val="5"/>
          </w:tcPr>
          <w:p>
            <w:pPr>
              <w:jc w:val="right"/>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169</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40" w:type="dxa"/>
            <w:vAlign w:val="bottom"/>
            <w:gridSpan w:val="5"/>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980" w:type="dxa"/>
            <w:vAlign w:val="bottom"/>
            <w:gridSpan w:val="4"/>
          </w:tcPr>
          <w:p>
            <w:pPr>
              <w:spacing w:after="0" w:line="182" w:lineRule="exact"/>
              <w:rPr>
                <w:rFonts w:ascii="Arial" w:cs="Arial" w:eastAsia="Arial" w:hAnsi="Arial"/>
                <w:sz w:val="18"/>
                <w:szCs w:val="18"/>
                <w:color w:val="0000EE"/>
                <w:w w:val="93"/>
              </w:rPr>
            </w:pPr>
            <w:hyperlink w:anchor="page177">
              <w:r>
                <w:rPr>
                  <w:rFonts w:ascii="Arial" w:cs="Arial" w:eastAsia="Arial" w:hAnsi="Arial"/>
                  <w:sz w:val="18"/>
                  <w:szCs w:val="18"/>
                  <w:color w:val="0000EE"/>
                  <w:w w:val="93"/>
                </w:rPr>
                <w:t>Underwriting</w:t>
              </w:r>
            </w:hyperlink>
          </w:p>
        </w:tc>
        <w:tc>
          <w:tcPr>
            <w:tcW w:w="6240" w:type="dxa"/>
            <w:vAlign w:val="bottom"/>
            <w:gridSpan w:val="16"/>
          </w:tcPr>
          <w:p>
            <w:pPr>
              <w:spacing w:after="0"/>
              <w:rPr>
                <w:sz w:val="15"/>
                <w:szCs w:val="15"/>
                <w:color w:val="auto"/>
              </w:rPr>
            </w:pPr>
          </w:p>
        </w:tc>
        <w:tc>
          <w:tcPr>
            <w:tcW w:w="1360" w:type="dxa"/>
            <w:vAlign w:val="bottom"/>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177">
              <w:r>
                <w:rPr>
                  <w:rFonts w:ascii="Arial" w:cs="Arial" w:eastAsia="Arial" w:hAnsi="Arial"/>
                  <w:sz w:val="18"/>
                  <w:szCs w:val="18"/>
                  <w:color w:val="0000EE"/>
                </w:rPr>
                <w:t>173</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1060" w:type="dxa"/>
            <w:vAlign w:val="bottom"/>
            <w:gridSpan w:val="5"/>
          </w:tcPr>
          <w:p>
            <w:pPr>
              <w:spacing w:after="0" w:line="182" w:lineRule="exact"/>
              <w:rPr>
                <w:rFonts w:ascii="Arial" w:cs="Arial" w:eastAsia="Arial" w:hAnsi="Arial"/>
                <w:sz w:val="18"/>
                <w:szCs w:val="18"/>
                <w:color w:val="0000EE"/>
                <w:w w:val="95"/>
              </w:rPr>
            </w:pPr>
            <w:hyperlink w:anchor="page182">
              <w:r>
                <w:rPr>
                  <w:rFonts w:ascii="Arial" w:cs="Arial" w:eastAsia="Arial" w:hAnsi="Arial"/>
                  <w:sz w:val="18"/>
                  <w:szCs w:val="18"/>
                  <w:color w:val="0000EE"/>
                  <w:w w:val="95"/>
                </w:rPr>
                <w:t>Legal Matters</w:t>
              </w:r>
            </w:hyperlink>
          </w:p>
        </w:tc>
        <w:tc>
          <w:tcPr>
            <w:tcW w:w="7520" w:type="dxa"/>
            <w:vAlign w:val="bottom"/>
            <w:gridSpan w:val="16"/>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182">
              <w:r>
                <w:rPr>
                  <w:rFonts w:ascii="Arial" w:cs="Arial" w:eastAsia="Arial" w:hAnsi="Arial"/>
                  <w:sz w:val="18"/>
                  <w:szCs w:val="18"/>
                  <w:color w:val="0000EE"/>
                </w:rPr>
                <w:t>178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600" w:type="dxa"/>
            <w:vAlign w:val="bottom"/>
            <w:gridSpan w:val="2"/>
          </w:tcPr>
          <w:p>
            <w:pPr>
              <w:spacing w:after="0" w:line="182" w:lineRule="exact"/>
              <w:rPr>
                <w:rFonts w:ascii="Arial" w:cs="Arial" w:eastAsia="Arial" w:hAnsi="Arial"/>
                <w:sz w:val="18"/>
                <w:szCs w:val="18"/>
                <w:color w:val="0000EE"/>
                <w:w w:val="94"/>
              </w:rPr>
            </w:pPr>
            <w:hyperlink w:anchor="page182">
              <w:r>
                <w:rPr>
                  <w:rFonts w:ascii="Arial" w:cs="Arial" w:eastAsia="Arial" w:hAnsi="Arial"/>
                  <w:sz w:val="18"/>
                  <w:szCs w:val="18"/>
                  <w:color w:val="0000EE"/>
                  <w:w w:val="94"/>
                </w:rPr>
                <w:t>Experts</w:t>
              </w:r>
            </w:hyperlink>
          </w:p>
        </w:tc>
        <w:tc>
          <w:tcPr>
            <w:tcW w:w="460" w:type="dxa"/>
            <w:vAlign w:val="bottom"/>
            <w:gridSpan w:val="3"/>
          </w:tcPr>
          <w:p>
            <w:pPr>
              <w:spacing w:after="0"/>
              <w:rPr>
                <w:sz w:val="15"/>
                <w:szCs w:val="15"/>
                <w:color w:val="auto"/>
              </w:rPr>
            </w:pPr>
          </w:p>
        </w:tc>
        <w:tc>
          <w:tcPr>
            <w:tcW w:w="7520" w:type="dxa"/>
            <w:vAlign w:val="bottom"/>
            <w:gridSpan w:val="16"/>
          </w:tcPr>
          <w:p>
            <w:pPr>
              <w:spacing w:after="0"/>
              <w:rPr>
                <w:sz w:val="15"/>
                <w:szCs w:val="15"/>
                <w:color w:val="auto"/>
              </w:rPr>
            </w:pPr>
          </w:p>
        </w:tc>
        <w:tc>
          <w:tcPr>
            <w:tcW w:w="400" w:type="dxa"/>
            <w:vAlign w:val="bottom"/>
            <w:gridSpan w:val="5"/>
          </w:tcPr>
          <w:p>
            <w:pPr>
              <w:jc w:val="right"/>
              <w:spacing w:after="0" w:line="182" w:lineRule="exact"/>
              <w:rPr>
                <w:rFonts w:ascii="Arial" w:cs="Arial" w:eastAsia="Arial" w:hAnsi="Arial"/>
                <w:sz w:val="18"/>
                <w:szCs w:val="18"/>
                <w:color w:val="0000EE"/>
              </w:rPr>
            </w:pPr>
            <w:hyperlink w:anchor="page182">
              <w:r>
                <w:rPr>
                  <w:rFonts w:ascii="Arial" w:cs="Arial" w:eastAsia="Arial" w:hAnsi="Arial"/>
                  <w:sz w:val="18"/>
                  <w:szCs w:val="18"/>
                  <w:color w:val="0000EE"/>
                </w:rPr>
                <w:t>178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7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8580" w:type="dxa"/>
            <w:vAlign w:val="bottom"/>
            <w:gridSpan w:val="21"/>
          </w:tcPr>
          <w:p>
            <w:pPr>
              <w:spacing w:after="0" w:line="182" w:lineRule="exact"/>
              <w:rPr>
                <w:rFonts w:ascii="Arial" w:cs="Arial" w:eastAsia="Arial" w:hAnsi="Arial"/>
                <w:sz w:val="18"/>
                <w:szCs w:val="18"/>
                <w:color w:val="0000EE"/>
              </w:rPr>
            </w:pPr>
            <w:hyperlink w:anchor="page182">
              <w:r>
                <w:rPr>
                  <w:rFonts w:ascii="Arial" w:cs="Arial" w:eastAsia="Arial" w:hAnsi="Arial"/>
                  <w:sz w:val="18"/>
                  <w:szCs w:val="18"/>
                  <w:color w:val="0000EE"/>
                </w:rPr>
                <w:t>Where You Can Find Additional Information</w:t>
              </w:r>
            </w:hyperlink>
          </w:p>
        </w:tc>
        <w:tc>
          <w:tcPr>
            <w:tcW w:w="400" w:type="dxa"/>
            <w:vAlign w:val="bottom"/>
            <w:gridSpan w:val="5"/>
          </w:tcPr>
          <w:p>
            <w:pPr>
              <w:jc w:val="right"/>
              <w:spacing w:after="0" w:line="182" w:lineRule="exact"/>
              <w:rPr>
                <w:rFonts w:ascii="Arial" w:cs="Arial" w:eastAsia="Arial" w:hAnsi="Arial"/>
                <w:sz w:val="18"/>
                <w:szCs w:val="18"/>
                <w:color w:val="0000EE"/>
              </w:rPr>
            </w:pPr>
            <w:hyperlink w:anchor="page182">
              <w:r>
                <w:rPr>
                  <w:rFonts w:ascii="Arial" w:cs="Arial" w:eastAsia="Arial" w:hAnsi="Arial"/>
                  <w:sz w:val="18"/>
                  <w:szCs w:val="18"/>
                  <w:color w:val="0000EE"/>
                </w:rPr>
                <w:t>178</w:t>
              </w:r>
            </w:hyperlink>
          </w:p>
        </w:tc>
      </w:tr>
      <w:tr>
        <w:trPr>
          <w:trHeight w:val="20"/>
        </w:trPr>
        <w:tc>
          <w:tcPr>
            <w:tcW w:w="336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183"/>
        </w:trPr>
        <w:tc>
          <w:tcPr>
            <w:tcW w:w="8580" w:type="dxa"/>
            <w:vAlign w:val="bottom"/>
            <w:gridSpan w:val="21"/>
          </w:tcPr>
          <w:p>
            <w:pPr>
              <w:spacing w:after="0" w:line="182" w:lineRule="exact"/>
              <w:rPr>
                <w:rFonts w:ascii="Arial" w:cs="Arial" w:eastAsia="Arial" w:hAnsi="Arial"/>
                <w:sz w:val="18"/>
                <w:szCs w:val="18"/>
                <w:color w:val="0000EE"/>
              </w:rPr>
            </w:pPr>
            <w:hyperlink w:anchor="page183">
              <w:r>
                <w:rPr>
                  <w:rFonts w:ascii="Arial" w:cs="Arial" w:eastAsia="Arial" w:hAnsi="Arial"/>
                  <w:sz w:val="18"/>
                  <w:szCs w:val="18"/>
                  <w:color w:val="0000EE"/>
                </w:rPr>
                <w:t>Index to Consolidated Financial Statements</w:t>
              </w:r>
            </w:hyperlink>
          </w:p>
        </w:tc>
        <w:tc>
          <w:tcPr>
            <w:tcW w:w="120" w:type="dxa"/>
            <w:vAlign w:val="bottom"/>
          </w:tcPr>
          <w:p>
            <w:pPr>
              <w:spacing w:after="0"/>
              <w:rPr>
                <w:sz w:val="15"/>
                <w:szCs w:val="15"/>
                <w:color w:val="auto"/>
              </w:rPr>
            </w:pPr>
          </w:p>
        </w:tc>
        <w:tc>
          <w:tcPr>
            <w:tcW w:w="280" w:type="dxa"/>
            <w:vAlign w:val="bottom"/>
            <w:gridSpan w:val="4"/>
          </w:tcPr>
          <w:p>
            <w:pPr>
              <w:jc w:val="right"/>
              <w:spacing w:after="0" w:line="182" w:lineRule="exact"/>
              <w:rPr>
                <w:rFonts w:ascii="Arial" w:cs="Arial" w:eastAsia="Arial" w:hAnsi="Arial"/>
                <w:sz w:val="18"/>
                <w:szCs w:val="18"/>
                <w:color w:val="0000EE"/>
                <w:w w:val="96"/>
              </w:rPr>
            </w:pPr>
            <w:hyperlink w:anchor="page183">
              <w:r>
                <w:rPr>
                  <w:rFonts w:ascii="Arial" w:cs="Arial" w:eastAsia="Arial" w:hAnsi="Arial"/>
                  <w:sz w:val="18"/>
                  <w:szCs w:val="18"/>
                  <w:color w:val="0000EE"/>
                  <w:w w:val="96"/>
                </w:rPr>
                <w:t>F-1</w:t>
              </w:r>
            </w:hyperlink>
          </w:p>
        </w:tc>
      </w:tr>
      <w:tr>
        <w:trPr>
          <w:trHeight w:val="223"/>
        </w:trPr>
        <w:tc>
          <w:tcPr>
            <w:tcW w:w="5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920" w:type="dxa"/>
            <w:vAlign w:val="bottom"/>
            <w:tcBorders>
              <w:top w:val="single" w:sz="8" w:color="0000EE"/>
            </w:tcBorders>
          </w:tcPr>
          <w:p>
            <w:pPr>
              <w:spacing w:after="0"/>
              <w:rPr>
                <w:sz w:val="19"/>
                <w:szCs w:val="19"/>
                <w:color w:val="auto"/>
              </w:rPr>
            </w:pPr>
          </w:p>
        </w:tc>
        <w:tc>
          <w:tcPr>
            <w:tcW w:w="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r>
    </w:tbl>
    <w:p>
      <w:pPr>
        <w:spacing w:after="0" w:line="200" w:lineRule="exact"/>
        <w:rPr>
          <w:sz w:val="20"/>
          <w:szCs w:val="20"/>
          <w:color w:val="auto"/>
        </w:rPr>
      </w:pPr>
    </w:p>
    <w:p>
      <w:pPr>
        <w:spacing w:after="0" w:line="321" w:lineRule="exact"/>
        <w:rPr>
          <w:sz w:val="20"/>
          <w:szCs w:val="20"/>
          <w:color w:val="auto"/>
        </w:rPr>
      </w:pPr>
    </w:p>
    <w:p>
      <w:pPr>
        <w:jc w:val="both"/>
        <w:ind w:right="60" w:firstLine="487"/>
        <w:spacing w:after="0" w:line="249" w:lineRule="auto"/>
        <w:rPr>
          <w:sz w:val="20"/>
          <w:szCs w:val="20"/>
          <w:color w:val="auto"/>
        </w:rPr>
      </w:pPr>
      <w:r>
        <w:rPr>
          <w:rFonts w:ascii="Arial" w:cs="Arial" w:eastAsia="Arial" w:hAnsi="Arial"/>
          <w:sz w:val="18"/>
          <w:szCs w:val="18"/>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125730</wp:posOffset>
            </wp:positionV>
            <wp:extent cx="1508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Neither we nor any of the underwriters have authorized anyone to provide you with any information or to make any representations other than those contained in this prospectus or in any free writing prospectus we have prepared and filed with the SEC. We and the underwriters take no responsibility for, and can provide no assurance as to the reliability of, any other information that others may give you. This prospectus is an offer to sell only the shares offered hereby, but only under the circumstances and in jurisdictions where it is lawful to do so. The information contained in this prospectus is current only as of its date, regardless of the time of delivery of this prospectus or of any sale of our common stock.</w:t>
      </w:r>
    </w:p>
    <w:p>
      <w:pPr>
        <w:spacing w:after="0" w:line="210"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For investors outside of the United States: Neither we nor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136130" cy="6296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29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240" w:right="60" w:firstLine="487"/>
        <w:spacing w:after="0" w:line="272" w:lineRule="auto"/>
        <w:rPr>
          <w:sz w:val="20"/>
          <w:szCs w:val="20"/>
          <w:color w:val="auto"/>
        </w:rPr>
      </w:pPr>
      <w:r>
        <w:rPr>
          <w:rFonts w:ascii="Arial" w:cs="Arial" w:eastAsia="Arial" w:hAnsi="Arial"/>
          <w:sz w:val="16"/>
          <w:szCs w:val="16"/>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"Selected Consolidated Financial and Other Data," "Management's Discussion and Analysis of Financial Condition and Results of Operations," and "Business" and our consolidated financial statements and the related notes included elsewhere in this prospectus, before making an investment decision. Unless the context otherwise requires, the terms "CrowdStrike" "the company," "we," "us," and "our" in this prospectus refer to CrowdStrike Holdings, Inc. and its consolidated subsidiaries. Our fiscal year end is January 31, and our fiscal quarters end on April 30, July 31, October 31, and January 31. Our fiscal years ended January 31, 2017, January 31, 2018, and January 31, 2019 are referred to herein as fiscal 2017, fiscal 2018, and fiscal 2019, respectively.</w:t>
      </w: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CROWDSTRIKE HOLDINGS, INC.</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Mission</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don't have a mission statement—we are on a mission to protect our customers from breaches.</w:t>
      </w: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right="260" w:firstLine="488"/>
        <w:spacing w:after="0" w:line="236" w:lineRule="auto"/>
        <w:rPr>
          <w:sz w:val="20"/>
          <w:szCs w:val="20"/>
          <w:color w:val="auto"/>
        </w:rPr>
      </w:pPr>
      <w:r>
        <w:rPr>
          <w:rFonts w:ascii="Arial" w:cs="Arial" w:eastAsia="Arial" w:hAnsi="Arial"/>
          <w:sz w:val="18"/>
          <w:szCs w:val="18"/>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artificial intelligence, or AI, cloud computing, and graph databases. Realizing that the nature of cybersecurity problems had changed but the solutions had not, we built our CrowdStrike Falcon platform to detect threats and stop breaches.</w:t>
      </w:r>
    </w:p>
    <w:p>
      <w:pPr>
        <w:spacing w:after="0" w:line="211" w:lineRule="exact"/>
        <w:rPr>
          <w:sz w:val="20"/>
          <w:szCs w:val="20"/>
          <w:color w:val="auto"/>
        </w:rPr>
      </w:pPr>
    </w:p>
    <w:p>
      <w:pPr>
        <w:ind w:left="240" w:right="120" w:firstLine="488"/>
        <w:spacing w:after="0" w:line="235" w:lineRule="auto"/>
        <w:rPr>
          <w:sz w:val="20"/>
          <w:szCs w:val="20"/>
          <w:color w:val="auto"/>
        </w:rPr>
      </w:pPr>
      <w:r>
        <w:rPr>
          <w:rFonts w:ascii="Arial" w:cs="Arial" w:eastAsia="Arial" w:hAnsi="Arial"/>
          <w:sz w:val="18"/>
          <w:szCs w:val="18"/>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laptops, desktops, servers, virtual machines, and Internet of Things, or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Today, we offer 10 cloud modules on our Falcon platform via a SaaS subscription-based model that spans multiple large security markets, including endpoint security, security and IT operations (including vulnerability management), and threat intelligence.</w:t>
      </w:r>
    </w:p>
    <w:p>
      <w:pPr>
        <w:spacing w:after="0" w:line="214"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Organizations everywhere are becoming more distributed as they adopt the cloud, increase workforce mobility, and grow their number of connected devices. They are adding more workloads to a myriad of different endpoints beyond the traditional security perimeter, exposing an increasingly broad attack surface to adversaries. In addition, the sophistication of cyberattacks has increased, often coming from nation-states, well-funded criminal organizations, and hackers using advanced, easily obtained methods of attack. On a number of occasions, adversaries have launched devastating, destructive attacks that have caused significant business disruption and billions of dollars in cumulative losses. The architectural limitations of legacy security products, coupled with 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43" w:right="5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562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62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dynamic and intensifying threat landscape, are creating the need for a fundamentally new approach to security.</w:t>
      </w:r>
    </w:p>
    <w:p>
      <w:pPr>
        <w:spacing w:after="0" w:line="212" w:lineRule="exact"/>
        <w:rPr>
          <w:sz w:val="20"/>
          <w:szCs w:val="20"/>
          <w:color w:val="auto"/>
        </w:rPr>
      </w:pPr>
    </w:p>
    <w:p>
      <w:pPr>
        <w:ind w:left="240" w:right="20" w:firstLine="488"/>
        <w:spacing w:after="0" w:line="235" w:lineRule="auto"/>
        <w:rPr>
          <w:sz w:val="20"/>
          <w:szCs w:val="20"/>
          <w:color w:val="auto"/>
        </w:rPr>
      </w:pPr>
      <w:r>
        <w:rPr>
          <w:rFonts w:ascii="Arial" w:cs="Arial" w:eastAsia="Arial" w:hAnsi="Arial"/>
          <w:sz w:val="18"/>
          <w:szCs w:val="18"/>
          <w:color w:val="auto"/>
        </w:rPr>
        <w:t>Our unique approach starts with our single intelligent lightweight agent that enables frictionless deployment of our platform at scale. Our customers can rapidly adopt our technology across any type of workload running on a variety of endpoints. Our lightweight agent offloads computationally intensive tasks to the cloud, while retaining local detection and prevention capabilities that are necessary on the endpoint. The agent is nonintrusive to the end user and continues to protect the endpoint and track activity even when offline. By utilizing a single agent, customers are able to leverage all the capabilities of our platform without burdening the endpoint with multiple agents. Our lightweight agent intelligently streams high fidelity endpoint data to the cloud, where Threat Graph provides a simple, flexible, and scalable way to model highly interconnected data sets. Threat Graph processes, correlates, and analyzes over one trillion endpoint-related events per week in real time and maintains an index of these events for future use. Threat Graph continuously looks for malicious activity by applying graph analytics and AI algorithms to the data streamed from the endpoints.</w:t>
      </w:r>
    </w:p>
    <w:p>
      <w:pPr>
        <w:spacing w:after="0" w:line="214"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We founded our company on the principle that the future of security would be driven by AI and that a cloud-native architecture would enable the collection of high fidelity data and scalability necessary for an effective solution. We call this cloud-scale AI. From the beginning, our strategy was focused on collecting data at scale, centrally storing such data in a singular model, and training our algorithms on these vast amounts of high fidelity data, which we believe is a fundamental differentiator from our competitors. Our cloud-scale AI means that the more data that is fed into our Falcon platform, the more intelligent Threat Graph becomes and the more our customers benefit, creating a powerful network effect that increases the overall value we provide. AI is revolutionizing many technology fields, including security solutions. To be truly effective, algorithms that enable artificial intelligence depend on the quality and volume of data that trains them and the selection of the right differentiating features from that data. We are uniquely effective because we have more high fidelity data to train our AI models and more security expertise to guide our feature selection—all resulting in industry-leading efficacy and low false positives. By leveraging a multi-tenant, cloud native solution, the data we analyze to stop breaches is both larger and more meaningful than the data from on-premise or single instance private cloud products. If Threat Graph discovers something in one customer environment, all customers benefit automatically and in real time. Taken together, our platform enables intelligent, dynamic automation at scale to detect threats and stop breaches.</w:t>
      </w:r>
    </w:p>
    <w:p>
      <w:pPr>
        <w:spacing w:after="0" w:line="214"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We primarily sell our platform and cloud modules through our direct sales team that leverages our network of channel partners to maximize effectiveness and scale. We amplify our sales presence by leveraging our technology alliance partners that can deliver, embed, or build applications with data and analytics from our Falcon platform. We recently announced a strategic technology and go-to-market partnership with Dell Inc. that will enable Dell's business customers to seamlessly add the Falcon platform to their purchase of Dell hardware. In addition, Dell and SecureWorks Corp. have agreed to take our Falcon platform to market as their preferred endpoint security offering through their global sales organizations. We are also enhancing our go-to-market strategy using a low-touch, trial-to-pay approach. We recently launched a free trial of Falcon Prevent, our next-generation antivirus module, available from our website or the AWS Marketplace. We are beginning to see a number of these trial users convert to paying customers. We believe this approach will enable a higher velocity of new customer acquisition and expansion, and will extend our reach to customers of all sizes.</w:t>
      </w:r>
    </w:p>
    <w:p>
      <w:pPr>
        <w:spacing w:after="0" w:line="214" w:lineRule="exact"/>
        <w:rPr>
          <w:sz w:val="20"/>
          <w:szCs w:val="20"/>
          <w:color w:val="auto"/>
        </w:rPr>
      </w:pPr>
    </w:p>
    <w:p>
      <w:pPr>
        <w:ind w:left="240" w:right="40" w:firstLine="488"/>
        <w:spacing w:after="0" w:line="238" w:lineRule="auto"/>
        <w:rPr>
          <w:sz w:val="20"/>
          <w:szCs w:val="20"/>
          <w:color w:val="auto"/>
        </w:rPr>
      </w:pPr>
      <w:r>
        <w:rPr>
          <w:rFonts w:ascii="Arial" w:cs="Arial" w:eastAsia="Arial" w:hAnsi="Arial"/>
          <w:sz w:val="18"/>
          <w:szCs w:val="18"/>
          <w:color w:val="auto"/>
        </w:rPr>
        <w:t>We have a low friction land-and-expand sales strategy. When customers deploy our Falcon platform, they can start with any number of cloud modules and we can activate additional cloud modules in real time on the same agent already deployed on the endpoint. Our integrated set of</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43" w:right="5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5901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90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300"/>
        <w:spacing w:after="0" w:line="236" w:lineRule="auto"/>
        <w:rPr>
          <w:sz w:val="20"/>
          <w:szCs w:val="20"/>
          <w:color w:val="auto"/>
        </w:rPr>
      </w:pPr>
      <w:r>
        <w:rPr>
          <w:rFonts w:ascii="Arial" w:cs="Arial" w:eastAsia="Arial" w:hAnsi="Arial"/>
          <w:sz w:val="18"/>
          <w:szCs w:val="18"/>
          <w:color w:val="auto"/>
        </w:rPr>
        <w:t>cloud-delivered modules includes next-generation antivirus, endpoint detection and response, or EDR, device control, managed threat hunting, IT hygiene, vulnerability management, and threat intelligence. Once customers experience the benefits of our Falcon platform, they often expand their adoption over time by adding more endpoints or purchasing additional modules. Our dollar-based net retention rate, which measures expansion in existing customers' subscriptions over a 12 month period, was 127% as of October 31, 2018, demonstrating the power of our land-and-expand strategy.</w:t>
      </w:r>
    </w:p>
    <w:p>
      <w:pPr>
        <w:spacing w:after="0" w:line="211" w:lineRule="exact"/>
        <w:rPr>
          <w:sz w:val="20"/>
          <w:szCs w:val="20"/>
          <w:color w:val="auto"/>
        </w:rPr>
      </w:pPr>
    </w:p>
    <w:p>
      <w:pPr>
        <w:ind w:left="240" w:right="60" w:firstLine="488"/>
        <w:spacing w:after="0" w:line="236" w:lineRule="auto"/>
        <w:rPr>
          <w:sz w:val="20"/>
          <w:szCs w:val="20"/>
          <w:color w:val="auto"/>
        </w:rPr>
      </w:pPr>
      <w:r>
        <w:rPr>
          <w:rFonts w:ascii="Arial" w:cs="Arial" w:eastAsia="Arial" w:hAnsi="Arial"/>
          <w:sz w:val="18"/>
          <w:szCs w:val="18"/>
          <w:color w:val="auto"/>
        </w:rPr>
        <w:t>Some of the world's largest enterprises, government organizations, and high profile brands trust us to protect their business. As of October 31, 2018, we had 2,147 subscription customers worldwide, including 38 of the Fortune 100, 32 of the top 100 global companies, and eight of the top 20 major banks. We began as a large enterprise solution, but the flexibility and scalability of our Falcon platform and enhanced go-to-market approach enable us to protect customers of any size—from hundreds of thousands of endpoints to as few as one. We have been recognized as a security market leader by numerous independent third-party analysts, including Gartner, Inc., Forrester Research Inc., and International Data Corporation, or IDC.</w:t>
      </w:r>
    </w:p>
    <w:p>
      <w:pPr>
        <w:spacing w:after="0" w:line="210" w:lineRule="exact"/>
        <w:rPr>
          <w:sz w:val="20"/>
          <w:szCs w:val="20"/>
          <w:color w:val="auto"/>
        </w:rPr>
      </w:pPr>
    </w:p>
    <w:p>
      <w:pPr>
        <w:ind w:left="240" w:right="20" w:firstLine="488"/>
        <w:spacing w:after="0" w:line="264" w:lineRule="auto"/>
        <w:rPr>
          <w:sz w:val="20"/>
          <w:szCs w:val="20"/>
          <w:color w:val="auto"/>
        </w:rPr>
      </w:pPr>
      <w:r>
        <w:rPr>
          <w:rFonts w:ascii="Arial" w:cs="Arial" w:eastAsia="Arial" w:hAnsi="Arial"/>
          <w:sz w:val="16"/>
          <w:szCs w:val="16"/>
          <w:color w:val="auto"/>
        </w:rPr>
        <w:t>We have recently experienced significant growth, with total revenue increasing from $52.7 million for fiscal 2017 to $118.8 million for fiscal 2018, representing year-over-year growth of 125%, and from $80.0 million for the nine months ended October 31, 2017, to</w:t>
      </w:r>
    </w:p>
    <w:p>
      <w:pPr>
        <w:ind w:left="240" w:right="60"/>
        <w:spacing w:after="0" w:line="234" w:lineRule="auto"/>
        <w:rPr>
          <w:sz w:val="20"/>
          <w:szCs w:val="20"/>
          <w:color w:val="auto"/>
        </w:rPr>
      </w:pPr>
      <w:r>
        <w:rPr>
          <w:rFonts w:ascii="Arial" w:cs="Arial" w:eastAsia="Arial" w:hAnsi="Arial"/>
          <w:sz w:val="18"/>
          <w:szCs w:val="18"/>
          <w:color w:val="auto"/>
        </w:rPr>
        <w:t>$169.4 million for the nine months ended October 31, 2018, representing year-over-year growth of 112%. Subscription revenue grew from $37.9 million for fiscal 2017 to $92.6 million for fiscal 2018, a 144% increase, and from $60.1 million for the nine months ended</w:t>
      </w:r>
    </w:p>
    <w:p>
      <w:pPr>
        <w:spacing w:after="0" w:line="1"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October 31, 2017, to $146.6 million for the nine months ended October 31, 2018, a 144% increase. Our annual recurring revenue, or ARR, has grown from $58.8 million as of January 31, 2017, to $141.3 million as of January 31, 2018, a 140% increase, and from $113.4 million as of October 31, 2017, to $254.2 million as of October 31, 2018, a 124% increase. Our net loss increased from $91.3 million for fiscal 2017 to $135.5 million for fiscal 2018 and from $98.0 million for the nine months ended October 31, 2017, to $108.8 million for the nine months ended October 31, 2018. We expect to continue to incur net losses for the foreseeable future as we continue to invest in our business, and our sales capabilities in particular, to address our large market opportunity.</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Industry Background</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Cybersecurity Threats are Greater than Ever</w:t>
      </w:r>
    </w:p>
    <w:p>
      <w:pPr>
        <w:spacing w:after="0" w:line="232" w:lineRule="exact"/>
        <w:rPr>
          <w:sz w:val="20"/>
          <w:szCs w:val="20"/>
          <w:color w:val="auto"/>
        </w:rPr>
      </w:pPr>
    </w:p>
    <w:p>
      <w:pPr>
        <w:ind w:left="240" w:firstLine="484"/>
        <w:spacing w:after="0" w:line="236" w:lineRule="auto"/>
        <w:rPr>
          <w:sz w:val="20"/>
          <w:szCs w:val="20"/>
          <w:color w:val="auto"/>
        </w:rPr>
      </w:pPr>
      <w:r>
        <w:rPr>
          <w:rFonts w:ascii="Arial" w:cs="Arial" w:eastAsia="Arial" w:hAnsi="Arial"/>
          <w:sz w:val="18"/>
          <w:szCs w:val="18"/>
          <w:color w:val="auto"/>
        </w:rPr>
        <w:t>Today's cybersecurity threat landscape is more dangerous than ever. Breaches are complex and often executed over multiple steps known in the industry as the threat lifecycle. The typical threat lifecycle starts with an initial exploit to enter a system, historically using malware, but increasingly using malware-free or fileless methods, to penetrate endpoints and establish a beachhead inside the corporate perimeter. Once inside, adversaries move laterally across the corporate environment where they collect credentials and escalate privileges enabling the typical adversary to download a larger, more destructive malware program or connect with an external control source. At this stage in the threat lifecycle, the adversary is able to encrypt, destroy, or silently exfiltrate sensitive data.</w:t>
      </w:r>
    </w:p>
    <w:p>
      <w:pPr>
        <w:spacing w:after="0" w:line="210" w:lineRule="exact"/>
        <w:rPr>
          <w:sz w:val="20"/>
          <w:szCs w:val="20"/>
          <w:color w:val="auto"/>
        </w:rPr>
      </w:pPr>
    </w:p>
    <w:p>
      <w:pPr>
        <w:ind w:left="240" w:right="260" w:firstLine="488"/>
        <w:spacing w:after="0" w:line="236" w:lineRule="auto"/>
        <w:rPr>
          <w:sz w:val="20"/>
          <w:szCs w:val="20"/>
          <w:color w:val="auto"/>
        </w:rPr>
      </w:pPr>
      <w:r>
        <w:rPr>
          <w:rFonts w:ascii="Arial" w:cs="Arial" w:eastAsia="Arial" w:hAnsi="Arial"/>
          <w:sz w:val="18"/>
          <w:szCs w:val="18"/>
          <w:color w:val="auto"/>
        </w:rPr>
        <w:t>Increasingly, adversaries are well-trained, possess significant technological and human resources, and are highly deliberate and targeted in their attacks. Adversaries today range from militaries and intelligence services of well-funded nation-states to sophisticated criminal organizations who are motivated by financial gains to hackers leveraging readily available advanced techniques. These groups and individuals are responsible for many breaches that involve theft or holding hostage financial data, intellectual property, and trade secrets. On a number of occasions,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43" w:right="5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6047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04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520"/>
        <w:spacing w:after="0" w:line="239" w:lineRule="auto"/>
        <w:rPr>
          <w:sz w:val="20"/>
          <w:szCs w:val="20"/>
          <w:color w:val="auto"/>
        </w:rPr>
      </w:pPr>
      <w:r>
        <w:rPr>
          <w:rFonts w:ascii="Arial" w:cs="Arial" w:eastAsia="Arial" w:hAnsi="Arial"/>
          <w:sz w:val="18"/>
          <w:szCs w:val="18"/>
          <w:color w:val="auto"/>
        </w:rPr>
        <w:t>adversaries have launched devastating, destructive attacks that have caused significant business disruption and billions of dollars in cumulative losses.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Proliferation of Workloads Expanding the Attack Surface</w:t>
      </w:r>
    </w:p>
    <w:p>
      <w:pPr>
        <w:spacing w:after="0" w:line="232" w:lineRule="exact"/>
        <w:rPr>
          <w:sz w:val="20"/>
          <w:szCs w:val="20"/>
          <w:color w:val="auto"/>
        </w:rPr>
      </w:pPr>
    </w:p>
    <w:p>
      <w:pPr>
        <w:ind w:left="240" w:firstLine="484"/>
        <w:spacing w:after="0" w:line="235" w:lineRule="auto"/>
        <w:rPr>
          <w:sz w:val="20"/>
          <w:szCs w:val="20"/>
          <w:color w:val="auto"/>
        </w:rPr>
      </w:pPr>
      <w:r>
        <w:rPr>
          <w:rFonts w:ascii="Arial" w:cs="Arial" w:eastAsia="Arial" w:hAnsi="Arial"/>
          <w:sz w:val="18"/>
          <w:szCs w:val="18"/>
          <w:color w:val="auto"/>
        </w:rPr>
        <w:t>The rise of cloud computing, workforce mobility, and growth in connected devices has created a rapid expansion of workloads across endpoints and industries. According to a 2018 Cisco white paper, the number of connected devices is expected to reach 28.5 billion by 2022, up from 18 billion in 2017. As a result, devices, applications, and data are highly distributed and diverse, challenging organizations to monitor and protect all of their workloads running on various endpoints. The adoption of many of these technologies and the resulting disappearance of the corporate perimeter have expanded the attack surface and left many organizations increasingly vulnerable to breach. Today, workloads running on endpoints, such as laptops and servers, are the primary targets in a security attack since they are vulnerable and frequently are repositories of valuable and sensitive data, including intellectual property, authentication credentials, personally identifiable information, financial information, and other digital assets. As new workloads are provisioned on emerging mobile and IoT devices, oftentimes residing outside of the corporate perimeter, increasingly more sensitive and mission critical data will be generated and stored on these endpoints as well.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On-Premise Security Architectures are Constrained</w:t>
      </w:r>
    </w:p>
    <w:p>
      <w:pPr>
        <w:spacing w:after="0" w:line="232" w:lineRule="exact"/>
        <w:rPr>
          <w:sz w:val="20"/>
          <w:szCs w:val="20"/>
          <w:color w:val="auto"/>
        </w:rPr>
      </w:pPr>
    </w:p>
    <w:p>
      <w:pPr>
        <w:ind w:left="240" w:right="60" w:firstLine="488"/>
        <w:spacing w:after="0" w:line="236" w:lineRule="auto"/>
        <w:rPr>
          <w:sz w:val="20"/>
          <w:szCs w:val="20"/>
          <w:color w:val="auto"/>
        </w:rPr>
      </w:pPr>
      <w:r>
        <w:rPr>
          <w:rFonts w:ascii="Arial" w:cs="Arial" w:eastAsia="Arial" w:hAnsi="Arial"/>
          <w:sz w:val="18"/>
          <w:szCs w:val="18"/>
          <w:color w:val="auto"/>
        </w:rPr>
        <w:t>On-premise products are siloed, lack integration, and have limited ability to collect, process, and analyze vast amounts of data— attributes that are required to be effective in today's increasingly dynamic threat landscape. Legacy vendors often deploy more agents to the endpoint as they layer on a patchwork of additional point product capabilities. This approach burdens endpoints by consuming additional storage space, memory, and processor capacity, degrading end user experience without providing effective security. In addition, integrating and maintaining numerous products, data repositories, and infrastructures across highly distributed enterprise environments is a costly and resource-intensive process for already thinly-staffed security teams.</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Existing Security Products have Limitations</w:t>
      </w:r>
    </w:p>
    <w:p>
      <w:pPr>
        <w:spacing w:after="0" w:line="214" w:lineRule="exact"/>
        <w:rPr>
          <w:sz w:val="20"/>
          <w:szCs w:val="20"/>
          <w:color w:val="auto"/>
        </w:rPr>
      </w:pPr>
    </w:p>
    <w:p>
      <w:pPr>
        <w:ind w:left="240" w:right="480" w:firstLine="488"/>
        <w:spacing w:after="0" w:line="243" w:lineRule="auto"/>
        <w:rPr>
          <w:sz w:val="20"/>
          <w:szCs w:val="20"/>
          <w:color w:val="auto"/>
        </w:rPr>
      </w:pPr>
      <w:r>
        <w:rPr>
          <w:rFonts w:ascii="Arial" w:cs="Arial" w:eastAsia="Arial" w:hAnsi="Arial"/>
          <w:sz w:val="18"/>
          <w:szCs w:val="18"/>
          <w:i w:val="1"/>
          <w:iCs w:val="1"/>
          <w:color w:val="auto"/>
        </w:rPr>
        <w:t xml:space="preserve">Legacy Signature-based Products. </w:t>
      </w:r>
      <w:r>
        <w:rPr>
          <w:rFonts w:ascii="Arial" w:cs="Arial" w:eastAsia="Arial" w:hAnsi="Arial"/>
          <w:sz w:val="18"/>
          <w:szCs w:val="18"/>
          <w:color w:val="auto"/>
        </w:rPr>
        <w:t>Signature-based products are designed to detect attacks that are already catalogued in a</w:t>
      </w:r>
      <w:r>
        <w:rPr>
          <w:rFonts w:ascii="Arial" w:cs="Arial" w:eastAsia="Arial" w:hAnsi="Arial"/>
          <w:sz w:val="18"/>
          <w:szCs w:val="18"/>
          <w:i w:val="1"/>
          <w:iCs w:val="1"/>
          <w:color w:val="auto"/>
        </w:rPr>
        <w:t xml:space="preserve"> </w:t>
      </w:r>
      <w:r>
        <w:rPr>
          <w:rFonts w:ascii="Arial" w:cs="Arial" w:eastAsia="Arial" w:hAnsi="Arial"/>
          <w:sz w:val="18"/>
          <w:szCs w:val="18"/>
          <w:color w:val="auto"/>
        </w:rPr>
        <w:t>repository of previously identified threats, but are not capable of preventing unknown threats or stopping associated breaches. Many significant breaches seen in the last two decades have involved a failure of the legacy signature-based antivirus product to detect a previously unknown or modified version of a previously known attack.</w:t>
      </w:r>
    </w:p>
    <w:p>
      <w:pPr>
        <w:spacing w:after="0" w:line="188" w:lineRule="exact"/>
        <w:rPr>
          <w:sz w:val="20"/>
          <w:szCs w:val="20"/>
          <w:color w:val="auto"/>
        </w:rPr>
      </w:pPr>
    </w:p>
    <w:p>
      <w:pPr>
        <w:ind w:left="240" w:right="160" w:firstLine="488"/>
        <w:spacing w:after="0" w:line="275" w:lineRule="auto"/>
        <w:rPr>
          <w:sz w:val="20"/>
          <w:szCs w:val="20"/>
          <w:color w:val="auto"/>
        </w:rPr>
      </w:pPr>
      <w:r>
        <w:rPr>
          <w:rFonts w:ascii="Arial" w:cs="Arial" w:eastAsia="Arial" w:hAnsi="Arial"/>
          <w:sz w:val="16"/>
          <w:szCs w:val="16"/>
          <w:i w:val="1"/>
          <w:iCs w:val="1"/>
          <w:color w:val="auto"/>
        </w:rPr>
        <w:t xml:space="preserve">Malware-focused Machine Learning Products. </w:t>
      </w:r>
      <w:r>
        <w:rPr>
          <w:rFonts w:ascii="Arial" w:cs="Arial" w:eastAsia="Arial" w:hAnsi="Arial"/>
          <w:sz w:val="16"/>
          <w:szCs w:val="16"/>
          <w:color w:val="auto"/>
        </w:rPr>
        <w:t>Traditionally, organizations have focused on protecting their networks and</w:t>
      </w:r>
      <w:r>
        <w:rPr>
          <w:rFonts w:ascii="Arial" w:cs="Arial" w:eastAsia="Arial" w:hAnsi="Arial"/>
          <w:sz w:val="16"/>
          <w:szCs w:val="16"/>
          <w:i w:val="1"/>
          <w:iCs w:val="1"/>
          <w:color w:val="auto"/>
        </w:rPr>
        <w:t xml:space="preserve"> </w:t>
      </w:r>
      <w:r>
        <w:rPr>
          <w:rFonts w:ascii="Arial" w:cs="Arial" w:eastAsia="Arial" w:hAnsi="Arial"/>
          <w:sz w:val="16"/>
          <w:szCs w:val="16"/>
          <w:color w:val="auto"/>
        </w:rPr>
        <w:t>endpoints against malware-based attacks. These attacks involve malware built for the specific purpose of performing malicious activities, stealing data, or destroying systems. A malware-centric defensive approach will leave the organization vulnerable to attacks that do not leverage malware. According to data from our customer base indexed by Threat Graph, 40% of detections in the second quarter of fiscal 2018 were not malware-based, but instead leveraged legitimate tools built into modern operating systems, enabling attackers to accomplish their objectives without writing files to the endpoint, making them more difficult for a traditional antivirus product to detect.</w:t>
      </w:r>
    </w:p>
    <w:p>
      <w:pPr>
        <w:spacing w:after="0" w:line="166" w:lineRule="exact"/>
        <w:rPr>
          <w:sz w:val="20"/>
          <w:szCs w:val="20"/>
          <w:color w:val="auto"/>
        </w:rPr>
      </w:pPr>
    </w:p>
    <w:p>
      <w:pPr>
        <w:ind w:left="240" w:right="100" w:firstLine="481"/>
        <w:spacing w:after="0" w:line="247" w:lineRule="auto"/>
        <w:rPr>
          <w:sz w:val="20"/>
          <w:szCs w:val="20"/>
          <w:color w:val="auto"/>
        </w:rPr>
      </w:pPr>
      <w:r>
        <w:rPr>
          <w:rFonts w:ascii="Arial" w:cs="Arial" w:eastAsia="Arial" w:hAnsi="Arial"/>
          <w:sz w:val="18"/>
          <w:szCs w:val="18"/>
          <w:i w:val="1"/>
          <w:iCs w:val="1"/>
          <w:color w:val="auto"/>
        </w:rPr>
        <w:t xml:space="preserve">Application Whitelisting Products. </w:t>
      </w:r>
      <w:r>
        <w:rPr>
          <w:rFonts w:ascii="Arial" w:cs="Arial" w:eastAsia="Arial" w:hAnsi="Arial"/>
          <w:sz w:val="18"/>
          <w:szCs w:val="18"/>
          <w:color w:val="auto"/>
        </w:rPr>
        <w:t>Application whitelisting products resort to an "always allow" or "always block" policy on an</w:t>
      </w:r>
      <w:r>
        <w:rPr>
          <w:rFonts w:ascii="Arial" w:cs="Arial" w:eastAsia="Arial" w:hAnsi="Arial"/>
          <w:sz w:val="18"/>
          <w:szCs w:val="18"/>
          <w:i w:val="1"/>
          <w:iCs w:val="1"/>
          <w:color w:val="auto"/>
        </w:rPr>
        <w:t xml:space="preserve"> </w:t>
      </w:r>
      <w:r>
        <w:rPr>
          <w:rFonts w:ascii="Arial" w:cs="Arial" w:eastAsia="Arial" w:hAnsi="Arial"/>
          <w:sz w:val="18"/>
          <w:szCs w:val="18"/>
          <w:color w:val="auto"/>
        </w:rPr>
        <w:t>endpoint in order to allow or prevent processes from executing. Whitelisting relies in part on manually creating and maintaining a complex list of rules, burdening end users and IT organizations. In order to avoid these management challenges, IT organizations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43" w:right="5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6176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17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40"/>
        <w:spacing w:after="0" w:line="239" w:lineRule="auto"/>
        <w:rPr>
          <w:sz w:val="20"/>
          <w:szCs w:val="20"/>
          <w:color w:val="auto"/>
        </w:rPr>
      </w:pPr>
      <w:r>
        <w:rPr>
          <w:rFonts w:ascii="Arial" w:cs="Arial" w:eastAsia="Arial" w:hAnsi="Arial"/>
          <w:sz w:val="18"/>
          <w:szCs w:val="18"/>
          <w:color w:val="auto"/>
        </w:rPr>
        <w:t>often create special exceptions to the whitelist that attackers leverage to compromise endpoints. Furthermore, fileless attacks can exploit legitimate whitelisted applications, compromising the integrity of the whitelisting product.</w:t>
      </w:r>
    </w:p>
    <w:p>
      <w:pPr>
        <w:spacing w:after="0" w:line="191" w:lineRule="exact"/>
        <w:rPr>
          <w:sz w:val="20"/>
          <w:szCs w:val="20"/>
          <w:color w:val="auto"/>
        </w:rPr>
      </w:pPr>
    </w:p>
    <w:p>
      <w:pPr>
        <w:ind w:left="240" w:right="20" w:firstLine="488"/>
        <w:spacing w:after="0" w:line="241" w:lineRule="auto"/>
        <w:rPr>
          <w:sz w:val="20"/>
          <w:szCs w:val="20"/>
          <w:color w:val="auto"/>
        </w:rPr>
      </w:pPr>
      <w:r>
        <w:rPr>
          <w:rFonts w:ascii="Arial" w:cs="Arial" w:eastAsia="Arial" w:hAnsi="Arial"/>
          <w:sz w:val="18"/>
          <w:szCs w:val="18"/>
          <w:i w:val="1"/>
          <w:iCs w:val="1"/>
          <w:color w:val="auto"/>
        </w:rPr>
        <w:t xml:space="preserve">Network-centric Security Products. </w:t>
      </w:r>
      <w:r>
        <w:rPr>
          <w:rFonts w:ascii="Arial" w:cs="Arial" w:eastAsia="Arial" w:hAnsi="Arial"/>
          <w:sz w:val="18"/>
          <w:szCs w:val="18"/>
          <w:color w:val="auto"/>
        </w:rPr>
        <w:t>Traditional network security vendors have focused their products on perimeter-based</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However, these approaches have decreased in relevance and effectiveness as employees and workplace devices have expanded beyond the firewall and the use of encrypted traffic has increased, creating blind spots and vulnerabilities that attackers are able to exploit. As the number of endpoints proliferates, this layer of defense cannot adequately protect information-rich endpoints and workloads that are outside the corporate perimeter.</w:t>
      </w:r>
    </w:p>
    <w:p>
      <w:pPr>
        <w:spacing w:after="0" w:line="189" w:lineRule="exact"/>
        <w:rPr>
          <w:sz w:val="20"/>
          <w:szCs w:val="20"/>
          <w:color w:val="auto"/>
        </w:rPr>
      </w:pPr>
    </w:p>
    <w:p>
      <w:pPr>
        <w:ind w:left="240" w:firstLine="488"/>
        <w:spacing w:after="0" w:line="241" w:lineRule="auto"/>
        <w:rPr>
          <w:sz w:val="20"/>
          <w:szCs w:val="20"/>
          <w:color w:val="auto"/>
        </w:rPr>
      </w:pPr>
      <w:r>
        <w:rPr>
          <w:rFonts w:ascii="Arial" w:cs="Arial" w:eastAsia="Arial" w:hAnsi="Arial"/>
          <w:sz w:val="18"/>
          <w:szCs w:val="18"/>
          <w:i w:val="1"/>
          <w:iCs w:val="1"/>
          <w:color w:val="auto"/>
        </w:rPr>
        <w:t xml:space="preserve">Bolt-on Cloud Products. </w:t>
      </w:r>
      <w:r>
        <w:rPr>
          <w:rFonts w:ascii="Arial" w:cs="Arial" w:eastAsia="Arial" w:hAnsi="Arial"/>
          <w:sz w:val="18"/>
          <w:szCs w:val="18"/>
          <w:color w:val="auto"/>
        </w:rPr>
        <w:t>Many on-premise vendors have introduced cloud offerings by putting their on-premise products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cloud. Such single-tenant products were not designed to run in the cloud and therefore continue to be siloed, lack integration, and possess limited scalability to identify threats across their customer base in real time. In addition, such products are complex to deploy, difficult to scale, brittle to maintain, costly to own, and can be ineffective in stopping breaches. Any product that was originally designed for on-premise deployments and migrated to the cloud cannot, by definition, be a cloud native solution.</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Creation of the Security Cloud</w:t>
      </w:r>
    </w:p>
    <w:p>
      <w:pPr>
        <w:spacing w:after="0" w:line="232" w:lineRule="exact"/>
        <w:rPr>
          <w:sz w:val="20"/>
          <w:szCs w:val="20"/>
          <w:color w:val="auto"/>
        </w:rPr>
      </w:pPr>
    </w:p>
    <w:p>
      <w:pPr>
        <w:ind w:left="240" w:right="20" w:firstLine="488"/>
        <w:spacing w:after="0" w:line="237" w:lineRule="auto"/>
        <w:rPr>
          <w:sz w:val="20"/>
          <w:szCs w:val="20"/>
          <w:color w:val="auto"/>
        </w:rPr>
      </w:pPr>
      <w:r>
        <w:rPr>
          <w:rFonts w:ascii="Arial" w:cs="Arial" w:eastAsia="Arial" w:hAnsi="Arial"/>
          <w:sz w:val="18"/>
          <w:szCs w:val="18"/>
          <w:color w:val="auto"/>
        </w:rPr>
        <w:t>Over the last 15 years, cloud computing has revolutionized many industries in enterprise software and created significant shifts in market share away from incumbents with on-premise or single instance cloud offerings. The purpose-built, cloud native leaders that began from scratch with multi-tenant architectures, single data models, and SaaS business models have defined entirely new categories such as CRM Cloud, HR Cloud, and Service Management Cloud. We believe we are doing the same for security.</w:t>
      </w:r>
    </w:p>
    <w:p>
      <w:pPr>
        <w:spacing w:after="0" w:line="208" w:lineRule="exact"/>
        <w:rPr>
          <w:sz w:val="20"/>
          <w:szCs w:val="20"/>
          <w:color w:val="auto"/>
        </w:rPr>
      </w:pPr>
    </w:p>
    <w:p>
      <w:pPr>
        <w:ind w:left="240" w:right="300" w:firstLine="478"/>
        <w:spacing w:after="0" w:line="236" w:lineRule="auto"/>
        <w:rPr>
          <w:sz w:val="20"/>
          <w:szCs w:val="20"/>
          <w:color w:val="auto"/>
        </w:rPr>
      </w:pPr>
      <w:r>
        <w:rPr>
          <w:rFonts w:ascii="Arial" w:cs="Arial" w:eastAsia="Arial" w:hAnsi="Arial"/>
          <w:sz w:val="18"/>
          <w:szCs w:val="18"/>
          <w:color w:val="auto"/>
        </w:rPr>
        <w:t>An effective solution to address the modern cybersecurity threat landscape should combine multiple methods into an integrated, data-driven, automated, and open cloud-based platform in order to provide comprehensive breach protection across the entire threat lifecycle. Such a platform requires collecting, processing, analyzing, and correlating vast amounts of high fidelity endpoint events in the cloud. This platform needs to operate at web-scale, process events in real time, possess an open architecture, and benefit from the network effects of crowdsourced data to understand attacks that happen across millions of endpoints. We believe only a cloud native approach can address today's threat landscape.</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we are defining a new category called the Security Cloud.</w:t>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Solution</w:t>
      </w:r>
    </w:p>
    <w:p>
      <w:pPr>
        <w:spacing w:after="0" w:line="234" w:lineRule="exact"/>
        <w:rPr>
          <w:sz w:val="20"/>
          <w:szCs w:val="20"/>
          <w:color w:val="auto"/>
        </w:rPr>
      </w:pPr>
    </w:p>
    <w:p>
      <w:pPr>
        <w:ind w:left="240" w:right="80" w:firstLine="488"/>
        <w:spacing w:after="0" w:line="235" w:lineRule="auto"/>
        <w:rPr>
          <w:sz w:val="20"/>
          <w:szCs w:val="20"/>
          <w:color w:val="auto"/>
        </w:rPr>
      </w:pPr>
      <w:r>
        <w:rPr>
          <w:rFonts w:ascii="Arial" w:cs="Arial" w:eastAsia="Arial" w:hAnsi="Arial"/>
          <w:sz w:val="18"/>
          <w:szCs w:val="18"/>
          <w:color w:val="auto"/>
        </w:rPr>
        <w:t>With our Falcon platform, we created the first multi-tenant, cloud native, open, intelligent security solution capable of protecting workloads across on-premise, virtualized, and cloud-based environments running on a variety of endpoints such as laptops, desktops, servers, virtual machines, and IoT devices. Our solution consists of our single intelligent lightweight agent and our powerful and dynamic cloud-based database Threat Graph. These two tightly integrated proprietary technologies continually collect, process, analyze and correlate vast amounts of high fidelity data across the entire threat lifecycle using a combination of AI and behavioral pattern-matching techniques to stop breaches. We implement this approach by crowdsourcing data across our entire customer base and taking advantage of economies of scale, which we believe enables our AI algorithms to be uniquely effective. Our cloud-based AI is also automatically shared with every customer in our community in real time. We combine multiple methods of detection, prevention, and response to known and unknown threats as well as malware and malware-free techniques across the threat lifecycle.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43" w:right="5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6553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655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80" w:firstLine="488"/>
        <w:spacing w:after="0" w:line="236" w:lineRule="auto"/>
        <w:rPr>
          <w:sz w:val="20"/>
          <w:szCs w:val="20"/>
          <w:color w:val="auto"/>
        </w:rPr>
      </w:pPr>
      <w:r>
        <w:rPr>
          <w:rFonts w:ascii="Arial" w:cs="Arial" w:eastAsia="Arial" w:hAnsi="Arial"/>
          <w:sz w:val="18"/>
          <w:szCs w:val="18"/>
          <w:color w:val="auto"/>
        </w:rPr>
        <w:t>Our Falcon platform integrates 10 cloud modules via a SaaS subscription-based model that spans multiple large security markets, including endpoint security, security and IT operations (including vulnerability management), and threat intelligence to deliver comprehensive breach protection even against today's most sophisticated attacks. Our single data model and open cloud architecture enables us and third-party partners to rapidly innovate, build, and deploy new cloud modules to provide our customers with additional functionality across a myriad of use cases.</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cloud modules currently span the following categories:</w:t>
      </w:r>
    </w:p>
    <w:p>
      <w:pPr>
        <w:spacing w:after="0" w:line="203" w:lineRule="exact"/>
        <w:rPr>
          <w:sz w:val="20"/>
          <w:szCs w:val="20"/>
          <w:color w:val="auto"/>
        </w:rPr>
      </w:pPr>
    </w:p>
    <w:p>
      <w:pPr>
        <w:ind w:left="1320" w:right="500" w:hanging="538"/>
        <w:spacing w:after="0" w:line="244"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Endpoint Security: </w:t>
      </w:r>
      <w:r>
        <w:rPr>
          <w:rFonts w:ascii="Arial" w:cs="Arial" w:eastAsia="Arial" w:hAnsi="Arial"/>
          <w:sz w:val="18"/>
          <w:szCs w:val="18"/>
          <w:color w:val="auto"/>
        </w:rPr>
        <w:t>Our next-generation antivirus, EDR, and device control modules combine machine learning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behavioral techniques to defend against malware and malware-free attacks, allow for continuous and comprehensive visibility and analysis of endpoint activity, and provide administrators with visibility and granular control across USB peripheral devices.</w:t>
      </w:r>
    </w:p>
    <w:p>
      <w:pPr>
        <w:spacing w:after="0" w:line="170" w:lineRule="exact"/>
        <w:rPr>
          <w:rFonts w:ascii="Arial" w:cs="Arial" w:eastAsia="Arial" w:hAnsi="Arial"/>
          <w:sz w:val="18"/>
          <w:szCs w:val="18"/>
          <w:color w:val="auto"/>
        </w:rPr>
      </w:pPr>
    </w:p>
    <w:p>
      <w:pPr>
        <w:jc w:val="both"/>
        <w:ind w:left="1320" w:right="280" w:hanging="538"/>
        <w:spacing w:after="0" w:line="249"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Security and IT Operations: </w:t>
      </w:r>
      <w:r>
        <w:rPr>
          <w:rFonts w:ascii="Arial" w:cs="Arial" w:eastAsia="Arial" w:hAnsi="Arial"/>
          <w:sz w:val="18"/>
          <w:szCs w:val="18"/>
          <w:color w:val="auto"/>
        </w:rPr>
        <w:t>We offer modules addressing IT hygiene, scan-less vulnerability management, a turnkey</w:t>
      </w:r>
      <w:r>
        <w:rPr>
          <w:rFonts w:ascii="Arial" w:cs="Arial" w:eastAsia="Arial" w:hAnsi="Arial"/>
          <w:sz w:val="18"/>
          <w:szCs w:val="18"/>
          <w:b w:val="1"/>
          <w:bCs w:val="1"/>
          <w:color w:val="auto"/>
        </w:rPr>
        <w:t xml:space="preserve"> </w:t>
      </w:r>
      <w:r>
        <w:rPr>
          <w:rFonts w:ascii="Arial" w:cs="Arial" w:eastAsia="Arial" w:hAnsi="Arial"/>
          <w:sz w:val="18"/>
          <w:szCs w:val="18"/>
          <w:color w:val="auto"/>
        </w:rPr>
        <w:t>response and remediation solution, as well as a threat hunting solution that is powered by a team of elite security experts leveraging Threat Graph.</w:t>
      </w:r>
    </w:p>
    <w:p>
      <w:pPr>
        <w:spacing w:after="0" w:line="165" w:lineRule="exact"/>
        <w:rPr>
          <w:rFonts w:ascii="Arial" w:cs="Arial" w:eastAsia="Arial" w:hAnsi="Arial"/>
          <w:sz w:val="18"/>
          <w:szCs w:val="18"/>
          <w:color w:val="auto"/>
        </w:rPr>
      </w:pPr>
    </w:p>
    <w:p>
      <w:pPr>
        <w:ind w:left="1320" w:right="420" w:hanging="538"/>
        <w:spacing w:after="0" w:line="327"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Threat Intelligence: </w:t>
      </w:r>
      <w:r>
        <w:rPr>
          <w:rFonts w:ascii="Arial" w:cs="Arial" w:eastAsia="Arial" w:hAnsi="Arial"/>
          <w:sz w:val="16"/>
          <w:szCs w:val="16"/>
          <w:color w:val="auto"/>
        </w:rPr>
        <w:t>Our threat research, malware search engine, and malware analysis modules provide automated</w:t>
      </w:r>
      <w:r>
        <w:rPr>
          <w:rFonts w:ascii="Arial" w:cs="Arial" w:eastAsia="Arial" w:hAnsi="Arial"/>
          <w:sz w:val="16"/>
          <w:szCs w:val="16"/>
          <w:b w:val="1"/>
          <w:bCs w:val="1"/>
          <w:color w:val="auto"/>
        </w:rPr>
        <w:t xml:space="preserve"> </w:t>
      </w:r>
      <w:r>
        <w:rPr>
          <w:rFonts w:ascii="Arial" w:cs="Arial" w:eastAsia="Arial" w:hAnsi="Arial"/>
          <w:sz w:val="16"/>
          <w:szCs w:val="16"/>
          <w:color w:val="auto"/>
        </w:rPr>
        <w:t>assistance to review detected threats, conduct malware research, and detonate suspicious files securely.</w:t>
      </w:r>
    </w:p>
    <w:p>
      <w:pPr>
        <w:spacing w:after="0" w:line="142"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We recently launched the CrowdStrike Store, which is the first open cloud-based application Platform as a Service, or PaaS, for cybersecurity. The CrowdStrike Store introduces a unified Security Cloud ecosystem of trusted partners and applications to our customers. The CrowdStrike Store allows customers to rapidly and easily discover, try, and purchase applications from both trusted partners and CrowdStrike without needing to deploy and manage additional agents and infrastructures or go through lengthy sales, integration, or implementation processes. The CrowdStrike Store allows partners to bring new security applications to the market and efficiently target our customer base. Leveraging our Falcon platform, partners can develop applications that address our customers' needs without having to develop and support their own agents, invest in underlying infrastructure, or hire additional sales personnel. We believe the CrowdStrike Store will cultivate a rich, innovative, and trusted ecosystem between our partners and customers, increasing the overall value of our Falcon platform.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Key Benefits of Our Solution</w:t>
      </w:r>
    </w:p>
    <w:p>
      <w:pPr>
        <w:spacing w:after="0" w:line="225" w:lineRule="exact"/>
        <w:rPr>
          <w:sz w:val="20"/>
          <w:szCs w:val="20"/>
          <w:color w:val="auto"/>
        </w:rPr>
      </w:pPr>
    </w:p>
    <w:p>
      <w:pPr>
        <w:ind w:left="1320" w:right="260" w:hanging="538"/>
        <w:spacing w:after="0" w:line="244"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The Power of the Crowd. </w:t>
      </w:r>
      <w:r>
        <w:rPr>
          <w:rFonts w:ascii="Arial" w:cs="Arial" w:eastAsia="Arial" w:hAnsi="Arial"/>
          <w:sz w:val="18"/>
          <w:szCs w:val="18"/>
          <w:color w:val="auto"/>
        </w:rPr>
        <w:t>Our crowdsourced data enables all of our customers to benefit from contributing to Threat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Graph. As more high fidelity data is fed into our Falcon platform, there is more data to train our AI models with, increasing the overall efficacy of our Falcon platform. This benefits our customers and supports our efforts to gain more customers, creating a powerful network effect.</w:t>
      </w:r>
    </w:p>
    <w:p>
      <w:pPr>
        <w:spacing w:after="0" w:line="170" w:lineRule="exact"/>
        <w:rPr>
          <w:rFonts w:ascii="Arial" w:cs="Arial" w:eastAsia="Arial" w:hAnsi="Arial"/>
          <w:sz w:val="18"/>
          <w:szCs w:val="18"/>
          <w:color w:val="auto"/>
        </w:rPr>
      </w:pPr>
    </w:p>
    <w:p>
      <w:pPr>
        <w:jc w:val="both"/>
        <w:ind w:left="1320" w:right="160" w:hanging="538"/>
        <w:spacing w:after="0" w:line="24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Efficacy with Low False Positives. </w:t>
      </w:r>
      <w:r>
        <w:rPr>
          <w:rFonts w:ascii="Arial" w:cs="Arial" w:eastAsia="Arial" w:hAnsi="Arial"/>
          <w:sz w:val="18"/>
          <w:szCs w:val="18"/>
          <w:color w:val="auto"/>
        </w:rPr>
        <w:t>Our Falcon platform collects, processes, correlates, and analyzes high fidelity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 on both real-world attacks and benign behavioral patterns to continually train and enhance our algorithms, resulting in industry-leading threat detection and low false positive rates.</w:t>
      </w:r>
    </w:p>
    <w:p>
      <w:pPr>
        <w:spacing w:after="0" w:line="168" w:lineRule="exact"/>
        <w:rPr>
          <w:rFonts w:ascii="Arial" w:cs="Arial" w:eastAsia="Arial" w:hAnsi="Arial"/>
          <w:sz w:val="18"/>
          <w:szCs w:val="18"/>
          <w:color w:val="auto"/>
        </w:rPr>
      </w:pPr>
    </w:p>
    <w:p>
      <w:pPr>
        <w:ind w:left="1320" w:right="140" w:hanging="538"/>
        <w:spacing w:after="0" w:line="262"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Consolidation of Siloed Products. </w:t>
      </w:r>
      <w:r>
        <w:rPr>
          <w:rFonts w:ascii="Arial" w:cs="Arial" w:eastAsia="Arial" w:hAnsi="Arial"/>
          <w:sz w:val="18"/>
          <w:szCs w:val="18"/>
          <w:color w:val="auto"/>
        </w:rPr>
        <w:t>Our platform enables our customers to reduce or streamline their siloed and layered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products, simplifying operations while providing a comprehensive solution.</w:t>
      </w:r>
    </w:p>
    <w:p>
      <w:pPr>
        <w:spacing w:after="0" w:line="169" w:lineRule="exact"/>
        <w:rPr>
          <w:rFonts w:ascii="Arial" w:cs="Arial" w:eastAsia="Arial" w:hAnsi="Arial"/>
          <w:sz w:val="18"/>
          <w:szCs w:val="18"/>
          <w:color w:val="auto"/>
        </w:rPr>
      </w:pPr>
    </w:p>
    <w:p>
      <w:pPr>
        <w:ind w:left="1320" w:right="540" w:hanging="538"/>
        <w:spacing w:after="0" w:line="262"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Consolidation of Agents. </w:t>
      </w:r>
      <w:r>
        <w:rPr>
          <w:rFonts w:ascii="Arial" w:cs="Arial" w:eastAsia="Arial" w:hAnsi="Arial"/>
          <w:sz w:val="18"/>
          <w:szCs w:val="18"/>
          <w:color w:val="auto"/>
        </w:rPr>
        <w:t>All of our cloud modules are powered by a single intelligent agent, allowing customers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 and remove numerous agents from their infrastructure and restore endpoint performance.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43" w:right="5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6827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82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20" w:hanging="538"/>
        <w:spacing w:after="0" w:line="262"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Time to Value. </w:t>
      </w:r>
      <w:r>
        <w:rPr>
          <w:rFonts w:ascii="Arial" w:cs="Arial" w:eastAsia="Arial" w:hAnsi="Arial"/>
          <w:sz w:val="18"/>
          <w:szCs w:val="18"/>
          <w:color w:val="auto"/>
        </w:rPr>
        <w:t>We streamline the deployment process by providing cloud-delivered security with protection policies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work from day one, eliminating lengthy implementation periods and professional services engagements.</w:t>
      </w:r>
    </w:p>
    <w:p>
      <w:pPr>
        <w:spacing w:after="0" w:line="155" w:lineRule="exact"/>
        <w:rPr>
          <w:rFonts w:ascii="Arial" w:cs="Arial" w:eastAsia="Arial" w:hAnsi="Arial"/>
          <w:sz w:val="18"/>
          <w:szCs w:val="18"/>
          <w:color w:val="auto"/>
        </w:rPr>
      </w:pPr>
    </w:p>
    <w:p>
      <w:pPr>
        <w:jc w:val="both"/>
        <w:ind w:left="1320" w:right="320" w:hanging="538"/>
        <w:spacing w:after="0" w:line="24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Protection Anywhere. </w:t>
      </w:r>
      <w:r>
        <w:rPr>
          <w:rFonts w:ascii="Arial" w:cs="Arial" w:eastAsia="Arial" w:hAnsi="Arial"/>
          <w:sz w:val="18"/>
          <w:szCs w:val="18"/>
          <w:color w:val="auto"/>
        </w:rPr>
        <w:t>Our cloud-based model allows us to secure any type of workload across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endpoints such as laptops, desktops, servers, virtual machines, and IoT devices. In addition, once our agent is deployed on an endpoint it continues to protect the endpoint and track activity even when offline.</w:t>
      </w:r>
    </w:p>
    <w:p>
      <w:pPr>
        <w:spacing w:after="0" w:line="168" w:lineRule="exact"/>
        <w:rPr>
          <w:rFonts w:ascii="Arial" w:cs="Arial" w:eastAsia="Arial" w:hAnsi="Arial"/>
          <w:sz w:val="18"/>
          <w:szCs w:val="18"/>
          <w:color w:val="auto"/>
        </w:rPr>
      </w:pPr>
    </w:p>
    <w:p>
      <w:pPr>
        <w:ind w:left="1320" w:right="260" w:hanging="538"/>
        <w:spacing w:after="0" w:line="262"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Elite Security Team as a Force Multiplier. </w:t>
      </w:r>
      <w:r>
        <w:rPr>
          <w:rFonts w:ascii="Arial" w:cs="Arial" w:eastAsia="Arial" w:hAnsi="Arial"/>
          <w:sz w:val="18"/>
          <w:szCs w:val="18"/>
          <w:color w:val="auto"/>
        </w:rPr>
        <w:t>OverWatch, our threat hunting cloud module, combines world class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from our elite security experts with the power of Threat Graph.</w:t>
      </w:r>
    </w:p>
    <w:p>
      <w:pPr>
        <w:spacing w:after="0" w:line="169" w:lineRule="exact"/>
        <w:rPr>
          <w:rFonts w:ascii="Arial" w:cs="Arial" w:eastAsia="Arial" w:hAnsi="Arial"/>
          <w:sz w:val="18"/>
          <w:szCs w:val="18"/>
          <w:color w:val="auto"/>
        </w:rPr>
      </w:pPr>
    </w:p>
    <w:p>
      <w:pPr>
        <w:ind w:left="1320" w:right="40" w:hanging="538"/>
        <w:spacing w:after="0" w:line="24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Bridging the Security Skills Gap through Automation. </w:t>
      </w:r>
      <w:r>
        <w:rPr>
          <w:rFonts w:ascii="Arial" w:cs="Arial" w:eastAsia="Arial" w:hAnsi="Arial"/>
          <w:sz w:val="18"/>
          <w:szCs w:val="18"/>
          <w:color w:val="auto"/>
        </w:rPr>
        <w:t>Our solution automates certain previously manual tasks, freeing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personnel to focus on their most important objectives. Our Falcon Complete module provides a turnkey solution that combines endpoint security with remediation and response capabilities.</w:t>
      </w:r>
    </w:p>
    <w:p>
      <w:pPr>
        <w:spacing w:after="0" w:line="168" w:lineRule="exact"/>
        <w:rPr>
          <w:rFonts w:ascii="Arial" w:cs="Arial" w:eastAsia="Arial" w:hAnsi="Arial"/>
          <w:sz w:val="18"/>
          <w:szCs w:val="18"/>
          <w:color w:val="auto"/>
        </w:rPr>
      </w:pPr>
    </w:p>
    <w:p>
      <w:pPr>
        <w:ind w:left="1320" w:right="160" w:hanging="538"/>
        <w:spacing w:after="0" w:line="325"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Lowering Total Cost of Ownership. </w:t>
      </w:r>
      <w:r>
        <w:rPr>
          <w:rFonts w:ascii="Arial" w:cs="Arial" w:eastAsia="Arial" w:hAnsi="Arial"/>
          <w:sz w:val="16"/>
          <w:szCs w:val="16"/>
          <w:color w:val="auto"/>
        </w:rPr>
        <w:t>Our cloud-based platform eliminates our customers' need for initial or ongoing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purchases of hardware and does not require their personnel to configure, implement, or integrate disparate point products.</w:t>
      </w: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Opportunity</w:t>
      </w:r>
    </w:p>
    <w:p>
      <w:pPr>
        <w:spacing w:after="0" w:line="234" w:lineRule="exact"/>
        <w:rPr>
          <w:sz w:val="20"/>
          <w:szCs w:val="20"/>
          <w:color w:val="auto"/>
        </w:rPr>
      </w:pPr>
    </w:p>
    <w:p>
      <w:pPr>
        <w:ind w:left="240" w:right="220" w:firstLine="488"/>
        <w:spacing w:after="0" w:line="236" w:lineRule="auto"/>
        <w:rPr>
          <w:sz w:val="20"/>
          <w:szCs w:val="20"/>
          <w:color w:val="auto"/>
        </w:rPr>
      </w:pPr>
      <w:r>
        <w:rPr>
          <w:rFonts w:ascii="Arial" w:cs="Arial" w:eastAsia="Arial" w:hAnsi="Arial"/>
          <w:sz w:val="18"/>
          <w:szCs w:val="18"/>
          <w:color w:val="auto"/>
        </w:rPr>
        <w:t>Our customers utilize our Falcon platform and cloud modules across a wide variety of use cases. Our total addressable market initially began as a replacement opportunity in the corporate endpoint security market, but has significantly expanded due to rapid innovation and adoption of our cloud modules across additional security and non-security markets. In addition, our increasing market opportunity is driven by the proliferation of enterprise mobility, adoption of cloud computing, the benefits of big data, and an increasingly dynamic and intensifying threat landscape.</w:t>
      </w:r>
    </w:p>
    <w:p>
      <w:pPr>
        <w:spacing w:after="0" w:line="211" w:lineRule="exact"/>
        <w:rPr>
          <w:sz w:val="20"/>
          <w:szCs w:val="20"/>
          <w:color w:val="auto"/>
        </w:rPr>
      </w:pPr>
    </w:p>
    <w:p>
      <w:pPr>
        <w:ind w:left="240" w:right="60" w:firstLine="488"/>
        <w:spacing w:after="0" w:line="238" w:lineRule="auto"/>
        <w:rPr>
          <w:sz w:val="20"/>
          <w:szCs w:val="20"/>
          <w:color w:val="auto"/>
        </w:rPr>
      </w:pPr>
      <w:r>
        <w:rPr>
          <w:rFonts w:ascii="Arial" w:cs="Arial" w:eastAsia="Arial" w:hAnsi="Arial"/>
          <w:sz w:val="18"/>
          <w:szCs w:val="18"/>
          <w:color w:val="auto"/>
        </w:rPr>
        <w:t>Our approach to protecting workloads running on the endpoint is unique and innovative. Because of our architecture, our Falcon platform is the first solution to natively address multiple security markets, including markets not typically associated with endpoint security. Today, the five markets we address are comprised of:</w:t>
      </w:r>
    </w:p>
    <w:p>
      <w:pPr>
        <w:spacing w:after="0" w:line="186" w:lineRule="exact"/>
        <w:rPr>
          <w:sz w:val="20"/>
          <w:szCs w:val="20"/>
          <w:color w:val="auto"/>
        </w:rPr>
      </w:pPr>
    </w:p>
    <w:p>
      <w:pPr>
        <w:ind w:left="240" w:right="20" w:firstLine="488"/>
        <w:spacing w:after="0" w:line="249" w:lineRule="auto"/>
        <w:rPr>
          <w:sz w:val="20"/>
          <w:szCs w:val="20"/>
          <w:color w:val="auto"/>
        </w:rPr>
      </w:pPr>
      <w:r>
        <w:rPr>
          <w:rFonts w:ascii="Arial" w:cs="Arial" w:eastAsia="Arial" w:hAnsi="Arial"/>
          <w:sz w:val="18"/>
          <w:szCs w:val="18"/>
          <w:b w:val="1"/>
          <w:bCs w:val="1"/>
          <w:color w:val="auto"/>
        </w:rPr>
        <w:t xml:space="preserve">Corporate Endpoint Security. </w:t>
      </w:r>
      <w:r>
        <w:rPr>
          <w:rFonts w:ascii="Arial" w:cs="Arial" w:eastAsia="Arial" w:hAnsi="Arial"/>
          <w:sz w:val="18"/>
          <w:szCs w:val="18"/>
          <w:color w:val="auto"/>
        </w:rPr>
        <w:t>In 2013, we launched what is now Falcon OverWatch and our Falcon Insight cloud module, and in</w:t>
      </w:r>
      <w:r>
        <w:rPr>
          <w:rFonts w:ascii="Arial" w:cs="Arial" w:eastAsia="Arial" w:hAnsi="Arial"/>
          <w:sz w:val="18"/>
          <w:szCs w:val="18"/>
          <w:b w:val="1"/>
          <w:bCs w:val="1"/>
          <w:color w:val="auto"/>
        </w:rPr>
        <w:t xml:space="preserve"> </w:t>
      </w:r>
      <w:r>
        <w:rPr>
          <w:rFonts w:ascii="Arial" w:cs="Arial" w:eastAsia="Arial" w:hAnsi="Arial"/>
          <w:sz w:val="18"/>
          <w:szCs w:val="18"/>
          <w:color w:val="auto"/>
        </w:rPr>
        <w:t>2017 we launched Falcon Prevent, to disrupt the EDR and next-generation antivirus markets, respectively. IDC estimates that the global market for these segments will be $7.6 billion in 2019, and is expected to reach $8.7 billion in 2021.</w:t>
      </w:r>
    </w:p>
    <w:p>
      <w:pPr>
        <w:spacing w:after="0" w:line="179" w:lineRule="exact"/>
        <w:rPr>
          <w:sz w:val="20"/>
          <w:szCs w:val="20"/>
          <w:color w:val="auto"/>
        </w:rPr>
      </w:pPr>
    </w:p>
    <w:p>
      <w:pPr>
        <w:ind w:left="240" w:right="140" w:firstLine="488"/>
        <w:spacing w:after="0" w:line="264" w:lineRule="auto"/>
        <w:rPr>
          <w:sz w:val="20"/>
          <w:szCs w:val="20"/>
          <w:color w:val="auto"/>
        </w:rPr>
      </w:pPr>
      <w:r>
        <w:rPr>
          <w:rFonts w:ascii="Arial" w:cs="Arial" w:eastAsia="Arial" w:hAnsi="Arial"/>
          <w:sz w:val="18"/>
          <w:szCs w:val="18"/>
          <w:b w:val="1"/>
          <w:bCs w:val="1"/>
          <w:color w:val="auto"/>
        </w:rPr>
        <w:t xml:space="preserve">Threat Intelligence. </w:t>
      </w:r>
      <w:r>
        <w:rPr>
          <w:rFonts w:ascii="Arial" w:cs="Arial" w:eastAsia="Arial" w:hAnsi="Arial"/>
          <w:sz w:val="18"/>
          <w:szCs w:val="18"/>
          <w:color w:val="auto"/>
        </w:rPr>
        <w:t>In 2012, we released what is now our Falcon X cloud module to address the threat intelligence market. IDC</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that the global market for this segment will be $1.6 billion in 2019, and is expected to reach $2.0 billion in 2021.</w:t>
      </w:r>
    </w:p>
    <w:p>
      <w:pPr>
        <w:spacing w:after="0" w:line="166" w:lineRule="exact"/>
        <w:rPr>
          <w:sz w:val="20"/>
          <w:szCs w:val="20"/>
          <w:color w:val="auto"/>
        </w:rPr>
      </w:pPr>
    </w:p>
    <w:p>
      <w:pPr>
        <w:ind w:left="240" w:right="240" w:firstLine="488"/>
        <w:spacing w:after="0" w:line="249" w:lineRule="auto"/>
        <w:rPr>
          <w:sz w:val="20"/>
          <w:szCs w:val="20"/>
          <w:color w:val="auto"/>
        </w:rPr>
      </w:pPr>
      <w:r>
        <w:rPr>
          <w:rFonts w:ascii="Arial" w:cs="Arial" w:eastAsia="Arial" w:hAnsi="Arial"/>
          <w:sz w:val="18"/>
          <w:szCs w:val="18"/>
          <w:b w:val="1"/>
          <w:bCs w:val="1"/>
          <w:color w:val="auto"/>
        </w:rPr>
        <w:t xml:space="preserve">Security and Vulnerability Management. </w:t>
      </w:r>
      <w:r>
        <w:rPr>
          <w:rFonts w:ascii="Arial" w:cs="Arial" w:eastAsia="Arial" w:hAnsi="Arial"/>
          <w:sz w:val="18"/>
          <w:szCs w:val="18"/>
          <w:color w:val="auto"/>
        </w:rPr>
        <w:t>In 2017, we released our Falcon Spotlight cloud module to address the vulnerability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market. IDC estimates that the global market for this segment will be $8.4 billion in 2019, and is expected to reach $10.4 billion in 2021.</w:t>
      </w:r>
    </w:p>
    <w:p>
      <w:pPr>
        <w:spacing w:after="0" w:line="179" w:lineRule="exact"/>
        <w:rPr>
          <w:sz w:val="20"/>
          <w:szCs w:val="20"/>
          <w:color w:val="auto"/>
        </w:rPr>
      </w:pPr>
    </w:p>
    <w:p>
      <w:pPr>
        <w:jc w:val="both"/>
        <w:ind w:left="240" w:right="400" w:firstLine="488"/>
        <w:spacing w:after="0" w:line="249" w:lineRule="auto"/>
        <w:rPr>
          <w:sz w:val="20"/>
          <w:szCs w:val="20"/>
          <w:color w:val="auto"/>
        </w:rPr>
      </w:pPr>
      <w:r>
        <w:rPr>
          <w:rFonts w:ascii="Arial" w:cs="Arial" w:eastAsia="Arial" w:hAnsi="Arial"/>
          <w:sz w:val="18"/>
          <w:szCs w:val="18"/>
          <w:b w:val="1"/>
          <w:bCs w:val="1"/>
          <w:color w:val="auto"/>
        </w:rPr>
        <w:t xml:space="preserve">IT Service Management Software. </w:t>
      </w:r>
      <w:r>
        <w:rPr>
          <w:rFonts w:ascii="Arial" w:cs="Arial" w:eastAsia="Arial" w:hAnsi="Arial"/>
          <w:sz w:val="18"/>
          <w:szCs w:val="18"/>
          <w:color w:val="auto"/>
        </w:rPr>
        <w:t>In 2017, we released our Falcon Discover cloud module to address our first non-security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of IT Asset Management. IDC estimates that the global market for this segment will be $2.6 billion in 2019, and is expected to reach $3.1 billion in 2021.</w:t>
      </w:r>
    </w:p>
    <w:p>
      <w:pPr>
        <w:spacing w:after="0" w:line="179" w:lineRule="exact"/>
        <w:rPr>
          <w:sz w:val="20"/>
          <w:szCs w:val="20"/>
          <w:color w:val="auto"/>
        </w:rPr>
      </w:pPr>
    </w:p>
    <w:p>
      <w:pPr>
        <w:ind w:left="240" w:right="20" w:firstLine="488"/>
        <w:spacing w:after="0" w:line="249" w:lineRule="auto"/>
        <w:rPr>
          <w:sz w:val="20"/>
          <w:szCs w:val="20"/>
          <w:color w:val="auto"/>
        </w:rPr>
      </w:pPr>
      <w:r>
        <w:rPr>
          <w:rFonts w:ascii="Arial" w:cs="Arial" w:eastAsia="Arial" w:hAnsi="Arial"/>
          <w:sz w:val="18"/>
          <w:szCs w:val="18"/>
          <w:b w:val="1"/>
          <w:bCs w:val="1"/>
          <w:color w:val="auto"/>
        </w:rPr>
        <w:t xml:space="preserve">Managed Security Services. </w:t>
      </w:r>
      <w:r>
        <w:rPr>
          <w:rFonts w:ascii="Arial" w:cs="Arial" w:eastAsia="Arial" w:hAnsi="Arial"/>
          <w:sz w:val="18"/>
          <w:szCs w:val="18"/>
          <w:color w:val="auto"/>
        </w:rPr>
        <w:t>In 2018, we released our Falcon Complete cloud module to address the managed security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IDC estimates the global market for this segment will be $24.8 billion in 2019, and is expected to reach $29.6 billion in 2021. Based on our internal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60"/>
          </w:cols>
          <w:pgMar w:left="320" w:top="143" w:right="6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6802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680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40"/>
        <w:spacing w:after="0" w:line="239" w:lineRule="auto"/>
        <w:rPr>
          <w:sz w:val="20"/>
          <w:szCs w:val="20"/>
          <w:color w:val="auto"/>
        </w:rPr>
      </w:pPr>
      <w:r>
        <w:rPr>
          <w:rFonts w:ascii="Arial" w:cs="Arial" w:eastAsia="Arial" w:hAnsi="Arial"/>
          <w:sz w:val="18"/>
          <w:szCs w:val="18"/>
          <w:color w:val="auto"/>
        </w:rPr>
        <w:t>estimates, we believe our directly addressable opportunity in this segment is approximately $4.4 billion in 2019 and is expected to reach $5.1 billion in 2021.</w:t>
      </w:r>
    </w:p>
    <w:p>
      <w:pPr>
        <w:spacing w:after="0" w:line="2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Combining these segments, our global opportunity is estimated to be $24.6 billion in 2019, and is expected to reach $29.2 billion in</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2021.</w:t>
      </w:r>
    </w:p>
    <w:p>
      <w:pPr>
        <w:spacing w:after="0" w:line="212" w:lineRule="exact"/>
        <w:rPr>
          <w:sz w:val="20"/>
          <w:szCs w:val="20"/>
          <w:color w:val="auto"/>
        </w:rPr>
      </w:pPr>
    </w:p>
    <w:p>
      <w:pPr>
        <w:ind w:left="240" w:right="20" w:firstLine="488"/>
        <w:spacing w:after="0" w:line="272" w:lineRule="auto"/>
        <w:rPr>
          <w:sz w:val="20"/>
          <w:szCs w:val="20"/>
          <w:color w:val="auto"/>
        </w:rPr>
      </w:pPr>
      <w:r>
        <w:rPr>
          <w:rFonts w:ascii="Arial" w:cs="Arial" w:eastAsia="Arial" w:hAnsi="Arial"/>
          <w:sz w:val="16"/>
          <w:szCs w:val="16"/>
          <w:color w:val="auto"/>
        </w:rPr>
        <w:t>We believe our Falcon platform provides broad applicability and functionality across the security and IT operations markets. We plan on continuing to leverage our endpoint data sets to rapidly innovate and create new cloud modules that we believe will significantly expand our market opportunity over time. In addition, we believe more workloads will be run on endpoints such as IoT devices, generating and storing increasing amounts of sensitive, mission critical data. We believe our Falcon platform will be best suited to address such workloads that often reside outside of the corporate perimeter and require a cloud native solution for pervasive protection.</w:t>
      </w: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Growth Strategy</w:t>
      </w:r>
    </w:p>
    <w:p>
      <w:pPr>
        <w:spacing w:after="0" w:line="227" w:lineRule="exact"/>
        <w:rPr>
          <w:sz w:val="20"/>
          <w:szCs w:val="20"/>
          <w:color w:val="auto"/>
        </w:rPr>
      </w:pPr>
    </w:p>
    <w:p>
      <w:pPr>
        <w:ind w:left="1320" w:hanging="538"/>
        <w:spacing w:after="0" w:line="241"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Customer Base by Replacing Legacy and Other Endpoint Security Products. </w:t>
      </w:r>
      <w:r>
        <w:rPr>
          <w:rFonts w:ascii="Arial" w:cs="Arial" w:eastAsia="Arial" w:hAnsi="Arial"/>
          <w:sz w:val="18"/>
          <w:szCs w:val="18"/>
          <w:color w:val="auto"/>
        </w:rPr>
        <w:t>We grew our subscription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base by 1,304 customers from 843 at October 31, 2017, to 2,147 at October 31, 2018, representing a 155% increase. We will continue to invest in customer acquisition programs, including our channel partnerships, and new programs like our recently launched free trial program of Falcon Prevent that is easily downloaded from our website and AWS Marketplace.</w:t>
      </w:r>
    </w:p>
    <w:p>
      <w:pPr>
        <w:spacing w:after="0" w:line="175" w:lineRule="exact"/>
        <w:rPr>
          <w:rFonts w:ascii="Arial" w:cs="Arial" w:eastAsia="Arial" w:hAnsi="Arial"/>
          <w:sz w:val="18"/>
          <w:szCs w:val="18"/>
          <w:color w:val="auto"/>
        </w:rPr>
      </w:pPr>
    </w:p>
    <w:p>
      <w:pPr>
        <w:ind w:left="1320" w:right="100" w:hanging="538"/>
        <w:spacing w:after="0" w:line="284"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Penetrate Existing Customers. </w:t>
      </w:r>
      <w:r>
        <w:rPr>
          <w:rFonts w:ascii="Arial" w:cs="Arial" w:eastAsia="Arial" w:hAnsi="Arial"/>
          <w:sz w:val="16"/>
          <w:szCs w:val="16"/>
          <w:color w:val="auto"/>
        </w:rPr>
        <w:t>When customers deploy our lightweight agent, they can easily add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cloud modules. While some new customers initially deploy our Falcon platform broadly across the organization, others elect to deploy only in selected business units and later deploy on additional endpoints and subscribe to additional modules. The power of our land-and-expand strategy is evidenced by our 127% dollar-based net retention rate as of October 31, 2018.</w:t>
      </w:r>
    </w:p>
    <w:p>
      <w:pPr>
        <w:spacing w:after="0" w:line="141" w:lineRule="exact"/>
        <w:rPr>
          <w:rFonts w:ascii="Arial" w:cs="Arial" w:eastAsia="Arial" w:hAnsi="Arial"/>
          <w:sz w:val="16"/>
          <w:szCs w:val="16"/>
          <w:color w:val="auto"/>
        </w:rPr>
      </w:pPr>
    </w:p>
    <w:p>
      <w:pPr>
        <w:ind w:left="1320" w:right="120" w:hanging="538"/>
        <w:spacing w:after="0" w:line="241"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Falcon Platform to Enter New Markets. </w:t>
      </w:r>
      <w:r>
        <w:rPr>
          <w:rFonts w:ascii="Arial" w:cs="Arial" w:eastAsia="Arial" w:hAnsi="Arial"/>
          <w:sz w:val="18"/>
          <w:szCs w:val="18"/>
          <w:color w:val="auto"/>
        </w:rPr>
        <w:t>Since 2016, we have launched seven new cloud modules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Because our lightweight agent collects diverse endpoint data once for repeated use, we can expand our addressable market by rapidly adding new cloud modules that leverage this data. We intend to continue to develop new cloud modules for broader endpoint use cases such as IT configuration management, performance monitoring, and IT operations that leverage this data as well as new classes of endpoints such as those created by IoT.</w:t>
      </w:r>
    </w:p>
    <w:p>
      <w:pPr>
        <w:spacing w:after="0" w:line="189" w:lineRule="exact"/>
        <w:rPr>
          <w:rFonts w:ascii="Arial" w:cs="Arial" w:eastAsia="Arial" w:hAnsi="Arial"/>
          <w:sz w:val="18"/>
          <w:szCs w:val="18"/>
          <w:color w:val="auto"/>
        </w:rPr>
      </w:pPr>
    </w:p>
    <w:p>
      <w:pPr>
        <w:ind w:left="1320" w:right="260" w:hanging="538"/>
        <w:spacing w:after="0" w:line="24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Reach into New Customer Segments. </w:t>
      </w:r>
      <w:r>
        <w:rPr>
          <w:rFonts w:ascii="Arial" w:cs="Arial" w:eastAsia="Arial" w:hAnsi="Arial"/>
          <w:sz w:val="18"/>
          <w:szCs w:val="18"/>
          <w:color w:val="auto"/>
        </w:rPr>
        <w:t>While we initially targeted large sophisticated enterprises,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expanded our go-to-market efforts to include customers of all sizes with a dedicated inside sales team focused on smaller organizations. We continue to look for new ways to broaden our reach into new customer segments.</w:t>
      </w:r>
    </w:p>
    <w:p>
      <w:pPr>
        <w:spacing w:after="0" w:line="168" w:lineRule="exact"/>
        <w:rPr>
          <w:rFonts w:ascii="Arial" w:cs="Arial" w:eastAsia="Arial" w:hAnsi="Arial"/>
          <w:sz w:val="18"/>
          <w:szCs w:val="18"/>
          <w:color w:val="auto"/>
        </w:rPr>
      </w:pPr>
    </w:p>
    <w:p>
      <w:pPr>
        <w:ind w:left="1320" w:right="60" w:hanging="538"/>
        <w:spacing w:after="0" w:line="241"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Reach into the U.S. Federal Government Vertical. </w:t>
      </w:r>
      <w:r>
        <w:rPr>
          <w:rFonts w:ascii="Arial" w:cs="Arial" w:eastAsia="Arial" w:hAnsi="Arial"/>
          <w:sz w:val="18"/>
          <w:szCs w:val="18"/>
          <w:color w:val="auto"/>
        </w:rPr>
        <w:t>We are investing in the acquisition of customers in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government vertical. Our platform recently received Federal Risk and Authorization Management Program, or FedRAMP, compliance certification and has been added to the Department of Homeland Security's Continuous Diagnostics and Mitigation Approved Products List to provide federal agencies with innovative security tools. In addition, our platform is deployed in the AWS GovCloud.</w:t>
      </w:r>
    </w:p>
    <w:p>
      <w:pPr>
        <w:spacing w:after="0" w:line="175" w:lineRule="exact"/>
        <w:rPr>
          <w:rFonts w:ascii="Arial" w:cs="Arial" w:eastAsia="Arial" w:hAnsi="Arial"/>
          <w:sz w:val="18"/>
          <w:szCs w:val="18"/>
          <w:color w:val="auto"/>
        </w:rPr>
      </w:pPr>
    </w:p>
    <w:p>
      <w:pPr>
        <w:ind w:left="1320" w:right="40" w:hanging="538"/>
        <w:spacing w:after="0" w:line="24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International Footprint. </w:t>
      </w:r>
      <w:r>
        <w:rPr>
          <w:rFonts w:ascii="Arial" w:cs="Arial" w:eastAsia="Arial" w:hAnsi="Arial"/>
          <w:sz w:val="18"/>
          <w:szCs w:val="18"/>
          <w:color w:val="auto"/>
        </w:rPr>
        <w:t>We intend to grow our international customer base by increasing our investments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overseas operations, including adding headcount in Europe, the Middle East, Asia-Pacific, and Japan, and establishing overseas data centers.</w:t>
      </w:r>
    </w:p>
    <w:p>
      <w:pPr>
        <w:spacing w:after="0" w:line="181" w:lineRule="exact"/>
        <w:rPr>
          <w:rFonts w:ascii="Arial" w:cs="Arial" w:eastAsia="Arial" w:hAnsi="Arial"/>
          <w:sz w:val="18"/>
          <w:szCs w:val="18"/>
          <w:color w:val="auto"/>
        </w:rPr>
      </w:pPr>
    </w:p>
    <w:p>
      <w:pPr>
        <w:ind w:left="1320" w:right="620" w:hanging="538"/>
        <w:spacing w:after="0" w:line="262"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our Falcon Platform and Ecosystem. </w:t>
      </w:r>
      <w:r>
        <w:rPr>
          <w:rFonts w:ascii="Arial" w:cs="Arial" w:eastAsia="Arial" w:hAnsi="Arial"/>
          <w:sz w:val="18"/>
          <w:szCs w:val="18"/>
          <w:color w:val="auto"/>
        </w:rPr>
        <w:t>We designed our architecture to be open, interoperable, and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extensible. We intend to invest in our ecosystem and partner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43" w:right="5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7324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right="20"/>
        <w:spacing w:after="0" w:line="281" w:lineRule="auto"/>
        <w:rPr>
          <w:sz w:val="20"/>
          <w:szCs w:val="20"/>
          <w:color w:val="auto"/>
        </w:rPr>
      </w:pPr>
      <w:r>
        <w:rPr>
          <w:rFonts w:ascii="Arial" w:cs="Arial" w:eastAsia="Arial" w:hAnsi="Arial"/>
          <w:sz w:val="16"/>
          <w:szCs w:val="16"/>
          <w:color w:val="auto"/>
        </w:rPr>
        <w:t>relationships to extend the functionality of our platform and support new use cases that take advantage of the high fidelity data in our Threat Graph. As one such example, we recently launched the CrowdStrike Store, the first open cloud-based application PaaS for cybersecurity and the industry's first unified security cloud ecosystem of trusted third-party applications.</w:t>
      </w: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w:t>
      </w:r>
    </w:p>
    <w:p>
      <w:pPr>
        <w:ind w:left="240"/>
        <w:spacing w:after="0"/>
        <w:rPr>
          <w:sz w:val="20"/>
          <w:szCs w:val="20"/>
          <w:color w:val="auto"/>
        </w:rPr>
      </w:pPr>
      <w:r>
        <w:rPr>
          <w:rFonts w:ascii="Arial" w:cs="Arial" w:eastAsia="Arial" w:hAnsi="Arial"/>
          <w:sz w:val="18"/>
          <w:szCs w:val="18"/>
          <w:color w:val="auto"/>
        </w:rPr>
        <w:t>immediately following this prospectus summary. These risks include, but are not limited to, the following:</w:t>
      </w:r>
    </w:p>
    <w:p>
      <w:pPr>
        <w:spacing w:after="0" w:line="225" w:lineRule="exact"/>
        <w:rPr>
          <w:sz w:val="20"/>
          <w:szCs w:val="20"/>
          <w:color w:val="auto"/>
        </w:rPr>
      </w:pPr>
    </w:p>
    <w:p>
      <w:pPr>
        <w:ind w:left="132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and if we do not manage our future growth, our business and results of operations will be adversely affected.</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 history of losses and may not be able to achieve or sustain profitability in the future.</w:t>
      </w:r>
    </w:p>
    <w:p>
      <w:pPr>
        <w:spacing w:after="0" w:line="198" w:lineRule="exact"/>
        <w:rPr>
          <w:rFonts w:ascii="Arial" w:cs="Arial" w:eastAsia="Arial" w:hAnsi="Arial"/>
          <w:sz w:val="18"/>
          <w:szCs w:val="18"/>
          <w:color w:val="auto"/>
        </w:rPr>
      </w:pPr>
    </w:p>
    <w:p>
      <w:pPr>
        <w:ind w:left="1320" w:right="18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limited operating history makes it difficult to evaluate our current business and future prospects, and may increase the risk of your investment.</w:t>
      </w:r>
    </w:p>
    <w:p>
      <w:pPr>
        <w:spacing w:after="0" w:line="208" w:lineRule="exact"/>
        <w:rPr>
          <w:rFonts w:ascii="Arial" w:cs="Arial" w:eastAsia="Arial" w:hAnsi="Arial"/>
          <w:sz w:val="18"/>
          <w:szCs w:val="18"/>
          <w:color w:val="auto"/>
        </w:rPr>
      </w:pPr>
    </w:p>
    <w:p>
      <w:pPr>
        <w:ind w:left="1320" w:right="20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organizations do not adopt cloud-based SaaS-delivered endpoint security solutions, our ability to grow our business and results of operations may be adversely affected.</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attract new customers, our future results of operations could be harmed.</w:t>
      </w:r>
    </w:p>
    <w:p>
      <w:pPr>
        <w:spacing w:after="0" w:line="198" w:lineRule="exact"/>
        <w:rPr>
          <w:rFonts w:ascii="Arial" w:cs="Arial" w:eastAsia="Arial" w:hAnsi="Arial"/>
          <w:sz w:val="18"/>
          <w:szCs w:val="18"/>
          <w:color w:val="auto"/>
        </w:rPr>
      </w:pPr>
    </w:p>
    <w:p>
      <w:pPr>
        <w:ind w:left="1320" w:right="20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customers do not renew their subscriptions for our products and add additional cloud modules to their subscriptions, our future results of operations could be harmed.</w:t>
      </w:r>
    </w:p>
    <w:p>
      <w:pPr>
        <w:spacing w:after="0" w:line="208" w:lineRule="exact"/>
        <w:rPr>
          <w:rFonts w:ascii="Arial" w:cs="Arial" w:eastAsia="Arial" w:hAnsi="Arial"/>
          <w:sz w:val="18"/>
          <w:szCs w:val="18"/>
          <w:color w:val="auto"/>
        </w:rPr>
      </w:pPr>
    </w:p>
    <w:p>
      <w:pPr>
        <w:ind w:left="1320" w:right="34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which could adversely affect our business, financial condition, and results of operations.</w:t>
      </w:r>
    </w:p>
    <w:p>
      <w:pPr>
        <w:spacing w:after="0" w:line="195" w:lineRule="exact"/>
        <w:rPr>
          <w:rFonts w:ascii="Arial" w:cs="Arial" w:eastAsia="Arial" w:hAnsi="Arial"/>
          <w:sz w:val="18"/>
          <w:szCs w:val="18"/>
          <w:color w:val="auto"/>
        </w:rPr>
      </w:pPr>
    </w:p>
    <w:p>
      <w:pPr>
        <w:ind w:left="1320" w:right="14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94" w:lineRule="exact"/>
        <w:rPr>
          <w:rFonts w:ascii="Arial" w:cs="Arial" w:eastAsia="Arial" w:hAnsi="Arial"/>
          <w:sz w:val="18"/>
          <w:szCs w:val="18"/>
          <w:color w:val="auto"/>
        </w:rPr>
      </w:pPr>
    </w:p>
    <w:p>
      <w:pPr>
        <w:ind w:left="1320" w:right="2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207" w:lineRule="exact"/>
        <w:rPr>
          <w:rFonts w:ascii="Arial" w:cs="Arial" w:eastAsia="Arial" w:hAnsi="Arial"/>
          <w:sz w:val="18"/>
          <w:szCs w:val="18"/>
          <w:color w:val="auto"/>
        </w:rPr>
      </w:pPr>
    </w:p>
    <w:p>
      <w:pPr>
        <w:ind w:left="1320" w:right="4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focused on cloud-based data analytics, and cybersecurity, privacy, and other regulations may affect how we collect and process certain types of data.</w:t>
      </w:r>
    </w:p>
    <w:p>
      <w:pPr>
        <w:spacing w:after="0" w:line="195" w:lineRule="exact"/>
        <w:rPr>
          <w:rFonts w:ascii="Arial" w:cs="Arial" w:eastAsia="Arial" w:hAnsi="Arial"/>
          <w:sz w:val="18"/>
          <w:szCs w:val="18"/>
          <w:color w:val="auto"/>
        </w:rPr>
      </w:pPr>
    </w:p>
    <w:p>
      <w:pPr>
        <w:ind w:left="1320" w:right="24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94" w:lineRule="exact"/>
        <w:rPr>
          <w:rFonts w:ascii="Arial" w:cs="Arial" w:eastAsia="Arial" w:hAnsi="Arial"/>
          <w:sz w:val="18"/>
          <w:szCs w:val="18"/>
          <w:color w:val="auto"/>
        </w:rPr>
      </w:pPr>
    </w:p>
    <w:p>
      <w:pPr>
        <w:ind w:left="1320" w:right="2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do not effectively expand and train our direct sales force, we may be unable to add new customers or increase sales to our existing customers, and our business will be adversely affected.</w:t>
      </w:r>
    </w:p>
    <w:p>
      <w:pPr>
        <w:spacing w:after="0" w:line="208" w:lineRule="exact"/>
        <w:rPr>
          <w:rFonts w:ascii="Arial" w:cs="Arial" w:eastAsia="Arial" w:hAnsi="Arial"/>
          <w:sz w:val="18"/>
          <w:szCs w:val="18"/>
          <w:color w:val="auto"/>
        </w:rPr>
      </w:pPr>
    </w:p>
    <w:p>
      <w:pPr>
        <w:ind w:left="1320" w:right="14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which could make our future results difficult to predict and could cause our results of operations to fall below expectations.</w:t>
      </w:r>
    </w:p>
    <w:p>
      <w:pPr>
        <w:spacing w:after="0" w:line="195" w:lineRule="exact"/>
        <w:rPr>
          <w:rFonts w:ascii="Arial" w:cs="Arial" w:eastAsia="Arial" w:hAnsi="Arial"/>
          <w:sz w:val="18"/>
          <w:szCs w:val="18"/>
          <w:color w:val="auto"/>
        </w:rPr>
      </w:pPr>
    </w:p>
    <w:p>
      <w:pPr>
        <w:ind w:left="1320" w:right="26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143" w:right="6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7367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concentration of our stock ownership with insiders will likely limit your ability to influence corporate matters, including the ability to influence the outcome of director elections and other matters requiring stockholder approval.</w:t>
      </w:r>
    </w:p>
    <w:p>
      <w:pPr>
        <w:spacing w:after="0" w:line="3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34" w:lineRule="exact"/>
        <w:rPr>
          <w:sz w:val="20"/>
          <w:szCs w:val="20"/>
          <w:color w:val="auto"/>
        </w:rPr>
      </w:pPr>
    </w:p>
    <w:p>
      <w:pPr>
        <w:ind w:left="240" w:right="180" w:firstLine="488"/>
        <w:spacing w:after="0" w:line="239"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(www.crowdstrike.com), press releases, public conference calls, and public webcasts.</w:t>
      </w:r>
    </w:p>
    <w:p>
      <w:pPr>
        <w:spacing w:after="0" w:line="209" w:lineRule="exact"/>
        <w:rPr>
          <w:sz w:val="20"/>
          <w:szCs w:val="20"/>
          <w:color w:val="auto"/>
        </w:rPr>
      </w:pPr>
    </w:p>
    <w:p>
      <w:pPr>
        <w:ind w:left="240" w:right="280" w:firstLine="478"/>
        <w:spacing w:after="0" w:line="239"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3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240" w:right="20" w:firstLine="488"/>
        <w:spacing w:after="0" w:line="271" w:lineRule="auto"/>
        <w:rPr>
          <w:sz w:val="20"/>
          <w:szCs w:val="20"/>
          <w:color w:val="auto"/>
        </w:rPr>
      </w:pPr>
      <w:r>
        <w:rPr>
          <w:rFonts w:ascii="Arial" w:cs="Arial" w:eastAsia="Arial" w:hAnsi="Arial"/>
          <w:sz w:val="16"/>
          <w:szCs w:val="16"/>
          <w:color w:val="auto"/>
        </w:rPr>
        <w:t>CrowdStrike, Inc. was incorporated in the state of Delaware in August 2011. We then incorporated CrowdStrike Holdings, Inc. in the state of Delaware in November 2011, which acquired all shares of CrowdStrike, Inc. held by Warburg Pincus Private Equity X, L.P. and Warburg Pincus X Partners, L.P., or Warburg Pincus, such that CrowdStrike, Inc. became our wholly-owned subsidiary. Our principal executive offices are located at 150 Mathilda Place, Suite 300, Sunnyvale, California 94086, and our telephone number is (888) 512-8906. Our website address is www.crowdstrike.com. Information contained on, or that can be accessed through, our website does not constitute part of this prospectus and inclusions of our website address in this prospectus are inactive textual references only.</w:t>
      </w:r>
    </w:p>
    <w:p>
      <w:pPr>
        <w:spacing w:after="0" w:line="184" w:lineRule="exact"/>
        <w:rPr>
          <w:sz w:val="20"/>
          <w:szCs w:val="20"/>
          <w:color w:val="auto"/>
        </w:rPr>
      </w:pPr>
    </w:p>
    <w:p>
      <w:pPr>
        <w:ind w:left="240" w:right="40" w:firstLine="484"/>
        <w:spacing w:after="0" w:line="238" w:lineRule="auto"/>
        <w:rPr>
          <w:sz w:val="20"/>
          <w:szCs w:val="20"/>
          <w:color w:val="auto"/>
        </w:rPr>
      </w:pPr>
      <w:r>
        <w:rPr>
          <w:rFonts w:ascii="Arial" w:cs="Arial" w:eastAsia="Arial" w:hAnsi="Arial"/>
          <w:sz w:val="18"/>
          <w:szCs w:val="18"/>
          <w:color w:val="auto"/>
        </w:rPr>
        <w:t>The CrowdStrike design logo, "CrowdStrike," "CrowdStrike Falcon," "CrowdStrike Threat Graph," and our other registered or common law trademarks, service marks, or trade names appearing in this prospectus are the property of CrowdStrike Holdings, Inc. Other trademarks and trade names referred to in this prospectus are the property of their respective owners.</w:t>
      </w: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240" w:right="360" w:firstLine="488"/>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208" w:lineRule="exact"/>
        <w:rPr>
          <w:sz w:val="20"/>
          <w:szCs w:val="20"/>
          <w:color w:val="auto"/>
        </w:rPr>
      </w:pPr>
    </w:p>
    <w:p>
      <w:pPr>
        <w:ind w:left="1320" w:right="520" w:hanging="538"/>
        <w:spacing w:after="0" w:line="23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to present only two years of audited financial statements and only two years of related management's discussion and analysis in this prospectus;</w:t>
      </w:r>
    </w:p>
    <w:p>
      <w:pPr>
        <w:spacing w:after="0" w:line="195" w:lineRule="exact"/>
        <w:rPr>
          <w:rFonts w:ascii="Arial" w:cs="Arial" w:eastAsia="Arial" w:hAnsi="Arial"/>
          <w:sz w:val="18"/>
          <w:szCs w:val="18"/>
          <w:color w:val="auto"/>
        </w:rPr>
      </w:pPr>
    </w:p>
    <w:p>
      <w:pPr>
        <w:ind w:left="1320" w:right="500" w:hanging="538"/>
        <w:spacing w:after="0" w:line="23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w:t>
      </w:r>
    </w:p>
    <w:p>
      <w:pPr>
        <w:spacing w:after="0" w:line="208" w:lineRule="exact"/>
        <w:rPr>
          <w:rFonts w:ascii="Arial" w:cs="Arial" w:eastAsia="Arial" w:hAnsi="Arial"/>
          <w:sz w:val="18"/>
          <w:szCs w:val="18"/>
          <w:color w:val="auto"/>
        </w:rPr>
      </w:pPr>
    </w:p>
    <w:p>
      <w:pPr>
        <w:ind w:left="1320" w:right="360" w:hanging="538"/>
        <w:spacing w:after="0" w:line="23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94"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98" w:lineRule="exact"/>
        <w:rPr>
          <w:rFonts w:ascii="Arial" w:cs="Arial" w:eastAsia="Arial" w:hAnsi="Arial"/>
          <w:sz w:val="18"/>
          <w:szCs w:val="18"/>
          <w:color w:val="auto"/>
        </w:rPr>
      </w:pPr>
    </w:p>
    <w:p>
      <w:pPr>
        <w:ind w:left="1320" w:right="600" w:hanging="538"/>
        <w:spacing w:after="0" w:line="23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requirements to obtain a non-binding advisory vote on executive compensation or stockholder approval of any golden parachute arrangements.</w:t>
      </w:r>
    </w:p>
    <w:p>
      <w:pPr>
        <w:spacing w:after="0" w:line="209" w:lineRule="exact"/>
        <w:rPr>
          <w:sz w:val="20"/>
          <w:szCs w:val="20"/>
          <w:color w:val="auto"/>
        </w:rPr>
      </w:pPr>
    </w:p>
    <w:p>
      <w:pPr>
        <w:ind w:left="240" w:right="200" w:firstLine="488"/>
        <w:spacing w:after="0" w:line="237"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Accordingly, the information contained herein may be different than the information you receive from other public companies in which you hold stock. We will remain an emerging growth company until the earliest to occur of: (i) the first fiscal year following the fifth anniversary of our initial public offering; (ii) the first fiscal year after our annual gross revenue is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43" w:right="5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258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2258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380"/>
        <w:spacing w:after="0" w:line="238" w:lineRule="auto"/>
        <w:rPr>
          <w:sz w:val="20"/>
          <w:szCs w:val="20"/>
          <w:color w:val="auto"/>
        </w:rPr>
      </w:pPr>
      <w:r>
        <w:rPr>
          <w:rFonts w:ascii="Arial" w:cs="Arial" w:eastAsia="Arial" w:hAnsi="Arial"/>
          <w:sz w:val="18"/>
          <w:szCs w:val="18"/>
          <w:color w:val="auto"/>
        </w:rPr>
        <w:t>$1.07 billion or more; (iii) the date on which we have, during the previous three-year period, issued more than $1.0 billion in non-convertible debt securities; or (iv) as of the end of any fiscal year in which the market value of our common stock held by non-affiliates exceeded $700.0 million as of the end of the second quarter of that fiscal year.</w:t>
      </w:r>
    </w:p>
    <w:p>
      <w:pPr>
        <w:spacing w:after="0" w:line="208"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See the section titled "Risk Factors—Risks Related to Our Business—Our reported financial results may be affected by changes in accounting principles generally accepted in the United States, such as the adoption of ASC 606, and difficulties in implementing these changes could cause us to fail to meet our financial reporting obligations, which could result in regulatory discipline and harm investors' confidence in us."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43" w:right="5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136130" cy="7599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759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900"/>
          </w:cols>
          <w:pgMar w:left="320" w:top="143" w:right="679" w:bottom="1440" w:gutter="0" w:footer="0" w:header="0"/>
        </w:sectPr>
      </w:pPr>
    </w:p>
    <w:p>
      <w:pPr>
        <w:spacing w:after="0" w:line="257"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Common stock</w:t>
      </w:r>
    </w:p>
    <w:p>
      <w:pPr>
        <w:spacing w:after="0" w:line="19" w:lineRule="exact"/>
        <w:rPr>
          <w:sz w:val="20"/>
          <w:szCs w:val="20"/>
          <w:color w:val="auto"/>
        </w:rPr>
      </w:pPr>
    </w:p>
    <w:p>
      <w:pPr>
        <w:jc w:val="right"/>
        <w:ind w:right="340"/>
        <w:spacing w:after="0"/>
        <w:rPr>
          <w:sz w:val="20"/>
          <w:szCs w:val="20"/>
          <w:color w:val="auto"/>
        </w:rPr>
      </w:pPr>
      <w:r>
        <w:rPr>
          <w:rFonts w:ascii="Arial" w:cs="Arial" w:eastAsia="Arial" w:hAnsi="Arial"/>
          <w:sz w:val="18"/>
          <w:szCs w:val="18"/>
          <w:color w:val="auto"/>
        </w:rPr>
        <w:t>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222" w:lineRule="exact"/>
        <w:rPr>
          <w:sz w:val="20"/>
          <w:szCs w:val="20"/>
          <w:color w:val="auto"/>
        </w:rPr>
      </w:pPr>
    </w:p>
    <w:p>
      <w:pPr>
        <w:sectPr>
          <w:pgSz w:w="11900" w:h="16838" w:orient="portrait"/>
          <w:cols w:equalWidth="0" w:num="2">
            <w:col w:w="2860" w:space="720"/>
            <w:col w:w="7320"/>
          </w:cols>
          <w:pgMar w:left="320" w:top="143" w:right="679" w:bottom="1440" w:gutter="0" w:footer="0" w:header="0"/>
          <w:type w:val="continuous"/>
        </w:sectPr>
      </w:pPr>
    </w:p>
    <w:p>
      <w:pPr>
        <w:spacing w:after="0" w:line="1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Underwriters'</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option to</w:t>
      </w:r>
    </w:p>
    <w:p>
      <w:pPr>
        <w:ind w:left="1500"/>
        <w:spacing w:after="0" w:line="234" w:lineRule="auto"/>
        <w:rPr>
          <w:sz w:val="20"/>
          <w:szCs w:val="20"/>
          <w:color w:val="auto"/>
        </w:rPr>
      </w:pPr>
      <w:r>
        <w:rPr>
          <w:rFonts w:ascii="Arial" w:cs="Arial" w:eastAsia="Arial" w:hAnsi="Arial"/>
          <w:sz w:val="18"/>
          <w:szCs w:val="18"/>
          <w:color w:val="auto"/>
        </w:rPr>
        <w:t>purchase</w:t>
      </w:r>
    </w:p>
    <w:p>
      <w:pPr>
        <w:ind w:left="1500"/>
        <w:spacing w:after="0" w:line="235" w:lineRule="auto"/>
        <w:rPr>
          <w:sz w:val="20"/>
          <w:szCs w:val="20"/>
          <w:color w:val="auto"/>
        </w:rPr>
      </w:pPr>
      <w:r>
        <w:rPr>
          <w:rFonts w:ascii="Arial" w:cs="Arial" w:eastAsia="Arial" w:hAnsi="Arial"/>
          <w:sz w:val="18"/>
          <w:szCs w:val="18"/>
          <w:color w:val="auto"/>
        </w:rPr>
        <w:t>additional</w:t>
      </w:r>
    </w:p>
    <w:p>
      <w:pPr>
        <w:ind w:left="1500"/>
        <w:spacing w:after="0" w:line="235" w:lineRule="auto"/>
        <w:rPr>
          <w:sz w:val="20"/>
          <w:szCs w:val="20"/>
          <w:color w:val="auto"/>
        </w:rPr>
      </w:pPr>
      <w:r>
        <w:rPr>
          <w:rFonts w:ascii="Arial" w:cs="Arial" w:eastAsia="Arial" w:hAnsi="Arial"/>
          <w:sz w:val="18"/>
          <w:szCs w:val="18"/>
          <w:color w:val="auto"/>
        </w:rPr>
        <w:t>shares of</w:t>
      </w:r>
    </w:p>
    <w:p>
      <w:pPr>
        <w:ind w:left="1500"/>
        <w:spacing w:after="0" w:line="235" w:lineRule="auto"/>
        <w:rPr>
          <w:sz w:val="20"/>
          <w:szCs w:val="20"/>
          <w:color w:val="auto"/>
        </w:rPr>
      </w:pPr>
      <w:r>
        <w:rPr>
          <w:rFonts w:ascii="Arial" w:cs="Arial" w:eastAsia="Arial" w:hAnsi="Arial"/>
          <w:sz w:val="18"/>
          <w:szCs w:val="18"/>
          <w:color w:val="auto"/>
        </w:rPr>
        <w:t>common</w:t>
      </w:r>
    </w:p>
    <w:p>
      <w:pPr>
        <w:ind w:left="1500"/>
        <w:spacing w:after="0" w:line="235" w:lineRule="auto"/>
        <w:rPr>
          <w:sz w:val="20"/>
          <w:szCs w:val="20"/>
          <w:color w:val="auto"/>
        </w:rPr>
      </w:pPr>
      <w:r>
        <w:rPr>
          <w:rFonts w:ascii="Arial" w:cs="Arial" w:eastAsia="Arial" w:hAnsi="Arial"/>
          <w:sz w:val="18"/>
          <w:szCs w:val="18"/>
          <w:color w:val="auto"/>
        </w:rPr>
        <w:t>stock from</w:t>
      </w:r>
    </w:p>
    <w:p>
      <w:pPr>
        <w:ind w:left="1500"/>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222" w:lineRule="exact"/>
        <w:rPr>
          <w:sz w:val="20"/>
          <w:szCs w:val="20"/>
          <w:color w:val="auto"/>
        </w:rPr>
      </w:pPr>
    </w:p>
    <w:p>
      <w:pPr>
        <w:sectPr>
          <w:pgSz w:w="11900" w:h="16838" w:orient="portrait"/>
          <w:cols w:equalWidth="0" w:num="2">
            <w:col w:w="2860" w:space="720"/>
            <w:col w:w="7320"/>
          </w:cols>
          <w:pgMar w:left="320" w:top="143" w:right="679" w:bottom="1440" w:gutter="0" w:footer="0" w:header="0"/>
          <w:type w:val="continuous"/>
        </w:sectPr>
      </w:pPr>
    </w:p>
    <w:p>
      <w:pPr>
        <w:spacing w:after="0" w:line="1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Common stock</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be</w:t>
      </w:r>
    </w:p>
    <w:p>
      <w:pPr>
        <w:ind w:left="1500"/>
        <w:spacing w:after="0"/>
        <w:rPr>
          <w:sz w:val="20"/>
          <w:szCs w:val="20"/>
          <w:color w:val="auto"/>
        </w:rPr>
      </w:pPr>
      <w:r>
        <w:rPr>
          <w:rFonts w:ascii="Arial" w:cs="Arial" w:eastAsia="Arial" w:hAnsi="Arial"/>
          <w:sz w:val="18"/>
          <w:szCs w:val="18"/>
          <w:color w:val="auto"/>
        </w:rPr>
        <w:t>outstanding</w:t>
      </w:r>
    </w:p>
    <w:p>
      <w:pPr>
        <w:sectPr>
          <w:pgSz w:w="11900" w:h="16838" w:orient="portrait"/>
          <w:cols w:equalWidth="0" w:num="1">
            <w:col w:w="10900"/>
          </w:cols>
          <w:pgMar w:left="320" w:top="143" w:right="679" w:bottom="1440" w:gutter="0" w:footer="0" w:header="0"/>
          <w:type w:val="continuous"/>
        </w:sectPr>
      </w:pPr>
    </w:p>
    <w:p>
      <w:pPr>
        <w:spacing w:after="0" w:line="4"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after this</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offering</w:t>
      </w:r>
    </w:p>
    <w:p>
      <w:pPr>
        <w:spacing w:after="0" w:line="20" w:lineRule="exact"/>
        <w:rPr>
          <w:sz w:val="20"/>
          <w:szCs w:val="20"/>
          <w:color w:val="auto"/>
        </w:rPr>
      </w:pPr>
      <w:r>
        <w:rPr>
          <w:sz w:val="20"/>
          <w:szCs w:val="20"/>
          <w:color w:val="auto"/>
        </w:rPr>
        <w:br w:type="column"/>
      </w:r>
    </w:p>
    <w:p>
      <w:pPr>
        <w:ind w:left="880"/>
        <w:spacing w:after="0" w:line="229" w:lineRule="auto"/>
        <w:rPr>
          <w:sz w:val="20"/>
          <w:szCs w:val="20"/>
          <w:color w:val="auto"/>
        </w:rPr>
      </w:pPr>
      <w:r>
        <w:rPr>
          <w:rFonts w:ascii="Arial" w:cs="Arial" w:eastAsia="Arial" w:hAnsi="Arial"/>
          <w:sz w:val="18"/>
          <w:szCs w:val="18"/>
          <w:color w:val="auto"/>
        </w:rPr>
        <w:t>shares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purchase additional shares in full)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if the underwriters exercise their option to</w:t>
      </w:r>
    </w:p>
    <w:p>
      <w:pPr>
        <w:spacing w:after="0" w:line="417" w:lineRule="exact"/>
        <w:rPr>
          <w:sz w:val="20"/>
          <w:szCs w:val="20"/>
          <w:color w:val="auto"/>
        </w:rPr>
      </w:pPr>
    </w:p>
    <w:p>
      <w:pPr>
        <w:sectPr>
          <w:pgSz w:w="11900" w:h="16838" w:orient="portrait"/>
          <w:cols w:equalWidth="0" w:num="3">
            <w:col w:w="2180" w:space="520"/>
            <w:col w:w="2620" w:space="160"/>
            <w:col w:w="5420"/>
          </w:cols>
          <w:pgMar w:left="320" w:top="143" w:right="679" w:bottom="1440" w:gutter="0" w:footer="0" w:header="0"/>
          <w:type w:val="continuous"/>
        </w:sectPr>
      </w:pP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Use of</w:t>
      </w:r>
    </w:p>
    <w:p>
      <w:pPr>
        <w:ind w:left="1500"/>
        <w:spacing w:after="0"/>
        <w:rPr>
          <w:sz w:val="20"/>
          <w:szCs w:val="20"/>
          <w:color w:val="auto"/>
        </w:rPr>
      </w:pPr>
      <w:r>
        <w:rPr>
          <w:rFonts w:ascii="Arial" w:cs="Arial" w:eastAsia="Arial" w:hAnsi="Arial"/>
          <w:sz w:val="16"/>
          <w:szCs w:val="16"/>
          <w:color w:val="auto"/>
        </w:rPr>
        <w:t>proceeds</w:t>
      </w:r>
    </w:p>
    <w:p>
      <w:pPr>
        <w:spacing w:after="0" w:line="20" w:lineRule="exact"/>
        <w:rPr>
          <w:sz w:val="20"/>
          <w:szCs w:val="20"/>
          <w:color w:val="auto"/>
        </w:rPr>
      </w:pPr>
      <w:r>
        <w:rPr>
          <w:sz w:val="20"/>
          <w:szCs w:val="20"/>
          <w:color w:val="auto"/>
        </w:rPr>
        <w:br w:type="column"/>
      </w:r>
    </w:p>
    <w:p>
      <w:pPr>
        <w:ind w:right="1260"/>
        <w:spacing w:after="0" w:line="237" w:lineRule="auto"/>
        <w:rPr>
          <w:sz w:val="20"/>
          <w:szCs w:val="20"/>
          <w:color w:val="auto"/>
        </w:rPr>
      </w:pPr>
      <w:r>
        <w:rPr>
          <w:rFonts w:ascii="Arial" w:cs="Arial" w:eastAsia="Arial" w:hAnsi="Arial"/>
          <w:sz w:val="18"/>
          <w:szCs w:val="18"/>
          <w:color w:val="auto"/>
        </w:rPr>
        <w:t>We estimate that the net proceeds from the sale of shares of our common stock in this offering will be approximately $ million (or approximately $ million if the underwriters' option to purchase additional shares of our common stock from us is exercised in full), based upon the assumed initial public offering price of $ per</w:t>
      </w:r>
    </w:p>
    <w:p>
      <w:pPr>
        <w:spacing w:after="0" w:line="1" w:lineRule="exact"/>
        <w:rPr>
          <w:sz w:val="20"/>
          <w:szCs w:val="20"/>
          <w:color w:val="auto"/>
        </w:rPr>
      </w:pPr>
    </w:p>
    <w:p>
      <w:pPr>
        <w:sectPr>
          <w:pgSz w:w="11900" w:h="16838" w:orient="portrait"/>
          <w:cols w:equalWidth="0" w:num="2">
            <w:col w:w="2220" w:space="480"/>
            <w:col w:w="8200"/>
          </w:cols>
          <w:pgMar w:left="320" w:top="143" w:right="679" w:bottom="1440" w:gutter="0" w:footer="0" w:header="0"/>
          <w:type w:val="continuous"/>
        </w:sectPr>
      </w:pPr>
    </w:p>
    <w:p>
      <w:pPr>
        <w:ind w:left="2700" w:right="1040"/>
        <w:spacing w:after="0" w:line="234" w:lineRule="auto"/>
        <w:rPr>
          <w:sz w:val="20"/>
          <w:szCs w:val="20"/>
          <w:color w:val="auto"/>
        </w:rPr>
      </w:pPr>
      <w:r>
        <w:rPr>
          <w:rFonts w:ascii="Arial" w:cs="Arial" w:eastAsia="Arial" w:hAnsi="Arial"/>
          <w:sz w:val="18"/>
          <w:szCs w:val="18"/>
          <w:color w:val="auto"/>
        </w:rPr>
        <w:t>share, which is the midpoint of the estimated offering price range set forth on the cover page of this prospectus, and after deducting estimated underwriting discounts and commissions and estimated offering expenses payable by us.</w:t>
      </w:r>
    </w:p>
    <w:p>
      <w:pPr>
        <w:spacing w:after="0" w:line="210" w:lineRule="exact"/>
        <w:rPr>
          <w:sz w:val="20"/>
          <w:szCs w:val="20"/>
          <w:color w:val="auto"/>
        </w:rPr>
      </w:pPr>
    </w:p>
    <w:p>
      <w:pPr>
        <w:ind w:left="2700" w:right="1040"/>
        <w:spacing w:after="0" w:line="236" w:lineRule="auto"/>
        <w:rPr>
          <w:sz w:val="20"/>
          <w:szCs w:val="20"/>
          <w:color w:val="auto"/>
        </w:rPr>
      </w:pPr>
      <w:r>
        <w:rPr>
          <w:rFonts w:ascii="Arial" w:cs="Arial" w:eastAsia="Arial" w:hAnsi="Arial"/>
          <w:sz w:val="18"/>
          <w:szCs w:val="18"/>
          <w:color w:val="auto"/>
        </w:rPr>
        <w:t>We intend to use the net proceeds we receive from this offering for general corporate purposes, including working capital, sales and marketing activities, research and development, general and administrative matters, and capital expenditures. We may also use a portion of the net proceeds for the acquisition of, or investment in, technologies, solutions, products, or businesses that complement our business, although we have no present commitments or agreements to enter into any such acquisitions or investments. See the section titled "Use of Proceeds" for additional information.</w:t>
      </w:r>
    </w:p>
    <w:p>
      <w:pPr>
        <w:spacing w:after="0" w:line="204" w:lineRule="exact"/>
        <w:rPr>
          <w:sz w:val="20"/>
          <w:szCs w:val="20"/>
          <w:color w:val="auto"/>
        </w:rPr>
      </w:pPr>
    </w:p>
    <w:p>
      <w:pPr>
        <w:jc w:val="right"/>
        <w:ind w:right="8820"/>
        <w:spacing w:after="0"/>
        <w:rPr>
          <w:sz w:val="20"/>
          <w:szCs w:val="20"/>
          <w:color w:val="auto"/>
        </w:rPr>
      </w:pPr>
      <w:r>
        <w:rPr>
          <w:rFonts w:ascii="Arial" w:cs="Arial" w:eastAsia="Arial" w:hAnsi="Arial"/>
          <w:sz w:val="18"/>
          <w:szCs w:val="18"/>
          <w:color w:val="auto"/>
        </w:rPr>
        <w:t>Proposed</w:t>
      </w:r>
    </w:p>
    <w:p>
      <w:pPr>
        <w:jc w:val="right"/>
        <w:ind w:right="8860"/>
        <w:spacing w:after="0" w:line="234" w:lineRule="auto"/>
        <w:rPr>
          <w:sz w:val="20"/>
          <w:szCs w:val="20"/>
          <w:color w:val="auto"/>
        </w:rPr>
      </w:pPr>
      <w:r>
        <w:rPr>
          <w:rFonts w:ascii="Arial" w:cs="Arial" w:eastAsia="Arial" w:hAnsi="Arial"/>
          <w:sz w:val="18"/>
          <w:szCs w:val="18"/>
          <w:color w:val="auto"/>
        </w:rPr>
        <w:t>trading</w:t>
      </w:r>
    </w:p>
    <w:p>
      <w:pPr>
        <w:spacing w:after="0" w:line="1" w:lineRule="exact"/>
        <w:rPr>
          <w:sz w:val="20"/>
          <w:szCs w:val="20"/>
          <w:color w:val="auto"/>
        </w:rPr>
      </w:pPr>
    </w:p>
    <w:p>
      <w:pPr>
        <w:ind w:left="1500"/>
        <w:spacing w:after="0"/>
        <w:tabs>
          <w:tab w:leader="none" w:pos="2680" w:val="left"/>
          <w:tab w:leader="none" w:pos="4020" w:val="left"/>
        </w:tabs>
        <w:rPr>
          <w:sz w:val="20"/>
          <w:szCs w:val="20"/>
          <w:color w:val="auto"/>
        </w:rPr>
      </w:pPr>
      <w:r>
        <w:rPr>
          <w:rFonts w:ascii="Arial" w:cs="Arial" w:eastAsia="Arial" w:hAnsi="Arial"/>
          <w:sz w:val="18"/>
          <w:szCs w:val="18"/>
          <w:color w:val="auto"/>
        </w:rPr>
        <w:t>symbol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12" w:lineRule="exact"/>
        <w:rPr>
          <w:sz w:val="20"/>
          <w:szCs w:val="20"/>
          <w:color w:val="auto"/>
        </w:rPr>
      </w:pPr>
    </w:p>
    <w:p>
      <w:pPr>
        <w:ind w:left="240" w:right="140" w:firstLine="484"/>
        <w:spacing w:after="0" w:line="238" w:lineRule="auto"/>
        <w:rPr>
          <w:sz w:val="20"/>
          <w:szCs w:val="20"/>
          <w:color w:val="auto"/>
        </w:rPr>
      </w:pPr>
      <w:r>
        <w:rPr>
          <w:rFonts w:ascii="Arial" w:cs="Arial" w:eastAsia="Arial" w:hAnsi="Arial"/>
          <w:sz w:val="18"/>
          <w:szCs w:val="18"/>
          <w:color w:val="auto"/>
        </w:rPr>
        <w:t>The number of shares of our common stock that will be outstanding after this offering is based on 178,096,830 shares of our common stock (including shares of our redeemable convertible preferred stock on an as-converted basis) outstanding as of October 31, 2018, and excludes:</w:t>
      </w:r>
    </w:p>
    <w:p>
      <w:pPr>
        <w:spacing w:after="0" w:line="221" w:lineRule="exact"/>
        <w:rPr>
          <w:sz w:val="20"/>
          <w:szCs w:val="20"/>
          <w:color w:val="auto"/>
        </w:rPr>
      </w:pPr>
    </w:p>
    <w:p>
      <w:pPr>
        <w:ind w:left="1320" w:right="300" w:hanging="538"/>
        <w:spacing w:after="0" w:line="23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26,150,055 shares of our common stock issuable upon the exercise of options to purchase shares of our common stock outstanding as of October 31, 2018, with a weighted-average exercise price of $3.43 per share;</w:t>
      </w:r>
    </w:p>
    <w:p>
      <w:pPr>
        <w:spacing w:after="0" w:line="195" w:lineRule="exact"/>
        <w:rPr>
          <w:rFonts w:ascii="Arial" w:cs="Arial" w:eastAsia="Arial" w:hAnsi="Arial"/>
          <w:sz w:val="18"/>
          <w:szCs w:val="18"/>
          <w:color w:val="auto"/>
        </w:rPr>
      </w:pPr>
    </w:p>
    <w:p>
      <w:pPr>
        <w:ind w:left="1320" w:hanging="538"/>
        <w:spacing w:after="0" w:line="23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3,826,547 shares of our common stock issuable upon the satisfaction of a performance-based vesting condition pursuant to restricted stock units, or RSUs, outstanding as of October 31, 2018;</w:t>
      </w:r>
    </w:p>
    <w:p>
      <w:pPr>
        <w:spacing w:after="0" w:line="195" w:lineRule="exact"/>
        <w:rPr>
          <w:rFonts w:ascii="Arial" w:cs="Arial" w:eastAsia="Arial" w:hAnsi="Arial"/>
          <w:sz w:val="18"/>
          <w:szCs w:val="18"/>
          <w:color w:val="auto"/>
        </w:rPr>
      </w:pPr>
    </w:p>
    <w:p>
      <w:pPr>
        <w:ind w:left="1320" w:right="580" w:hanging="538"/>
        <w:spacing w:after="0" w:line="23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336,386 shares of our common stock, on an as-converted basis, issuable upon the exercise of warrants to purchase 336,386 shares of our redeemable convertible preferred stock that were outstanding as of October 31, 2018, with a weighted-average exercise price of $2.94 per share; and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00"/>
          </w:cols>
          <w:pgMar w:left="320" w:top="143" w:right="67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130" cy="5010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5010150"/>
                    </a:xfrm>
                    <a:prstGeom prst="rect">
                      <a:avLst/>
                    </a:prstGeom>
                    <a:noFill/>
                  </pic:spPr>
                </pic:pic>
              </a:graphicData>
            </a:graphic>
          </wp:anchor>
        </w:drawing>
      </w:r>
    </w:p>
    <w:p>
      <w:pPr>
        <w:sectPr>
          <w:pgSz w:w="11900" w:h="16838" w:orient="portrait"/>
          <w:cols w:equalWidth="0" w:num="1">
            <w:col w:w="10960"/>
          </w:cols>
          <w:pgMar w:left="320" w:top="143"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reserved for future issuance under our equity compensation plans, consisting of:</w:t>
      </w:r>
    </w:p>
    <w:p>
      <w:pPr>
        <w:spacing w:after="0" w:line="200" w:lineRule="exact"/>
        <w:rPr>
          <w:sz w:val="20"/>
          <w:szCs w:val="20"/>
          <w:color w:val="auto"/>
        </w:rPr>
      </w:pPr>
    </w:p>
    <w:p>
      <w:pPr>
        <w:sectPr>
          <w:pgSz w:w="11900" w:h="16838" w:orient="portrait"/>
          <w:cols w:equalWidth="0" w:num="2">
            <w:col w:w="1480" w:space="720"/>
            <w:col w:w="8760"/>
          </w:cols>
          <w:pgMar w:left="320" w:top="143" w:right="619" w:bottom="1440" w:gutter="0" w:footer="0" w:header="0"/>
          <w:type w:val="continuous"/>
        </w:sectPr>
      </w:pPr>
    </w:p>
    <w:p>
      <w:pPr>
        <w:spacing w:after="0" w:line="237"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180" w:firstLine="878"/>
        <w:spacing w:after="0" w:line="239" w:lineRule="auto"/>
        <w:rPr>
          <w:sz w:val="20"/>
          <w:szCs w:val="20"/>
          <w:color w:val="auto"/>
        </w:rPr>
      </w:pPr>
      <w:r>
        <w:rPr>
          <w:rFonts w:ascii="Arial" w:cs="Arial" w:eastAsia="Arial" w:hAnsi="Arial"/>
          <w:sz w:val="18"/>
          <w:szCs w:val="18"/>
          <w:color w:val="auto"/>
        </w:rPr>
        <w:t>shares of our common stock to be reserved for future issuance under our 2019 Equity Incentive Plan, or our 2019 Plan, which will become effective prior to the completion of this offering;</w:t>
      </w:r>
    </w:p>
    <w:p>
      <w:pPr>
        <w:spacing w:after="0" w:line="195" w:lineRule="exact"/>
        <w:rPr>
          <w:sz w:val="20"/>
          <w:szCs w:val="20"/>
          <w:color w:val="auto"/>
        </w:rPr>
      </w:pPr>
    </w:p>
    <w:p>
      <w:pPr>
        <w:sectPr>
          <w:pgSz w:w="11900" w:h="16838" w:orient="portrait"/>
          <w:cols w:equalWidth="0" w:num="2">
            <w:col w:w="1380" w:space="480"/>
            <w:col w:w="9100"/>
          </w:cols>
          <w:pgMar w:left="320" w:top="143" w:right="61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firstLine="878"/>
        <w:spacing w:after="0" w:line="238" w:lineRule="auto"/>
        <w:rPr>
          <w:sz w:val="20"/>
          <w:szCs w:val="20"/>
          <w:color w:val="auto"/>
        </w:rPr>
      </w:pPr>
      <w:r>
        <w:rPr>
          <w:rFonts w:ascii="Arial" w:cs="Arial" w:eastAsia="Arial" w:hAnsi="Arial"/>
          <w:sz w:val="18"/>
          <w:szCs w:val="18"/>
          <w:color w:val="auto"/>
        </w:rPr>
        <w:t>shares of our common stock reserved for future issuance under our Amended and Restated 2011 Stock Incentive Plan, or our 2011 Plan, which number of shares will be added to the shares of our common stock to be reserved for future issuance under our 2019 Plan upon its effectiveness; and</w:t>
      </w:r>
    </w:p>
    <w:p>
      <w:pPr>
        <w:spacing w:after="0" w:line="194" w:lineRule="exact"/>
        <w:rPr>
          <w:sz w:val="20"/>
          <w:szCs w:val="20"/>
          <w:color w:val="auto"/>
        </w:rPr>
      </w:pPr>
    </w:p>
    <w:p>
      <w:pPr>
        <w:sectPr>
          <w:pgSz w:w="11900" w:h="16838" w:orient="portrait"/>
          <w:cols w:equalWidth="0" w:num="2">
            <w:col w:w="1380" w:space="480"/>
            <w:col w:w="9100"/>
          </w:cols>
          <w:pgMar w:left="320" w:top="143" w:right="61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firstLine="878"/>
        <w:spacing w:after="0" w:line="239" w:lineRule="auto"/>
        <w:rPr>
          <w:sz w:val="20"/>
          <w:szCs w:val="20"/>
          <w:color w:val="auto"/>
        </w:rPr>
      </w:pPr>
      <w:r>
        <w:rPr>
          <w:rFonts w:ascii="Arial" w:cs="Arial" w:eastAsia="Arial" w:hAnsi="Arial"/>
          <w:sz w:val="18"/>
          <w:szCs w:val="18"/>
          <w:color w:val="auto"/>
        </w:rPr>
        <w:t>shares of our common stock to be reserved for future issuance under our 2019 Employee Stock Purchase Plan, or our ESPP, which will become effective prior to the completion of this offering.</w:t>
      </w:r>
    </w:p>
    <w:p>
      <w:pPr>
        <w:spacing w:after="0" w:line="200" w:lineRule="exact"/>
        <w:rPr>
          <w:sz w:val="20"/>
          <w:szCs w:val="20"/>
          <w:color w:val="auto"/>
        </w:rPr>
      </w:pPr>
    </w:p>
    <w:p>
      <w:pPr>
        <w:sectPr>
          <w:pgSz w:w="11900" w:h="16838" w:orient="portrait"/>
          <w:cols w:equalWidth="0" w:num="2">
            <w:col w:w="1380" w:space="480"/>
            <w:col w:w="9100"/>
          </w:cols>
          <w:pgMar w:left="320" w:top="143" w:right="619" w:bottom="1440" w:gutter="0" w:footer="0" w:header="0"/>
          <w:type w:val="continuous"/>
        </w:sectPr>
      </w:pPr>
    </w:p>
    <w:p>
      <w:pPr>
        <w:spacing w:after="0" w:line="9" w:lineRule="exact"/>
        <w:rPr>
          <w:sz w:val="20"/>
          <w:szCs w:val="20"/>
          <w:color w:val="auto"/>
        </w:rPr>
      </w:pPr>
    </w:p>
    <w:p>
      <w:pPr>
        <w:ind w:left="240" w:right="120" w:firstLine="488"/>
        <w:spacing w:after="0" w:line="237" w:lineRule="auto"/>
        <w:rPr>
          <w:sz w:val="20"/>
          <w:szCs w:val="20"/>
          <w:color w:val="auto"/>
        </w:rPr>
      </w:pPr>
      <w:r>
        <w:rPr>
          <w:rFonts w:ascii="Arial" w:cs="Arial" w:eastAsia="Arial" w:hAnsi="Arial"/>
          <w:sz w:val="18"/>
          <w:szCs w:val="18"/>
          <w:color w:val="auto"/>
        </w:rPr>
        <w:t>Our 2019 Plan and ESPP each provide for annual automatic increases in the number of shares of our common stock reserved thereunder, and our 2019 Plan also provides for increases to the number of shares of our common stock that may be granted thereunder based on shares under our 2011 Plan that expire, are forfeited, or otherwise repurchased by us, as more fully described in the section titled "Executive Compensation—Employee Benefit and Stock Plans."</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212" w:lineRule="exact"/>
        <w:rPr>
          <w:sz w:val="20"/>
          <w:szCs w:val="20"/>
          <w:color w:val="auto"/>
        </w:rPr>
      </w:pPr>
    </w:p>
    <w:p>
      <w:pPr>
        <w:ind w:left="1320" w:right="240" w:hanging="538"/>
        <w:spacing w:after="0" w:line="239"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95" w:lineRule="exact"/>
        <w:rPr>
          <w:rFonts w:ascii="Arial" w:cs="Arial" w:eastAsia="Arial" w:hAnsi="Arial"/>
          <w:sz w:val="18"/>
          <w:szCs w:val="18"/>
          <w:color w:val="auto"/>
        </w:rPr>
      </w:pPr>
    </w:p>
    <w:p>
      <w:pPr>
        <w:jc w:val="both"/>
        <w:ind w:left="1320" w:right="60" w:hanging="538"/>
        <w:spacing w:after="0" w:line="23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an aggregate of 131,267,586 shares of our redeemable convertible preferred stock outstanding as of October 31, 2018, into an equivalent number of shares of our common stock, which will occur immediately prior to the completion of this offering;</w:t>
      </w:r>
    </w:p>
    <w:p>
      <w:pPr>
        <w:spacing w:after="0" w:line="207" w:lineRule="exact"/>
        <w:rPr>
          <w:rFonts w:ascii="Arial" w:cs="Arial" w:eastAsia="Arial" w:hAnsi="Arial"/>
          <w:sz w:val="18"/>
          <w:szCs w:val="18"/>
          <w:color w:val="auto"/>
        </w:rPr>
      </w:pPr>
    </w:p>
    <w:p>
      <w:pPr>
        <w:ind w:left="1320" w:hanging="538"/>
        <w:spacing w:after="0" w:line="23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automatic conversion of our redeemable convertible preferred stock warrants to common stock warrants, and the resulting reclassification of our redeemable convertible preferred stock warrant liability to additional paid-in-capital, which will occur immediately prior to the completion of this offering;</w:t>
      </w:r>
    </w:p>
    <w:p>
      <w:pPr>
        <w:spacing w:after="0" w:line="194"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of outstanding options or warrants and no settlement of outstanding RSUs subsequent to October 31, 2018; and</w:t>
      </w:r>
    </w:p>
    <w:p>
      <w:pPr>
        <w:spacing w:after="0" w:line="221" w:lineRule="exact"/>
        <w:rPr>
          <w:rFonts w:ascii="Arial" w:cs="Arial" w:eastAsia="Arial" w:hAnsi="Arial"/>
          <w:sz w:val="16"/>
          <w:szCs w:val="16"/>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 from 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143" w:right="6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136130" cy="6150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4" w:lineRule="exact"/>
        <w:rPr>
          <w:sz w:val="20"/>
          <w:szCs w:val="20"/>
          <w:color w:val="auto"/>
        </w:rPr>
      </w:pPr>
    </w:p>
    <w:p>
      <w:pPr>
        <w:ind w:left="240" w:firstLine="484"/>
        <w:spacing w:after="0" w:line="235" w:lineRule="auto"/>
        <w:rPr>
          <w:sz w:val="20"/>
          <w:szCs w:val="20"/>
          <w:color w:val="auto"/>
        </w:rPr>
      </w:pPr>
      <w:r>
        <w:rPr>
          <w:rFonts w:ascii="Arial" w:cs="Arial" w:eastAsia="Arial" w:hAnsi="Arial"/>
          <w:sz w:val="18"/>
          <w:szCs w:val="18"/>
          <w:color w:val="auto"/>
        </w:rPr>
        <w:t>The following table summarizes our consolidated financial data. The summary consolidated statements of operations data presented below for fiscal 2017 and fiscal 2018 are derived from our audited consolidated financial statements that are included elsewhere in this prospectus. The summary consolidated statements of operations data presented below for the nine months ended October 31, 2017 and 2018, and the consolidated balance sheet data as of October 31, 2018, are derived from our unaudited interim consolidated financial statements that are included elsewhere in this prospectus. In management's opinion, the unaudited interim consolidated financial statements include all adjustments necessary to state fairly our financial position as of October 31, 2018, and the results of operations and cash flows for the nine months ended October 31, 2017 and 2018. The following summary consolidated financial data should be read together with our audited and unaudited consolidated financial statements and the related notes, as well as the section titled "Management's Discussion and Analysis of Financial Condition and Results of Operations," included elsewhere in this prospectus. Our historical results are not necessarily indicative of our results in any future period.</w:t>
      </w:r>
    </w:p>
    <w:p>
      <w:pPr>
        <w:spacing w:after="0" w:line="198"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6"/>
          </w:tcPr>
          <w:p>
            <w:pPr>
              <w:ind w:left="300"/>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Arial" w:cs="Arial" w:eastAsia="Arial" w:hAnsi="Arial"/>
                <w:sz w:val="14"/>
                <w:szCs w:val="14"/>
                <w:b w:val="1"/>
                <w:bCs w:val="1"/>
                <w:color w:val="auto"/>
              </w:rPr>
              <w:t>(in</w:t>
            </w:r>
          </w:p>
        </w:tc>
        <w:tc>
          <w:tcPr>
            <w:tcW w:w="2840" w:type="dxa"/>
            <w:vAlign w:val="bottom"/>
            <w:gridSpan w:val="13"/>
          </w:tcPr>
          <w:p>
            <w:pPr>
              <w:jc w:val="center"/>
              <w:ind w:right="600"/>
              <w:spacing w:after="0"/>
              <w:rPr>
                <w:sz w:val="20"/>
                <w:szCs w:val="20"/>
                <w:color w:val="auto"/>
              </w:rPr>
            </w:pPr>
            <w:r>
              <w:rPr>
                <w:rFonts w:ascii="Arial" w:cs="Arial" w:eastAsia="Arial" w:hAnsi="Arial"/>
                <w:sz w:val="14"/>
                <w:szCs w:val="14"/>
                <w:b w:val="1"/>
                <w:bCs w:val="1"/>
                <w:color w:val="auto"/>
                <w:w w:val="98"/>
              </w:rPr>
              <w:t>thousands, except per share data)</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Statement of Operations Data:</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Subscription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37,895</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92,568</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60,074</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146,570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120"/>
              <w:spacing w:after="0"/>
              <w:rPr>
                <w:sz w:val="20"/>
                <w:szCs w:val="20"/>
                <w:color w:val="auto"/>
              </w:rPr>
            </w:pPr>
            <w:r>
              <w:rPr>
                <w:rFonts w:ascii="Arial" w:cs="Arial" w:eastAsia="Arial" w:hAnsi="Arial"/>
                <w:sz w:val="14"/>
                <w:szCs w:val="14"/>
                <w:color w:val="auto"/>
              </w:rPr>
              <w:t>Professional services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19,961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52,745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118,752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80,035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169,369</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20" w:type="dxa"/>
            <w:vAlign w:val="bottom"/>
            <w:gridSpan w:val="2"/>
          </w:tcPr>
          <w:p>
            <w:pPr>
              <w:spacing w:after="0" w:line="155" w:lineRule="exact"/>
              <w:rPr>
                <w:sz w:val="20"/>
                <w:szCs w:val="20"/>
                <w:color w:val="auto"/>
              </w:rPr>
            </w:pPr>
            <w:r>
              <w:rPr>
                <w:rFonts w:ascii="Arial" w:cs="Arial" w:eastAsia="Arial" w:hAnsi="Arial"/>
                <w:sz w:val="14"/>
                <w:szCs w:val="14"/>
                <w:color w:val="auto"/>
              </w:rPr>
              <w:t>Cost of revenue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Subscription</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39,857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47,077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120"/>
              <w:spacing w:after="0"/>
              <w:rPr>
                <w:sz w:val="20"/>
                <w:szCs w:val="20"/>
                <w:color w:val="auto"/>
              </w:rPr>
            </w:pPr>
            <w:r>
              <w:rPr>
                <w:rFonts w:ascii="Arial" w:cs="Arial" w:eastAsia="Arial" w:hAnsi="Arial"/>
                <w:sz w:val="14"/>
                <w:szCs w:val="14"/>
                <w:color w:val="auto"/>
              </w:rPr>
              <w:t>Professional services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13,166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cost of revenue</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34,006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54,486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35,316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60,243</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20" w:type="dxa"/>
            <w:vAlign w:val="bottom"/>
            <w:gridSpan w:val="2"/>
          </w:tcPr>
          <w:p>
            <w:pPr>
              <w:spacing w:after="0" w:line="155" w:lineRule="exact"/>
              <w:rPr>
                <w:sz w:val="20"/>
                <w:szCs w:val="20"/>
                <w:color w:val="auto"/>
              </w:rPr>
            </w:pPr>
            <w:r>
              <w:rPr>
                <w:rFonts w:ascii="Arial" w:cs="Arial" w:eastAsia="Arial" w:hAnsi="Arial"/>
                <w:sz w:val="14"/>
                <w:szCs w:val="14"/>
                <w:color w:val="auto"/>
              </w:rPr>
              <w:t>Gross profit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64,266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109,126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ind w:left="12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10"/>
                <w:szCs w:val="10"/>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53,748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104,277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70,012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123,344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10"/>
                <w:szCs w:val="10"/>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58,887</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42,959</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ind w:left="12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10"/>
                <w:szCs w:val="10"/>
                <w:color w:val="auto"/>
              </w:rPr>
              <w:t>(1)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32,542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28,868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109,295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195,706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139,392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214,758</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20" w:type="dxa"/>
            <w:vAlign w:val="bottom"/>
            <w:gridSpan w:val="2"/>
          </w:tcPr>
          <w:p>
            <w:pPr>
              <w:spacing w:after="0" w:line="155" w:lineRule="exact"/>
              <w:rPr>
                <w:sz w:val="20"/>
                <w:szCs w:val="20"/>
                <w:color w:val="auto"/>
              </w:rPr>
            </w:pPr>
            <w:r>
              <w:rPr>
                <w:rFonts w:ascii="Arial" w:cs="Arial" w:eastAsia="Arial" w:hAnsi="Arial"/>
                <w:sz w:val="14"/>
                <w:szCs w:val="14"/>
                <w:color w:val="auto"/>
              </w:rPr>
              <w:t>Loss from operations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(90,556)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(131,440)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(94,673)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(105,632)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(1,648)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120"/>
              <w:spacing w:after="0"/>
              <w:rPr>
                <w:sz w:val="20"/>
                <w:szCs w:val="20"/>
                <w:color w:val="auto"/>
              </w:rPr>
            </w:pPr>
            <w:r>
              <w:rPr>
                <w:rFonts w:ascii="Arial" w:cs="Arial" w:eastAsia="Arial" w:hAnsi="Arial"/>
                <w:sz w:val="14"/>
                <w:szCs w:val="14"/>
                <w:color w:val="auto"/>
              </w:rPr>
              <w:t>Other expense, net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(1,473)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(1,420)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before provision for income taxes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(91,253)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(134,561)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(97,551)</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(107,799)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(929)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(446)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loss</w:t>
            </w:r>
          </w:p>
        </w:tc>
        <w:tc>
          <w:tcPr>
            <w:tcW w:w="2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(91,340)</w:t>
            </w:r>
          </w:p>
        </w:tc>
        <w:tc>
          <w:tcPr>
            <w:tcW w:w="2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(135,490)</w:t>
            </w:r>
          </w:p>
        </w:tc>
        <w:tc>
          <w:tcPr>
            <w:tcW w:w="180" w:type="dxa"/>
            <w:vAlign w:val="bottom"/>
            <w:gridSpan w:val="2"/>
            <w:shd w:val="clear" w:color="auto" w:fill="CCEEFF"/>
          </w:tcPr>
          <w:p>
            <w:pPr>
              <w:jc w:val="center"/>
              <w:ind w:right="2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(97,997)</w:t>
            </w:r>
          </w:p>
        </w:tc>
        <w:tc>
          <w:tcPr>
            <w:tcW w:w="2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(108,817)</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Accretion of redeemable convertible preferred stock</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(17,012)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(5,853)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(1,629)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loss attributable to common stockholders</w:t>
            </w:r>
          </w:p>
        </w:tc>
        <w:tc>
          <w:tcPr>
            <w:tcW w:w="2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(108,352)</w:t>
            </w:r>
          </w:p>
        </w:tc>
        <w:tc>
          <w:tcPr>
            <w:tcW w:w="2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(141,343)</w:t>
            </w:r>
          </w:p>
        </w:tc>
        <w:tc>
          <w:tcPr>
            <w:tcW w:w="180" w:type="dxa"/>
            <w:vAlign w:val="bottom"/>
            <w:gridSpan w:val="2"/>
            <w:shd w:val="clear" w:color="auto" w:fill="CCEEFF"/>
          </w:tcPr>
          <w:p>
            <w:pPr>
              <w:jc w:val="center"/>
              <w:ind w:right="2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(99,626)</w:t>
            </w:r>
          </w:p>
        </w:tc>
        <w:tc>
          <w:tcPr>
            <w:tcW w:w="2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(108,817)</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Net loss per share attributable to common stockholders, basic and diluted</w:t>
            </w:r>
            <w:r>
              <w:rPr>
                <w:rFonts w:ascii="Arial" w:cs="Arial" w:eastAsia="Arial" w:hAnsi="Arial"/>
                <w:sz w:val="10"/>
                <w:szCs w:val="10"/>
                <w:color w:val="auto"/>
              </w:rPr>
              <w:t>(2)</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20" w:type="dxa"/>
            <w:vAlign w:val="bottom"/>
            <w:gridSpan w:val="2"/>
            <w:vMerge w:val="continue"/>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highlight w:val="white"/>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(2.73)</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(3.38)</w:t>
            </w:r>
          </w:p>
        </w:tc>
        <w:tc>
          <w:tcPr>
            <w:tcW w:w="180" w:type="dxa"/>
            <w:vAlign w:val="bottom"/>
            <w:gridSpan w:val="2"/>
          </w:tcPr>
          <w:p>
            <w:pPr>
              <w:jc w:val="center"/>
              <w:ind w:right="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(2.40)</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Weighted-average shares used in computing net loss per share attributable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 common stockholders, basic and diluted</w:t>
            </w:r>
            <w:r>
              <w:rPr>
                <w:rFonts w:ascii="Arial" w:cs="Arial" w:eastAsia="Arial" w:hAnsi="Arial"/>
                <w:sz w:val="10"/>
                <w:szCs w:val="10"/>
                <w:color w:val="auto"/>
              </w:rPr>
              <w:t>(2)</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39,706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41,876</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41,483</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44,344</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4"/>
                <w:szCs w:val="14"/>
                <w:color w:val="auto"/>
              </w:rPr>
              <w:t>Pro forma net loss per share, basic and diluted (unaudited)</w:t>
            </w:r>
            <w:r>
              <w:rPr>
                <w:rFonts w:ascii="Arial" w:cs="Arial" w:eastAsia="Arial" w:hAnsi="Arial"/>
                <w:sz w:val="10"/>
                <w:szCs w:val="10"/>
                <w:color w:val="auto"/>
              </w:rPr>
              <w:t>(2)</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(0.89)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49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Weighted-average shares used in computing pro forma net loss per share,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 and diluted (unaudited)</w:t>
            </w:r>
            <w:r>
              <w:rPr>
                <w:rFonts w:ascii="Arial" w:cs="Arial" w:eastAsia="Arial" w:hAnsi="Arial"/>
                <w:sz w:val="10"/>
                <w:szCs w:val="10"/>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152,049</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169,023</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43" w:right="5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7265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(1)</w:t>
            </w:r>
          </w:p>
        </w:tc>
        <w:tc>
          <w:tcPr>
            <w:tcW w:w="4960" w:type="dxa"/>
            <w:vAlign w:val="bottom"/>
            <w:gridSpan w:val="2"/>
          </w:tcPr>
          <w:p>
            <w:pPr>
              <w:ind w:left="180"/>
              <w:spacing w:after="0"/>
              <w:rPr>
                <w:sz w:val="20"/>
                <w:szCs w:val="20"/>
                <w:color w:val="auto"/>
              </w:rPr>
            </w:pPr>
            <w:r>
              <w:rPr>
                <w:rFonts w:ascii="Arial" w:cs="Arial" w:eastAsia="Arial" w:hAnsi="Arial"/>
                <w:sz w:val="14"/>
                <w:szCs w:val="14"/>
                <w:color w:val="auto"/>
              </w:rPr>
              <w:t>Includes stock-based compensation expense as follows: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50"/>
        </w:trPr>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2"/>
        </w:trPr>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80" w:type="dxa"/>
            <w:vAlign w:val="bottom"/>
            <w:shd w:val="clear" w:color="auto" w:fill="CCEEFF"/>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4960" w:type="dxa"/>
            <w:vAlign w:val="bottom"/>
            <w:gridSpan w:val="2"/>
          </w:tcPr>
          <w:p>
            <w:pPr>
              <w:ind w:left="1260"/>
              <w:spacing w:after="0"/>
              <w:rPr>
                <w:sz w:val="20"/>
                <w:szCs w:val="20"/>
                <w:color w:val="auto"/>
              </w:rPr>
            </w:pPr>
            <w:r>
              <w:rPr>
                <w:rFonts w:ascii="Arial" w:cs="Arial" w:eastAsia="Arial" w:hAnsi="Arial"/>
                <w:sz w:val="14"/>
                <w:szCs w:val="14"/>
                <w:color w:val="auto"/>
              </w:rPr>
              <w:t>Sales and marketing</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1,386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3,942</w:t>
            </w:r>
          </w:p>
        </w:tc>
        <w:tc>
          <w:tcPr>
            <w:tcW w:w="18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7,230</w:t>
            </w:r>
          </w:p>
        </w:tc>
        <w:tc>
          <w:tcPr>
            <w:tcW w:w="180" w:type="dxa"/>
            <w:vAlign w:val="bottom"/>
            <w:shd w:val="clear" w:color="auto" w:fill="CCEEFF"/>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4960" w:type="dxa"/>
            <w:vAlign w:val="bottom"/>
            <w:gridSpan w:val="2"/>
          </w:tcPr>
          <w:p>
            <w:pPr>
              <w:ind w:left="1260"/>
              <w:spacing w:after="0"/>
              <w:rPr>
                <w:sz w:val="20"/>
                <w:szCs w:val="20"/>
                <w:color w:val="auto"/>
              </w:rPr>
            </w:pPr>
            <w:r>
              <w:rPr>
                <w:rFonts w:ascii="Arial" w:cs="Arial" w:eastAsia="Arial" w:hAnsi="Arial"/>
                <w:sz w:val="14"/>
                <w:szCs w:val="14"/>
                <w:color w:val="auto"/>
              </w:rPr>
              <w:t>General and administrative</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5,541</w:t>
            </w:r>
          </w:p>
        </w:tc>
        <w:tc>
          <w:tcPr>
            <w:tcW w:w="180" w:type="dxa"/>
            <w:vAlign w:val="bottom"/>
          </w:tcPr>
          <w:p>
            <w:pPr>
              <w:spacing w:after="0"/>
              <w:rPr>
                <w:sz w:val="14"/>
                <w:szCs w:val="14"/>
                <w:color w:val="auto"/>
              </w:rPr>
            </w:pPr>
          </w:p>
        </w:tc>
      </w:tr>
      <w:tr>
        <w:trPr>
          <w:trHeight w:val="156"/>
        </w:trPr>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7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stock-based compensation expense</w:t>
            </w:r>
          </w:p>
        </w:tc>
        <w:tc>
          <w:tcPr>
            <w:tcW w:w="8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1,994</w:t>
            </w:r>
          </w:p>
        </w:tc>
        <w:tc>
          <w:tcPr>
            <w:tcW w:w="2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12,343</w:t>
            </w:r>
          </w:p>
        </w:tc>
        <w:tc>
          <w:tcPr>
            <w:tcW w:w="2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11,005</w:t>
            </w:r>
          </w:p>
        </w:tc>
        <w:tc>
          <w:tcPr>
            <w:tcW w:w="3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17,403</w:t>
            </w:r>
          </w:p>
        </w:tc>
        <w:tc>
          <w:tcPr>
            <w:tcW w:w="180" w:type="dxa"/>
            <w:vAlign w:val="bottom"/>
            <w:shd w:val="clear" w:color="auto" w:fill="CCEEFF"/>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1" w:lineRule="exact"/>
        <w:rPr>
          <w:sz w:val="20"/>
          <w:szCs w:val="20"/>
          <w:color w:val="auto"/>
        </w:rPr>
      </w:pPr>
    </w:p>
    <w:p>
      <w:pPr>
        <w:ind w:left="780" w:right="120" w:hanging="538"/>
        <w:spacing w:after="0" w:line="249" w:lineRule="auto"/>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Note 2 and Note 15 to our consolidated financial statements elsewhere in this prospectus for an explanation of the method used to calculate our basic and diluted net loss per share attributable to our common stockholders, our basic and diluted pro forma net loss per share, and the weighted-average number of shares used in the computation of the per share amounts.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8"/>
          </w:tcPr>
          <w:p>
            <w:pPr>
              <w:ind w:left="660"/>
              <w:spacing w:after="0"/>
              <w:rPr>
                <w:sz w:val="20"/>
                <w:szCs w:val="20"/>
                <w:color w:val="auto"/>
              </w:rPr>
            </w:pPr>
            <w:r>
              <w:rPr>
                <w:rFonts w:ascii="Arial" w:cs="Arial" w:eastAsia="Arial" w:hAnsi="Arial"/>
                <w:sz w:val="14"/>
                <w:szCs w:val="14"/>
                <w:b w:val="1"/>
                <w:bCs w:val="1"/>
                <w:color w:val="auto"/>
              </w:rPr>
              <w:t>As of October 31, 2018</w:t>
            </w: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As</w:t>
            </w:r>
          </w:p>
        </w:tc>
      </w:tr>
      <w:tr>
        <w:trPr>
          <w:trHeight w:val="209"/>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8"/>
                <w:szCs w:val="18"/>
                <w:color w:val="auto"/>
              </w:rPr>
            </w:pPr>
          </w:p>
        </w:tc>
        <w:tc>
          <w:tcPr>
            <w:tcW w:w="2260" w:type="dxa"/>
            <w:vAlign w:val="bottom"/>
            <w:gridSpan w:val="5"/>
          </w:tcPr>
          <w:p>
            <w:pPr>
              <w:ind w:left="6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0"/>
                <w:szCs w:val="10"/>
                <w:b w:val="1"/>
                <w:bCs w:val="1"/>
                <w:color w:val="auto"/>
              </w:rPr>
              <w:t>(1)</w:t>
            </w:r>
            <w:r>
              <w:rPr>
                <w:rFonts w:ascii="Arial" w:cs="Arial" w:eastAsia="Arial" w:hAnsi="Arial"/>
                <w:sz w:val="14"/>
                <w:szCs w:val="14"/>
                <w:b w:val="1"/>
                <w:bCs w:val="1"/>
                <w:color w:val="auto"/>
              </w:rPr>
              <w:t xml:space="preserve">    Adjusted</w:t>
            </w:r>
            <w:r>
              <w:rPr>
                <w:rFonts w:ascii="Arial" w:cs="Arial" w:eastAsia="Arial" w:hAnsi="Arial"/>
                <w:sz w:val="10"/>
                <w:szCs w:val="10"/>
                <w:b w:val="1"/>
                <w:bCs w:val="1"/>
                <w:color w:val="auto"/>
              </w:rPr>
              <w:t>(2)(3)</w:t>
            </w: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(in thousands)</w:t>
            </w:r>
          </w:p>
        </w:tc>
        <w:tc>
          <w:tcPr>
            <w:tcW w:w="1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83,462</w:t>
            </w:r>
          </w:p>
        </w:tc>
        <w:tc>
          <w:tcPr>
            <w:tcW w:w="80" w:type="dxa"/>
            <w:vAlign w:val="bottom"/>
          </w:tcPr>
          <w:p>
            <w:pPr>
              <w:spacing w:after="0"/>
              <w:rPr>
                <w:sz w:val="17"/>
                <w:szCs w:val="17"/>
                <w:color w:val="auto"/>
              </w:rPr>
            </w:pPr>
          </w:p>
        </w:tc>
        <w:tc>
          <w:tcPr>
            <w:tcW w:w="2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83,462</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42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Working capital</w:t>
            </w:r>
            <w:r>
              <w:rPr>
                <w:rFonts w:ascii="Arial" w:cs="Arial" w:eastAsia="Arial" w:hAnsi="Arial"/>
                <w:sz w:val="28"/>
                <w:szCs w:val="28"/>
                <w:color w:val="auto"/>
                <w:vertAlign w:val="superscript"/>
              </w:rPr>
              <w:t>(4)</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81,885</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02"/>
        </w:trPr>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Total assets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389,554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389,554</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revenue, current and noncurrent</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231,169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231,169</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4220" w:type="dxa"/>
            <w:vAlign w:val="bottom"/>
            <w:gridSpan w:val="3"/>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557,912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right"/>
              <w:ind w:right="12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(487,866)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(490,272)</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4"/>
        </w:trPr>
        <w:tc>
          <w:tcPr>
            <w:tcW w:w="4220" w:type="dxa"/>
            <w:vAlign w:val="bottom"/>
            <w:gridSpan w:val="3"/>
          </w:tcPr>
          <w:p>
            <w:pPr>
              <w:spacing w:after="0"/>
              <w:rPr>
                <w:sz w:val="20"/>
                <w:szCs w:val="20"/>
                <w:color w:val="auto"/>
              </w:rPr>
            </w:pPr>
            <w:r>
              <w:rPr>
                <w:rFonts w:ascii="Arial" w:cs="Arial" w:eastAsia="Arial" w:hAnsi="Arial"/>
                <w:sz w:val="18"/>
                <w:szCs w:val="18"/>
                <w:color w:val="auto"/>
              </w:rPr>
              <w:t>Total stockholders' equity (deficit)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(461,353)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100,456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21" w:lineRule="exact"/>
        <w:rPr>
          <w:sz w:val="20"/>
          <w:szCs w:val="20"/>
          <w:color w:val="auto"/>
        </w:rPr>
      </w:pPr>
    </w:p>
    <w:p>
      <w:pPr>
        <w:ind w:left="1860" w:right="40" w:hanging="542"/>
        <w:spacing w:after="0" w:line="241" w:lineRule="auto"/>
        <w:tabs>
          <w:tab w:leader="none" w:pos="18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 forma column in the balance sheet data above reflects (i) the automatic conversion of an aggregate of 131,267,586 shares of our outstanding redeemable convertible preferred stock into an equivalent number of common stock immediately prior to the completion of this offering, (ii) the automatic conversion of the redeemable convertible preferred stock warrants to common stock warrants, and the resulting reclassification of the redeemable convertible preferred stock warrant liability to additional paid-in-capital, (iii) stock-based compensation expense of approximately $2.4 million associated with RSUs subject to service-based and performance-based vesting conditions, which we will</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9320" w:type="dxa"/>
            <w:vAlign w:val="bottom"/>
            <w:gridSpan w:val="5"/>
          </w:tcPr>
          <w:p>
            <w:pPr>
              <w:ind w:left="180"/>
              <w:spacing w:after="0"/>
              <w:rPr>
                <w:sz w:val="20"/>
                <w:szCs w:val="20"/>
                <w:color w:val="auto"/>
              </w:rPr>
            </w:pPr>
            <w:r>
              <w:rPr>
                <w:rFonts w:ascii="Arial" w:cs="Arial" w:eastAsia="Arial" w:hAnsi="Arial"/>
                <w:sz w:val="14"/>
                <w:szCs w:val="14"/>
                <w:color w:val="auto"/>
              </w:rPr>
              <w:t>recognize upon the completion of this offering, as further described in Note 2 to our consolidated financial statements included elsewhere in this</w:t>
            </w:r>
          </w:p>
        </w:tc>
      </w:tr>
      <w:tr>
        <w:trPr>
          <w:trHeight w:val="162"/>
        </w:trPr>
        <w:tc>
          <w:tcPr>
            <w:tcW w:w="360" w:type="dxa"/>
            <w:vAlign w:val="bottom"/>
          </w:tcPr>
          <w:p>
            <w:pPr>
              <w:spacing w:after="0"/>
              <w:rPr>
                <w:sz w:val="14"/>
                <w:szCs w:val="14"/>
                <w:color w:val="auto"/>
              </w:rPr>
            </w:pPr>
          </w:p>
        </w:tc>
        <w:tc>
          <w:tcPr>
            <w:tcW w:w="7720" w:type="dxa"/>
            <w:vAlign w:val="bottom"/>
            <w:gridSpan w:val="4"/>
          </w:tcPr>
          <w:p>
            <w:pPr>
              <w:ind w:left="180"/>
              <w:spacing w:after="0"/>
              <w:rPr>
                <w:sz w:val="20"/>
                <w:szCs w:val="20"/>
                <w:color w:val="auto"/>
              </w:rPr>
            </w:pPr>
            <w:r>
              <w:rPr>
                <w:rFonts w:ascii="Arial" w:cs="Arial" w:eastAsia="Arial" w:hAnsi="Arial"/>
                <w:sz w:val="14"/>
                <w:szCs w:val="14"/>
                <w:color w:val="auto"/>
              </w:rPr>
              <w:t>prospectus, and (iv) the filing and effectiveness of our amended and restated certificate of incorporation in Delaware.</w:t>
            </w:r>
          </w:p>
        </w:tc>
        <w:tc>
          <w:tcPr>
            <w:tcW w:w="1600" w:type="dxa"/>
            <w:vAlign w:val="bottom"/>
          </w:tcPr>
          <w:p>
            <w:pPr>
              <w:spacing w:after="0"/>
              <w:rPr>
                <w:sz w:val="14"/>
                <w:szCs w:val="14"/>
                <w:color w:val="auto"/>
              </w:rPr>
            </w:pPr>
          </w:p>
        </w:tc>
      </w:tr>
      <w:tr>
        <w:trPr>
          <w:trHeight w:val="16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(2)</w:t>
            </w:r>
          </w:p>
        </w:tc>
        <w:tc>
          <w:tcPr>
            <w:tcW w:w="4620" w:type="dxa"/>
            <w:vAlign w:val="bottom"/>
            <w:gridSpan w:val="2"/>
          </w:tcPr>
          <w:p>
            <w:pPr>
              <w:ind w:left="180"/>
              <w:spacing w:after="0"/>
              <w:rPr>
                <w:sz w:val="20"/>
                <w:szCs w:val="20"/>
                <w:color w:val="auto"/>
              </w:rPr>
            </w:pPr>
            <w:r>
              <w:rPr>
                <w:rFonts w:ascii="Arial" w:cs="Arial" w:eastAsia="Arial" w:hAnsi="Arial"/>
                <w:sz w:val="14"/>
                <w:szCs w:val="14"/>
                <w:color w:val="auto"/>
              </w:rPr>
              <w:t>The pro forma as adjusted column further reflects the receipt of $</w:t>
            </w:r>
          </w:p>
        </w:tc>
        <w:tc>
          <w:tcPr>
            <w:tcW w:w="3100" w:type="dxa"/>
            <w:vAlign w:val="bottom"/>
            <w:gridSpan w:val="2"/>
          </w:tcPr>
          <w:p>
            <w:pPr>
              <w:ind w:left="260"/>
              <w:spacing w:after="0"/>
              <w:rPr>
                <w:sz w:val="20"/>
                <w:szCs w:val="20"/>
                <w:color w:val="auto"/>
              </w:rPr>
            </w:pPr>
            <w:r>
              <w:rPr>
                <w:rFonts w:ascii="Arial" w:cs="Arial" w:eastAsia="Arial" w:hAnsi="Arial"/>
                <w:sz w:val="14"/>
                <w:szCs w:val="14"/>
                <w:color w:val="auto"/>
              </w:rPr>
              <w:t>million in net proceeds from our sale of</w:t>
            </w: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shares of common</w:t>
            </w:r>
          </w:p>
        </w:tc>
      </w:tr>
      <w:tr>
        <w:trPr>
          <w:trHeight w:val="162"/>
        </w:trPr>
        <w:tc>
          <w:tcPr>
            <w:tcW w:w="360" w:type="dxa"/>
            <w:vAlign w:val="bottom"/>
          </w:tcPr>
          <w:p>
            <w:pPr>
              <w:spacing w:after="0"/>
              <w:rPr>
                <w:sz w:val="14"/>
                <w:szCs w:val="14"/>
                <w:color w:val="auto"/>
              </w:rPr>
            </w:pPr>
          </w:p>
        </w:tc>
        <w:tc>
          <w:tcPr>
            <w:tcW w:w="4620" w:type="dxa"/>
            <w:vAlign w:val="bottom"/>
            <w:gridSpan w:val="2"/>
          </w:tcPr>
          <w:p>
            <w:pPr>
              <w:ind w:left="180"/>
              <w:spacing w:after="0"/>
              <w:rPr>
                <w:sz w:val="20"/>
                <w:szCs w:val="20"/>
                <w:color w:val="auto"/>
              </w:rPr>
            </w:pPr>
            <w:r>
              <w:rPr>
                <w:rFonts w:ascii="Arial" w:cs="Arial" w:eastAsia="Arial" w:hAnsi="Arial"/>
                <w:sz w:val="14"/>
                <w:szCs w:val="14"/>
                <w:color w:val="auto"/>
              </w:rPr>
              <w:t>stock in this offering at an assumed initial public offering price of $</w:t>
            </w:r>
          </w:p>
        </w:tc>
        <w:tc>
          <w:tcPr>
            <w:tcW w:w="4700" w:type="dxa"/>
            <w:vAlign w:val="bottom"/>
            <w:gridSpan w:val="3"/>
          </w:tcPr>
          <w:p>
            <w:pPr>
              <w:jc w:val="right"/>
              <w:ind w:right="8"/>
              <w:spacing w:after="0"/>
              <w:rPr>
                <w:sz w:val="20"/>
                <w:szCs w:val="20"/>
                <w:color w:val="auto"/>
              </w:rPr>
            </w:pPr>
            <w:r>
              <w:rPr>
                <w:rFonts w:ascii="Arial" w:cs="Arial" w:eastAsia="Arial" w:hAnsi="Arial"/>
                <w:sz w:val="14"/>
                <w:szCs w:val="14"/>
                <w:color w:val="auto"/>
              </w:rPr>
              <w:t>per share, which is the midpoint of the estimated offering price range</w:t>
            </w:r>
          </w:p>
        </w:tc>
      </w:tr>
      <w:tr>
        <w:trPr>
          <w:trHeight w:val="162"/>
        </w:trPr>
        <w:tc>
          <w:tcPr>
            <w:tcW w:w="360" w:type="dxa"/>
            <w:vAlign w:val="bottom"/>
          </w:tcPr>
          <w:p>
            <w:pPr>
              <w:spacing w:after="0"/>
              <w:rPr>
                <w:sz w:val="14"/>
                <w:szCs w:val="14"/>
                <w:color w:val="auto"/>
              </w:rPr>
            </w:pPr>
          </w:p>
        </w:tc>
        <w:tc>
          <w:tcPr>
            <w:tcW w:w="9320" w:type="dxa"/>
            <w:vAlign w:val="bottom"/>
            <w:gridSpan w:val="5"/>
          </w:tcPr>
          <w:p>
            <w:pPr>
              <w:ind w:left="180"/>
              <w:spacing w:after="0"/>
              <w:rPr>
                <w:sz w:val="20"/>
                <w:szCs w:val="20"/>
                <w:color w:val="auto"/>
              </w:rPr>
            </w:pPr>
            <w:r>
              <w:rPr>
                <w:rFonts w:ascii="Arial" w:cs="Arial" w:eastAsia="Arial" w:hAnsi="Arial"/>
                <w:sz w:val="14"/>
                <w:szCs w:val="14"/>
                <w:color w:val="auto"/>
              </w:rPr>
              <w:t>set forth on the cover page of this prospectus, and after deducting estimated underwriting discounts and commissions and estimated offering</w:t>
            </w:r>
          </w:p>
        </w:tc>
      </w:tr>
      <w:tr>
        <w:trPr>
          <w:trHeight w:val="162"/>
        </w:trPr>
        <w:tc>
          <w:tcPr>
            <w:tcW w:w="36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Arial" w:cs="Arial" w:eastAsia="Arial" w:hAnsi="Arial"/>
                <w:sz w:val="14"/>
                <w:szCs w:val="14"/>
                <w:color w:val="auto"/>
              </w:rPr>
              <w:t>expenses payable by us.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(3)</w:t>
            </w:r>
          </w:p>
        </w:tc>
        <w:tc>
          <w:tcPr>
            <w:tcW w:w="5400" w:type="dxa"/>
            <w:vAlign w:val="bottom"/>
            <w:gridSpan w:val="3"/>
          </w:tcPr>
          <w:p>
            <w:pPr>
              <w:ind w:left="18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3920" w:type="dxa"/>
            <w:vAlign w:val="bottom"/>
            <w:gridSpan w:val="2"/>
          </w:tcPr>
          <w:p>
            <w:pPr>
              <w:jc w:val="right"/>
              <w:spacing w:after="0"/>
              <w:rPr>
                <w:sz w:val="20"/>
                <w:szCs w:val="20"/>
                <w:color w:val="auto"/>
              </w:rPr>
            </w:pPr>
            <w:r>
              <w:rPr>
                <w:rFonts w:ascii="Arial" w:cs="Arial" w:eastAsia="Arial" w:hAnsi="Arial"/>
                <w:sz w:val="14"/>
                <w:szCs w:val="14"/>
                <w:color w:val="auto"/>
              </w:rPr>
              <w:t>per share, which is the midpoint of the assumed offering</w:t>
            </w:r>
          </w:p>
        </w:tc>
      </w:tr>
      <w:tr>
        <w:trPr>
          <w:trHeight w:val="162"/>
        </w:trPr>
        <w:tc>
          <w:tcPr>
            <w:tcW w:w="360" w:type="dxa"/>
            <w:vAlign w:val="bottom"/>
          </w:tcPr>
          <w:p>
            <w:pPr>
              <w:spacing w:after="0"/>
              <w:rPr>
                <w:sz w:val="14"/>
                <w:szCs w:val="14"/>
                <w:color w:val="auto"/>
              </w:rPr>
            </w:pPr>
          </w:p>
        </w:tc>
        <w:tc>
          <w:tcPr>
            <w:tcW w:w="9320" w:type="dxa"/>
            <w:vAlign w:val="bottom"/>
            <w:gridSpan w:val="5"/>
          </w:tcPr>
          <w:p>
            <w:pPr>
              <w:ind w:left="180"/>
              <w:spacing w:after="0"/>
              <w:rPr>
                <w:sz w:val="20"/>
                <w:szCs w:val="20"/>
                <w:color w:val="auto"/>
              </w:rPr>
            </w:pPr>
            <w:r>
              <w:rPr>
                <w:rFonts w:ascii="Arial" w:cs="Arial" w:eastAsia="Arial" w:hAnsi="Arial"/>
                <w:sz w:val="14"/>
                <w:szCs w:val="14"/>
                <w:color w:val="auto"/>
              </w:rPr>
              <w:t>price range set forth on the cover of this prospectus, would increase or decrease, as applicable the amount of our pro forma cash and cash</w:t>
            </w:r>
          </w:p>
        </w:tc>
      </w:tr>
      <w:tr>
        <w:trPr>
          <w:trHeight w:val="162"/>
        </w:trPr>
        <w:tc>
          <w:tcPr>
            <w:tcW w:w="360" w:type="dxa"/>
            <w:vAlign w:val="bottom"/>
          </w:tcPr>
          <w:p>
            <w:pPr>
              <w:spacing w:after="0"/>
              <w:rPr>
                <w:sz w:val="14"/>
                <w:szCs w:val="14"/>
                <w:color w:val="auto"/>
              </w:rPr>
            </w:pPr>
          </w:p>
        </w:tc>
        <w:tc>
          <w:tcPr>
            <w:tcW w:w="5400" w:type="dxa"/>
            <w:vAlign w:val="bottom"/>
            <w:gridSpan w:val="3"/>
          </w:tcPr>
          <w:p>
            <w:pPr>
              <w:ind w:left="180"/>
              <w:spacing w:after="0"/>
              <w:rPr>
                <w:sz w:val="20"/>
                <w:szCs w:val="20"/>
                <w:color w:val="auto"/>
              </w:rPr>
            </w:pPr>
            <w:r>
              <w:rPr>
                <w:rFonts w:ascii="Arial" w:cs="Arial" w:eastAsia="Arial" w:hAnsi="Arial"/>
                <w:sz w:val="14"/>
                <w:szCs w:val="14"/>
                <w:color w:val="auto"/>
              </w:rPr>
              <w:t>equivalents, working capital, total assets, and total stockholders' equity by $</w:t>
            </w:r>
          </w:p>
        </w:tc>
        <w:tc>
          <w:tcPr>
            <w:tcW w:w="3920" w:type="dxa"/>
            <w:vAlign w:val="bottom"/>
            <w:gridSpan w:val="2"/>
          </w:tcPr>
          <w:p>
            <w:pPr>
              <w:jc w:val="right"/>
              <w:ind w:right="8"/>
              <w:spacing w:after="0"/>
              <w:rPr>
                <w:sz w:val="20"/>
                <w:szCs w:val="20"/>
                <w:color w:val="auto"/>
              </w:rPr>
            </w:pPr>
            <w:r>
              <w:rPr>
                <w:rFonts w:ascii="Arial" w:cs="Arial" w:eastAsia="Arial" w:hAnsi="Arial"/>
                <w:sz w:val="14"/>
                <w:szCs w:val="14"/>
                <w:color w:val="auto"/>
              </w:rPr>
              <w:t>million, assuming that the number of shares offered by us,</w:t>
            </w:r>
          </w:p>
        </w:tc>
      </w:tr>
      <w:tr>
        <w:trPr>
          <w:trHeight w:val="162"/>
        </w:trPr>
        <w:tc>
          <w:tcPr>
            <w:tcW w:w="360" w:type="dxa"/>
            <w:vAlign w:val="bottom"/>
          </w:tcPr>
          <w:p>
            <w:pPr>
              <w:spacing w:after="0"/>
              <w:rPr>
                <w:sz w:val="14"/>
                <w:szCs w:val="14"/>
                <w:color w:val="auto"/>
              </w:rPr>
            </w:pPr>
          </w:p>
        </w:tc>
        <w:tc>
          <w:tcPr>
            <w:tcW w:w="9320" w:type="dxa"/>
            <w:vAlign w:val="bottom"/>
            <w:gridSpan w:val="5"/>
          </w:tcPr>
          <w:p>
            <w:pPr>
              <w:ind w:left="180"/>
              <w:spacing w:after="0"/>
              <w:rPr>
                <w:sz w:val="20"/>
                <w:szCs w:val="20"/>
                <w:color w:val="auto"/>
              </w:rPr>
            </w:pPr>
            <w:r>
              <w:rPr>
                <w:rFonts w:ascii="Arial" w:cs="Arial" w:eastAsia="Arial" w:hAnsi="Arial"/>
                <w:sz w:val="14"/>
                <w:szCs w:val="14"/>
                <w:color w:val="auto"/>
              </w:rPr>
              <w:t>as set forth on the cover page of this prospectus, remains the same, after deducting estimated underwriting discounts and commissions</w:t>
            </w:r>
          </w:p>
        </w:tc>
      </w:tr>
      <w:tr>
        <w:trPr>
          <w:trHeight w:val="162"/>
        </w:trPr>
        <w:tc>
          <w:tcPr>
            <w:tcW w:w="360" w:type="dxa"/>
            <w:vAlign w:val="bottom"/>
          </w:tcPr>
          <w:p>
            <w:pPr>
              <w:spacing w:after="0"/>
              <w:rPr>
                <w:sz w:val="14"/>
                <w:szCs w:val="14"/>
                <w:color w:val="auto"/>
              </w:rPr>
            </w:pPr>
          </w:p>
        </w:tc>
        <w:tc>
          <w:tcPr>
            <w:tcW w:w="9320" w:type="dxa"/>
            <w:vAlign w:val="bottom"/>
            <w:gridSpan w:val="5"/>
          </w:tcPr>
          <w:p>
            <w:pPr>
              <w:ind w:left="180"/>
              <w:spacing w:after="0"/>
              <w:rPr>
                <w:sz w:val="20"/>
                <w:szCs w:val="20"/>
                <w:color w:val="auto"/>
              </w:rPr>
            </w:pPr>
            <w:r>
              <w:rPr>
                <w:rFonts w:ascii="Arial" w:cs="Arial" w:eastAsia="Arial" w:hAnsi="Arial"/>
                <w:sz w:val="14"/>
                <w:szCs w:val="14"/>
                <w:color w:val="auto"/>
              </w:rPr>
              <w:t>payable by us. We may also increase or decrease the number of shares we are offering. An increase or decrease of 1.0 million shares in the</w:t>
            </w:r>
          </w:p>
        </w:tc>
      </w:tr>
      <w:tr>
        <w:trPr>
          <w:trHeight w:val="162"/>
        </w:trPr>
        <w:tc>
          <w:tcPr>
            <w:tcW w:w="360" w:type="dxa"/>
            <w:vAlign w:val="bottom"/>
          </w:tcPr>
          <w:p>
            <w:pPr>
              <w:spacing w:after="0"/>
              <w:rPr>
                <w:sz w:val="14"/>
                <w:szCs w:val="14"/>
                <w:color w:val="auto"/>
              </w:rPr>
            </w:pPr>
          </w:p>
        </w:tc>
        <w:tc>
          <w:tcPr>
            <w:tcW w:w="9320" w:type="dxa"/>
            <w:vAlign w:val="bottom"/>
            <w:gridSpan w:val="5"/>
          </w:tcPr>
          <w:p>
            <w:pPr>
              <w:ind w:left="180"/>
              <w:spacing w:after="0"/>
              <w:rPr>
                <w:sz w:val="20"/>
                <w:szCs w:val="20"/>
                <w:color w:val="auto"/>
              </w:rPr>
            </w:pPr>
            <w:r>
              <w:rPr>
                <w:rFonts w:ascii="Arial" w:cs="Arial" w:eastAsia="Arial" w:hAnsi="Arial"/>
                <w:sz w:val="14"/>
                <w:szCs w:val="14"/>
                <w:color w:val="auto"/>
              </w:rPr>
              <w:t>number of shares offered by us would increase or decrease, as applicable, the amount of our pro forma cash and cash equivalents, working</w:t>
            </w:r>
          </w:p>
        </w:tc>
      </w:tr>
      <w:tr>
        <w:trPr>
          <w:trHeight w:val="162"/>
        </w:trPr>
        <w:tc>
          <w:tcPr>
            <w:tcW w:w="360" w:type="dxa"/>
            <w:vAlign w:val="bottom"/>
          </w:tcPr>
          <w:p>
            <w:pPr>
              <w:spacing w:after="0"/>
              <w:rPr>
                <w:sz w:val="14"/>
                <w:szCs w:val="14"/>
                <w:color w:val="auto"/>
              </w:rPr>
            </w:pPr>
          </w:p>
        </w:tc>
        <w:tc>
          <w:tcPr>
            <w:tcW w:w="3920" w:type="dxa"/>
            <w:vAlign w:val="bottom"/>
          </w:tcPr>
          <w:p>
            <w:pPr>
              <w:ind w:left="180"/>
              <w:spacing w:after="0"/>
              <w:rPr>
                <w:sz w:val="20"/>
                <w:szCs w:val="20"/>
                <w:color w:val="auto"/>
              </w:rPr>
            </w:pPr>
            <w:r>
              <w:rPr>
                <w:rFonts w:ascii="Arial" w:cs="Arial" w:eastAsia="Arial" w:hAnsi="Arial"/>
                <w:sz w:val="14"/>
                <w:szCs w:val="14"/>
                <w:color w:val="auto"/>
              </w:rPr>
              <w:t>capital, total assets, and total stockholders' equity by $</w:t>
            </w:r>
          </w:p>
        </w:tc>
        <w:tc>
          <w:tcPr>
            <w:tcW w:w="5400" w:type="dxa"/>
            <w:vAlign w:val="bottom"/>
            <w:gridSpan w:val="4"/>
          </w:tcPr>
          <w:p>
            <w:pPr>
              <w:jc w:val="right"/>
              <w:ind w:right="208"/>
              <w:spacing w:after="0"/>
              <w:rPr>
                <w:sz w:val="20"/>
                <w:szCs w:val="20"/>
                <w:color w:val="auto"/>
              </w:rPr>
            </w:pPr>
            <w:r>
              <w:rPr>
                <w:rFonts w:ascii="Arial" w:cs="Arial" w:eastAsia="Arial" w:hAnsi="Arial"/>
                <w:sz w:val="14"/>
                <w:szCs w:val="14"/>
                <w:color w:val="auto"/>
              </w:rPr>
              <w:t>million, assuming the assumed initial public offering price remains the same,</w:t>
            </w:r>
          </w:p>
        </w:tc>
      </w:tr>
    </w:tbl>
    <w:p>
      <w:pPr>
        <w:ind w:left="1860"/>
        <w:spacing w:after="0"/>
        <w:rPr>
          <w:sz w:val="20"/>
          <w:szCs w:val="20"/>
          <w:color w:val="auto"/>
        </w:rPr>
      </w:pPr>
      <w:r>
        <w:rPr>
          <w:rFonts w:ascii="Arial" w:cs="Arial" w:eastAsia="Arial" w:hAnsi="Arial"/>
          <w:sz w:val="14"/>
          <w:szCs w:val="14"/>
          <w:color w:val="auto"/>
        </w:rPr>
        <w:t>and after deducting estimated underwriting discounts and commissions.</w:t>
      </w:r>
    </w:p>
    <w:p>
      <w:pPr>
        <w:spacing w:after="0" w:line="1" w:lineRule="exact"/>
        <w:rPr>
          <w:sz w:val="20"/>
          <w:szCs w:val="20"/>
          <w:color w:val="auto"/>
        </w:rPr>
      </w:pPr>
    </w:p>
    <w:p>
      <w:pPr>
        <w:ind w:left="1860" w:hanging="542"/>
        <w:spacing w:after="0"/>
        <w:tabs>
          <w:tab w:leader="none" w:pos="18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left="240" w:right="340" w:firstLine="488"/>
        <w:spacing w:after="0" w:line="239"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43" w:right="5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5962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596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32"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We believe that our ability to increase the number of subscription customers on our platform is an indicator of our market penetration, the growth of our business, and our potential future business opportunities. We have a history of growing the number of customers who subscribe to our Falcon platform, which does not include customers solely of our incident response and proactive services. We have consistently increased the number of subscription customers period-over-period, and we expect this trend to continue as we increase the number of subscription customers who are small and medium sized businesses, and as larger enterprises continue to replace or supplement their legacy on-premise security products. The following table sets forth the number of subscription customers as of the dates presented:</w:t>
      </w:r>
    </w:p>
    <w:p>
      <w:pPr>
        <w:spacing w:after="0" w:line="192"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As of</w:t>
            </w: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As of</w:t>
            </w:r>
          </w:p>
        </w:tc>
      </w:tr>
      <w:tr>
        <w:trPr>
          <w:trHeight w:val="182"/>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January 31,</w:t>
            </w: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Subscription customers</w:t>
            </w:r>
          </w:p>
        </w:tc>
        <w:tc>
          <w:tcPr>
            <w:tcW w:w="4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86"/>
              </w:rPr>
              <w:t>450</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1,242</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843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2,147</w:t>
            </w:r>
          </w:p>
        </w:tc>
        <w:tc>
          <w:tcPr>
            <w:tcW w:w="180" w:type="dxa"/>
            <w:vAlign w:val="bottom"/>
            <w:shd w:val="clear" w:color="auto" w:fill="CCEEFF"/>
          </w:tcPr>
          <w:p>
            <w:pPr>
              <w:spacing w:after="0"/>
              <w:rPr>
                <w:sz w:val="17"/>
                <w:szCs w:val="17"/>
                <w:color w:val="auto"/>
              </w:rPr>
            </w:pPr>
          </w:p>
        </w:tc>
      </w:tr>
      <w:tr>
        <w:trPr>
          <w:trHeight w:val="214"/>
        </w:trPr>
        <w:tc>
          <w:tcPr>
            <w:tcW w:w="5920" w:type="dxa"/>
            <w:vAlign w:val="bottom"/>
            <w:gridSpan w:val="2"/>
          </w:tcPr>
          <w:p>
            <w:pPr>
              <w:spacing w:after="0"/>
              <w:rPr>
                <w:sz w:val="20"/>
                <w:szCs w:val="20"/>
                <w:color w:val="auto"/>
              </w:rPr>
            </w:pPr>
            <w:r>
              <w:rPr>
                <w:rFonts w:ascii="Arial" w:cs="Arial" w:eastAsia="Arial" w:hAnsi="Arial"/>
                <w:sz w:val="18"/>
                <w:szCs w:val="18"/>
                <w:color w:val="auto"/>
              </w:rPr>
              <w:t>Year-over-year growth</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95"/>
              </w:rPr>
              <w:t>173%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176%</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95"/>
              </w:rPr>
              <w:t>135%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r>
    </w:tbl>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Recurring Revenue</w:t>
      </w:r>
    </w:p>
    <w:p>
      <w:pPr>
        <w:spacing w:after="0" w:line="232" w:lineRule="exact"/>
        <w:rPr>
          <w:sz w:val="20"/>
          <w:szCs w:val="20"/>
          <w:color w:val="auto"/>
        </w:rPr>
      </w:pPr>
    </w:p>
    <w:p>
      <w:pPr>
        <w:ind w:left="240" w:right="40" w:firstLine="488"/>
        <w:spacing w:after="0" w:line="237" w:lineRule="auto"/>
        <w:rPr>
          <w:sz w:val="20"/>
          <w:szCs w:val="20"/>
          <w:color w:val="auto"/>
        </w:rPr>
      </w:pPr>
      <w:r>
        <w:rPr>
          <w:rFonts w:ascii="Arial" w:cs="Arial" w:eastAsia="Arial" w:hAnsi="Arial"/>
          <w:sz w:val="18"/>
          <w:szCs w:val="18"/>
          <w:color w:val="auto"/>
        </w:rPr>
        <w:t>We believe that ARR is a key metric to measure our business because it is driven by our ability to acquire new subscription customers and to maintain and expand our relationship with existing subscription customers. ARR is calculated as the annualized value of our customer subscription contracts as of the measurement date, assuming any contract that expires during the next 12 months is renewed on its existing terms. The following table sets forth our ARR as of the dates presented:</w:t>
      </w:r>
    </w:p>
    <w:p>
      <w:pPr>
        <w:spacing w:after="0" w:line="206" w:lineRule="exact"/>
        <w:rPr>
          <w:sz w:val="20"/>
          <w:szCs w:val="20"/>
          <w:color w:val="auto"/>
        </w:rPr>
      </w:pPr>
    </w:p>
    <w:tbl>
      <w:tblPr>
        <w:tblLayout w:type="fixed"/>
        <w:tblInd w:w="13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As of January 31,</w:t>
            </w:r>
          </w:p>
        </w:tc>
        <w:tc>
          <w:tcPr>
            <w:tcW w:w="220" w:type="dxa"/>
            <w:vAlign w:val="bottom"/>
          </w:tcPr>
          <w:p>
            <w:pPr>
              <w:spacing w:after="0"/>
              <w:rPr>
                <w:sz w:val="15"/>
                <w:szCs w:val="15"/>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As of October 31,</w:t>
            </w: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recurring revenue</w:t>
            </w:r>
          </w:p>
        </w:tc>
        <w:tc>
          <w:tcPr>
            <w:tcW w:w="1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58,758</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141,314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113,398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254,152</w:t>
            </w:r>
          </w:p>
        </w:tc>
        <w:tc>
          <w:tcPr>
            <w:tcW w:w="180" w:type="dxa"/>
            <w:vAlign w:val="bottom"/>
            <w:shd w:val="clear" w:color="auto" w:fill="CCEEFF"/>
          </w:tcPr>
          <w:p>
            <w:pPr>
              <w:spacing w:after="0"/>
              <w:rPr>
                <w:sz w:val="17"/>
                <w:szCs w:val="17"/>
                <w:color w:val="auto"/>
              </w:rPr>
            </w:pPr>
          </w:p>
        </w:tc>
      </w:tr>
      <w:tr>
        <w:trPr>
          <w:trHeight w:val="214"/>
        </w:trPr>
        <w:tc>
          <w:tcPr>
            <w:tcW w:w="3060" w:type="dxa"/>
            <w:vAlign w:val="bottom"/>
            <w:gridSpan w:val="2"/>
          </w:tcPr>
          <w:p>
            <w:pPr>
              <w:spacing w:after="0"/>
              <w:rPr>
                <w:sz w:val="20"/>
                <w:szCs w:val="20"/>
                <w:color w:val="auto"/>
              </w:rPr>
            </w:pPr>
            <w:r>
              <w:rPr>
                <w:rFonts w:ascii="Arial" w:cs="Arial" w:eastAsia="Arial" w:hAnsi="Arial"/>
                <w:sz w:val="18"/>
                <w:szCs w:val="18"/>
                <w:color w:val="auto"/>
              </w:rPr>
              <w:t>Year-over-year growth</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bl>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32" w:lineRule="exact"/>
        <w:rPr>
          <w:sz w:val="20"/>
          <w:szCs w:val="20"/>
          <w:color w:val="auto"/>
        </w:rPr>
      </w:pPr>
    </w:p>
    <w:p>
      <w:pPr>
        <w:ind w:left="240" w:right="40" w:firstLine="488"/>
        <w:spacing w:after="0" w:line="235" w:lineRule="auto"/>
        <w:rPr>
          <w:sz w:val="20"/>
          <w:szCs w:val="20"/>
          <w:color w:val="auto"/>
        </w:rPr>
      </w:pPr>
      <w:r>
        <w:rPr>
          <w:rFonts w:ascii="Arial" w:cs="Arial" w:eastAsia="Arial" w:hAnsi="Arial"/>
          <w:sz w:val="18"/>
          <w:szCs w:val="18"/>
          <w:color w:val="auto"/>
        </w:rPr>
        <w:t>We believe that our ability to retain and grow the subscription revenue generated from our existing subscription customers is an indicator of the long-term value of our subscription customer relationships and our potential future business opportunities. We track our performance in this area by measuring our dollar-based net retention rate, which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Since January 2016, our dollar-based net retention rate has consistently exceeded 100%, which is primarily attributable to an expansion of endpoints within, and cross-selling additional cloud modules to, our existing subscription customers. We calculate our dollar-based net retention rate as of a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43" w:right="5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66992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669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arrive at our dollar-based net retention rate. The following table sets forth the dollar-based net retention rates as of the dates presented:</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24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w:t>
            </w:r>
          </w:p>
        </w:tc>
        <w:tc>
          <w:tcPr>
            <w:tcW w:w="126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w:t>
            </w:r>
          </w:p>
        </w:tc>
      </w:tr>
      <w:tr>
        <w:trPr>
          <w:trHeight w:val="182"/>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240" w:type="dxa"/>
            <w:vAlign w:val="bottom"/>
            <w:gridSpan w:val="4"/>
          </w:tcPr>
          <w:p>
            <w:pPr>
              <w:ind w:left="140"/>
              <w:spacing w:after="0"/>
              <w:rPr>
                <w:sz w:val="20"/>
                <w:szCs w:val="20"/>
                <w:color w:val="auto"/>
              </w:rPr>
            </w:pPr>
            <w:r>
              <w:rPr>
                <w:rFonts w:ascii="Arial" w:cs="Arial" w:eastAsia="Arial" w:hAnsi="Arial"/>
                <w:sz w:val="14"/>
                <w:szCs w:val="14"/>
                <w:b w:val="1"/>
                <w:bCs w:val="1"/>
                <w:color w:val="auto"/>
              </w:rPr>
              <w:t>January 31,</w:t>
            </w: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Dollar-based net retention rate</w:t>
            </w:r>
          </w:p>
        </w:tc>
        <w:tc>
          <w:tcPr>
            <w:tcW w:w="6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5"/>
              </w:rPr>
              <w:t>104%</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6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w w:val="95"/>
              </w:rPr>
              <w:t>122%</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w:t>
            </w:r>
          </w:p>
        </w:tc>
      </w:tr>
    </w:tbl>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left="240" w:firstLine="488"/>
        <w:spacing w:after="0" w:line="281" w:lineRule="auto"/>
        <w:rPr>
          <w:sz w:val="20"/>
          <w:szCs w:val="20"/>
          <w:color w:val="auto"/>
        </w:rPr>
      </w:pPr>
      <w:r>
        <w:rPr>
          <w:rFonts w:ascii="Arial" w:cs="Arial" w:eastAsia="Arial" w:hAnsi="Arial"/>
          <w:sz w:val="16"/>
          <w:szCs w:val="16"/>
          <w:color w:val="auto"/>
        </w:rPr>
        <w:t>We believe that, in addition to our results determined in accordance with U.S. generally accepted accounting principles, or GAAP, non-GAAP subscription gross profit, non-GAAP subscription gross margin, non-GAAP loss from operations, non-GAAP operating margin, free cash flow, and free cash flow margin are useful in evaluating our business, results of operations and financial condition.</w:t>
      </w:r>
    </w:p>
    <w:p>
      <w:pPr>
        <w:spacing w:after="0" w:line="177" w:lineRule="exact"/>
        <w:rPr>
          <w:sz w:val="20"/>
          <w:szCs w:val="20"/>
          <w:color w:val="auto"/>
        </w:rPr>
      </w:pPr>
    </w:p>
    <w:p>
      <w:pPr>
        <w:ind w:left="240" w:right="40" w:firstLine="488"/>
        <w:spacing w:after="0" w:line="238" w:lineRule="auto"/>
        <w:rPr>
          <w:sz w:val="20"/>
          <w:szCs w:val="20"/>
          <w:color w:val="auto"/>
        </w:rPr>
      </w:pPr>
      <w:r>
        <w:rPr>
          <w:rFonts w:ascii="Arial" w:cs="Arial" w:eastAsia="Arial" w:hAnsi="Arial"/>
          <w:sz w:val="18"/>
          <w:szCs w:val="18"/>
          <w:color w:val="auto"/>
        </w:rPr>
        <w:t>See the section titled "Management's Discussion and Analysis of Financial Condition and Results of Operations—Non-GAAP Financial Measures" for explanations of how we calculate these measures and for reconciliation to the most directly comparable financial measure stated in accordance with GAAP.</w:t>
      </w:r>
    </w:p>
    <w:p>
      <w:pPr>
        <w:spacing w:after="0" w:line="191"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January 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Subscription gross profit</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13,517</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52,711</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34,574</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99,493</w:t>
            </w:r>
          </w:p>
        </w:tc>
        <w:tc>
          <w:tcPr>
            <w:tcW w:w="220" w:type="dxa"/>
            <w:vAlign w:val="bottom"/>
            <w:shd w:val="clear" w:color="auto" w:fill="CCEEFF"/>
          </w:tcPr>
          <w:p>
            <w:pPr>
              <w:spacing w:after="0"/>
              <w:rPr>
                <w:sz w:val="17"/>
                <w:szCs w:val="17"/>
                <w:color w:val="auto"/>
              </w:rPr>
            </w:pP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Non-GAAP subscription gross profit</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13,664</w:t>
            </w:r>
          </w:p>
        </w:tc>
        <w:tc>
          <w:tcPr>
            <w:tcW w:w="220" w:type="dxa"/>
            <w:vAlign w:val="bottom"/>
          </w:tcPr>
          <w:p>
            <w:pPr>
              <w:spacing w:after="0"/>
              <w:rPr>
                <w:sz w:val="17"/>
                <w:szCs w:val="17"/>
                <w:color w:val="auto"/>
              </w:rPr>
            </w:pP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53,087</w:t>
            </w:r>
          </w:p>
        </w:tc>
        <w:tc>
          <w:tcPr>
            <w:tcW w:w="220" w:type="dxa"/>
            <w:vAlign w:val="bottom"/>
          </w:tcPr>
          <w:p>
            <w:pPr>
              <w:spacing w:after="0"/>
              <w:rPr>
                <w:sz w:val="17"/>
                <w:szCs w:val="17"/>
                <w:color w:val="auto"/>
              </w:rPr>
            </w:pP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34,844</w:t>
            </w:r>
          </w:p>
        </w:tc>
        <w:tc>
          <w:tcPr>
            <w:tcW w:w="200" w:type="dxa"/>
            <w:vAlign w:val="bottom"/>
          </w:tcPr>
          <w:p>
            <w:pPr>
              <w:spacing w:after="0"/>
              <w:rPr>
                <w:sz w:val="17"/>
                <w:szCs w:val="17"/>
                <w:color w:val="auto"/>
              </w:rPr>
            </w:pPr>
          </w:p>
        </w:tc>
        <w:tc>
          <w:tcPr>
            <w:tcW w:w="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100,249</w:t>
            </w:r>
          </w:p>
        </w:tc>
        <w:tc>
          <w:tcPr>
            <w:tcW w:w="220" w:type="dxa"/>
            <w:vAlign w:val="bottom"/>
          </w:tcPr>
          <w:p>
            <w:pPr>
              <w:spacing w:after="0"/>
              <w:rPr>
                <w:sz w:val="17"/>
                <w:szCs w:val="17"/>
                <w:color w:val="auto"/>
              </w:rPr>
            </w:pPr>
          </w:p>
        </w:tc>
      </w:tr>
      <w:tr>
        <w:trPr>
          <w:trHeight w:val="40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Subscription gross margin</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Non-GAAP subscription gross margin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68%</w:t>
            </w:r>
          </w:p>
        </w:tc>
      </w:tr>
      <w:tr>
        <w:trPr>
          <w:trHeight w:val="40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(90,556)</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(131,440)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(94,673)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(105,632)</w:t>
            </w: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Non-GAAP loss from operations</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(88,465)</w:t>
            </w: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(118,302)</w:t>
            </w: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(83,304)</w:t>
            </w:r>
          </w:p>
        </w:tc>
        <w:tc>
          <w:tcPr>
            <w:tcW w:w="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(87,794)</w:t>
            </w:r>
          </w:p>
        </w:tc>
      </w:tr>
      <w:tr>
        <w:trPr>
          <w:trHeight w:val="40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Non-GAAP operating margin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(52)%</w:t>
            </w: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(51,998)</w:t>
            </w: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(58,766)</w:t>
            </w: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(52,041)</w:t>
            </w:r>
          </w:p>
        </w:tc>
        <w:tc>
          <w:tcPr>
            <w:tcW w:w="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(38,776)</w:t>
            </w: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(11,854)</w:t>
            </w: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(28,330)</w:t>
            </w: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(28,383)</w:t>
            </w:r>
          </w:p>
        </w:tc>
        <w:tc>
          <w:tcPr>
            <w:tcW w:w="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(131,359)</w:t>
            </w: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17,460</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126,831</w:t>
            </w:r>
          </w:p>
        </w:tc>
        <w:tc>
          <w:tcPr>
            <w:tcW w:w="2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123,299</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190,714</w:t>
            </w:r>
          </w:p>
        </w:tc>
        <w:tc>
          <w:tcPr>
            <w:tcW w:w="220" w:type="dxa"/>
            <w:vAlign w:val="bottom"/>
            <w:shd w:val="clear" w:color="auto" w:fill="CCEEFF"/>
          </w:tcPr>
          <w:p>
            <w:pPr>
              <w:spacing w:after="0"/>
              <w:rPr>
                <w:sz w:val="17"/>
                <w:szCs w:val="17"/>
                <w:color w:val="auto"/>
              </w:rPr>
            </w:pPr>
          </w:p>
        </w:tc>
      </w:tr>
      <w:tr>
        <w:trPr>
          <w:trHeight w:val="203"/>
        </w:trPr>
        <w:tc>
          <w:tcPr>
            <w:tcW w:w="4200" w:type="dxa"/>
            <w:vAlign w:val="bottom"/>
            <w:gridSpan w:val="2"/>
          </w:tcPr>
          <w:p>
            <w:pPr>
              <w:spacing w:after="0" w:line="202" w:lineRule="exact"/>
              <w:rPr>
                <w:sz w:val="20"/>
                <w:szCs w:val="20"/>
                <w:color w:val="auto"/>
              </w:rPr>
            </w:pPr>
            <w:r>
              <w:rPr>
                <w:rFonts w:ascii="Arial" w:cs="Arial" w:eastAsia="Arial" w:hAnsi="Arial"/>
                <w:sz w:val="18"/>
                <w:szCs w:val="18"/>
                <w:color w:val="auto"/>
              </w:rPr>
              <w:t>Free cash flow</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(64,645)</w:t>
            </w: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(94,992)</w:t>
            </w:r>
          </w:p>
        </w:tc>
        <w:tc>
          <w:tcPr>
            <w:tcW w:w="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(81,943)</w:t>
            </w:r>
          </w:p>
        </w:tc>
        <w:tc>
          <w:tcPr>
            <w:tcW w:w="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(65,482)</w:t>
            </w:r>
          </w:p>
        </w:tc>
      </w:tr>
      <w:tr>
        <w:trPr>
          <w:trHeight w:val="408"/>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used in operating activities as a percentage</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418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of revenue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(23)%</w:t>
            </w:r>
          </w:p>
        </w:tc>
      </w:tr>
      <w:tr>
        <w:trPr>
          <w:trHeight w:val="214"/>
        </w:trPr>
        <w:tc>
          <w:tcPr>
            <w:tcW w:w="4200" w:type="dxa"/>
            <w:vAlign w:val="bottom"/>
            <w:gridSpan w:val="2"/>
          </w:tcPr>
          <w:p>
            <w:pPr>
              <w:spacing w:after="0"/>
              <w:rPr>
                <w:sz w:val="20"/>
                <w:szCs w:val="20"/>
                <w:color w:val="auto"/>
              </w:rPr>
            </w:pPr>
            <w:r>
              <w:rPr>
                <w:rFonts w:ascii="Arial" w:cs="Arial" w:eastAsia="Arial" w:hAnsi="Arial"/>
                <w:sz w:val="18"/>
                <w:szCs w:val="18"/>
                <w:color w:val="auto"/>
              </w:rPr>
              <w:t>Free cash flow margin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Subscription Gross Profit and Non-GAAP Subscription Gross Margin</w:t>
      </w:r>
    </w:p>
    <w:p>
      <w:pPr>
        <w:spacing w:after="0" w:line="232"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eliminate the effects of certain variables from period to period for reasons unrelated to our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80"/>
          </w:cols>
          <w:pgMar w:left="320" w:top="143" w:right="6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919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291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32" w:lineRule="exact"/>
        <w:rPr>
          <w:sz w:val="20"/>
          <w:szCs w:val="20"/>
          <w:color w:val="auto"/>
        </w:rPr>
      </w:pPr>
    </w:p>
    <w:p>
      <w:pPr>
        <w:ind w:left="240" w:firstLine="488"/>
        <w:spacing w:after="0" w:line="272" w:lineRule="auto"/>
        <w:rPr>
          <w:sz w:val="20"/>
          <w:szCs w:val="20"/>
          <w:color w:val="auto"/>
        </w:rPr>
      </w:pPr>
      <w:r>
        <w:rPr>
          <w:rFonts w:ascii="Arial" w:cs="Arial" w:eastAsia="Arial" w:hAnsi="Arial"/>
          <w:sz w:val="16"/>
          <w:szCs w:val="16"/>
          <w:color w:val="auto"/>
        </w:rPr>
        <w:t>We define non-GAAP loss from operations and non-GAAP operating margin as GAAP loss from operations and GAAP operating margin, respectively, excluding stock-based compensation expense, amortization of acquired intangible assets, and acquisition related expenses. We believe non-GAAP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from period to period for reasons unrelated to our overall operating performance.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32" w:lineRule="exact"/>
        <w:rPr>
          <w:sz w:val="20"/>
          <w:szCs w:val="20"/>
          <w:color w:val="auto"/>
        </w:rPr>
      </w:pPr>
    </w:p>
    <w:p>
      <w:pPr>
        <w:ind w:left="240" w:right="100" w:firstLine="488"/>
        <w:spacing w:after="0" w:line="269" w:lineRule="auto"/>
        <w:rPr>
          <w:sz w:val="20"/>
          <w:szCs w:val="20"/>
          <w:color w:val="auto"/>
        </w:rPr>
      </w:pPr>
      <w:r>
        <w:rPr>
          <w:rFonts w:ascii="Arial" w:cs="Arial" w:eastAsia="Arial" w:hAnsi="Arial"/>
          <w:sz w:val="16"/>
          <w:szCs w:val="16"/>
          <w:color w:val="auto"/>
        </w:rPr>
        <w:t>Free cash flow is a non-GAAP financial measure that we define as net cash used in operating activities less purchases of property and equipment, capitalized internal-use software, acquisition of intangible assets, and cash used for business combinations. Free cash flow margin is calculated as free cash flow divided by total revenue. We believe that free cash flow and free cash flow margin are useful indicators of liquidity that provide information to management and investors, even if negative, as they provide useful information about the amount of cash consumed by our operating activities that is not available to be used for purchases of property and equipment and other strategic initiatives. For example, as free cash flow is negative, we will need to access cash reserves or other sources of capital for these investments. One limitation of free cash flow and free cash flow margin is that they do not reflect our future contractual commitments. Additionally, free cash flow does not represent the total increase or decrease in our cash balance for a given period.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43" w:right="5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180" w:firstLine="487"/>
        <w:spacing w:after="0" w:line="275"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thereto,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results of operations, and prospects could be materially and adversely affected. In that event, the price of our common stock could decline, and you could lose part or all of your investment.</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4"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89"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We have experienced rapid revenue growth in recent periods and we expect to continue to invest broadly across our organization to support our growth. For example, our headcount grew from 324 employees as of January 31, 2016, to 550 employees as of January 31, 2017, to 910 employees as of January 31, 2018, to 1,348 employees as of December 31, 2018.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214" w:lineRule="exact"/>
        <w:rPr>
          <w:sz w:val="20"/>
          <w:szCs w:val="20"/>
          <w:color w:val="auto"/>
        </w:rPr>
      </w:pPr>
    </w:p>
    <w:p>
      <w:pPr>
        <w:ind w:left="1080" w:right="280" w:hanging="532"/>
        <w:spacing w:after="0" w:line="23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attract, integrate, and retain a large number of new employees, particularly members of our sales and marketing and research and development teams;</w:t>
      </w:r>
    </w:p>
    <w:p>
      <w:pPr>
        <w:spacing w:after="0" w:line="208" w:lineRule="exact"/>
        <w:rPr>
          <w:rFonts w:ascii="Arial" w:cs="Arial" w:eastAsia="Arial" w:hAnsi="Arial"/>
          <w:sz w:val="18"/>
          <w:szCs w:val="18"/>
          <w:color w:val="auto"/>
        </w:rPr>
      </w:pPr>
    </w:p>
    <w:p>
      <w:pPr>
        <w:ind w:left="1080" w:right="320" w:hanging="532"/>
        <w:spacing w:after="0" w:line="23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improve our Falcon platform, including our cloud modules, and IT infrastructure, including expanding and optimizing our data centers, to support our business needs;</w:t>
      </w:r>
    </w:p>
    <w:p>
      <w:pPr>
        <w:spacing w:after="0" w:line="195" w:lineRule="exact"/>
        <w:rPr>
          <w:rFonts w:ascii="Arial" w:cs="Arial" w:eastAsia="Arial" w:hAnsi="Arial"/>
          <w:sz w:val="18"/>
          <w:szCs w:val="18"/>
          <w:color w:val="auto"/>
        </w:rPr>
      </w:pPr>
    </w:p>
    <w:p>
      <w:pPr>
        <w:ind w:left="1080" w:right="500" w:hanging="532"/>
        <w:spacing w:after="0" w:line="299"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49"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 our financial, management, and compliance systems and controls.</w:t>
      </w:r>
    </w:p>
    <w:p>
      <w:pPr>
        <w:spacing w:after="0" w:line="212" w:lineRule="exact"/>
        <w:rPr>
          <w:sz w:val="20"/>
          <w:szCs w:val="20"/>
          <w:color w:val="auto"/>
        </w:rPr>
      </w:pPr>
    </w:p>
    <w:p>
      <w:pPr>
        <w:ind w:right="180" w:firstLine="488"/>
        <w:spacing w:after="0" w:line="237" w:lineRule="auto"/>
        <w:rPr>
          <w:sz w:val="20"/>
          <w:szCs w:val="20"/>
          <w:color w:val="auto"/>
        </w:rPr>
      </w:pPr>
      <w:r>
        <w:rPr>
          <w:rFonts w:ascii="Arial" w:cs="Arial" w:eastAsia="Arial" w:hAnsi="Arial"/>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232" w:lineRule="exact"/>
        <w:rPr>
          <w:sz w:val="20"/>
          <w:szCs w:val="20"/>
          <w:color w:val="auto"/>
        </w:rPr>
      </w:pPr>
    </w:p>
    <w:p>
      <w:pPr>
        <w:ind w:right="840" w:firstLine="488"/>
        <w:spacing w:after="0" w:line="239" w:lineRule="auto"/>
        <w:rPr>
          <w:sz w:val="20"/>
          <w:szCs w:val="20"/>
          <w:color w:val="auto"/>
        </w:rPr>
      </w:pPr>
      <w:r>
        <w:rPr>
          <w:rFonts w:ascii="Arial" w:cs="Arial" w:eastAsia="Arial" w:hAnsi="Arial"/>
          <w:sz w:val="18"/>
          <w:szCs w:val="18"/>
          <w:color w:val="auto"/>
        </w:rPr>
        <w:t>We have incurred net losses in all periods since our inception, and we may not achieve or maintain profitability in the future. We experienced net losses of $91.3 million, $135.5 million,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$98.0 million, and $108.8 million for fiscal 2017 and fiscal 2018, and for the nine months ended October 31, 2017 and 2018, respectively. As of October 31, 2018, we had an accumulated deficit of $487.9 million. While we have experienced significant growth in revenue in recent periods, we cannot predict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In addition to the anticipated costs to grow our business, we also expect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18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may increase the risk of your investment.</w:t>
      </w:r>
    </w:p>
    <w:p>
      <w:pPr>
        <w:spacing w:after="0" w:line="189"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19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89" w:lineRule="exact"/>
        <w:rPr>
          <w:sz w:val="20"/>
          <w:szCs w:val="20"/>
          <w:color w:val="auto"/>
        </w:rPr>
      </w:pPr>
    </w:p>
    <w:p>
      <w:pPr>
        <w:ind w:right="20" w:firstLine="488"/>
        <w:spacing w:after="0" w:line="267" w:lineRule="auto"/>
        <w:rPr>
          <w:sz w:val="20"/>
          <w:szCs w:val="20"/>
          <w:color w:val="auto"/>
        </w:rPr>
      </w:pPr>
      <w:r>
        <w:rPr>
          <w:rFonts w:ascii="Arial" w:cs="Arial" w:eastAsia="Arial" w:hAnsi="Arial"/>
          <w:sz w:val="16"/>
          <w:szCs w:val="16"/>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will be negatively affected. You should consider our business and prospects in light of the risks and difficulties we encounter in this new and evolving market.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232" w:lineRule="exact"/>
        <w:rPr>
          <w:sz w:val="20"/>
          <w:szCs w:val="20"/>
          <w:color w:val="auto"/>
        </w:rPr>
      </w:pPr>
    </w:p>
    <w:p>
      <w:pPr>
        <w:ind w:firstLine="484"/>
        <w:spacing w:after="0" w:line="235" w:lineRule="auto"/>
        <w:rPr>
          <w:sz w:val="20"/>
          <w:szCs w:val="20"/>
          <w:color w:val="auto"/>
        </w:rPr>
      </w:pPr>
      <w:r>
        <w:rPr>
          <w:rFonts w:ascii="Arial" w:cs="Arial" w:eastAsia="Arial" w:hAnsi="Arial"/>
          <w:sz w:val="18"/>
          <w:szCs w:val="18"/>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future deterioration in general economic conditions may cause our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and adversely affect our results of operations and financial conditions. Additionally, if the incidence of cyberattacks were to decline, or enterprises or governments perceive that the general level of cyberattacks has declined,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89" w:lineRule="exact"/>
        <w:rPr>
          <w:sz w:val="20"/>
          <w:szCs w:val="20"/>
          <w:color w:val="auto"/>
        </w:rPr>
      </w:pPr>
    </w:p>
    <w:p>
      <w:pPr>
        <w:ind w:right="120" w:firstLine="488"/>
        <w:spacing w:after="0" w:line="268" w:lineRule="auto"/>
        <w:rPr>
          <w:sz w:val="20"/>
          <w:szCs w:val="20"/>
          <w:color w:val="auto"/>
        </w:rPr>
      </w:pPr>
      <w:r>
        <w:rPr>
          <w:rFonts w:ascii="Arial" w:cs="Arial" w:eastAsia="Arial" w:hAnsi="Arial"/>
          <w:sz w:val="16"/>
          <w:szCs w:val="16"/>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37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89" w:lineRule="exact"/>
        <w:rPr>
          <w:sz w:val="20"/>
          <w:szCs w:val="20"/>
          <w:color w:val="auto"/>
        </w:rPr>
      </w:pPr>
    </w:p>
    <w:p>
      <w:pPr>
        <w:ind w:right="200" w:firstLine="484"/>
        <w:spacing w:after="0" w:line="237" w:lineRule="auto"/>
        <w:rPr>
          <w:sz w:val="20"/>
          <w:szCs w:val="20"/>
          <w:color w:val="auto"/>
        </w:rPr>
      </w:pPr>
      <w:r>
        <w:rPr>
          <w:rFonts w:ascii="Arial" w:cs="Arial" w:eastAsia="Arial" w:hAnsi="Arial"/>
          <w:sz w:val="18"/>
          <w:szCs w:val="18"/>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208" w:lineRule="exact"/>
        <w:rPr>
          <w:sz w:val="20"/>
          <w:szCs w:val="20"/>
          <w:color w:val="auto"/>
        </w:rPr>
      </w:pPr>
    </w:p>
    <w:p>
      <w:pPr>
        <w:ind w:left="1080" w:right="50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capabilities, including performance and reliability, of our Falcon platform, including our cloud modules, services, and features compared to those of our competitors;</w:t>
      </w:r>
    </w:p>
    <w:p>
      <w:pPr>
        <w:spacing w:after="0" w:line="208" w:lineRule="exact"/>
        <w:rPr>
          <w:rFonts w:ascii="Arial" w:cs="Arial" w:eastAsia="Arial" w:hAnsi="Arial"/>
          <w:sz w:val="18"/>
          <w:szCs w:val="18"/>
          <w:color w:val="auto"/>
        </w:rPr>
      </w:pPr>
    </w:p>
    <w:p>
      <w:pPr>
        <w:ind w:left="1080" w:right="52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improve existing products, services, and features, or to develop new ones to address evolving customer needs;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channel partners;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our sales and marketing efforts;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competitors include the following by general category:</w:t>
      </w:r>
    </w:p>
    <w:p>
      <w:pPr>
        <w:spacing w:after="0" w:line="212" w:lineRule="exact"/>
        <w:rPr>
          <w:sz w:val="20"/>
          <w:szCs w:val="20"/>
          <w:color w:val="auto"/>
        </w:rPr>
      </w:pPr>
    </w:p>
    <w:p>
      <w:pPr>
        <w:ind w:left="1080" w:right="160" w:hanging="532"/>
        <w:spacing w:after="0" w:line="23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legacy antivirus product providers, such as McAfee, Inc. and Symantec Corporation, who offer a broad range of approaches and solutions with traditional antivirus and signature-based protection;</w:t>
      </w:r>
    </w:p>
    <w:p>
      <w:pPr>
        <w:spacing w:after="0" w:line="208"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alternative endpoint security providers, such as Cylance, Inc. and Carbon Black, Inc., who offer point products based on malware-only or application whitelisting techniques; and</w:t>
      </w:r>
    </w:p>
    <w:p>
      <w:pPr>
        <w:spacing w:after="0" w:line="195" w:lineRule="exact"/>
        <w:rPr>
          <w:rFonts w:ascii="Arial" w:cs="Arial" w:eastAsia="Arial" w:hAnsi="Arial"/>
          <w:sz w:val="18"/>
          <w:szCs w:val="18"/>
          <w:color w:val="auto"/>
        </w:rPr>
      </w:pPr>
    </w:p>
    <w:p>
      <w:pPr>
        <w:ind w:left="1080" w:right="140" w:hanging="532"/>
        <w:spacing w:after="0" w:line="23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and FireEye, Inc., who are supplementing their core perimeter-based offerings with endpoint security solutions.</w:t>
      </w:r>
    </w:p>
    <w:p>
      <w:pPr>
        <w:spacing w:after="0" w:line="209"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 larger competitors have substantially broader and more diverse product and services offerings as well as routes to market, which may allow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current or potential competitors have made or could make acquisitions of businesses or establish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gross profits and adversely affect our financial results.</w:t>
      </w:r>
    </w:p>
    <w:p>
      <w:pPr>
        <w:spacing w:after="0" w:line="232"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189" w:lineRule="exact"/>
        <w:rPr>
          <w:sz w:val="20"/>
          <w:szCs w:val="20"/>
          <w:color w:val="auto"/>
        </w:rPr>
      </w:pPr>
    </w:p>
    <w:p>
      <w:pPr>
        <w:ind w:right="520"/>
        <w:spacing w:after="0" w:line="325" w:lineRule="auto"/>
        <w:rPr>
          <w:sz w:val="20"/>
          <w:szCs w:val="20"/>
          <w:color w:val="auto"/>
        </w:rPr>
      </w:pPr>
      <w:r>
        <w:rPr>
          <w:rFonts w:ascii="Arial" w:cs="Arial" w:eastAsia="Arial" w:hAnsi="Arial"/>
          <w:sz w:val="16"/>
          <w:szCs w:val="16"/>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43"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397"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and other customer data being accessible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208" w:lineRule="exact"/>
        <w:rPr>
          <w:sz w:val="20"/>
          <w:szCs w:val="20"/>
          <w:color w:val="auto"/>
        </w:rPr>
      </w:pPr>
    </w:p>
    <w:p>
      <w:pPr>
        <w:ind w:right="40" w:firstLine="488"/>
        <w:spacing w:after="0" w:line="267" w:lineRule="auto"/>
        <w:rPr>
          <w:sz w:val="20"/>
          <w:szCs w:val="20"/>
          <w:color w:val="auto"/>
        </w:rPr>
      </w:pPr>
      <w:r>
        <w:rPr>
          <w:rFonts w:ascii="Arial" w:cs="Arial" w:eastAsia="Arial" w:hAnsi="Arial"/>
          <w:sz w:val="16"/>
          <w:szCs w:val="16"/>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were implicated in failing to block such attack.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37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202" w:lineRule="exact"/>
        <w:rPr>
          <w:sz w:val="20"/>
          <w:szCs w:val="20"/>
          <w:color w:val="auto"/>
        </w:rPr>
      </w:pPr>
    </w:p>
    <w:p>
      <w:pPr>
        <w:ind w:firstLine="478"/>
        <w:spacing w:after="0" w:line="267" w:lineRule="auto"/>
        <w:rPr>
          <w:sz w:val="20"/>
          <w:szCs w:val="20"/>
          <w:color w:val="auto"/>
        </w:rPr>
      </w:pPr>
      <w:r>
        <w:rPr>
          <w:rFonts w:ascii="Arial" w:cs="Arial" w:eastAsia="Arial" w:hAnsi="Arial"/>
          <w:sz w:val="16"/>
          <w:szCs w:val="16"/>
          <w:color w:val="auto"/>
        </w:rPr>
        <w:t>As a provider of security solutions, our Falcon platform has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397"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It is virtually impossible for us to entirely eliminate the risk of such compromises, interruptions in service, or other security incidents affecting our internal systems or data. Organizations are subject to a wide variety of attacks on their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and information about vulnerabilities in our product, which in turn, could reduce the effectiveness of our solutions, or lead to cyberattacks or other intrusions of our customers' networks, litigation, governmental audits and investigations and significant legal fees, could damage our relationships with our existing customers and could have a negative effect on our ability to attract and retain new customers. We have expended, and anticipate continuing to expend, significant amounts and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209"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 and reputation.</w:t>
      </w:r>
    </w:p>
    <w:p>
      <w:pPr>
        <w:spacing w:after="0" w:line="190"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202" w:lineRule="exact"/>
        <w:rPr>
          <w:sz w:val="20"/>
          <w:szCs w:val="20"/>
          <w:color w:val="auto"/>
        </w:rPr>
      </w:pPr>
    </w:p>
    <w:p>
      <w:pPr>
        <w:ind w:right="140" w:firstLine="488"/>
        <w:spacing w:after="0" w:line="236" w:lineRule="auto"/>
        <w:rPr>
          <w:sz w:val="20"/>
          <w:szCs w:val="20"/>
          <w:color w:val="auto"/>
        </w:rPr>
      </w:pPr>
      <w:r>
        <w:rPr>
          <w:rFonts w:ascii="Arial" w:cs="Arial" w:eastAsia="Arial" w:hAnsi="Arial"/>
          <w:sz w:val="18"/>
          <w:szCs w:val="18"/>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210" w:lineRule="exact"/>
        <w:rPr>
          <w:sz w:val="20"/>
          <w:szCs w:val="20"/>
          <w:color w:val="auto"/>
        </w:rPr>
      </w:pPr>
    </w:p>
    <w:p>
      <w:pPr>
        <w:ind w:right="620" w:firstLine="484"/>
        <w:spacing w:after="0" w:line="239" w:lineRule="auto"/>
        <w:rPr>
          <w:sz w:val="20"/>
          <w:szCs w:val="20"/>
          <w:color w:val="auto"/>
        </w:rPr>
      </w:pPr>
      <w:r>
        <w:rPr>
          <w:rFonts w:ascii="Arial" w:cs="Arial" w:eastAsia="Arial" w:hAnsi="Arial"/>
          <w:sz w:val="18"/>
          <w:szCs w:val="18"/>
          <w:color w:val="auto"/>
        </w:rPr>
        <w:t>The following factors, many of which are beyond our control, can affect the delivery, availability, and the performance of our Falcon platform:</w:t>
      </w:r>
    </w:p>
    <w:p>
      <w:pPr>
        <w:spacing w:after="0" w:line="20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and maintenance of the infrastructure of the internet;</w:t>
      </w:r>
    </w:p>
    <w:p>
      <w:pPr>
        <w:spacing w:after="0" w:line="211" w:lineRule="exact"/>
        <w:rPr>
          <w:rFonts w:ascii="Arial" w:cs="Arial" w:eastAsia="Arial" w:hAnsi="Arial"/>
          <w:sz w:val="18"/>
          <w:szCs w:val="18"/>
          <w:color w:val="auto"/>
        </w:rPr>
      </w:pPr>
    </w:p>
    <w:p>
      <w:pPr>
        <w:ind w:left="1080" w:right="140" w:hanging="532"/>
        <w:spacing w:after="0" w:line="23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95" w:lineRule="exact"/>
        <w:rPr>
          <w:rFonts w:ascii="Arial" w:cs="Arial" w:eastAsia="Arial" w:hAnsi="Arial"/>
          <w:sz w:val="18"/>
          <w:szCs w:val="18"/>
          <w:color w:val="auto"/>
        </w:rPr>
      </w:pPr>
    </w:p>
    <w:p>
      <w:pPr>
        <w:ind w:left="1080" w:right="240" w:hanging="532"/>
        <w:spacing w:after="0" w:line="23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94" w:lineRule="exact"/>
        <w:rPr>
          <w:rFonts w:ascii="Arial" w:cs="Arial" w:eastAsia="Arial" w:hAnsi="Arial"/>
          <w:sz w:val="18"/>
          <w:szCs w:val="18"/>
          <w:color w:val="auto"/>
        </w:rPr>
      </w:pPr>
    </w:p>
    <w:p>
      <w:pPr>
        <w:ind w:left="1080" w:right="160" w:hanging="532"/>
        <w:spacing w:after="0" w:line="23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physical or electronic break-ins, acts of war or terrorism, human error or interference (including by disgruntled employees, former employees or contractors) and other catastrophic events;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or the infrastructure of the internet;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data capacity requirements;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improper deployment or configuration of our solutions;</w:t>
      </w:r>
    </w:p>
    <w:p>
      <w:pPr>
        <w:spacing w:after="0" w:line="198" w:lineRule="exact"/>
        <w:rPr>
          <w:rFonts w:ascii="Arial" w:cs="Arial" w:eastAsia="Arial" w:hAnsi="Arial"/>
          <w:sz w:val="18"/>
          <w:szCs w:val="18"/>
          <w:color w:val="auto"/>
        </w:rPr>
      </w:pPr>
    </w:p>
    <w:p>
      <w:pPr>
        <w:ind w:left="1080" w:right="260" w:hanging="532"/>
        <w:spacing w:after="0" w:line="23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12" w:lineRule="exact"/>
        <w:rPr>
          <w:sz w:val="20"/>
          <w:szCs w:val="20"/>
          <w:color w:val="auto"/>
        </w:rPr>
      </w:pPr>
    </w:p>
    <w:p>
      <w:pPr>
        <w:ind w:right="60" w:firstLine="484"/>
        <w:spacing w:after="0" w:line="268" w:lineRule="auto"/>
        <w:rPr>
          <w:sz w:val="20"/>
          <w:szCs w:val="20"/>
          <w:color w:val="auto"/>
        </w:rPr>
      </w:pPr>
      <w:r>
        <w:rPr>
          <w:rFonts w:ascii="Arial" w:cs="Arial" w:eastAsia="Arial" w:hAnsi="Arial"/>
          <w:sz w:val="16"/>
          <w:szCs w:val="16"/>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6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89"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8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8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89" w:lineRule="exact"/>
        <w:rPr>
          <w:sz w:val="20"/>
          <w:szCs w:val="20"/>
          <w:color w:val="auto"/>
        </w:rPr>
      </w:pPr>
    </w:p>
    <w:p>
      <w:pPr>
        <w:jc w:val="both"/>
        <w:ind w:right="220" w:firstLine="488"/>
        <w:spacing w:after="0" w:line="281" w:lineRule="auto"/>
        <w:rPr>
          <w:sz w:val="20"/>
          <w:szCs w:val="20"/>
          <w:color w:val="auto"/>
        </w:rPr>
      </w:pPr>
      <w:r>
        <w:rPr>
          <w:rFonts w:ascii="Arial" w:cs="Arial" w:eastAsia="Arial" w:hAnsi="Arial"/>
          <w:sz w:val="16"/>
          <w:szCs w:val="16"/>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77"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customers;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length of our sales cycles;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customer or channel partner requirements or market needs;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growth rate of the cloud-based SaaS-delivered endpoint security solutions market;</w:t>
      </w:r>
    </w:p>
    <w:p>
      <w:pPr>
        <w:spacing w:after="0" w:line="198" w:lineRule="exact"/>
        <w:rPr>
          <w:rFonts w:ascii="Arial" w:cs="Arial" w:eastAsia="Arial" w:hAnsi="Arial"/>
          <w:sz w:val="18"/>
          <w:szCs w:val="18"/>
          <w:color w:val="auto"/>
        </w:rPr>
      </w:pPr>
    </w:p>
    <w:p>
      <w:pPr>
        <w:ind w:left="1080" w:right="10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competitive developments, including consolidation among our customers or competitors;</w:t>
      </w:r>
    </w:p>
    <w:p>
      <w:pPr>
        <w:spacing w:after="0" w:line="195"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awareness of cybersecurity threats, particularly advanced cyberattacks, and the market adoption of our Falcon platform;</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w:t>
      </w:r>
    </w:p>
    <w:p>
      <w:pPr>
        <w:spacing w:after="0" w:line="198" w:lineRule="exact"/>
        <w:rPr>
          <w:rFonts w:ascii="Arial" w:cs="Arial" w:eastAsia="Arial" w:hAnsi="Arial"/>
          <w:sz w:val="18"/>
          <w:szCs w:val="18"/>
          <w:color w:val="auto"/>
        </w:rPr>
      </w:pPr>
    </w:p>
    <w:p>
      <w:pPr>
        <w:ind w:left="1080" w:right="22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decisions by organizations to purchase security solutions from larger, more established security vendors or from their primary IT equipment vendors;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disruption in our relationship with channel partners;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use of our Falcon platform;</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 or outcomes;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both domestic and in our foreign markets;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or practices;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expansion of our business;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w:t>
      </w:r>
    </w:p>
    <w:p>
      <w:pPr>
        <w:spacing w:after="0" w:line="212" w:lineRule="exact"/>
        <w:rPr>
          <w:sz w:val="20"/>
          <w:szCs w:val="20"/>
          <w:color w:val="auto"/>
        </w:rPr>
      </w:pPr>
    </w:p>
    <w:p>
      <w:pPr>
        <w:ind w:right="180" w:firstLine="478"/>
        <w:spacing w:after="0" w:line="236" w:lineRule="auto"/>
        <w:rPr>
          <w:sz w:val="20"/>
          <w:szCs w:val="20"/>
          <w:color w:val="auto"/>
        </w:rPr>
      </w:pPr>
      <w:r>
        <w:rPr>
          <w:rFonts w:ascii="Arial" w:cs="Arial" w:eastAsia="Arial" w:hAnsi="Arial"/>
          <w:sz w:val="18"/>
          <w:szCs w:val="18"/>
          <w:color w:val="auto"/>
        </w:rPr>
        <w:t>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can be long and unpredictable, and our sales efforts require considerable time and expense.</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211" w:lineRule="exact"/>
        <w:rPr>
          <w:sz w:val="20"/>
          <w:szCs w:val="20"/>
          <w:color w:val="auto"/>
        </w:rPr>
      </w:pPr>
    </w:p>
    <w:p>
      <w:pPr>
        <w:ind w:right="160" w:firstLine="488"/>
        <w:spacing w:after="0" w:line="272" w:lineRule="auto"/>
        <w:rPr>
          <w:sz w:val="20"/>
          <w:szCs w:val="20"/>
          <w:color w:val="auto"/>
        </w:rPr>
      </w:pPr>
      <w:r>
        <w:rPr>
          <w:rFonts w:ascii="Arial" w:cs="Arial" w:eastAsia="Arial" w:hAnsi="Arial"/>
          <w:sz w:val="16"/>
          <w:szCs w:val="16"/>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6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could harm our business.</w:t>
      </w:r>
    </w:p>
    <w:p>
      <w:pPr>
        <w:spacing w:after="0" w:line="18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personnel, our business could be harmed.</w:t>
      </w:r>
    </w:p>
    <w:p>
      <w:pPr>
        <w:spacing w:after="0" w:line="232" w:lineRule="exact"/>
        <w:rPr>
          <w:sz w:val="20"/>
          <w:szCs w:val="20"/>
          <w:color w:val="auto"/>
        </w:rPr>
      </w:pPr>
    </w:p>
    <w:p>
      <w:pPr>
        <w:ind w:firstLine="484"/>
        <w:spacing w:after="0" w:line="235" w:lineRule="auto"/>
        <w:rPr>
          <w:sz w:val="20"/>
          <w:szCs w:val="20"/>
          <w:color w:val="auto"/>
        </w:rPr>
      </w:pPr>
      <w:r>
        <w:rPr>
          <w:rFonts w:ascii="Arial" w:cs="Arial" w:eastAsia="Arial" w:hAnsi="Arial"/>
          <w:sz w:val="18"/>
          <w:szCs w:val="18"/>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214"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90"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89" w:lineRule="exact"/>
        <w:rPr>
          <w:sz w:val="20"/>
          <w:szCs w:val="20"/>
          <w:color w:val="auto"/>
        </w:rPr>
      </w:pPr>
    </w:p>
    <w:p>
      <w:pPr>
        <w:ind w:right="160" w:firstLine="488"/>
        <w:spacing w:after="0" w:line="271" w:lineRule="auto"/>
        <w:rPr>
          <w:sz w:val="20"/>
          <w:szCs w:val="20"/>
          <w:color w:val="auto"/>
        </w:rPr>
      </w:pPr>
      <w:r>
        <w:rPr>
          <w:rFonts w:ascii="Arial" w:cs="Arial" w:eastAsia="Arial" w:hAnsi="Arial"/>
          <w:sz w:val="16"/>
          <w:szCs w:val="16"/>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84"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and cyberattacks may expose us to negative publicity and media coverage. Negative publicity about us, including about the efficacy and reliability of our Falcon platform, our products offerings, our professional services, and the customers we work with, even if inaccurate, could adversely affect our reputation and brand.</w:t>
      </w:r>
    </w:p>
    <w:p>
      <w:pPr>
        <w:spacing w:after="0" w:line="188" w:lineRule="exact"/>
        <w:rPr>
          <w:sz w:val="20"/>
          <w:szCs w:val="20"/>
          <w:color w:val="auto"/>
        </w:rPr>
      </w:pPr>
    </w:p>
    <w:p>
      <w:pPr>
        <w:jc w:val="both"/>
        <w:ind w:right="320"/>
        <w:spacing w:after="0" w:line="248" w:lineRule="auto"/>
        <w:rPr>
          <w:sz w:val="20"/>
          <w:szCs w:val="20"/>
          <w:color w:val="auto"/>
        </w:rPr>
      </w:pPr>
      <w:r>
        <w:rPr>
          <w:rFonts w:ascii="Arial" w:cs="Arial" w:eastAsia="Arial" w:hAnsi="Arial"/>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202" w:lineRule="exact"/>
        <w:rPr>
          <w:sz w:val="20"/>
          <w:szCs w:val="20"/>
          <w:color w:val="auto"/>
        </w:rPr>
      </w:pPr>
    </w:p>
    <w:p>
      <w:pPr>
        <w:ind w:right="60" w:firstLine="488"/>
        <w:spacing w:after="0" w:line="268" w:lineRule="auto"/>
        <w:rPr>
          <w:sz w:val="20"/>
          <w:szCs w:val="20"/>
          <w:color w:val="auto"/>
        </w:rPr>
      </w:pPr>
      <w:r>
        <w:rPr>
          <w:rFonts w:ascii="Arial" w:cs="Arial" w:eastAsia="Arial" w:hAnsi="Arial"/>
          <w:sz w:val="16"/>
          <w:szCs w:val="16"/>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6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8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209" w:lineRule="exact"/>
        <w:rPr>
          <w:sz w:val="20"/>
          <w:szCs w:val="20"/>
          <w:color w:val="auto"/>
        </w:rPr>
      </w:pPr>
    </w:p>
    <w:p>
      <w:pPr>
        <w:ind w:left="1080" w:right="4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08" w:lineRule="exact"/>
        <w:rPr>
          <w:rFonts w:ascii="Arial" w:cs="Arial" w:eastAsia="Arial" w:hAnsi="Arial"/>
          <w:sz w:val="18"/>
          <w:szCs w:val="18"/>
          <w:color w:val="auto"/>
        </w:rPr>
      </w:pPr>
    </w:p>
    <w:p>
      <w:pPr>
        <w:jc w:val="both"/>
        <w:ind w:left="1080" w:right="300" w:hanging="532"/>
        <w:spacing w:after="0" w:line="23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spacing w:after="0" w:line="239" w:lineRule="auto"/>
        <w:rPr>
          <w:sz w:val="20"/>
          <w:szCs w:val="20"/>
          <w:color w:val="auto"/>
        </w:rPr>
      </w:pPr>
      <w:r>
        <w:rPr>
          <w:rFonts w:ascii="Arial" w:cs="Arial" w:eastAsia="Arial" w:hAnsi="Arial"/>
          <w:sz w:val="18"/>
          <w:szCs w:val="18"/>
          <w:color w:val="auto"/>
        </w:rPr>
        <w:t>Risk and Authorization Management Program, or FedRAMP, such certification is costly to maintain and if we lost our certification in the future it would restrict our ability to sell to government customers;</w:t>
      </w:r>
    </w:p>
    <w:p>
      <w:pPr>
        <w:spacing w:after="0" w:line="209" w:lineRule="exact"/>
        <w:rPr>
          <w:sz w:val="20"/>
          <w:szCs w:val="20"/>
          <w:color w:val="auto"/>
        </w:rPr>
      </w:pPr>
    </w:p>
    <w:p>
      <w:pPr>
        <w:ind w:left="1080" w:right="640" w:hanging="532"/>
        <w:spacing w:after="0" w:line="299"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62" w:lineRule="exact"/>
        <w:rPr>
          <w:rFonts w:ascii="Arial" w:cs="Arial" w:eastAsia="Arial" w:hAnsi="Arial"/>
          <w:sz w:val="16"/>
          <w:szCs w:val="16"/>
          <w:color w:val="auto"/>
        </w:rPr>
      </w:pPr>
    </w:p>
    <w:p>
      <w:pPr>
        <w:ind w:left="1080" w:right="20" w:hanging="532"/>
        <w:spacing w:after="0" w:line="23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94" w:lineRule="exact"/>
        <w:rPr>
          <w:rFonts w:ascii="Arial" w:cs="Arial" w:eastAsia="Arial" w:hAnsi="Arial"/>
          <w:sz w:val="18"/>
          <w:szCs w:val="18"/>
          <w:color w:val="auto"/>
        </w:rPr>
      </w:pPr>
    </w:p>
    <w:p>
      <w:pPr>
        <w:ind w:left="1080" w:right="180" w:hanging="532"/>
        <w:spacing w:after="0" w:line="23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208" w:lineRule="exact"/>
        <w:rPr>
          <w:sz w:val="20"/>
          <w:szCs w:val="20"/>
          <w:color w:val="auto"/>
        </w:rPr>
      </w:pPr>
    </w:p>
    <w:p>
      <w:pPr>
        <w:ind w:right="420" w:firstLine="484"/>
        <w:spacing w:after="0" w:line="239" w:lineRule="auto"/>
        <w:rPr>
          <w:sz w:val="20"/>
          <w:szCs w:val="20"/>
          <w:color w:val="auto"/>
        </w:rPr>
      </w:pPr>
      <w:r>
        <w:rPr>
          <w:rFonts w:ascii="Arial" w:cs="Arial" w:eastAsia="Arial" w:hAnsi="Arial"/>
          <w:sz w:val="18"/>
          <w:szCs w:val="18"/>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89"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b w:val="1"/>
          <w:bCs w:val="1"/>
          <w:i w:val="1"/>
          <w:iCs w:val="1"/>
          <w:color w:val="auto"/>
        </w:rPr>
        <w:t>We may not timely and cost-effectively scale and adapt our existing technology to meet our customers' performance and other requirements.</w:t>
      </w:r>
    </w:p>
    <w:p>
      <w:pPr>
        <w:spacing w:after="0" w:line="189" w:lineRule="exact"/>
        <w:rPr>
          <w:sz w:val="20"/>
          <w:szCs w:val="20"/>
          <w:color w:val="auto"/>
        </w:rPr>
      </w:pPr>
    </w:p>
    <w:p>
      <w:pPr>
        <w:ind w:right="60" w:firstLine="488"/>
        <w:spacing w:after="0" w:line="267" w:lineRule="auto"/>
        <w:rPr>
          <w:sz w:val="20"/>
          <w:szCs w:val="20"/>
          <w:color w:val="auto"/>
        </w:rPr>
      </w:pPr>
      <w:r>
        <w:rPr>
          <w:rFonts w:ascii="Arial" w:cs="Arial" w:eastAsia="Arial" w:hAnsi="Arial"/>
          <w:sz w:val="16"/>
          <w:szCs w:val="16"/>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39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6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Certain of our market opportunity estimates and growth forecasts included in this prospectus could prove to be inaccurate, and any real or perceived inaccuracies may harm our reputation and negatively affect our business.</w:t>
      </w:r>
    </w:p>
    <w:p>
      <w:pPr>
        <w:spacing w:after="0" w:line="189" w:lineRule="exact"/>
        <w:rPr>
          <w:sz w:val="20"/>
          <w:szCs w:val="20"/>
          <w:color w:val="auto"/>
        </w:rPr>
      </w:pPr>
    </w:p>
    <w:p>
      <w:pPr>
        <w:ind w:right="80" w:firstLine="484"/>
        <w:spacing w:after="0" w:line="235" w:lineRule="auto"/>
        <w:rPr>
          <w:sz w:val="20"/>
          <w:szCs w:val="20"/>
          <w:color w:val="auto"/>
        </w:rPr>
      </w:pPr>
      <w:r>
        <w:rPr>
          <w:rFonts w:ascii="Arial" w:cs="Arial" w:eastAsia="Arial" w:hAnsi="Arial"/>
          <w:sz w:val="18"/>
          <w:szCs w:val="18"/>
          <w:color w:val="auto"/>
        </w:rPr>
        <w:t>This prospectus includes our internal estimates of the addressable market for our cloud-based SaaS-delivered endpoint security solution. Market opportunity estimates and growth forecasts, whether obtained from third-party sources or developed internally, are subject to significant uncertainty and are based on assumptions and estimates that may not prove to be accurate. The estimates and forecasts in this prospectus relating to the size and expected growth of our target markets may prove to be inaccurate. In particular, our estimates regarding our current and projected market opportunity are difficult to predict. In addition, our internal estimates of the addressable market for cloud-based SaaS-delivered endpoint security solutions reflect the opportunity available from all participants and potential participants in the market and we cannot predict with precision our ability to address this demand or the extent of market adoption of our solution. The addressable market we estimate may not materialize for many years, if ever, and even if the markets in which we compete meet the size estimates and growth forecasted in this prospectus, our business could fail to grow at similar rates, if at all. Accordingly, the forecasts of market growth included in this prospectus should not be taken as indicative of our future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23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firstLine="488"/>
        <w:spacing w:after="0" w:line="235" w:lineRule="auto"/>
        <w:rPr>
          <w:sz w:val="20"/>
          <w:szCs w:val="20"/>
          <w:color w:val="auto"/>
        </w:rPr>
      </w:pPr>
      <w:r>
        <w:rPr>
          <w:rFonts w:ascii="Arial" w:cs="Arial" w:eastAsia="Arial" w:hAnsi="Arial"/>
          <w:sz w:val="18"/>
          <w:szCs w:val="18"/>
          <w:color w:val="auto"/>
        </w:rPr>
        <w:t>We may not be effective in policing unauthorized use of our intellectual property, and even if we do detect violations, litigation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89"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392" w:lineRule="exact"/>
        <w:rPr>
          <w:sz w:val="20"/>
          <w:szCs w:val="20"/>
          <w:color w:val="auto"/>
        </w:rPr>
      </w:pPr>
    </w:p>
    <w:p>
      <w:pPr>
        <w:ind w:right="60" w:firstLine="484"/>
        <w:spacing w:after="0" w:line="235" w:lineRule="auto"/>
        <w:rPr>
          <w:sz w:val="20"/>
          <w:szCs w:val="20"/>
          <w:color w:val="auto"/>
        </w:rPr>
      </w:pPr>
      <w:r>
        <w:rPr>
          <w:rFonts w:ascii="Arial" w:cs="Arial" w:eastAsia="Arial" w:hAnsi="Arial"/>
          <w:sz w:val="18"/>
          <w:szCs w:val="18"/>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firstLine="478"/>
        <w:spacing w:after="0" w:line="236" w:lineRule="auto"/>
        <w:rPr>
          <w:sz w:val="20"/>
          <w:szCs w:val="20"/>
          <w:color w:val="auto"/>
        </w:rPr>
      </w:pPr>
      <w:r>
        <w:rPr>
          <w:rFonts w:ascii="Arial" w:cs="Arial" w:eastAsia="Arial" w:hAnsi="Arial"/>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209" w:lineRule="exact"/>
        <w:rPr>
          <w:sz w:val="20"/>
          <w:szCs w:val="20"/>
          <w:color w:val="auto"/>
        </w:rPr>
      </w:pPr>
    </w:p>
    <w:p>
      <w:pPr>
        <w:ind w:firstLine="478"/>
        <w:spacing w:after="0" w:line="235" w:lineRule="auto"/>
        <w:rPr>
          <w:sz w:val="20"/>
          <w:szCs w:val="20"/>
          <w:color w:val="auto"/>
        </w:rPr>
      </w:pPr>
      <w:r>
        <w:rPr>
          <w:rFonts w:ascii="Arial" w:cs="Arial" w:eastAsia="Arial" w:hAnsi="Arial"/>
          <w:sz w:val="18"/>
          <w:szCs w:val="18"/>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32" w:lineRule="exact"/>
        <w:rPr>
          <w:sz w:val="20"/>
          <w:szCs w:val="20"/>
          <w:color w:val="auto"/>
        </w:rPr>
      </w:pPr>
    </w:p>
    <w:p>
      <w:pPr>
        <w:ind w:right="40" w:firstLine="488"/>
        <w:spacing w:after="0" w:line="235" w:lineRule="auto"/>
        <w:rPr>
          <w:sz w:val="20"/>
          <w:szCs w:val="20"/>
          <w:color w:val="auto"/>
        </w:rPr>
      </w:pPr>
      <w:r>
        <w:rPr>
          <w:rFonts w:ascii="Arial" w:cs="Arial" w:eastAsia="Arial" w:hAnsi="Arial"/>
          <w:sz w:val="18"/>
          <w:szCs w:val="18"/>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94" w:lineRule="exact"/>
        <w:rPr>
          <w:sz w:val="20"/>
          <w:szCs w:val="20"/>
          <w:color w:val="auto"/>
        </w:rPr>
      </w:pPr>
    </w:p>
    <w:p>
      <w:pPr>
        <w:ind w:right="1000"/>
        <w:spacing w:after="0" w:line="262" w:lineRule="auto"/>
        <w:rPr>
          <w:sz w:val="20"/>
          <w:szCs w:val="20"/>
          <w:color w:val="auto"/>
        </w:rPr>
      </w:pPr>
      <w:r>
        <w:rPr>
          <w:rFonts w:ascii="Arial" w:cs="Arial" w:eastAsia="Arial" w:hAnsi="Arial"/>
          <w:sz w:val="18"/>
          <w:szCs w:val="18"/>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89"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HIPAA,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214" w:lineRule="exact"/>
        <w:rPr>
          <w:sz w:val="20"/>
          <w:szCs w:val="20"/>
          <w:color w:val="auto"/>
        </w:rPr>
      </w:pPr>
    </w:p>
    <w:p>
      <w:pPr>
        <w:ind w:firstLine="488"/>
        <w:spacing w:after="0" w:line="266"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recently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 20 million Euros or four percent of our worldwide annual revenue for the prior fiscal year, whichever is higher. We have incurred substantial expense in complying with the obligations imposed by the GDPR and we may be required to do so 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393" w:lineRule="exact"/>
        <w:rPr>
          <w:sz w:val="20"/>
          <w:szCs w:val="20"/>
          <w:color w:val="auto"/>
        </w:rPr>
      </w:pPr>
    </w:p>
    <w:p>
      <w:pPr>
        <w:ind w:right="280" w:firstLine="484"/>
        <w:spacing w:after="0" w:line="238" w:lineRule="auto"/>
        <w:rPr>
          <w:sz w:val="20"/>
          <w:szCs w:val="20"/>
          <w:color w:val="auto"/>
        </w:rPr>
      </w:pPr>
      <w:r>
        <w:rPr>
          <w:rFonts w:ascii="Arial" w:cs="Arial" w:eastAsia="Arial" w:hAnsi="Arial"/>
          <w:sz w:val="18"/>
          <w:szCs w:val="18"/>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The CCPA has been characterized as the first "GDPR-like" privacy statute to be enacted in the United States because it contains a number of provisions similar to certain provisions of the GDPR. Because of this, we may need to engage in data mapping to identify any consumer information that we may be collecting from our customers through our Falcon platform. In addition, we will need to ensure that our policies permit our customers to recognize the rights granted to consumers by the CCPA. All of this will need to be done before the effective date of the CCPA on January 1, 2020.</w:t>
      </w:r>
    </w:p>
    <w:p>
      <w:pPr>
        <w:spacing w:after="0" w:line="209"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214" w:lineRule="exact"/>
        <w:rPr>
          <w:sz w:val="20"/>
          <w:szCs w:val="20"/>
          <w:color w:val="auto"/>
        </w:rPr>
      </w:pPr>
    </w:p>
    <w:p>
      <w:pPr>
        <w:ind w:right="60" w:firstLine="488"/>
        <w:spacing w:after="0" w:line="237" w:lineRule="auto"/>
        <w:rPr>
          <w:sz w:val="20"/>
          <w:szCs w:val="20"/>
          <w:color w:val="auto"/>
        </w:rPr>
      </w:pPr>
      <w:r>
        <w:rPr>
          <w:rFonts w:ascii="Arial" w:cs="Arial" w:eastAsia="Arial" w:hAnsi="Arial"/>
          <w:sz w:val="18"/>
          <w:szCs w:val="18"/>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208" w:lineRule="exact"/>
        <w:rPr>
          <w:sz w:val="20"/>
          <w:szCs w:val="20"/>
          <w:color w:val="auto"/>
        </w:rPr>
      </w:pPr>
    </w:p>
    <w:p>
      <w:pPr>
        <w:ind w:firstLine="478"/>
        <w:spacing w:after="0" w:line="267" w:lineRule="auto"/>
        <w:rPr>
          <w:sz w:val="20"/>
          <w:szCs w:val="20"/>
          <w:color w:val="auto"/>
        </w:rPr>
      </w:pPr>
      <w:r>
        <w:rPr>
          <w:rFonts w:ascii="Arial" w:cs="Arial" w:eastAsia="Arial" w:hAnsi="Arial"/>
          <w:sz w:val="16"/>
          <w:szCs w:val="16"/>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in the public sector or negatively impact our ability to contract with the public sector.</w:t>
      </w:r>
    </w:p>
    <w:p>
      <w:pPr>
        <w:spacing w:after="0" w:line="18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210"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mandatory changes to our Falcon platform;</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intellectual property rights;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212" w:lineRule="exact"/>
        <w:rPr>
          <w:sz w:val="20"/>
          <w:szCs w:val="20"/>
          <w:color w:val="auto"/>
        </w:rPr>
      </w:pPr>
    </w:p>
    <w:p>
      <w:pPr>
        <w:ind w:right="200" w:firstLine="488"/>
        <w:spacing w:after="0" w:line="237"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208" w:lineRule="exact"/>
        <w:rPr>
          <w:sz w:val="20"/>
          <w:szCs w:val="20"/>
          <w:color w:val="auto"/>
        </w:rPr>
      </w:pPr>
    </w:p>
    <w:p>
      <w:pPr>
        <w:ind w:right="60" w:firstLine="488"/>
        <w:spacing w:after="0" w:line="238"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208" w:lineRule="exact"/>
        <w:rPr>
          <w:sz w:val="20"/>
          <w:szCs w:val="20"/>
          <w:color w:val="auto"/>
        </w:rPr>
      </w:pPr>
    </w:p>
    <w:p>
      <w:pPr>
        <w:ind w:right="40" w:firstLine="484"/>
        <w:spacing w:after="0" w:line="236" w:lineRule="auto"/>
        <w:rPr>
          <w:sz w:val="20"/>
          <w:szCs w:val="20"/>
          <w:color w:val="auto"/>
        </w:rPr>
      </w:pPr>
      <w:r>
        <w:rPr>
          <w:rFonts w:ascii="Arial" w:cs="Arial" w:eastAsia="Arial" w:hAnsi="Arial"/>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result in reduced sales of our products, substantial product inventory write-offs, reputational damage, penalties, and other sanctions, any of which could harm our business, reputation, and results of operations.</w:t>
      </w:r>
    </w:p>
    <w:p>
      <w:pPr>
        <w:spacing w:after="0" w:line="1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are subject to laws and regulations, including governmental export and import controls and anti-corruption laws, that could impair our ability to compete in our markets and subject us to liability if we are not in full compliance with applicable laws.</w:t>
      </w:r>
    </w:p>
    <w:p>
      <w:pPr>
        <w:spacing w:after="0" w:line="189" w:lineRule="exact"/>
        <w:rPr>
          <w:sz w:val="20"/>
          <w:szCs w:val="20"/>
          <w:color w:val="auto"/>
        </w:rPr>
      </w:pPr>
    </w:p>
    <w:p>
      <w:pPr>
        <w:ind w:right="200" w:firstLine="488"/>
        <w:spacing w:after="0" w:line="299" w:lineRule="auto"/>
        <w:rPr>
          <w:sz w:val="20"/>
          <w:szCs w:val="20"/>
          <w:color w:val="auto"/>
        </w:rPr>
      </w:pPr>
      <w:r>
        <w:rPr>
          <w:rFonts w:ascii="Arial" w:cs="Arial" w:eastAsia="Arial" w:hAnsi="Arial"/>
          <w:sz w:val="16"/>
          <w:szCs w:val="16"/>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214" w:lineRule="exact"/>
        <w:rPr>
          <w:sz w:val="20"/>
          <w:szCs w:val="20"/>
          <w:color w:val="auto"/>
        </w:rPr>
      </w:pPr>
    </w:p>
    <w:p>
      <w:pPr>
        <w:ind w:firstLine="478"/>
        <w:spacing w:after="0" w:line="271" w:lineRule="auto"/>
        <w:rPr>
          <w:sz w:val="20"/>
          <w:szCs w:val="20"/>
          <w:color w:val="auto"/>
        </w:rPr>
      </w:pPr>
      <w:r>
        <w:rPr>
          <w:rFonts w:ascii="Arial" w:cs="Arial" w:eastAsia="Arial" w:hAnsi="Arial"/>
          <w:sz w:val="16"/>
          <w:szCs w:val="16"/>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84" w:lineRule="exact"/>
        <w:rPr>
          <w:sz w:val="20"/>
          <w:szCs w:val="20"/>
          <w:color w:val="auto"/>
        </w:rPr>
      </w:pPr>
    </w:p>
    <w:p>
      <w:pPr>
        <w:ind w:right="20" w:firstLine="488"/>
        <w:spacing w:after="0" w:line="235" w:lineRule="auto"/>
        <w:rPr>
          <w:sz w:val="20"/>
          <w:szCs w:val="20"/>
          <w:color w:val="auto"/>
        </w:rPr>
      </w:pPr>
      <w:r>
        <w:rPr>
          <w:rFonts w:ascii="Arial" w:cs="Arial" w:eastAsia="Arial" w:hAnsi="Arial"/>
          <w:sz w:val="18"/>
          <w:szCs w:val="18"/>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214" w:lineRule="exact"/>
        <w:rPr>
          <w:sz w:val="20"/>
          <w:szCs w:val="20"/>
          <w:color w:val="auto"/>
        </w:rPr>
      </w:pPr>
    </w:p>
    <w:p>
      <w:pPr>
        <w:ind w:right="120" w:firstLine="488"/>
        <w:spacing w:after="0" w:line="236" w:lineRule="auto"/>
        <w:rPr>
          <w:sz w:val="20"/>
          <w:szCs w:val="20"/>
          <w:color w:val="auto"/>
        </w:rPr>
      </w:pPr>
      <w:r>
        <w:rPr>
          <w:rFonts w:ascii="Arial" w:cs="Arial" w:eastAsia="Arial" w:hAnsi="Arial"/>
          <w:sz w:val="18"/>
          <w:szCs w:val="18"/>
          <w:color w:val="auto"/>
        </w:rPr>
        <w:t>We are also subject to the U.S. Foreign Corrupt Practices Act of 1977, or FCPA, the UK Bribery Act 2010, or Bribery Act, and other anti-corruption,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FCPA, Bribery Act and other anti-corruption,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1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8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210"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209" w:lineRule="exact"/>
        <w:rPr>
          <w:sz w:val="20"/>
          <w:szCs w:val="20"/>
          <w:color w:val="auto"/>
        </w:rPr>
      </w:pPr>
    </w:p>
    <w:p>
      <w:pPr>
        <w:ind w:right="20" w:firstLine="484"/>
        <w:spacing w:after="0" w:line="235" w:lineRule="auto"/>
        <w:rPr>
          <w:sz w:val="20"/>
          <w:szCs w:val="20"/>
          <w:color w:val="auto"/>
        </w:rPr>
      </w:pPr>
      <w:r>
        <w:rPr>
          <w:rFonts w:ascii="Arial" w:cs="Arial" w:eastAsia="Arial" w:hAnsi="Arial"/>
          <w:sz w:val="18"/>
          <w:szCs w:val="18"/>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source software code in our Falcon platform, or a finding that we have breached the terms of an open source software license, could harm our business, results of operations and financial condition, by, among other things:</w:t>
      </w:r>
    </w:p>
    <w:p>
      <w:pPr>
        <w:spacing w:after="0" w:line="20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requiring us to pay monetary damages or enter into royalty and licensing agreements that we would not normally find acceptable;</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causing delays in the deployment of our Falcon platform or service offerings to our customers;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stop offering certain services or features of our Falcon platform;</w:t>
      </w:r>
    </w:p>
    <w:p>
      <w:pPr>
        <w:spacing w:after="0" w:line="198" w:lineRule="exact"/>
        <w:rPr>
          <w:rFonts w:ascii="Arial" w:cs="Arial" w:eastAsia="Arial" w:hAnsi="Arial"/>
          <w:sz w:val="18"/>
          <w:szCs w:val="18"/>
          <w:color w:val="auto"/>
        </w:rPr>
      </w:pPr>
    </w:p>
    <w:p>
      <w:pPr>
        <w:ind w:left="1080" w:right="20" w:hanging="532"/>
        <w:spacing w:after="0" w:line="23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Falcon platform using alternative non-infringing or non-open source technology, which could require significant effort and expense;</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disclose our software source code and the detailed program commands for our software;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19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8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adversely affect us.</w:t>
      </w:r>
    </w:p>
    <w:p>
      <w:pPr>
        <w:spacing w:after="0" w:line="232" w:lineRule="exact"/>
        <w:rPr>
          <w:sz w:val="20"/>
          <w:szCs w:val="20"/>
          <w:color w:val="auto"/>
        </w:rPr>
      </w:pPr>
    </w:p>
    <w:p>
      <w:pPr>
        <w:ind w:firstLine="488"/>
        <w:spacing w:after="0" w:line="268" w:lineRule="auto"/>
        <w:rPr>
          <w:sz w:val="20"/>
          <w:szCs w:val="20"/>
          <w:color w:val="auto"/>
        </w:rPr>
      </w:pPr>
      <w:r>
        <w:rPr>
          <w:rFonts w:ascii="Arial" w:cs="Arial" w:eastAsia="Arial" w:hAnsi="Arial"/>
          <w:sz w:val="16"/>
          <w:szCs w:val="16"/>
          <w:color w:val="auto"/>
        </w:rPr>
        <w:t>We are regularly subject to claims, suits, and government investigations and other proceedings including patent, product liability, class action, whistleblower, personal injury, property damage, labor and employment, commercial disputes, compliance with laws and regulatory requirements and other matters, and we may become subject to additional types of claims, suits, investigations and proceedings as our business develops. For example, we, along with certain other cybersecurity providers, currently are subject to litigation and a civil investigation regarding participation in cybersecurity testing standard-setting and allegations that this standard-setting facilitated a concerted refusal to deal with cybersecurity testing organizations that did not adhere to those standards. While we believe that we have acted in compliance in all material respects with applicable antitrust laws, such litigation, investigation, as well as any other claims, suits, and government investigations and proceedings that may be asserted against us in the future are inherently uncertain and their results cannot be predicted with certainty. Regardless of the outcome, any of these types of legal proceedings can have an adverse impact on us because of legal costs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w:t>
      </w:r>
    </w:p>
    <w:p>
      <w:pPr>
        <w:spacing w:after="0" w:line="232"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our ability to sell additional modules as part of our Falcon platform to existing customers would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9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89" w:lineRule="exact"/>
        <w:rPr>
          <w:sz w:val="20"/>
          <w:szCs w:val="20"/>
          <w:color w:val="auto"/>
        </w:rPr>
      </w:pPr>
    </w:p>
    <w:p>
      <w:pPr>
        <w:ind w:firstLine="488"/>
        <w:spacing w:after="0" w:line="268" w:lineRule="auto"/>
        <w:rPr>
          <w:sz w:val="20"/>
          <w:szCs w:val="20"/>
          <w:color w:val="auto"/>
        </w:rPr>
      </w:pPr>
      <w:r>
        <w:rPr>
          <w:rFonts w:ascii="Arial" w:cs="Arial" w:eastAsia="Arial" w:hAnsi="Arial"/>
          <w:sz w:val="16"/>
          <w:szCs w:val="16"/>
          <w:color w:val="auto"/>
        </w:rPr>
        <w:t>We expect that our existing cash and cash equivalents and marketable securities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common stock could decline. If we engage in debt financing, the holders of debt would have priority over the holders of our common stock, and we may be required to accept terms that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202" w:lineRule="exact"/>
        <w:rPr>
          <w:sz w:val="20"/>
          <w:szCs w:val="20"/>
          <w:color w:val="auto"/>
        </w:rPr>
      </w:pPr>
    </w:p>
    <w:p>
      <w:pPr>
        <w:ind w:right="60" w:firstLine="488"/>
        <w:spacing w:after="0" w:line="271" w:lineRule="auto"/>
        <w:rPr>
          <w:sz w:val="20"/>
          <w:szCs w:val="20"/>
          <w:color w:val="auto"/>
        </w:rPr>
      </w:pPr>
      <w:r>
        <w:rPr>
          <w:rFonts w:ascii="Arial" w:cs="Arial" w:eastAsia="Arial" w:hAnsi="Arial"/>
          <w:sz w:val="16"/>
          <w:szCs w:val="16"/>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84" w:lineRule="exact"/>
        <w:rPr>
          <w:sz w:val="20"/>
          <w:szCs w:val="20"/>
          <w:color w:val="auto"/>
        </w:rPr>
      </w:pPr>
    </w:p>
    <w:p>
      <w:pPr>
        <w:ind w:right="40" w:firstLine="478"/>
        <w:spacing w:after="0" w:line="236" w:lineRule="auto"/>
        <w:rPr>
          <w:sz w:val="20"/>
          <w:szCs w:val="20"/>
          <w:color w:val="auto"/>
        </w:rPr>
      </w:pPr>
      <w:r>
        <w:rPr>
          <w:rFonts w:ascii="Arial" w:cs="Arial" w:eastAsia="Arial" w:hAnsi="Arial"/>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210"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209" w:lineRule="exact"/>
        <w:rPr>
          <w:sz w:val="20"/>
          <w:szCs w:val="20"/>
          <w:color w:val="auto"/>
        </w:rPr>
      </w:pPr>
    </w:p>
    <w:p>
      <w:pPr>
        <w:jc w:val="both"/>
        <w:ind w:right="280" w:firstLine="478"/>
        <w:spacing w:after="0" w:line="238" w:lineRule="auto"/>
        <w:rPr>
          <w:sz w:val="20"/>
          <w:szCs w:val="20"/>
          <w:color w:val="auto"/>
        </w:rPr>
      </w:pPr>
      <w:r>
        <w:rPr>
          <w:rFonts w:ascii="Arial" w:cs="Arial" w:eastAsia="Arial" w:hAnsi="Arial"/>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208" w:lineRule="exact"/>
        <w:rPr>
          <w:sz w:val="20"/>
          <w:szCs w:val="20"/>
          <w:color w:val="auto"/>
        </w:rPr>
      </w:pPr>
    </w:p>
    <w:p>
      <w:pPr>
        <w:ind w:right="100" w:firstLine="488"/>
        <w:spacing w:after="0" w:line="237" w:lineRule="auto"/>
        <w:rPr>
          <w:sz w:val="20"/>
          <w:szCs w:val="20"/>
          <w:color w:val="auto"/>
        </w:rPr>
      </w:pPr>
      <w:r>
        <w:rPr>
          <w:rFonts w:ascii="Arial" w:cs="Arial" w:eastAsia="Arial" w:hAnsi="Arial"/>
          <w:sz w:val="18"/>
          <w:szCs w:val="18"/>
          <w:color w:val="auto"/>
        </w:rPr>
        <w:t>During the course of performing certain solution-related services and our professional services, our teams may have significant access to our customers' networks. We cannot be sure that a disgruntled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208"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customers a limited warranty, subject to certain conditions, with our Falcon Complete cloud module and our potential liability under this warranty is provided by our insurance carrier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88" w:lineRule="exact"/>
        <w:rPr>
          <w:sz w:val="20"/>
          <w:szCs w:val="20"/>
          <w:color w:val="auto"/>
        </w:rPr>
      </w:pPr>
    </w:p>
    <w:p>
      <w:pPr>
        <w:ind w:right="960"/>
        <w:spacing w:after="0" w:line="262" w:lineRule="auto"/>
        <w:rPr>
          <w:sz w:val="20"/>
          <w:szCs w:val="20"/>
          <w:color w:val="auto"/>
        </w:rPr>
      </w:pPr>
      <w:r>
        <w:rPr>
          <w:rFonts w:ascii="Arial" w:cs="Arial" w:eastAsia="Arial" w:hAnsi="Arial"/>
          <w:sz w:val="18"/>
          <w:szCs w:val="18"/>
          <w:b w:val="1"/>
          <w:bCs w:val="1"/>
          <w:i w:val="1"/>
          <w:iCs w:val="1"/>
          <w:color w:val="auto"/>
        </w:rPr>
        <w:t>Our debt agreement contains restrictive covenants that limit our ability to borrow more money, to make distributions to our stockholders, and to engage in certain other activities.</w:t>
      </w:r>
    </w:p>
    <w:p>
      <w:pPr>
        <w:spacing w:after="0" w:line="189" w:lineRule="exact"/>
        <w:rPr>
          <w:sz w:val="20"/>
          <w:szCs w:val="20"/>
          <w:color w:val="auto"/>
        </w:rPr>
      </w:pPr>
    </w:p>
    <w:p>
      <w:pPr>
        <w:ind w:right="20" w:firstLine="488"/>
        <w:spacing w:after="0" w:line="235" w:lineRule="auto"/>
        <w:rPr>
          <w:sz w:val="20"/>
          <w:szCs w:val="20"/>
          <w:color w:val="auto"/>
        </w:rPr>
      </w:pPr>
      <w:r>
        <w:rPr>
          <w:rFonts w:ascii="Arial" w:cs="Arial" w:eastAsia="Arial" w:hAnsi="Arial"/>
          <w:sz w:val="18"/>
          <w:szCs w:val="18"/>
          <w:color w:val="auto"/>
        </w:rPr>
        <w:t>Our existing credit agreement contains a number of covenants that limit our ability and our subsidiaries' ability to, among other things, transfer or dispose of assets, pay dividends or make distributions, incur additional indebtedness, create liens, make investments, loans and acquisitions, engage in transactions with affiliates, merge or consolidate with other companies, or sell substantially all of our assets. Our credit agreement is guaranteed by us and certain of our subsidiaries and secured by substantially all of the assets of the borrower subsidiary, us, and the guarantor subsidiaries. The terms of our credit agreement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 Additionally, our obligations to repay principal and interest on our indebtedness make us vulnerable to economic or market downturns.</w:t>
      </w:r>
    </w:p>
    <w:p>
      <w:pPr>
        <w:spacing w:after="0" w:line="214" w:lineRule="exact"/>
        <w:rPr>
          <w:sz w:val="20"/>
          <w:szCs w:val="20"/>
          <w:color w:val="auto"/>
        </w:rPr>
      </w:pPr>
    </w:p>
    <w:p>
      <w:pPr>
        <w:ind w:right="120" w:firstLine="488"/>
        <w:spacing w:after="0" w:line="236" w:lineRule="auto"/>
        <w:rPr>
          <w:sz w:val="20"/>
          <w:szCs w:val="20"/>
          <w:color w:val="auto"/>
        </w:rPr>
      </w:pPr>
      <w:r>
        <w:rPr>
          <w:rFonts w:ascii="Arial" w:cs="Arial" w:eastAsia="Arial" w:hAnsi="Arial"/>
          <w:sz w:val="18"/>
          <w:szCs w:val="18"/>
          <w:color w:val="auto"/>
        </w:rPr>
        <w:t>If we are unable to comply with our payment requirements, our lender may accelerate our obligations under our credit agreement and foreclose upon the collateral, or we may be forced to sell assets, restructure our indebtedness or seek additional equity capital, which would dilute our stockholders' interests. If we fail to comply with any covenant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91"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if we fail to maintain an effective system of internal controls, our ability to produce timely and accurate financial statements or comply with applicable regulations could be impaired.</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w:t>
      </w:r>
    </w:p>
    <w:p>
      <w:pPr>
        <w:spacing w:after="0" w:line="236" w:lineRule="auto"/>
        <w:rPr>
          <w:sz w:val="20"/>
          <w:szCs w:val="20"/>
          <w:color w:val="auto"/>
        </w:rPr>
      </w:pPr>
      <w:r>
        <w:rPr>
          <w:rFonts w:ascii="Arial" w:cs="Arial" w:eastAsia="Arial" w:hAnsi="Arial"/>
          <w:sz w:val="18"/>
          <w:szCs w:val="18"/>
          <w:color w:val="auto"/>
        </w:rPr>
        <w:t>Exchange Act, the Sarbanes-Oxley Act of 2002, or the Sarbanes-Oxley Act, and the rules and regulations of . We expect that the requirements of these rules and regulations will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208"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Ineffective disclosure controls and procedures and internal control over financial reporting could also cause investors to lose confidence in our reported financial and other information, which would likely have a negative effect on the market price of our common stock. We are not currently required to comply with the SEC rules that implement Sections 302 and 404 of the Sarbanes-Oxley Act, and we are therefore not required to make a formal assessment of the effectiveness of our internal control over financial reporting for that purpose. Upon becoming a public company, we will be required to comply with certain of these rules, which will require management to certify financial and other information in our quarterly and annual reports and provide an annual management report on the effectiveness of our internal control over financial reporting commencing with our second Annual Report on Form 10-K.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394"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results of operations and could cause a decline in the price of our stock.</w:t>
      </w:r>
    </w:p>
    <w:p>
      <w:pPr>
        <w:spacing w:after="0" w:line="191"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202" w:lineRule="exact"/>
        <w:rPr>
          <w:sz w:val="20"/>
          <w:szCs w:val="20"/>
          <w:color w:val="auto"/>
        </w:rPr>
      </w:pPr>
    </w:p>
    <w:p>
      <w:pPr>
        <w:ind w:right="20" w:firstLine="478"/>
        <w:spacing w:after="0" w:line="235" w:lineRule="auto"/>
        <w:rPr>
          <w:sz w:val="20"/>
          <w:szCs w:val="20"/>
          <w:color w:val="auto"/>
        </w:rPr>
      </w:pPr>
      <w:r>
        <w:rPr>
          <w:rFonts w:ascii="Arial" w:cs="Arial" w:eastAsia="Arial" w:hAnsi="Arial"/>
          <w:sz w:val="18"/>
          <w:szCs w:val="18"/>
          <w:color w:val="auto"/>
        </w:rPr>
        <w:t>As part of our business strategy, we have in the past and are likely to continue to make investments in and/or acquire complementary companies, services or technologies, such as our acquisition of Payload Security, UG.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Additional risks we may face in connection with acquisitions include:</w:t>
      </w:r>
    </w:p>
    <w:p>
      <w:pPr>
        <w:spacing w:after="0" w:line="21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integration of product and service offerings;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11" w:lineRule="exact"/>
        <w:rPr>
          <w:rFonts w:ascii="Arial" w:cs="Arial" w:eastAsia="Arial" w:hAnsi="Arial"/>
          <w:sz w:val="18"/>
          <w:szCs w:val="18"/>
          <w:color w:val="auto"/>
        </w:rPr>
      </w:pPr>
    </w:p>
    <w:p>
      <w:pPr>
        <w:ind w:left="1080" w:right="62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relationships with strategic partners as a result of product acquisitions or strategic positioning resulting from the acquisition;</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integration of the acquired company's accounting, management information, human resources and other administrative systems;</w:t>
      </w:r>
    </w:p>
    <w:p>
      <w:pPr>
        <w:spacing w:after="0" w:line="234" w:lineRule="exact"/>
        <w:rPr>
          <w:rFonts w:ascii="Arial" w:cs="Arial" w:eastAsia="Arial" w:hAnsi="Arial"/>
          <w:sz w:val="16"/>
          <w:szCs w:val="16"/>
          <w:color w:val="auto"/>
        </w:rPr>
      </w:pPr>
    </w:p>
    <w:p>
      <w:pPr>
        <w:ind w:left="1080" w:right="30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95" w:lineRule="exact"/>
        <w:rPr>
          <w:rFonts w:ascii="Arial" w:cs="Arial" w:eastAsia="Arial" w:hAnsi="Arial"/>
          <w:sz w:val="18"/>
          <w:szCs w:val="18"/>
          <w:color w:val="auto"/>
        </w:rPr>
      </w:pPr>
    </w:p>
    <w:p>
      <w:pPr>
        <w:ind w:left="1080" w:right="10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don't adequately address and that cause our reported results to be incorrect;</w:t>
      </w:r>
    </w:p>
    <w:p>
      <w:pPr>
        <w:spacing w:after="0" w:line="195"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98"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209"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89" w:lineRule="exact"/>
        <w:rPr>
          <w:sz w:val="20"/>
          <w:szCs w:val="20"/>
          <w:color w:val="auto"/>
        </w:rPr>
      </w:pPr>
    </w:p>
    <w:p>
      <w:pPr>
        <w:ind w:right="120" w:firstLine="488"/>
        <w:spacing w:after="0" w:line="236" w:lineRule="auto"/>
        <w:rPr>
          <w:sz w:val="20"/>
          <w:szCs w:val="20"/>
          <w:color w:val="auto"/>
        </w:rPr>
      </w:pPr>
      <w:r>
        <w:rPr>
          <w:rFonts w:ascii="Arial" w:cs="Arial" w:eastAsia="Arial" w:hAnsi="Arial"/>
          <w:sz w:val="18"/>
          <w:szCs w:val="18"/>
          <w:color w:val="auto"/>
        </w:rPr>
        <w:t>We believe that our corporate culture has been a contributor to our success, which we believe fosters innovation, teamwork, passion and focus on building and marketing our Falcon platform. As we grow and develop the infrastructure of a public company,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89" w:lineRule="exact"/>
        <w:rPr>
          <w:sz w:val="20"/>
          <w:szCs w:val="20"/>
          <w:color w:val="auto"/>
        </w:rPr>
      </w:pPr>
    </w:p>
    <w:p>
      <w:pPr>
        <w:ind w:right="160" w:firstLine="488"/>
        <w:spacing w:after="0" w:line="272" w:lineRule="auto"/>
        <w:rPr>
          <w:sz w:val="20"/>
          <w:szCs w:val="20"/>
          <w:color w:val="auto"/>
        </w:rPr>
      </w:pPr>
      <w:r>
        <w:rPr>
          <w:rFonts w:ascii="Arial" w:cs="Arial" w:eastAsia="Arial" w:hAnsi="Arial"/>
          <w:sz w:val="16"/>
          <w:szCs w:val="16"/>
          <w:color w:val="auto"/>
        </w:rPr>
        <w:t>We derived approximately 13%, 16%, and 23% of our total revenue from our international customers for fiscal 2017, fiscal 2018, and for the nine months ended October 31, 2018,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86" w:lineRule="exact"/>
        <w:rPr>
          <w:sz w:val="20"/>
          <w:szCs w:val="20"/>
          <w:color w:val="auto"/>
        </w:rPr>
      </w:pPr>
    </w:p>
    <w:p>
      <w:pPr>
        <w:ind w:left="1080" w:right="8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difficulty in negotiating contracts with standard terms, enforcing contracts and managing collections, and longer collection periods;</w:t>
      </w:r>
    </w:p>
    <w:p>
      <w:pPr>
        <w:spacing w:after="0" w:line="208" w:lineRule="exact"/>
        <w:rPr>
          <w:rFonts w:ascii="Arial" w:cs="Arial" w:eastAsia="Arial" w:hAnsi="Arial"/>
          <w:sz w:val="18"/>
          <w:szCs w:val="18"/>
          <w:color w:val="auto"/>
        </w:rPr>
      </w:pPr>
    </w:p>
    <w:p>
      <w:pPr>
        <w:ind w:left="1080" w:right="2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costs incurred in establishing and maintaining office space and equipment for our international operations;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198" w:lineRule="exact"/>
        <w:rPr>
          <w:rFonts w:ascii="Arial" w:cs="Arial" w:eastAsia="Arial" w:hAnsi="Arial"/>
          <w:sz w:val="18"/>
          <w:szCs w:val="18"/>
          <w:color w:val="auto"/>
        </w:rPr>
      </w:pPr>
    </w:p>
    <w:p>
      <w:pPr>
        <w:ind w:left="1080" w:right="18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198" w:lineRule="exact"/>
        <w:rPr>
          <w:rFonts w:ascii="Arial" w:cs="Arial" w:eastAsia="Arial" w:hAnsi="Arial"/>
          <w:sz w:val="18"/>
          <w:szCs w:val="18"/>
          <w:color w:val="auto"/>
        </w:rPr>
      </w:pPr>
    </w:p>
    <w:p>
      <w:pPr>
        <w:ind w:left="1080" w:right="20" w:hanging="532"/>
        <w:spacing w:after="0" w:line="23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anti-bribery laws, including, without limitation, compliance with the U.S. Foreign Corrupt Practices Act of 1977, as amended, the U.S. Travel Act and the UK Bribery Act 2010, violations of which could lead to significant fines, penalties, and collateral consequences for our company;</w:t>
      </w:r>
    </w:p>
    <w:p>
      <w:pPr>
        <w:spacing w:after="0" w:line="194" w:lineRule="exact"/>
        <w:rPr>
          <w:rFonts w:ascii="Arial" w:cs="Arial" w:eastAsia="Arial" w:hAnsi="Arial"/>
          <w:sz w:val="18"/>
          <w:szCs w:val="18"/>
          <w:color w:val="auto"/>
        </w:rPr>
      </w:pPr>
    </w:p>
    <w:p>
      <w:pPr>
        <w:ind w:left="1080" w:right="22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exchange controls or tax regulations that might prevent us from repatriating cash earned outside the United States;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198" w:lineRule="exact"/>
        <w:rPr>
          <w:rFonts w:ascii="Arial" w:cs="Arial" w:eastAsia="Arial" w:hAnsi="Arial"/>
          <w:sz w:val="18"/>
          <w:szCs w:val="18"/>
          <w:color w:val="auto"/>
        </w:rPr>
      </w:pPr>
    </w:p>
    <w:p>
      <w:pPr>
        <w:ind w:left="1080" w:right="44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195"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w:t>
      </w:r>
    </w:p>
    <w:p>
      <w:pPr>
        <w:spacing w:after="0" w:line="20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195"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difficulty in identifying, attracting and retaining local qualified personnel, and the costs and expenses associated with such activities;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difficulty identifying qualified channel partners and maintaining successful relationships with such partners;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 and</w:t>
      </w:r>
    </w:p>
    <w:p>
      <w:pPr>
        <w:spacing w:after="0" w:line="198" w:lineRule="exact"/>
        <w:rPr>
          <w:rFonts w:ascii="Arial" w:cs="Arial" w:eastAsia="Arial" w:hAnsi="Arial"/>
          <w:sz w:val="18"/>
          <w:szCs w:val="18"/>
          <w:color w:val="auto"/>
        </w:rPr>
      </w:pPr>
    </w:p>
    <w:p>
      <w:pPr>
        <w:ind w:left="1080" w:right="20" w:hanging="532"/>
        <w:spacing w:after="0" w:line="23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w:t>
      </w:r>
    </w:p>
    <w:p>
      <w:pPr>
        <w:spacing w:after="0" w:line="209" w:lineRule="exact"/>
        <w:rPr>
          <w:sz w:val="20"/>
          <w:szCs w:val="20"/>
          <w:color w:val="auto"/>
        </w:rPr>
      </w:pPr>
    </w:p>
    <w:p>
      <w:pPr>
        <w:ind w:right="20" w:firstLine="478"/>
        <w:spacing w:after="0" w:line="236" w:lineRule="auto"/>
        <w:rPr>
          <w:sz w:val="20"/>
          <w:szCs w:val="20"/>
          <w:color w:val="auto"/>
        </w:rPr>
      </w:pPr>
      <w:r>
        <w:rPr>
          <w:rFonts w:ascii="Arial" w:cs="Arial" w:eastAsia="Arial" w:hAnsi="Arial"/>
          <w:sz w:val="18"/>
          <w:szCs w:val="18"/>
          <w:color w:val="auto"/>
        </w:rPr>
        <w:t>Additionally,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and Euro,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210" w:lineRule="exact"/>
        <w:rPr>
          <w:sz w:val="20"/>
          <w:szCs w:val="20"/>
          <w:color w:val="auto"/>
        </w:rPr>
      </w:pPr>
    </w:p>
    <w:p>
      <w:pPr>
        <w:ind w:right="120" w:firstLine="478"/>
        <w:spacing w:after="0" w:line="237" w:lineRule="auto"/>
        <w:rPr>
          <w:sz w:val="20"/>
          <w:szCs w:val="20"/>
          <w:color w:val="auto"/>
        </w:rPr>
      </w:pPr>
      <w:r>
        <w:rPr>
          <w:rFonts w:ascii="Arial" w:cs="Arial" w:eastAsia="Arial" w:hAnsi="Arial"/>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divert management's attention.</w:t>
      </w:r>
    </w:p>
    <w:p>
      <w:pPr>
        <w:spacing w:after="0" w:line="232" w:lineRule="exact"/>
        <w:rPr>
          <w:sz w:val="20"/>
          <w:szCs w:val="20"/>
          <w:color w:val="auto"/>
        </w:rPr>
      </w:pPr>
    </w:p>
    <w:p>
      <w:pPr>
        <w:ind w:firstLine="478"/>
        <w:spacing w:after="0" w:line="235" w:lineRule="auto"/>
        <w:rPr>
          <w:sz w:val="20"/>
          <w:szCs w:val="20"/>
          <w:color w:val="auto"/>
        </w:rPr>
      </w:pPr>
      <w:r>
        <w:rPr>
          <w:rFonts w:ascii="Arial" w:cs="Arial" w:eastAsia="Arial" w:hAnsi="Arial"/>
          <w:sz w:val="18"/>
          <w:szCs w:val="18"/>
          <w:color w:val="auto"/>
        </w:rPr>
        <w:t>As a public company, we will be subject to the reporting and corporate governance requirements of the Exchange Act, the listing requirements of and other applicable securities rules and regulations, including the Sarbanes-Oxley Act and the Dodd-Frank Wall Street Reform and Consumer Protection Act. Compliance with these rules and regulations will increase our legal and financial compliance costs, make some activities more difficult, time-consuming, or costly and increase demand on our systems and resources, particularly after we are no longer an "emerging growth company" as defined in the JOBS Act.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3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December 2017, the United States adopted new tax law legislation commonly referred to as the Tax Cuts and Jobs Act of 2017, or the Tax Act, which significantly reforms the Internal Revenue Code of 1986, as amended, or the Internal Revenue Code. The Tax Act, among other things, includes changes to U.S. federal tax rates, imposes significant additional limitations on the deductibility of interest and the use of net operating losses generated in tax years beginning after December 31, 2017, allows for the expensing of capital expenditures, and puts into effect the migration from a "worldwide" system of taxation to a territorial system. Further 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adversely affect our financial condition and results of operations. The enactment of legislation implementing changes in the U.S. taxation of international business activities or the adoption of other tax reform policies could adversely impact our financial position and results of operations.</w:t>
      </w:r>
    </w:p>
    <w:p>
      <w:pPr>
        <w:spacing w:after="0" w:line="208" w:lineRule="exact"/>
        <w:rPr>
          <w:sz w:val="20"/>
          <w:szCs w:val="20"/>
          <w:color w:val="auto"/>
        </w:rPr>
      </w:pPr>
    </w:p>
    <w:p>
      <w:pPr>
        <w:jc w:val="both"/>
        <w:ind w:right="300" w:firstLine="478"/>
        <w:spacing w:after="0" w:line="238" w:lineRule="auto"/>
        <w:rPr>
          <w:sz w:val="20"/>
          <w:szCs w:val="20"/>
          <w:color w:val="auto"/>
        </w:rPr>
      </w:pPr>
      <w:r>
        <w:rPr>
          <w:rFonts w:ascii="Arial" w:cs="Arial" w:eastAsia="Arial" w:hAnsi="Arial"/>
          <w:sz w:val="18"/>
          <w:szCs w:val="18"/>
          <w:color w:val="auto"/>
        </w:rPr>
        <w:t>Although we have not completed our accounting assessment for the effects of the Tax Act, based on our initial assessment, we do not expect that the Tax Act will have a material impact on our financial statements for fiscal 2019, other than disclosures in our year-end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32" w:lineRule="exact"/>
        <w:rPr>
          <w:sz w:val="20"/>
          <w:szCs w:val="20"/>
          <w:color w:val="auto"/>
        </w:rPr>
      </w:pPr>
    </w:p>
    <w:p>
      <w:pPr>
        <w:ind w:firstLine="478"/>
        <w:spacing w:after="0" w:line="269" w:lineRule="auto"/>
        <w:rPr>
          <w:sz w:val="20"/>
          <w:szCs w:val="20"/>
          <w:color w:val="auto"/>
        </w:rPr>
      </w:pPr>
      <w:r>
        <w:rPr>
          <w:rFonts w:ascii="Arial" w:cs="Arial" w:eastAsia="Arial" w:hAnsi="Arial"/>
          <w:sz w:val="16"/>
          <w:szCs w:val="16"/>
          <w:color w:val="auto"/>
        </w:rPr>
        <w:t>As of January 31, 2018, we had aggregate U.S. federal and state net operating loss carryforwards of $282.8 million and $214.7 million, respectively, which may be available to offset future taxable income for income tax purposes. If not utilized, the federal net operating loss carryforwards will begin to expire in 2031, and the state net operating loss carryforwards will begin to expire in 2019. As of January 31, 2018, we had federal and California research and development credit carryforwards of $4.3 million and $3.8 million, respectively. The federal research and development credit carryforwards begin to expire in 2031, and the state carryforwards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90"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may be limited. We do not expect to experience an ownership change in connection with this offering, although we may experience an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8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202"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90"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89" w:lineRule="exact"/>
        <w:rPr>
          <w:sz w:val="20"/>
          <w:szCs w:val="20"/>
          <w:color w:val="auto"/>
        </w:rPr>
      </w:pPr>
    </w:p>
    <w:p>
      <w:pPr>
        <w:ind w:right="580" w:firstLine="488"/>
        <w:spacing w:after="0" w:line="239" w:lineRule="auto"/>
        <w:rPr>
          <w:sz w:val="20"/>
          <w:szCs w:val="20"/>
          <w:color w:val="auto"/>
        </w:rPr>
      </w:pPr>
      <w:r>
        <w:rPr>
          <w:rFonts w:ascii="Arial" w:cs="Arial" w:eastAsia="Arial" w:hAnsi="Arial"/>
          <w:sz w:val="18"/>
          <w:szCs w:val="18"/>
          <w:color w:val="auto"/>
        </w:rPr>
        <w:t>We are expanding our international operations and staff to support our business in international markets. We generally conduct our international operations through wholly-owned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21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9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Our reported financial results may be affected by changes in accounting principles generally accepted in the United States, such as the adoption of ASC 606, and difficulties in implementing these changes could cause us to fail to meet our financial reporting obligations, which could result in regulatory discipline and harm investors' confidence in us.</w:t>
      </w:r>
    </w:p>
    <w:p>
      <w:pPr>
        <w:spacing w:after="0" w:line="202" w:lineRule="exact"/>
        <w:rPr>
          <w:sz w:val="20"/>
          <w:szCs w:val="20"/>
          <w:color w:val="auto"/>
        </w:rPr>
      </w:pPr>
    </w:p>
    <w:p>
      <w:pPr>
        <w:ind w:firstLine="478"/>
        <w:spacing w:after="0" w:line="235" w:lineRule="auto"/>
        <w:rPr>
          <w:sz w:val="20"/>
          <w:szCs w:val="20"/>
          <w:color w:val="auto"/>
        </w:rPr>
      </w:pPr>
      <w:r>
        <w:rPr>
          <w:rFonts w:ascii="Arial" w:cs="Arial" w:eastAsia="Arial" w:hAnsi="Arial"/>
          <w:sz w:val="18"/>
          <w:szCs w:val="18"/>
          <w:color w:val="auto"/>
        </w:rPr>
        <w:t xml:space="preserve">Accounting principles generally accepted in the United States, or U.S.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particular, in May 2014, the FASB issued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which supersedes the revenue recognition requirements in ASC 605,</w:t>
      </w:r>
      <w:r>
        <w:rPr>
          <w:rFonts w:ascii="Arial" w:cs="Arial" w:eastAsia="Arial" w:hAnsi="Arial"/>
          <w:sz w:val="18"/>
          <w:szCs w:val="18"/>
          <w:i w:val="1"/>
          <w:iCs w:val="1"/>
          <w:color w:val="auto"/>
        </w:rPr>
        <w:t xml:space="preserve"> Revenue Recognition </w:t>
      </w:r>
      <w:r>
        <w:rPr>
          <w:rFonts w:ascii="Arial" w:cs="Arial" w:eastAsia="Arial" w:hAnsi="Arial"/>
          <w:sz w:val="18"/>
          <w:szCs w:val="18"/>
          <w:color w:val="auto"/>
        </w:rPr>
        <w:t>. The core principle of ASC 606 is that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should recognize revenue to depict the transfer of promised goods or services to customers in an amount that reflects the consideration to which the entity expects to be entitled in exchange for those goods or services. As an "emerging growth company," we are allowed under the JOBS Act to delay adoption of new or revised accounting pronouncements applicable to public companies until such pronouncements are made applicable to private companies. We have elected to take advantage of this extended transition period under the JOBS Act, which resulted in ASC 606 becoming effective for us beginning on February 1, 2019. We plan to adopt using the modified retrospective transition method. Any difficulties in implementing these pronouncements could cause us to fail to meet our financial reporting obligations, which could result in regulatory discipline and harm investors' confidence in 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9" w:lineRule="exact"/>
        <w:rPr>
          <w:sz w:val="20"/>
          <w:szCs w:val="20"/>
          <w:color w:val="auto"/>
        </w:rPr>
      </w:pPr>
    </w:p>
    <w:p>
      <w:pPr>
        <w:ind w:right="20" w:firstLine="484"/>
        <w:spacing w:after="0" w:line="23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common stock.</w:t>
      </w:r>
    </w:p>
    <w:p>
      <w:pPr>
        <w:spacing w:after="0" w:line="21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9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89" w:lineRule="exact"/>
        <w:rPr>
          <w:sz w:val="20"/>
          <w:szCs w:val="20"/>
          <w:color w:val="auto"/>
        </w:rPr>
      </w:pPr>
    </w:p>
    <w:p>
      <w:pPr>
        <w:ind w:right="20" w:firstLine="488"/>
        <w:spacing w:after="0" w:line="235" w:lineRule="auto"/>
        <w:rPr>
          <w:sz w:val="20"/>
          <w:szCs w:val="20"/>
          <w:color w:val="auto"/>
        </w:rPr>
      </w:pPr>
      <w:r>
        <w:rPr>
          <w:rFonts w:ascii="Arial" w:cs="Arial" w:eastAsia="Arial" w:hAnsi="Arial"/>
          <w:sz w:val="18"/>
          <w:szCs w:val="18"/>
          <w:color w:val="auto"/>
        </w:rPr>
        <w:t>Our corporate headquarters are located in the San Francisco Bay Area, a region known for seismic activity. A significant natural disaster, such as an earthquake, a fire, a flood, or significant power outage could have a material adverse impact on our business, results of operations, and financial condition. Natural disasters could affect our personnel, data centers, supply chain, manufacturing vendors, or logistics providers' ability to provide materials and perform services such as manufacturing products or assisting with shipments on a timely basis.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Offering and Ownership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could lose all or part of your investment.</w:t>
      </w:r>
    </w:p>
    <w:p>
      <w:pPr>
        <w:spacing w:after="0" w:line="232" w:lineRule="exact"/>
        <w:rPr>
          <w:sz w:val="20"/>
          <w:szCs w:val="20"/>
          <w:color w:val="auto"/>
        </w:rPr>
      </w:pPr>
    </w:p>
    <w:p>
      <w:pPr>
        <w:ind w:right="60" w:firstLine="488"/>
        <w:spacing w:after="0" w:line="235" w:lineRule="auto"/>
        <w:rPr>
          <w:sz w:val="20"/>
          <w:szCs w:val="20"/>
          <w:color w:val="auto"/>
        </w:rPr>
      </w:pPr>
      <w:r>
        <w:rPr>
          <w:rFonts w:ascii="Arial" w:cs="Arial" w:eastAsia="Arial" w:hAnsi="Arial"/>
          <w:sz w:val="18"/>
          <w:szCs w:val="18"/>
          <w:color w:val="auto"/>
        </w:rPr>
        <w:t>We cannot predict the prices at which our common stock will trade. The initial public offering price of our common stock will be determined by negotiations between us and the underwriters and may not bear any relationship to the market price at which our common stock will trade after this offering or to any other established criteria of the value of our business and prospects and the market price of our common stock following this offering may fluctuate substantially and may be lower than the initial public offering price. The market price of our common stock following this offering will depend on a number of factors, including those described in this "Risk Factors" section, many of which are beyond our control and may not be related to our operating performance. In addition, the limited public float of our common stock following this offering will tend to increase the volatility of the trading price of our common stock. These fluctuations could cause you to lose all or part of your investment in our common stock, since you might not be able to sell your shares at or above the price you paid in this offering. Factors that could cause fluctuations in the market price of our common stock include the following:</w:t>
      </w:r>
    </w:p>
    <w:p>
      <w:pPr>
        <w:spacing w:after="0" w:line="214"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98" w:lineRule="exact"/>
        <w:rPr>
          <w:rFonts w:ascii="Arial" w:cs="Arial" w:eastAsia="Arial" w:hAnsi="Arial"/>
          <w:sz w:val="18"/>
          <w:szCs w:val="18"/>
          <w:color w:val="auto"/>
        </w:rPr>
      </w:pPr>
    </w:p>
    <w:p>
      <w:pPr>
        <w:ind w:left="1080" w:right="200" w:hanging="532"/>
        <w:spacing w:after="0" w:line="23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20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sales of shares of our common stock by us or our stockholders;</w:t>
      </w:r>
    </w:p>
    <w:p>
      <w:pPr>
        <w:spacing w:after="0" w:line="195" w:lineRule="exact"/>
        <w:rPr>
          <w:rFonts w:ascii="Arial" w:cs="Arial" w:eastAsia="Arial" w:hAnsi="Arial"/>
          <w:sz w:val="18"/>
          <w:szCs w:val="18"/>
          <w:color w:val="auto"/>
        </w:rPr>
      </w:pPr>
    </w:p>
    <w:p>
      <w:pPr>
        <w:ind w:left="1080" w:right="260" w:hanging="532"/>
        <w:spacing w:after="0" w:line="23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 particularly with respect to Mr. Kurtz;</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1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89"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an active public trading market may not develop or be sustained following this offering.</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to this offering, there has been no public market or active private market for our common stock. We have applied to list our common</w:t>
      </w:r>
    </w:p>
    <w:p>
      <w:pPr>
        <w:spacing w:after="0" w:line="1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stock on ;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common stock. An inactive market may also impair our ability to raise capital by selling shares and may impair our ability to acquire other companies or technologies by using our shares as consideration.</w:t>
      </w:r>
    </w:p>
    <w:p>
      <w:pPr>
        <w:spacing w:after="0" w:line="19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or the perception that they might occur, could reduce the price that our common stock might otherwise attain and may dilute your voting power and your ownership interest in us.</w:t>
      </w:r>
    </w:p>
    <w:p>
      <w:pPr>
        <w:spacing w:after="0" w:line="189" w:lineRule="exact"/>
        <w:rPr>
          <w:sz w:val="20"/>
          <w:szCs w:val="20"/>
          <w:color w:val="auto"/>
        </w:rPr>
      </w:pPr>
    </w:p>
    <w:p>
      <w:pPr>
        <w:ind w:right="320" w:firstLine="488"/>
        <w:spacing w:after="0" w:line="264" w:lineRule="auto"/>
        <w:rPr>
          <w:sz w:val="20"/>
          <w:szCs w:val="20"/>
          <w:color w:val="auto"/>
        </w:rPr>
      </w:pPr>
      <w:r>
        <w:rPr>
          <w:rFonts w:ascii="Arial" w:cs="Arial" w:eastAsia="Arial" w:hAnsi="Arial"/>
          <w:sz w:val="16"/>
          <w:szCs w:val="16"/>
          <w:color w:val="auto"/>
        </w:rPr>
        <w:t>Sales of a substantial number of shares of our common stock in the public market after this offering,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 Based on the total number of outstanding shares of our common stock as of October 31, 2018, upon completion of this offering, we will</w:t>
      </w:r>
    </w:p>
    <w:p>
      <w:pPr>
        <w:ind w:right="500"/>
        <w:spacing w:after="0"/>
        <w:rPr>
          <w:sz w:val="20"/>
          <w:szCs w:val="20"/>
          <w:color w:val="auto"/>
        </w:rPr>
      </w:pPr>
      <w:r>
        <w:rPr>
          <w:rFonts w:ascii="Arial" w:cs="Arial" w:eastAsia="Arial" w:hAnsi="Arial"/>
          <w:sz w:val="18"/>
          <w:szCs w:val="18"/>
          <w:color w:val="auto"/>
        </w:rPr>
        <w:t>have shares of common stock outstanding, assuming no exercise by the underwriters of their option to purchase additional shares.</w:t>
      </w:r>
    </w:p>
    <w:p>
      <w:pPr>
        <w:spacing w:after="0" w:line="200" w:lineRule="exact"/>
        <w:rPr>
          <w:sz w:val="20"/>
          <w:szCs w:val="20"/>
          <w:color w:val="auto"/>
        </w:rPr>
      </w:pPr>
    </w:p>
    <w:p>
      <w:pPr>
        <w:spacing w:after="0" w:line="214" w:lineRule="exact"/>
        <w:rPr>
          <w:sz w:val="20"/>
          <w:szCs w:val="20"/>
          <w:color w:val="auto"/>
        </w:rPr>
      </w:pPr>
    </w:p>
    <w:p>
      <w:pPr>
        <w:ind w:right="100" w:firstLine="478"/>
        <w:spacing w:after="0" w:line="299" w:lineRule="auto"/>
        <w:rPr>
          <w:sz w:val="20"/>
          <w:szCs w:val="20"/>
          <w:color w:val="auto"/>
        </w:rPr>
      </w:pPr>
      <w:r>
        <w:rPr>
          <w:rFonts w:ascii="Arial" w:cs="Arial" w:eastAsia="Arial" w:hAnsi="Arial"/>
          <w:sz w:val="16"/>
          <w:szCs w:val="16"/>
          <w:color w:val="auto"/>
        </w:rPr>
        <w:t>All of the shares of common stock sold in this offering will be freely tradable without restrictions or further registration under the Securities Act of 1933, as amended, or the Securities Act, except for any shares held by our affiliates as defined in Rule 144 under the Securities Act.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Subject to certain exceptions, we, all of our directors and executive officers and holders of substantially all of our common stock, or securities exercisable for or convertible into our common stock outstanding immediately prior to this offering, are subject to market stand-off agreements or have agreed not to offer, sell or agree to sell, directly or indirectly, any shares of common stock without the permission of Goldman Sachs &amp; Co. LLC on behalf of the underwriters, for a period of 180 days from the date of this prospectus. See the section titled "Underwriting." When the lock-up period expires, we and our security holders subject to a lock-up agreement or market stand-off agreement will be able to sell our shares in the public market. In addition, the underwriters may, in their sole discretion, release all or some portion of the shares subject to lock-up agreements prior to the expiration of the lock-up period. See the section titled "Shares Eligible for Future Sale" for more information. Sales of a substantial number of such shares upon expiration of the lock-up and market stand-off agreements, or the perception that such sales may occur, or early release of these agreements, could cause our market price to fall or make it more difficult for you to sell your common stock at a time and price that you deem appropriate.</w:t>
      </w:r>
    </w:p>
    <w:p>
      <w:pPr>
        <w:spacing w:after="0" w:line="214" w:lineRule="exact"/>
        <w:rPr>
          <w:sz w:val="20"/>
          <w:szCs w:val="20"/>
          <w:color w:val="auto"/>
        </w:rPr>
      </w:pPr>
    </w:p>
    <w:p>
      <w:pPr>
        <w:ind w:right="140" w:firstLine="488"/>
        <w:spacing w:after="0" w:line="236" w:lineRule="auto"/>
        <w:rPr>
          <w:sz w:val="20"/>
          <w:szCs w:val="20"/>
          <w:color w:val="auto"/>
        </w:rPr>
      </w:pPr>
      <w:r>
        <w:rPr>
          <w:rFonts w:ascii="Arial" w:cs="Arial" w:eastAsia="Arial" w:hAnsi="Arial"/>
          <w:sz w:val="18"/>
          <w:szCs w:val="18"/>
          <w:color w:val="auto"/>
        </w:rPr>
        <w:t>In addition, following this offering, holders of an aggregate of up to 163,916,832 shares of our common stock will be entitled to rights with respect to registration of these shares under the Securities Act pursuant to our amended and restated registration rights agreement, or RRA. If these holders of our common stock, by exercising their registration rights, sell a large number of shares, they could adversely affect the market price for our common stock. We also intend to register the offer and sale of all shares of common stock that we may issue under our equity compensation plans.</w:t>
      </w:r>
    </w:p>
    <w:p>
      <w:pPr>
        <w:spacing w:after="0" w:line="211"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spacing w:after="0" w:line="188"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common stock, our stock price and trading volume could decline.</w:t>
      </w:r>
    </w:p>
    <w:p>
      <w:pPr>
        <w:spacing w:after="0" w:line="189" w:lineRule="exact"/>
        <w:rPr>
          <w:sz w:val="20"/>
          <w:szCs w:val="20"/>
          <w:color w:val="auto"/>
        </w:rPr>
      </w:pPr>
    </w:p>
    <w:p>
      <w:pPr>
        <w:ind w:firstLine="484"/>
        <w:spacing w:after="0" w:line="23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The concentration of our stock ownership with insiders will likely limit your ability to influence corporate matters, including the ability to influence the outcome of director elections and other matters requiring stockholder approval.</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anticipate that our executive officers, directors, current 5% or greater stockholders and affiliated entities will together beneficially own</w:t>
      </w:r>
    </w:p>
    <w:p>
      <w:pPr>
        <w:spacing w:after="0" w:line="1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approximately % of our common stock outstanding after this offering (or % if the underwriters exercise their option to purchase additional shares in full). In addition, we are party to stockholders agreement with certain holders of our capital stock that grants Warburg Pincus certain rights to designate directors to serve on our board of directors, as described in the section titled "Management—Board of Directors." As a result, these stockholders, acting together, will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 shares in this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our common stock are subordinate to our debts and other liabilities, resulting in a greater risk of loss for stockholders.</w:t>
      </w:r>
    </w:p>
    <w:p>
      <w:pPr>
        <w:spacing w:after="0" w:line="232" w:lineRule="exact"/>
        <w:rPr>
          <w:sz w:val="20"/>
          <w:szCs w:val="20"/>
          <w:color w:val="auto"/>
        </w:rPr>
      </w:pPr>
    </w:p>
    <w:p>
      <w:pPr>
        <w:ind w:right="200" w:firstLine="488"/>
        <w:spacing w:after="0" w:line="239" w:lineRule="auto"/>
        <w:rPr>
          <w:sz w:val="20"/>
          <w:szCs w:val="20"/>
          <w:color w:val="auto"/>
        </w:rPr>
      </w:pPr>
      <w:r>
        <w:rPr>
          <w:rFonts w:ascii="Arial" w:cs="Arial" w:eastAsia="Arial" w:hAnsi="Arial"/>
          <w:sz w:val="18"/>
          <w:szCs w:val="18"/>
          <w:color w:val="auto"/>
        </w:rPr>
        <w:t>Shares of our common stock are subordinate in right of payment to all of our current and future debt. We cannot assure that there would be any remaining funds after the payment of all of our debts for any distribution to holders of the common stock.</w:t>
      </w:r>
    </w:p>
    <w:p>
      <w:pPr>
        <w:spacing w:after="0" w:line="18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b w:val="1"/>
          <w:bCs w:val="1"/>
          <w:i w:val="1"/>
          <w:iCs w:val="1"/>
          <w:color w:val="auto"/>
        </w:rPr>
        <w:t>We have broad discretion to determine how to use the funds raised in this offering, and we may use them in ways that may not enhance our results of operations or the price of our common stock.</w:t>
      </w:r>
    </w:p>
    <w:p>
      <w:pPr>
        <w:spacing w:after="0" w:line="189" w:lineRule="exact"/>
        <w:rPr>
          <w:sz w:val="20"/>
          <w:szCs w:val="20"/>
          <w:color w:val="auto"/>
        </w:rPr>
      </w:pPr>
    </w:p>
    <w:p>
      <w:pPr>
        <w:ind w:right="40" w:firstLine="484"/>
        <w:spacing w:after="0" w:line="235"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to create a public market for our stock and thereby enable access to the public equity markets for our employees and stockholders, to obtain additional capital and to increase our visibility in the marketplace. We currently intend to use a significant portion of the net proceeds from this offering for general corporate purposes, including for any of the purposes described in the section titled "Use of Proceeds." However, we do not currently have any specific or preliminary plans for the net proceeds from this offering and will have broad discretion in how we use the net proceeds of this offering. We could spend the proceeds from this offering in ways that our stockholders may not agree with or that do not yield a favorable return. You will not have the opportunity as part of your investment decision to assess whether the net proceeds are being used appropriately. Investors in this offering will need to rely upon the judgment of our management with respect to the use of proceeds. If we do not use the net proceeds that we receive in this offering effectively, our business, financial condition, results of operations and prospects could be harmed, and the market price of our common stock could decline.</w:t>
      </w:r>
    </w:p>
    <w:p>
      <w:pPr>
        <w:spacing w:after="0" w:line="194"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189" w:lineRule="exact"/>
        <w:rPr>
          <w:sz w:val="20"/>
          <w:szCs w:val="20"/>
          <w:color w:val="auto"/>
        </w:rPr>
      </w:pPr>
    </w:p>
    <w:p>
      <w:pPr>
        <w:jc w:val="both"/>
        <w:ind w:right="40" w:firstLine="488"/>
        <w:spacing w:after="0" w:line="238"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for use in the operation of our business and do not anticipate paying any dividends on our common stock in the foreseeable future. Any determination to pay dividends in the future will be at the discretion of our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Additionally, our ability to pay dividends on our common stock is limited by restrictions on our ability to pay dividends or make distributions under the terms of our credit facility. Accordingly, investors must rely on sales of their common stock after price appreciation, which may never occur, as the only way to realize any future gains on their investments.</w:t>
      </w:r>
    </w:p>
    <w:p>
      <w:pPr>
        <w:spacing w:after="0" w:line="188"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89" w:lineRule="exact"/>
        <w:rPr>
          <w:sz w:val="20"/>
          <w:szCs w:val="20"/>
          <w:color w:val="auto"/>
        </w:rPr>
      </w:pPr>
    </w:p>
    <w:p>
      <w:pPr>
        <w:ind w:right="20" w:firstLine="488"/>
        <w:spacing w:after="0" w:line="264"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(i) the first fiscal year following the fifth anniversary of our initial public offering; (ii) the first fiscal year after our annual gross revenue is $1.07 billion or more; (iii) the date on which we have, during the previous three-year period, issued more than $1.0 billion in non-convertible debt securities; or (iv) as of the end of any fiscal year in which the market value of our common stock held by non-affiliates exceeded</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$700.0 million as of the end of the second quarter of that fiscal year.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who have adopted the new or revised accounting standards.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net tangible book value per share of our outstanding common stock following this offering, new investors will experience immediate and substantial dilution.</w:t>
      </w:r>
    </w:p>
    <w:p>
      <w:pPr>
        <w:spacing w:after="0" w:line="143" w:lineRule="exact"/>
        <w:rPr>
          <w:sz w:val="20"/>
          <w:szCs w:val="20"/>
          <w:color w:val="auto"/>
        </w:rPr>
      </w:pPr>
    </w:p>
    <w:p>
      <w:pPr>
        <w:ind w:firstLine="484"/>
        <w:spacing w:after="0" w:line="234" w:lineRule="auto"/>
        <w:rPr>
          <w:sz w:val="20"/>
          <w:szCs w:val="20"/>
          <w:color w:val="auto"/>
        </w:rPr>
      </w:pPr>
      <w:r>
        <w:rPr>
          <w:rFonts w:ascii="Arial" w:cs="Arial" w:eastAsia="Arial" w:hAnsi="Arial"/>
          <w:sz w:val="18"/>
          <w:szCs w:val="18"/>
          <w:color w:val="auto"/>
        </w:rPr>
        <w:t>The initial public offering price of our common stock will be substantially higher than the pro forma net tangible book value per share of our common stock immediately following this offering, based on the total value of our tangible assets less our total liabilities. Therefore, if you</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purchase shares of our common stock in this offering, you will experience immediate dilution of $ per share, the difference between the price per share you pay for our common stock and its pro forma net tangible book value per share as of October 31, 2018, after giving effect to the issuance of shares of our common stock in this offering. Furthermore, if the underwriters exercise their option to purchase additional shares in full, outstanding options are exercised, we issue awards to our employees under our equity incentive plans or we otherwise issue additional shares of our common stock, you could experience further dilution. See the section titled "Dilution" for more information.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amended and restated certificate of incorporation that will be in effect upon completion of this offering authorizes us to issue up to</w:t>
      </w:r>
    </w:p>
    <w:p>
      <w:pPr>
        <w:ind w:firstLine="878"/>
        <w:spacing w:after="0"/>
        <w:rPr>
          <w:sz w:val="20"/>
          <w:szCs w:val="20"/>
          <w:color w:val="auto"/>
        </w:rPr>
      </w:pPr>
      <w:r>
        <w:rPr>
          <w:rFonts w:ascii="Arial" w:cs="Arial" w:eastAsia="Arial" w:hAnsi="Arial"/>
          <w:sz w:val="18"/>
          <w:szCs w:val="18"/>
          <w:color w:val="auto"/>
        </w:rPr>
        <w:t>shares of common stock and up to shares of preferred stock with such rights and preferences as may be determined by our board of directors. Subject to compliance with applicable rules and regulations, we may issue shares of common stock or securities convertible into shares of our common stock from time to time in connection with a financing, acquisition, investment, our stock incentive plans or otherwise. Any such issuance could result in substantial dilution to our existing stockholders and cause the market price of our common stock to decline.</w:t>
      </w:r>
    </w:p>
    <w:p>
      <w:pPr>
        <w:spacing w:after="0" w:line="381"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spacing w:after="0" w:line="202"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completion of this offering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208" w:lineRule="exact"/>
        <w:rPr>
          <w:sz w:val="20"/>
          <w:szCs w:val="20"/>
          <w:color w:val="auto"/>
        </w:rPr>
      </w:pPr>
    </w:p>
    <w:p>
      <w:pPr>
        <w:ind w:left="1080" w:right="720" w:hanging="532"/>
        <w:spacing w:after="0" w:line="23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208" w:lineRule="exact"/>
        <w:rPr>
          <w:rFonts w:ascii="Arial" w:cs="Arial" w:eastAsia="Arial" w:hAnsi="Arial"/>
          <w:sz w:val="18"/>
          <w:szCs w:val="18"/>
          <w:color w:val="auto"/>
        </w:rPr>
      </w:pPr>
    </w:p>
    <w:p>
      <w:pPr>
        <w:ind w:left="1080" w:right="40" w:hanging="532"/>
        <w:spacing w:after="0" w:line="23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94" w:lineRule="exact"/>
        <w:rPr>
          <w:rFonts w:ascii="Arial" w:cs="Arial" w:eastAsia="Arial" w:hAnsi="Arial"/>
          <w:sz w:val="18"/>
          <w:szCs w:val="18"/>
          <w:color w:val="auto"/>
        </w:rPr>
      </w:pPr>
    </w:p>
    <w:p>
      <w:pPr>
        <w:ind w:left="1080" w:right="60" w:hanging="532"/>
        <w:spacing w:after="0" w:line="23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94" w:lineRule="exact"/>
        <w:rPr>
          <w:rFonts w:ascii="Arial" w:cs="Arial" w:eastAsia="Arial" w:hAnsi="Arial"/>
          <w:sz w:val="18"/>
          <w:szCs w:val="18"/>
          <w:color w:val="auto"/>
        </w:rPr>
      </w:pPr>
    </w:p>
    <w:p>
      <w:pPr>
        <w:ind w:left="1080" w:right="80" w:hanging="532"/>
        <w:spacing w:after="0" w:line="23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208" w:lineRule="exact"/>
        <w:rPr>
          <w:rFonts w:ascii="Arial" w:cs="Arial" w:eastAsia="Arial" w:hAnsi="Arial"/>
          <w:sz w:val="18"/>
          <w:szCs w:val="18"/>
          <w:color w:val="auto"/>
        </w:rPr>
      </w:pPr>
    </w:p>
    <w:p>
      <w:pPr>
        <w:ind w:left="1080" w:right="200" w:hanging="532"/>
        <w:spacing w:after="0" w:line="28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64" w:lineRule="exact"/>
        <w:rPr>
          <w:sz w:val="20"/>
          <w:szCs w:val="20"/>
          <w:color w:val="auto"/>
        </w:rPr>
      </w:pPr>
    </w:p>
    <w:p>
      <w:pPr>
        <w:ind w:left="1080" w:right="20" w:hanging="539"/>
        <w:spacing w:after="0" w:line="237"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requirement for the affirmative vote of holders of at least %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95" w:lineRule="exact"/>
        <w:rPr>
          <w:sz w:val="20"/>
          <w:szCs w:val="20"/>
          <w:color w:val="auto"/>
        </w:rPr>
      </w:pPr>
    </w:p>
    <w:p>
      <w:pPr>
        <w:ind w:left="1080" w:right="200" w:hanging="532"/>
        <w:spacing w:after="0" w:line="23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220" w:hanging="532"/>
        <w:spacing w:after="0" w:line="28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7" w:lineRule="exact"/>
        <w:rPr>
          <w:sz w:val="20"/>
          <w:szCs w:val="20"/>
          <w:color w:val="auto"/>
        </w:rPr>
      </w:pPr>
    </w:p>
    <w:p>
      <w:pPr>
        <w:ind w:firstLine="484"/>
        <w:spacing w:after="0" w:line="239"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 See the section titled "Description of Capital Stock—Anti-takeover Provisions."</w:t>
      </w:r>
    </w:p>
    <w:p>
      <w:pPr>
        <w:spacing w:after="0" w:line="189"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Our amended and restated bylaws provides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spacing w:after="0" w:line="202" w:lineRule="exact"/>
        <w:rPr>
          <w:sz w:val="20"/>
          <w:szCs w:val="20"/>
          <w:color w:val="auto"/>
        </w:rPr>
      </w:pPr>
    </w:p>
    <w:p>
      <w:pPr>
        <w:jc w:val="both"/>
        <w:ind w:right="20" w:firstLine="488"/>
        <w:spacing w:after="0" w:line="239" w:lineRule="auto"/>
        <w:rPr>
          <w:sz w:val="20"/>
          <w:szCs w:val="20"/>
          <w:color w:val="auto"/>
        </w:rPr>
      </w:pPr>
      <w:r>
        <w:rPr>
          <w:rFonts w:ascii="Arial" w:cs="Arial" w:eastAsia="Arial" w:hAnsi="Arial"/>
          <w:sz w:val="18"/>
          <w:szCs w:val="18"/>
          <w:color w:val="auto"/>
        </w:rPr>
        <w:t>Our amended and restated bylaws, which will become effective immediately prior to the completion of this offering, provides that the Court of Chancery of the State of Delaware is the exclusive forum for:</w:t>
      </w:r>
    </w:p>
    <w:p>
      <w:pPr>
        <w:spacing w:after="0" w:line="22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208" w:lineRule="exact"/>
        <w:rPr>
          <w:rFonts w:ascii="Arial" w:cs="Arial" w:eastAsia="Arial" w:hAnsi="Arial"/>
          <w:sz w:val="18"/>
          <w:szCs w:val="18"/>
          <w:color w:val="auto"/>
        </w:rPr>
      </w:pPr>
    </w:p>
    <w:p>
      <w:pPr>
        <w:ind w:left="1080" w:right="120" w:hanging="532"/>
        <w:spacing w:after="0" w:line="23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bylaws or our amended and restated bylaws; and</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However, this exclusive forum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or regulations thereunder. Accordingly, there is uncertainty as to whether a court would enforce such provision, and our stockholders will not be deemed to have waived our compliance with the federal securities laws and the rules and regulations thereunder.</w:t>
      </w:r>
    </w:p>
    <w:p>
      <w:pPr>
        <w:spacing w:after="0" w:line="211" w:lineRule="exact"/>
        <w:rPr>
          <w:sz w:val="20"/>
          <w:szCs w:val="20"/>
          <w:color w:val="auto"/>
        </w:rPr>
      </w:pPr>
    </w:p>
    <w:p>
      <w:pPr>
        <w:ind w:right="20" w:firstLine="484"/>
        <w:spacing w:after="0" w:line="299" w:lineRule="auto"/>
        <w:rPr>
          <w:sz w:val="20"/>
          <w:szCs w:val="20"/>
          <w:color w:val="auto"/>
        </w:rPr>
      </w:pPr>
      <w:r>
        <w:rPr>
          <w:rFonts w:ascii="Arial" w:cs="Arial" w:eastAsia="Arial" w:hAnsi="Arial"/>
          <w:sz w:val="16"/>
          <w:szCs w:val="16"/>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firstLine="484"/>
        <w:spacing w:after="0" w:line="237" w:lineRule="auto"/>
        <w:rPr>
          <w:sz w:val="20"/>
          <w:szCs w:val="20"/>
          <w:color w:val="auto"/>
        </w:rPr>
      </w:pPr>
      <w:r>
        <w:rPr>
          <w:rFonts w:ascii="Arial" w:cs="Arial" w:eastAsia="Arial" w:hAnsi="Arial"/>
          <w:sz w:val="18"/>
          <w:szCs w:val="18"/>
          <w:color w:val="auto"/>
        </w:rPr>
        <w:t>This prospectus, including the sections titled "Prospectus Summary," "Risk Factors," "Use of Proceeds," "Management's Discussion and Analysis of Financial Condition and Results of Operations," and "Business," contain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12" w:lineRule="exact"/>
        <w:rPr>
          <w:sz w:val="20"/>
          <w:szCs w:val="20"/>
          <w:color w:val="auto"/>
        </w:rPr>
      </w:pPr>
    </w:p>
    <w:p>
      <w:pPr>
        <w:ind w:left="1080" w:right="20" w:hanging="532"/>
        <w:spacing w:after="0" w:line="23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research and development, sales and marketing and general and administrative expenses), and our ability to achieve, and maintain, future profitability;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growth in the market for cloud-based security solutions and future cybersecurity spending;</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acceptance of recently introduced solutions;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increase our market share of the overall security and IT operations market with our solutions;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increase sales of our solutions;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cross-sell to our existing customers;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and our relationships with channel and technology alliance partners;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timely and effectively scale and adapt our existing solutions;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continue to innovate and enhance our cloud-based platform;</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develop new solutions and bring them to market in a timely manner;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continue to expand internationally;</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sufficiency of our cash to meet our cash needs for at least the next 12 months;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acquisitions or investments;</w:t>
      </w:r>
    </w:p>
    <w:p>
      <w:pPr>
        <w:spacing w:after="0" w:line="198" w:lineRule="exact"/>
        <w:rPr>
          <w:rFonts w:ascii="Arial" w:cs="Arial" w:eastAsia="Arial" w:hAnsi="Arial"/>
          <w:sz w:val="18"/>
          <w:szCs w:val="18"/>
          <w:color w:val="auto"/>
        </w:rPr>
      </w:pPr>
    </w:p>
    <w:p>
      <w:pPr>
        <w:ind w:left="1080" w:right="160" w:hanging="532"/>
        <w:spacing w:after="0" w:line="23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stay in compliance with laws and regulations that currently apply or become applicable to our business both in the United States and internationally;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and industry trends or trend analysis;</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143" w:right="5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211"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estimates and estimate methodologies used in preparing our consolidated financial statements and determining option exercise prices;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future trading prices of our common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estimated total addressable market;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12"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209" w:lineRule="exact"/>
        <w:rPr>
          <w:sz w:val="20"/>
          <w:szCs w:val="20"/>
          <w:color w:val="auto"/>
        </w:rPr>
      </w:pPr>
    </w:p>
    <w:p>
      <w:pPr>
        <w:ind w:right="60" w:firstLine="478"/>
        <w:spacing w:after="0" w:line="269"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that the future results, levels of activity, performance, or events and circumstances reflected in the forward-looking statements will be achieved or occur. The forward-looking statements made in this prospectus relate only to events as of the date on which the statements are made. We undertake no obligation to update publicly any forward-looking statements for any reason after the date of this prospectus to conform these statements to actual results or to changes in our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90"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1" w:lineRule="exact"/>
        <w:rPr>
          <w:sz w:val="20"/>
          <w:szCs w:val="20"/>
          <w:color w:val="auto"/>
        </w:rPr>
      </w:pPr>
    </w:p>
    <w:p>
      <w:pPr>
        <w:ind w:right="100" w:firstLine="484"/>
        <w:spacing w:after="0" w:line="23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AND INDUSTRY DATA</w:t>
      </w:r>
    </w:p>
    <w:p>
      <w:pPr>
        <w:spacing w:after="0" w:line="234"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This prospectus contains estimates and information concerning our industry, including market size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markets in which we operate are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210" w:lineRule="exact"/>
        <w:rPr>
          <w:sz w:val="20"/>
          <w:szCs w:val="20"/>
          <w:color w:val="auto"/>
        </w:rPr>
      </w:pPr>
    </w:p>
    <w:p>
      <w:pPr>
        <w:ind w:right="560" w:firstLine="484"/>
        <w:spacing w:after="0" w:line="239" w:lineRule="auto"/>
        <w:rPr>
          <w:sz w:val="20"/>
          <w:szCs w:val="20"/>
          <w:color w:val="auto"/>
        </w:rPr>
      </w:pPr>
      <w:r>
        <w:rPr>
          <w:rFonts w:ascii="Arial" w:cs="Arial" w:eastAsia="Arial" w:hAnsi="Arial"/>
          <w:sz w:val="18"/>
          <w:szCs w:val="18"/>
          <w:color w:val="auto"/>
        </w:rPr>
        <w:t>The sources of certain statistical data, estimates and forecasts contained in this prospectus are the following independent industry publications or reports:</w:t>
      </w:r>
    </w:p>
    <w:p>
      <w:pPr>
        <w:spacing w:after="0" w:line="19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Cisco Systems, Inc., </w:t>
      </w:r>
      <w:r>
        <w:rPr>
          <w:rFonts w:ascii="Arial" w:cs="Arial" w:eastAsia="Arial" w:hAnsi="Arial"/>
          <w:sz w:val="18"/>
          <w:szCs w:val="18"/>
          <w:i w:val="1"/>
          <w:iCs w:val="1"/>
          <w:color w:val="auto"/>
        </w:rPr>
        <w:t>Cisco Visual Networking Index: Forecast and Trends, 2017-2022</w:t>
      </w:r>
      <w:r>
        <w:rPr>
          <w:rFonts w:ascii="Arial" w:cs="Arial" w:eastAsia="Arial" w:hAnsi="Arial"/>
          <w:sz w:val="18"/>
          <w:szCs w:val="18"/>
          <w:color w:val="auto"/>
        </w:rPr>
        <w:t>, November 2018.</w:t>
      </w:r>
    </w:p>
    <w:p>
      <w:pPr>
        <w:spacing w:after="0" w:line="211" w:lineRule="exact"/>
        <w:rPr>
          <w:rFonts w:ascii="Arial" w:cs="Arial" w:eastAsia="Arial" w:hAnsi="Arial"/>
          <w:sz w:val="18"/>
          <w:szCs w:val="18"/>
          <w:color w:val="auto"/>
        </w:rPr>
      </w:pPr>
    </w:p>
    <w:p>
      <w:pPr>
        <w:ind w:left="1080" w:right="40" w:hanging="532"/>
        <w:spacing w:after="0" w:line="26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International Data Corporation, </w:t>
      </w:r>
      <w:r>
        <w:rPr>
          <w:rFonts w:ascii="Arial" w:cs="Arial" w:eastAsia="Arial" w:hAnsi="Arial"/>
          <w:sz w:val="18"/>
          <w:szCs w:val="18"/>
          <w:i w:val="1"/>
          <w:iCs w:val="1"/>
          <w:color w:val="auto"/>
        </w:rPr>
        <w:t>Market Analysis Perspective: Worldwide Managed Security Services Providers, 2018</w:t>
      </w:r>
      <w:r>
        <w:rPr>
          <w:rFonts w:ascii="Arial" w:cs="Arial" w:eastAsia="Arial" w:hAnsi="Arial"/>
          <w:sz w:val="18"/>
          <w:szCs w:val="18"/>
          <w:color w:val="auto"/>
        </w:rPr>
        <w:t>, September 2018.</w:t>
      </w:r>
    </w:p>
    <w:p>
      <w:pPr>
        <w:spacing w:after="0" w:line="159" w:lineRule="exact"/>
        <w:rPr>
          <w:rFonts w:ascii="Arial" w:cs="Arial" w:eastAsia="Arial" w:hAnsi="Arial"/>
          <w:sz w:val="18"/>
          <w:szCs w:val="18"/>
          <w:color w:val="auto"/>
        </w:rPr>
      </w:pPr>
    </w:p>
    <w:p>
      <w:pPr>
        <w:ind w:left="1080" w:right="620" w:hanging="532"/>
        <w:spacing w:after="0" w:line="26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International Data Corporation, </w:t>
      </w:r>
      <w:r>
        <w:rPr>
          <w:rFonts w:ascii="Arial" w:cs="Arial" w:eastAsia="Arial" w:hAnsi="Arial"/>
          <w:sz w:val="18"/>
          <w:szCs w:val="18"/>
          <w:i w:val="1"/>
          <w:iCs w:val="1"/>
          <w:color w:val="auto"/>
        </w:rPr>
        <w:t>Market Forecast—Worldwide IT Asset Management Software Forecast, 2018-2022: Asset</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Accelerates as Digital Transformation Changes What Assets Must Be Managed</w:t>
      </w:r>
      <w:r>
        <w:rPr>
          <w:rFonts w:ascii="Arial" w:cs="Arial" w:eastAsia="Arial" w:hAnsi="Arial"/>
          <w:sz w:val="18"/>
          <w:szCs w:val="18"/>
          <w:color w:val="auto"/>
        </w:rPr>
        <w:t>, September 2018.</w:t>
      </w:r>
    </w:p>
    <w:p>
      <w:pPr>
        <w:spacing w:after="0" w:line="15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International Data Corporation, </w:t>
      </w:r>
      <w:r>
        <w:rPr>
          <w:rFonts w:ascii="Arial" w:cs="Arial" w:eastAsia="Arial" w:hAnsi="Arial"/>
          <w:sz w:val="18"/>
          <w:szCs w:val="18"/>
          <w:i w:val="1"/>
          <w:iCs w:val="1"/>
          <w:color w:val="auto"/>
        </w:rPr>
        <w:t>Market Forecast—Worldwide Corporate Endpoint Security Forecast, 2018-2022</w:t>
      </w:r>
      <w:r>
        <w:rPr>
          <w:rFonts w:ascii="Arial" w:cs="Arial" w:eastAsia="Arial" w:hAnsi="Arial"/>
          <w:sz w:val="18"/>
          <w:szCs w:val="18"/>
          <w:color w:val="auto"/>
        </w:rPr>
        <w:t>, July 2018.</w:t>
      </w:r>
    </w:p>
    <w:p>
      <w:pPr>
        <w:spacing w:after="0" w:line="211" w:lineRule="exact"/>
        <w:rPr>
          <w:rFonts w:ascii="Arial" w:cs="Arial" w:eastAsia="Arial" w:hAnsi="Arial"/>
          <w:sz w:val="18"/>
          <w:szCs w:val="18"/>
          <w:color w:val="auto"/>
        </w:rPr>
      </w:pPr>
    </w:p>
    <w:p>
      <w:pPr>
        <w:ind w:left="1080" w:right="20" w:hanging="532"/>
        <w:spacing w:after="0" w:line="26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International Data Corporation, </w:t>
      </w:r>
      <w:r>
        <w:rPr>
          <w:rFonts w:ascii="Arial" w:cs="Arial" w:eastAsia="Arial" w:hAnsi="Arial"/>
          <w:sz w:val="18"/>
          <w:szCs w:val="18"/>
          <w:i w:val="1"/>
          <w:iCs w:val="1"/>
          <w:color w:val="auto"/>
        </w:rPr>
        <w:t>Market Forecast—Worldwide Security and Vulnerability Forecast, 2018-2022: SVM Vendors Fight</w:t>
      </w:r>
      <w:r>
        <w:rPr>
          <w:rFonts w:ascii="Arial" w:cs="Arial" w:eastAsia="Arial" w:hAnsi="Arial"/>
          <w:sz w:val="18"/>
          <w:szCs w:val="18"/>
          <w:color w:val="auto"/>
        </w:rPr>
        <w:t xml:space="preserve"> </w:t>
      </w:r>
      <w:r>
        <w:rPr>
          <w:rFonts w:ascii="Arial" w:cs="Arial" w:eastAsia="Arial" w:hAnsi="Arial"/>
          <w:sz w:val="18"/>
          <w:szCs w:val="18"/>
          <w:i w:val="1"/>
          <w:iCs w:val="1"/>
          <w:color w:val="auto"/>
        </w:rPr>
        <w:t>Off New Market Entrants</w:t>
      </w:r>
      <w:r>
        <w:rPr>
          <w:rFonts w:ascii="Arial" w:cs="Arial" w:eastAsia="Arial" w:hAnsi="Arial"/>
          <w:sz w:val="18"/>
          <w:szCs w:val="18"/>
          <w:color w:val="auto"/>
        </w:rPr>
        <w:t>, July 2018.</w:t>
      </w:r>
    </w:p>
    <w:p>
      <w:pPr>
        <w:spacing w:after="0" w:line="159" w:lineRule="exact"/>
        <w:rPr>
          <w:rFonts w:ascii="Arial" w:cs="Arial" w:eastAsia="Arial" w:hAnsi="Arial"/>
          <w:sz w:val="18"/>
          <w:szCs w:val="18"/>
          <w:color w:val="auto"/>
        </w:rPr>
      </w:pPr>
    </w:p>
    <w:p>
      <w:pPr>
        <w:ind w:left="1080" w:right="700" w:hanging="532"/>
        <w:spacing w:after="0" w:line="260"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International Data Corporation, </w:t>
      </w:r>
      <w:r>
        <w:rPr>
          <w:rFonts w:ascii="Arial" w:cs="Arial" w:eastAsia="Arial" w:hAnsi="Arial"/>
          <w:sz w:val="18"/>
          <w:szCs w:val="18"/>
          <w:i w:val="1"/>
          <w:iCs w:val="1"/>
          <w:color w:val="auto"/>
        </w:rPr>
        <w:t>Market Forecast—Worldwide Threat Intelligence Security Services Forecast, 2017-2021</w:t>
      </w:r>
      <w:r>
        <w:rPr>
          <w:rFonts w:ascii="Arial" w:cs="Arial" w:eastAsia="Arial" w:hAnsi="Arial"/>
          <w:sz w:val="18"/>
          <w:szCs w:val="18"/>
          <w:color w:val="auto"/>
        </w:rPr>
        <w:t>, November 2017.</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43" w:right="4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estimate that the net proceeds to us from the sale of shares of our common stock offered by us in this offering at the assumed initial</w:t>
      </w:r>
    </w:p>
    <w:p>
      <w:pPr>
        <w:spacing w:after="0" w:line="19"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color w:val="auto"/>
        </w:rPr>
        <w:t>public offering price of $ per share, which is the midpoint of the estimated offering price range set forth on the cover page of this prospectus, and after deducting estimated underwriting discounts and commissions and estimated offering expenses payable by us, will be</w:t>
      </w:r>
    </w:p>
    <w:p>
      <w:pPr>
        <w:ind w:right="200"/>
        <w:spacing w:after="0" w:line="239" w:lineRule="auto"/>
        <w:rPr>
          <w:sz w:val="20"/>
          <w:szCs w:val="20"/>
          <w:color w:val="auto"/>
        </w:rPr>
      </w:pPr>
      <w:r>
        <w:rPr>
          <w:rFonts w:ascii="Arial" w:cs="Arial" w:eastAsia="Arial" w:hAnsi="Arial"/>
          <w:sz w:val="18"/>
          <w:szCs w:val="18"/>
          <w:color w:val="auto"/>
        </w:rPr>
        <w:t>approximately $ million, or approximately $ million if the underwriters exercise their option to purchase additional shares of our common stock from us in full.</w:t>
      </w:r>
    </w:p>
    <w:p>
      <w:pPr>
        <w:spacing w:after="0" w:line="204" w:lineRule="exact"/>
        <w:rPr>
          <w:sz w:val="20"/>
          <w:szCs w:val="20"/>
          <w:color w:val="auto"/>
        </w:rPr>
      </w:pPr>
    </w:p>
    <w:p>
      <w:pPr>
        <w:ind w:left="500"/>
        <w:spacing w:after="0"/>
        <w:tabs>
          <w:tab w:leader="none" w:pos="720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6"/>
          <w:szCs w:val="16"/>
          <w:color w:val="auto"/>
        </w:rPr>
        <w:t>per share, which is the midpoint of the estimated</w:t>
      </w:r>
    </w:p>
    <w:p>
      <w:pPr>
        <w:spacing w:after="0" w:line="234" w:lineRule="auto"/>
        <w:rPr>
          <w:sz w:val="20"/>
          <w:szCs w:val="20"/>
          <w:color w:val="auto"/>
        </w:rPr>
      </w:pPr>
      <w:r>
        <w:rPr>
          <w:rFonts w:ascii="Arial" w:cs="Arial" w:eastAsia="Arial" w:hAnsi="Arial"/>
          <w:sz w:val="18"/>
          <w:szCs w:val="18"/>
          <w:color w:val="auto"/>
        </w:rPr>
        <w:t>offering price range set forth on the cover page of this prospectus, would increase (decrease) the net proceeds to us from this offering by</w:t>
      </w:r>
    </w:p>
    <w:p>
      <w:pPr>
        <w:spacing w:after="0" w:line="1" w:lineRule="exact"/>
        <w:rPr>
          <w:sz w:val="20"/>
          <w:szCs w:val="20"/>
          <w:color w:val="auto"/>
        </w:rPr>
      </w:pPr>
    </w:p>
    <w:p>
      <w:pPr>
        <w:ind w:right="580"/>
        <w:spacing w:after="0" w:line="264" w:lineRule="auto"/>
        <w:rPr>
          <w:sz w:val="20"/>
          <w:szCs w:val="20"/>
          <w:color w:val="auto"/>
        </w:rPr>
      </w:pPr>
      <w:r>
        <w:rPr>
          <w:rFonts w:ascii="Arial" w:cs="Arial" w:eastAsia="Arial" w:hAnsi="Arial"/>
          <w:sz w:val="16"/>
          <w:szCs w:val="16"/>
          <w:color w:val="auto"/>
        </w:rPr>
        <w:t>approximately $ million, assuming the number of shares of our common stock offered by us, as set forth on the cover page of this prospectus, remains the same and after deducting the estimated underwriting discounts and commissions payable by us. Similarly, each</w:t>
      </w:r>
    </w:p>
    <w:p>
      <w:pPr>
        <w:spacing w:after="0" w:line="235" w:lineRule="auto"/>
        <w:rPr>
          <w:sz w:val="20"/>
          <w:szCs w:val="20"/>
          <w:color w:val="auto"/>
        </w:rPr>
      </w:pPr>
      <w:r>
        <w:rPr>
          <w:rFonts w:ascii="Arial" w:cs="Arial" w:eastAsia="Arial" w:hAnsi="Arial"/>
          <w:sz w:val="18"/>
          <w:szCs w:val="18"/>
          <w:color w:val="auto"/>
        </w:rPr>
        <w:t>1.0 million increase (decrease) in the number of shares of our common stock offered by us would increase (decrease) the net proceeds to us</w:t>
      </w:r>
    </w:p>
    <w:p>
      <w:pPr>
        <w:spacing w:after="0" w:line="238" w:lineRule="auto"/>
        <w:rPr>
          <w:sz w:val="20"/>
          <w:szCs w:val="20"/>
          <w:color w:val="auto"/>
        </w:rPr>
      </w:pPr>
      <w:r>
        <w:rPr>
          <w:rFonts w:ascii="Arial" w:cs="Arial" w:eastAsia="Arial" w:hAnsi="Arial"/>
          <w:sz w:val="18"/>
          <w:szCs w:val="18"/>
          <w:color w:val="auto"/>
        </w:rPr>
        <w:t>from this offering by approximately $ million, assuming the assumed initial public offering price of $ per share, which is the midpoint of the estimated offering price range set forth on the cover page of this prospectus, remains the same and after deducting the estimated underwriting discounts and commissions payable by us.</w:t>
      </w:r>
    </w:p>
    <w:p>
      <w:pPr>
        <w:spacing w:after="0" w:line="208" w:lineRule="exact"/>
        <w:rPr>
          <w:sz w:val="20"/>
          <w:szCs w:val="20"/>
          <w:color w:val="auto"/>
        </w:rPr>
      </w:pPr>
    </w:p>
    <w:p>
      <w:pPr>
        <w:jc w:val="both"/>
        <w:ind w:right="80" w:firstLine="484"/>
        <w:spacing w:after="0" w:line="238"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to create a public market for our stock and thereby enable access to the public equity markets for our employees and stockholders, to obtain additional capital, and to increase our visibility in the marketplace.</w:t>
      </w:r>
    </w:p>
    <w:p>
      <w:pPr>
        <w:spacing w:after="0" w:line="208"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currently intend to use the net proceeds we receive from this offering primarily for general corporate purposes, including working capital, sales and marketing activities, research and development, general and administrative matters, and capital expenditures, although we do not currently have any specific or preliminary plans with respect to the use of proceeds for such purposes. We may also use a portion of the net proceeds for the acquisition of, or investment in, technologies, solutions, products, or businesses that complement our business, although we have no present commitments or agreements to enter into any such acquisitions or investments.</w:t>
      </w:r>
    </w:p>
    <w:p>
      <w:pPr>
        <w:spacing w:after="0" w:line="211"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We cannot specify with certainty the particular uses for the net proceeds from this offering. Accordingly, we will have broad discretion over the uses of the net proceeds of this offering. Pending these uses, we intend to invest the net proceeds in short-term, investment-grade interest-bearing securities, such as money market accounts, certificates of deposit, commercial paper, and guaranteed obligations of the U.S. government.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Additionally, our ability to pay dividends on our common stock is limited by restrictions on our ability to pay dividends or make distributions under the terms of our credit facility.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cash and cash equivalents, as well as our capitalization, as of October 31, 2018, as follows:</w:t>
      </w:r>
    </w:p>
    <w:p>
      <w:pPr>
        <w:spacing w:after="0" w:line="212"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11" w:lineRule="exact"/>
        <w:rPr>
          <w:rFonts w:ascii="Arial" w:cs="Arial" w:eastAsia="Arial" w:hAnsi="Arial"/>
          <w:sz w:val="18"/>
          <w:szCs w:val="18"/>
          <w:color w:val="auto"/>
        </w:rPr>
      </w:pPr>
    </w:p>
    <w:p>
      <w:pPr>
        <w:ind w:left="1080" w:hanging="532"/>
        <w:spacing w:after="0" w:line="269"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 pro forma basis, giving effect to (i) the automatic conversion of an aggregate of 131,267,586 shares of our outstanding redeemable convertible preferred stock into an equivalent number of shares of our common stock, (ii) the automatic conversion of the redeemable convertible preferred stock warrants to common stock warrants, and the resulting reclassification of the redeemable convertible preferred stock warrant liability to additional paid-in-capital, (iii) stock-based compensation expense of approximately $2.4 million associated with RSUs subject to service-based and performance-based vesting conditions, which we will recognize upon the completion of this offering, as further described in Note 2 to our consolidated financial statements included elsewhere in this prospectus, and (iv) the filing and effectiveness of our amended and restated certificate of incorporation in Delaware, each of which will occur immediately prior to the completion of this offering; and</w:t>
      </w:r>
    </w:p>
    <w:p>
      <w:pPr>
        <w:spacing w:after="0" w:line="374"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set forth above and the sale and issuance by us</w:t>
      </w:r>
    </w:p>
    <w:p>
      <w:pPr>
        <w:ind w:left="1080" w:right="340"/>
        <w:spacing w:after="0" w:line="238" w:lineRule="auto"/>
        <w:rPr>
          <w:sz w:val="20"/>
          <w:szCs w:val="20"/>
          <w:color w:val="auto"/>
        </w:rPr>
      </w:pPr>
      <w:r>
        <w:rPr>
          <w:rFonts w:ascii="Arial" w:cs="Arial" w:eastAsia="Arial" w:hAnsi="Arial"/>
          <w:sz w:val="18"/>
          <w:szCs w:val="18"/>
          <w:color w:val="auto"/>
        </w:rPr>
        <w:t>of shares of our common stock in this offering, based upon the 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208" w:lineRule="exact"/>
        <w:rPr>
          <w:sz w:val="20"/>
          <w:szCs w:val="20"/>
          <w:color w:val="auto"/>
        </w:rPr>
      </w:pPr>
    </w:p>
    <w:p>
      <w:pPr>
        <w:jc w:val="both"/>
        <w:ind w:right="320" w:firstLine="484"/>
        <w:spacing w:after="0" w:line="275" w:lineRule="auto"/>
        <w:rPr>
          <w:sz w:val="20"/>
          <w:szCs w:val="20"/>
          <w:color w:val="auto"/>
        </w:rPr>
      </w:pPr>
      <w:r>
        <w:rPr>
          <w:rFonts w:ascii="Arial" w:cs="Arial" w:eastAsia="Arial" w:hAnsi="Arial"/>
          <w:sz w:val="16"/>
          <w:szCs w:val="16"/>
          <w:color w:val="auto"/>
        </w:rPr>
        <w:t>The information below is illustrative only and our capitalization following this offering will be adjusted based on the actual initial public offering price and other terms of the offering determined at pricing. You should read this information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20" w:type="dxa"/>
            <w:vAlign w:val="bottom"/>
            <w:gridSpan w:val="9"/>
          </w:tcPr>
          <w:p>
            <w:pPr>
              <w:ind w:left="700"/>
              <w:spacing w:after="0"/>
              <w:rPr>
                <w:sz w:val="20"/>
                <w:szCs w:val="20"/>
                <w:color w:val="auto"/>
              </w:rPr>
            </w:pPr>
            <w:r>
              <w:rPr>
                <w:rFonts w:ascii="Arial" w:cs="Arial" w:eastAsia="Arial" w:hAnsi="Arial"/>
                <w:sz w:val="14"/>
                <w:szCs w:val="14"/>
                <w:b w:val="1"/>
                <w:bCs w:val="1"/>
                <w:color w:val="auto"/>
              </w:rPr>
              <w:t>As of October 31, 2018</w:t>
            </w:r>
          </w:p>
        </w:tc>
        <w:tc>
          <w:tcPr>
            <w:tcW w:w="0" w:type="dxa"/>
            <w:vAlign w:val="bottom"/>
          </w:tcPr>
          <w:p>
            <w:pPr>
              <w:spacing w:after="0"/>
              <w:rPr>
                <w:sz w:val="1"/>
                <w:szCs w:val="1"/>
                <w:color w:val="auto"/>
              </w:rPr>
            </w:pPr>
          </w:p>
        </w:tc>
      </w:tr>
      <w:tr>
        <w:trPr>
          <w:trHeight w:val="147"/>
        </w:trPr>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Pro Forma</w:t>
            </w:r>
          </w:p>
        </w:tc>
        <w:tc>
          <w:tcPr>
            <w:tcW w:w="1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Pro Forma</w:t>
            </w:r>
          </w:p>
        </w:tc>
        <w:tc>
          <w:tcPr>
            <w:tcW w:w="2340" w:type="dxa"/>
            <w:vAlign w:val="bottom"/>
            <w:gridSpan w:val="3"/>
          </w:tcPr>
          <w:p>
            <w:pPr>
              <w:jc w:val="center"/>
              <w:ind w:right="1200"/>
              <w:spacing w:after="0" w:line="204" w:lineRule="exact"/>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21"/>
                <w:szCs w:val="21"/>
                <w:b w:val="1"/>
                <w:bCs w:val="1"/>
                <w:color w:val="auto"/>
                <w:w w:val="99"/>
                <w:vertAlign w:val="superscript"/>
              </w:rPr>
              <w:t>(1)</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(in thousands,</w:t>
            </w:r>
          </w:p>
        </w:tc>
        <w:tc>
          <w:tcPr>
            <w:tcW w:w="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20" w:type="dxa"/>
            <w:vAlign w:val="bottom"/>
            <w:gridSpan w:val="9"/>
          </w:tcPr>
          <w:p>
            <w:pPr>
              <w:ind w:left="340"/>
              <w:spacing w:after="0"/>
              <w:rPr>
                <w:sz w:val="20"/>
                <w:szCs w:val="20"/>
                <w:color w:val="auto"/>
              </w:rPr>
            </w:pPr>
            <w:r>
              <w:rPr>
                <w:rFonts w:ascii="Arial" w:cs="Arial" w:eastAsia="Arial" w:hAnsi="Arial"/>
                <w:sz w:val="14"/>
                <w:szCs w:val="14"/>
                <w:b w:val="1"/>
                <w:bCs w:val="1"/>
                <w:color w:val="auto"/>
              </w:rPr>
              <w:t>except share and per share data)</w:t>
            </w:r>
          </w:p>
        </w:tc>
        <w:tc>
          <w:tcPr>
            <w:tcW w:w="0" w:type="dxa"/>
            <w:vAlign w:val="bottom"/>
          </w:tcPr>
          <w:p>
            <w:pPr>
              <w:spacing w:after="0"/>
              <w:rPr>
                <w:sz w:val="1"/>
                <w:szCs w:val="1"/>
                <w:color w:val="auto"/>
              </w:rPr>
            </w:pPr>
          </w:p>
        </w:tc>
      </w:tr>
      <w:tr>
        <w:trPr>
          <w:trHeight w:val="203"/>
        </w:trPr>
        <w:tc>
          <w:tcPr>
            <w:tcW w:w="262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83,462</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83,462</w:t>
            </w:r>
          </w:p>
        </w:tc>
        <w:tc>
          <w:tcPr>
            <w:tcW w:w="1120" w:type="dxa"/>
            <w:vAlign w:val="bottom"/>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gridSpan w:val="6"/>
            <w:vMerge w:val="restart"/>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gridSpan w:val="6"/>
            <w:vMerge w:val="continue"/>
          </w:tcPr>
          <w:p>
            <w:pPr>
              <w:spacing w:after="0"/>
              <w:rPr>
                <w:sz w:val="15"/>
                <w:szCs w:val="15"/>
                <w:color w:val="auto"/>
              </w:rPr>
            </w:pPr>
          </w:p>
        </w:tc>
        <w:tc>
          <w:tcPr>
            <w:tcW w:w="12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3,896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720" w:type="dxa"/>
            <w:vAlign w:val="bottom"/>
            <w:gridSpan w:val="8"/>
            <w:shd w:val="clear" w:color="auto" w:fill="CCEEFF"/>
          </w:tcPr>
          <w:p>
            <w:pPr>
              <w:ind w:left="20"/>
              <w:spacing w:after="0" w:line="206" w:lineRule="exact"/>
              <w:rPr>
                <w:sz w:val="20"/>
                <w:szCs w:val="20"/>
                <w:color w:val="auto"/>
              </w:rPr>
            </w:pPr>
            <w:r>
              <w:rPr>
                <w:rFonts w:ascii="Arial" w:cs="Arial" w:eastAsia="Arial" w:hAnsi="Arial"/>
                <w:sz w:val="18"/>
                <w:szCs w:val="18"/>
                <w:color w:val="auto"/>
              </w:rPr>
              <w:t>Redeemable convertible preferred stock, par value $0.0005 per</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552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auto"/>
              </w:rPr>
              <w:t>share: 137,418,875 shares authorized, 131,267,586 issued and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552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auto"/>
              </w:rPr>
              <w:t>outstanding, actual; no shares authorized, issued and outstanding,</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shd w:val="clear" w:color="auto" w:fill="CCEEFF"/>
          </w:tcPr>
          <w:p>
            <w:pPr>
              <w:spacing w:after="0"/>
              <w:rPr>
                <w:sz w:val="17"/>
                <w:szCs w:val="17"/>
                <w:color w:val="auto"/>
              </w:rPr>
            </w:pPr>
          </w:p>
        </w:tc>
        <w:tc>
          <w:tcPr>
            <w:tcW w:w="3700" w:type="dxa"/>
            <w:vAlign w:val="bottom"/>
            <w:gridSpan w:val="4"/>
            <w:shd w:val="clear" w:color="auto" w:fill="CCEEFF"/>
          </w:tcPr>
          <w:p>
            <w:pPr>
              <w:spacing w:after="0" w:line="200" w:lineRule="exact"/>
              <w:rPr>
                <w:sz w:val="20"/>
                <w:szCs w:val="20"/>
                <w:color w:val="auto"/>
              </w:rPr>
            </w:pPr>
            <w:r>
              <w:rPr>
                <w:rFonts w:ascii="Arial" w:cs="Arial" w:eastAsia="Arial" w:hAnsi="Arial"/>
                <w:sz w:val="18"/>
                <w:szCs w:val="18"/>
                <w:color w:val="auto"/>
              </w:rPr>
              <w:t>pro forma and pro forma as adjusted</w:t>
            </w: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557,912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620" w:type="dxa"/>
            <w:vAlign w:val="bottom"/>
            <w:gridSpan w:val="4"/>
          </w:tcPr>
          <w:p>
            <w:pPr>
              <w:ind w:left="20"/>
              <w:spacing w:after="0"/>
              <w:rPr>
                <w:sz w:val="20"/>
                <w:szCs w:val="20"/>
                <w:color w:val="auto"/>
              </w:rPr>
            </w:pPr>
            <w:r>
              <w:rPr>
                <w:rFonts w:ascii="Arial" w:cs="Arial" w:eastAsia="Arial" w:hAnsi="Arial"/>
                <w:sz w:val="18"/>
                <w:szCs w:val="18"/>
                <w:color w:val="auto"/>
              </w:rPr>
              <w:t>Stockholders' equity (deficit):</w:t>
            </w: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CCEEFF"/>
          </w:tcPr>
          <w:p>
            <w:pPr>
              <w:spacing w:after="0"/>
              <w:rPr>
                <w:sz w:val="17"/>
                <w:szCs w:val="17"/>
                <w:color w:val="auto"/>
              </w:rPr>
            </w:pPr>
          </w:p>
        </w:tc>
        <w:tc>
          <w:tcPr>
            <w:tcW w:w="5520" w:type="dxa"/>
            <w:vAlign w:val="bottom"/>
            <w:gridSpan w:val="7"/>
            <w:shd w:val="clear" w:color="auto" w:fill="CCEEFF"/>
          </w:tcPr>
          <w:p>
            <w:pPr>
              <w:ind w:left="180"/>
              <w:spacing w:after="0" w:line="206" w:lineRule="exact"/>
              <w:rPr>
                <w:sz w:val="20"/>
                <w:szCs w:val="20"/>
                <w:color w:val="auto"/>
              </w:rPr>
            </w:pPr>
            <w:r>
              <w:rPr>
                <w:rFonts w:ascii="Arial" w:cs="Arial" w:eastAsia="Arial" w:hAnsi="Arial"/>
                <w:sz w:val="18"/>
                <w:szCs w:val="18"/>
                <w:color w:val="auto"/>
              </w:rPr>
              <w:t>Preferred stock, par value $0.0005 per share: no shares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370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w w:val="97"/>
              </w:rPr>
              <w:t>authorized, issued and outstanding, actual;</w:t>
            </w:r>
          </w:p>
        </w:tc>
        <w:tc>
          <w:tcPr>
            <w:tcW w:w="5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72"/>
              <w:spacing w:after="0" w:line="202" w:lineRule="exact"/>
              <w:rPr>
                <w:sz w:val="20"/>
                <w:szCs w:val="20"/>
                <w:color w:val="auto"/>
              </w:rPr>
            </w:pPr>
            <w:r>
              <w:rPr>
                <w:rFonts w:ascii="Arial" w:cs="Arial" w:eastAsia="Arial" w:hAnsi="Arial"/>
                <w:sz w:val="18"/>
                <w:szCs w:val="18"/>
                <w:color w:val="auto"/>
              </w:rPr>
              <w:t>shares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5520" w:type="dxa"/>
            <w:vAlign w:val="bottom"/>
            <w:gridSpan w:val="7"/>
            <w:shd w:val="clear" w:color="auto" w:fill="CCEEFF"/>
          </w:tcPr>
          <w:p>
            <w:pPr>
              <w:ind w:left="360"/>
              <w:spacing w:after="0" w:line="202" w:lineRule="exact"/>
              <w:rPr>
                <w:sz w:val="20"/>
                <w:szCs w:val="20"/>
                <w:color w:val="auto"/>
              </w:rPr>
            </w:pPr>
            <w:r>
              <w:rPr>
                <w:rFonts w:ascii="Arial" w:cs="Arial" w:eastAsia="Arial" w:hAnsi="Arial"/>
                <w:sz w:val="18"/>
                <w:szCs w:val="18"/>
                <w:color w:val="auto"/>
              </w:rPr>
              <w:t>authorized, no shares issued and outstanding, pro forma and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ind w:left="360"/>
              <w:spacing w:after="0" w:line="200" w:lineRule="exact"/>
              <w:rPr>
                <w:sz w:val="20"/>
                <w:szCs w:val="20"/>
                <w:color w:val="auto"/>
              </w:rPr>
            </w:pPr>
            <w:r>
              <w:rPr>
                <w:rFonts w:ascii="Arial" w:cs="Arial" w:eastAsia="Arial" w:hAnsi="Arial"/>
                <w:sz w:val="18"/>
                <w:szCs w:val="18"/>
                <w:color w:val="auto"/>
              </w:rPr>
              <w:t>pro forma as adjusted</w:t>
            </w: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5520" w:type="dxa"/>
            <w:vAlign w:val="bottom"/>
            <w:gridSpan w:val="7"/>
          </w:tcPr>
          <w:p>
            <w:pPr>
              <w:ind w:left="180"/>
              <w:spacing w:after="0" w:line="206" w:lineRule="exact"/>
              <w:rPr>
                <w:sz w:val="20"/>
                <w:szCs w:val="20"/>
                <w:color w:val="auto"/>
              </w:rPr>
            </w:pPr>
            <w:r>
              <w:rPr>
                <w:rFonts w:ascii="Arial" w:cs="Arial" w:eastAsia="Arial" w:hAnsi="Arial"/>
                <w:sz w:val="18"/>
                <w:szCs w:val="18"/>
                <w:color w:val="auto"/>
              </w:rPr>
              <w:t>Common stock, par value $0.0005 per share: 220,000,000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280" w:type="dxa"/>
            <w:vAlign w:val="bottom"/>
            <w:gridSpan w:val="5"/>
          </w:tcPr>
          <w:p>
            <w:pPr>
              <w:ind w:left="360"/>
              <w:spacing w:after="0" w:line="202" w:lineRule="exact"/>
              <w:rPr>
                <w:sz w:val="20"/>
                <w:szCs w:val="20"/>
                <w:color w:val="auto"/>
              </w:rPr>
            </w:pPr>
            <w:r>
              <w:rPr>
                <w:rFonts w:ascii="Arial" w:cs="Arial" w:eastAsia="Arial" w:hAnsi="Arial"/>
                <w:sz w:val="18"/>
                <w:szCs w:val="18"/>
                <w:color w:val="auto"/>
                <w:w w:val="98"/>
              </w:rPr>
              <w:t>shares authorized, 46,829,244 shares issued and</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4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outstanding, actual;</w:t>
            </w:r>
          </w:p>
        </w:tc>
        <w:tc>
          <w:tcPr>
            <w:tcW w:w="18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shares authorized,</w:t>
            </w:r>
          </w:p>
        </w:tc>
        <w:tc>
          <w:tcPr>
            <w:tcW w:w="1240" w:type="dxa"/>
            <w:vAlign w:val="bottom"/>
            <w:gridSpan w:val="2"/>
          </w:tcPr>
          <w:p>
            <w:pPr>
              <w:jc w:val="right"/>
              <w:ind w:right="312"/>
              <w:spacing w:after="0" w:line="202" w:lineRule="exact"/>
              <w:rPr>
                <w:sz w:val="20"/>
                <w:szCs w:val="20"/>
                <w:color w:val="auto"/>
              </w:rPr>
            </w:pPr>
            <w:r>
              <w:rPr>
                <w:rFonts w:ascii="Arial" w:cs="Arial" w:eastAsia="Arial" w:hAnsi="Arial"/>
                <w:sz w:val="18"/>
                <w:szCs w:val="18"/>
                <w:color w:val="auto"/>
              </w:rPr>
              <w:t>shares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3700" w:type="dxa"/>
            <w:vAlign w:val="bottom"/>
            <w:gridSpan w:val="4"/>
          </w:tcPr>
          <w:p>
            <w:pPr>
              <w:ind w:left="360"/>
              <w:spacing w:after="0" w:line="202" w:lineRule="exact"/>
              <w:rPr>
                <w:sz w:val="20"/>
                <w:szCs w:val="20"/>
                <w:color w:val="auto"/>
              </w:rPr>
            </w:pPr>
            <w:r>
              <w:rPr>
                <w:rFonts w:ascii="Arial" w:cs="Arial" w:eastAsia="Arial" w:hAnsi="Arial"/>
                <w:sz w:val="18"/>
                <w:szCs w:val="18"/>
                <w:color w:val="auto"/>
              </w:rPr>
              <w:t>issued and outstanding, pro forma;</w:t>
            </w:r>
          </w:p>
        </w:tc>
        <w:tc>
          <w:tcPr>
            <w:tcW w:w="580" w:type="dxa"/>
            <w:vAlign w:val="bottom"/>
          </w:tcPr>
          <w:p>
            <w:pPr>
              <w:spacing w:after="0" w:line="202" w:lineRule="exact"/>
              <w:rPr>
                <w:sz w:val="20"/>
                <w:szCs w:val="20"/>
                <w:color w:val="auto"/>
              </w:rPr>
            </w:pPr>
            <w:r>
              <w:rPr>
                <w:rFonts w:ascii="Arial" w:cs="Arial" w:eastAsia="Arial" w:hAnsi="Arial"/>
                <w:sz w:val="18"/>
                <w:szCs w:val="18"/>
                <w:color w:val="auto"/>
              </w:rPr>
              <w:t>shares</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3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authorized,</w:t>
            </w:r>
          </w:p>
        </w:tc>
        <w:tc>
          <w:tcPr>
            <w:tcW w:w="4160" w:type="dxa"/>
            <w:vAlign w:val="bottom"/>
            <w:gridSpan w:val="5"/>
          </w:tcPr>
          <w:p>
            <w:pPr>
              <w:jc w:val="right"/>
              <w:ind w:right="352"/>
              <w:spacing w:after="0" w:line="202" w:lineRule="exact"/>
              <w:rPr>
                <w:sz w:val="20"/>
                <w:szCs w:val="20"/>
                <w:color w:val="auto"/>
              </w:rPr>
            </w:pPr>
            <w:r>
              <w:rPr>
                <w:rFonts w:ascii="Arial" w:cs="Arial" w:eastAsia="Arial" w:hAnsi="Arial"/>
                <w:sz w:val="18"/>
                <w:szCs w:val="18"/>
                <w:color w:val="auto"/>
              </w:rPr>
              <w:t>shares issued and outstanding, pro forma</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1360" w:type="dxa"/>
            <w:vAlign w:val="bottom"/>
            <w:gridSpan w:val="2"/>
          </w:tcPr>
          <w:p>
            <w:pPr>
              <w:ind w:left="360"/>
              <w:spacing w:after="0" w:line="200" w:lineRule="exact"/>
              <w:rPr>
                <w:sz w:val="20"/>
                <w:szCs w:val="20"/>
                <w:color w:val="auto"/>
              </w:rPr>
            </w:pPr>
            <w:r>
              <w:rPr>
                <w:rFonts w:ascii="Arial" w:cs="Arial" w:eastAsia="Arial" w:hAnsi="Arial"/>
                <w:sz w:val="18"/>
                <w:szCs w:val="18"/>
                <w:color w:val="auto"/>
              </w:rPr>
              <w:t>as adjusted</w:t>
            </w:r>
          </w:p>
        </w:tc>
        <w:tc>
          <w:tcPr>
            <w:tcW w:w="1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89</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26,638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590,786</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4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(487,866)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(490,272)</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370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700" w:type="dxa"/>
            <w:vAlign w:val="bottom"/>
            <w:gridSpan w:val="4"/>
            <w:vMerge w:val="restart"/>
          </w:tcPr>
          <w:p>
            <w:pPr>
              <w:ind w:left="540"/>
              <w:spacing w:after="0"/>
              <w:rPr>
                <w:sz w:val="20"/>
                <w:szCs w:val="20"/>
                <w:color w:val="auto"/>
              </w:rPr>
            </w:pPr>
            <w:r>
              <w:rPr>
                <w:rFonts w:ascii="Arial" w:cs="Arial" w:eastAsia="Arial" w:hAnsi="Arial"/>
                <w:sz w:val="18"/>
                <w:szCs w:val="18"/>
                <w:color w:val="auto"/>
              </w:rPr>
              <w:t>Total stockholders' equity (deficit)</w:t>
            </w: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700" w:type="dxa"/>
            <w:vAlign w:val="bottom"/>
            <w:gridSpan w:val="4"/>
            <w:vMerge w:val="continue"/>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(461,353)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100,455</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capitalization</w:t>
            </w:r>
          </w:p>
        </w:tc>
        <w:tc>
          <w:tcPr>
            <w:tcW w:w="1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96,559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100,455</w:t>
            </w:r>
          </w:p>
        </w:tc>
        <w:tc>
          <w:tcPr>
            <w:tcW w:w="1120" w:type="dxa"/>
            <w:vAlign w:val="bottom"/>
            <w:shd w:val="clear" w:color="auto" w:fill="CCEEFF"/>
          </w:tcPr>
          <w:p>
            <w:pPr>
              <w:jc w:val="right"/>
              <w:ind w:right="940"/>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780" w:type="dxa"/>
            <w:vAlign w:val="bottom"/>
            <w:gridSpan w:val="6"/>
          </w:tcPr>
          <w:p>
            <w:pPr>
              <w:spacing w:after="0"/>
              <w:rPr>
                <w:sz w:val="7"/>
                <w:szCs w:val="7"/>
                <w:color w:val="auto"/>
              </w:rPr>
            </w:pPr>
          </w:p>
        </w:tc>
        <w:tc>
          <w:tcPr>
            <w:tcW w:w="4320" w:type="dxa"/>
            <w:vAlign w:val="bottom"/>
            <w:gridSpan w:val="9"/>
          </w:tcPr>
          <w:p>
            <w:pPr>
              <w:spacing w:after="0"/>
              <w:rPr>
                <w:sz w:val="7"/>
                <w:szCs w:val="7"/>
                <w:color w:val="auto"/>
              </w:rPr>
            </w:pPr>
          </w:p>
        </w:tc>
        <w:tc>
          <w:tcPr>
            <w:tcW w:w="0" w:type="dxa"/>
            <w:vAlign w:val="bottom"/>
          </w:tcPr>
          <w:p>
            <w:pPr>
              <w:spacing w:after="0"/>
              <w:rPr>
                <w:sz w:val="1"/>
                <w:szCs w:val="1"/>
                <w:color w:val="auto"/>
              </w:rPr>
            </w:pPr>
          </w:p>
        </w:tc>
      </w:tr>
      <w:tr>
        <w:trPr>
          <w:trHeight w:val="376"/>
        </w:trPr>
        <w:tc>
          <w:tcPr>
            <w:tcW w:w="200" w:type="dxa"/>
            <w:vAlign w:val="bottom"/>
          </w:tcPr>
          <w:p>
            <w:pPr>
              <w:ind w:left="20"/>
              <w:spacing w:after="0"/>
              <w:rPr>
                <w:sz w:val="20"/>
                <w:szCs w:val="20"/>
                <w:color w:val="auto"/>
              </w:rPr>
            </w:pPr>
            <w:r>
              <w:rPr>
                <w:rFonts w:ascii="Arial" w:cs="Arial" w:eastAsia="Arial" w:hAnsi="Arial"/>
                <w:sz w:val="14"/>
                <w:szCs w:val="14"/>
                <w:color w:val="auto"/>
                <w:w w:val="93"/>
              </w:rPr>
              <w:t>(1)</w:t>
            </w:r>
          </w:p>
        </w:tc>
        <w:tc>
          <w:tcPr>
            <w:tcW w:w="5520" w:type="dxa"/>
            <w:vAlign w:val="bottom"/>
            <w:gridSpan w:val="7"/>
          </w:tcPr>
          <w:p>
            <w:pPr>
              <w:ind w:left="360"/>
              <w:spacing w:after="0"/>
              <w:rPr>
                <w:sz w:val="20"/>
                <w:szCs w:val="20"/>
                <w:color w:val="auto"/>
              </w:rPr>
            </w:pPr>
            <w:r>
              <w:rPr>
                <w:rFonts w:ascii="Arial" w:cs="Arial" w:eastAsia="Arial" w:hAnsi="Arial"/>
                <w:sz w:val="14"/>
                <w:szCs w:val="14"/>
                <w:color w:val="auto"/>
              </w:rPr>
              <w:t>Each $1.00 increase (decrease) in the assumed initial public offering price of $</w:t>
            </w:r>
          </w:p>
        </w:tc>
        <w:tc>
          <w:tcPr>
            <w:tcW w:w="4320" w:type="dxa"/>
            <w:vAlign w:val="bottom"/>
            <w:gridSpan w:val="9"/>
          </w:tcPr>
          <w:p>
            <w:pPr>
              <w:ind w:left="340"/>
              <w:spacing w:after="0"/>
              <w:rPr>
                <w:sz w:val="20"/>
                <w:szCs w:val="20"/>
                <w:color w:val="auto"/>
              </w:rPr>
            </w:pPr>
            <w:r>
              <w:rPr>
                <w:rFonts w:ascii="Arial" w:cs="Arial" w:eastAsia="Arial" w:hAnsi="Arial"/>
                <w:sz w:val="14"/>
                <w:szCs w:val="14"/>
                <w:color w:val="auto"/>
              </w:rPr>
              <w:t>per share, which is the midpoint of the estimated offering price</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840" w:type="dxa"/>
            <w:vAlign w:val="bottom"/>
            <w:gridSpan w:val="16"/>
          </w:tcPr>
          <w:p>
            <w:pPr>
              <w:ind w:left="360"/>
              <w:spacing w:after="0"/>
              <w:rPr>
                <w:sz w:val="20"/>
                <w:szCs w:val="20"/>
                <w:color w:val="auto"/>
              </w:rPr>
            </w:pPr>
            <w:r>
              <w:rPr>
                <w:rFonts w:ascii="Arial" w:cs="Arial" w:eastAsia="Arial" w:hAnsi="Arial"/>
                <w:sz w:val="14"/>
                <w:szCs w:val="14"/>
                <w:color w:val="auto"/>
              </w:rPr>
              <w:t>range set forth on the cover page of this prospectus, would increase (decrease) the amount of our pro forma as adjusted cash and cash equivalents,</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6380" w:type="dxa"/>
            <w:vAlign w:val="bottom"/>
            <w:gridSpan w:val="9"/>
          </w:tcPr>
          <w:p>
            <w:pPr>
              <w:ind w:left="360"/>
              <w:spacing w:after="0"/>
              <w:rPr>
                <w:sz w:val="20"/>
                <w:szCs w:val="20"/>
                <w:color w:val="auto"/>
              </w:rPr>
            </w:pPr>
            <w:r>
              <w:rPr>
                <w:rFonts w:ascii="Arial" w:cs="Arial" w:eastAsia="Arial" w:hAnsi="Arial"/>
                <w:sz w:val="14"/>
                <w:szCs w:val="14"/>
                <w:color w:val="auto"/>
              </w:rPr>
              <w:t>additional paid-in capital, total stockholders' equity, and total capitalization by approximately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5"/>
          </w:tcPr>
          <w:p>
            <w:pPr>
              <w:ind w:left="320"/>
              <w:spacing w:after="0"/>
              <w:rPr>
                <w:sz w:val="20"/>
                <w:szCs w:val="20"/>
                <w:color w:val="auto"/>
              </w:rPr>
            </w:pPr>
            <w:r>
              <w:rPr>
                <w:rFonts w:ascii="Arial" w:cs="Arial" w:eastAsia="Arial" w:hAnsi="Arial"/>
                <w:sz w:val="14"/>
                <w:szCs w:val="14"/>
                <w:color w:val="auto"/>
              </w:rPr>
              <w:t>million, assuming the number of shares of our</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840" w:type="dxa"/>
            <w:vAlign w:val="bottom"/>
            <w:gridSpan w:val="16"/>
          </w:tcPr>
          <w:p>
            <w:pPr>
              <w:ind w:left="360"/>
              <w:spacing w:after="0"/>
              <w:rPr>
                <w:sz w:val="20"/>
                <w:szCs w:val="20"/>
                <w:color w:val="auto"/>
              </w:rPr>
            </w:pPr>
            <w:r>
              <w:rPr>
                <w:rFonts w:ascii="Arial" w:cs="Arial" w:eastAsia="Arial" w:hAnsi="Arial"/>
                <w:sz w:val="14"/>
                <w:szCs w:val="14"/>
                <w:color w:val="auto"/>
              </w:rPr>
              <w:t>common stock offered by us, as set forth on the cover page of this prospectus, remains the same and after deducting estimated underwriting</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840" w:type="dxa"/>
            <w:vAlign w:val="bottom"/>
            <w:gridSpan w:val="16"/>
          </w:tcPr>
          <w:p>
            <w:pPr>
              <w:ind w:left="360"/>
              <w:spacing w:after="0"/>
              <w:rPr>
                <w:sz w:val="20"/>
                <w:szCs w:val="20"/>
                <w:color w:val="auto"/>
              </w:rPr>
            </w:pPr>
            <w:r>
              <w:rPr>
                <w:rFonts w:ascii="Arial" w:cs="Arial" w:eastAsia="Arial" w:hAnsi="Arial"/>
                <w:sz w:val="14"/>
                <w:szCs w:val="14"/>
                <w:color w:val="auto"/>
              </w:rPr>
              <w:t>discounts and commissions payable by us. Similarly, each 1.0 million increase (decrease) in the number of shares of our common stock offered by us</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6380" w:type="dxa"/>
            <w:vAlign w:val="bottom"/>
            <w:gridSpan w:val="9"/>
          </w:tcPr>
          <w:p>
            <w:pPr>
              <w:ind w:left="360"/>
              <w:spacing w:after="0"/>
              <w:rPr>
                <w:sz w:val="20"/>
                <w:szCs w:val="20"/>
                <w:color w:val="auto"/>
              </w:rPr>
            </w:pPr>
            <w:r>
              <w:rPr>
                <w:rFonts w:ascii="Arial" w:cs="Arial" w:eastAsia="Arial" w:hAnsi="Arial"/>
                <w:sz w:val="14"/>
                <w:szCs w:val="14"/>
                <w:color w:val="auto"/>
              </w:rPr>
              <w:t>would increase (decrease) the net proceeds to us from this offering by approximately $</w:t>
            </w:r>
          </w:p>
        </w:tc>
        <w:tc>
          <w:tcPr>
            <w:tcW w:w="3460" w:type="dxa"/>
            <w:vAlign w:val="bottom"/>
            <w:gridSpan w:val="7"/>
          </w:tcPr>
          <w:p>
            <w:pPr>
              <w:ind w:left="40"/>
              <w:spacing w:after="0"/>
              <w:rPr>
                <w:sz w:val="20"/>
                <w:szCs w:val="20"/>
                <w:color w:val="auto"/>
              </w:rPr>
            </w:pPr>
            <w:r>
              <w:rPr>
                <w:rFonts w:ascii="Arial" w:cs="Arial" w:eastAsia="Arial" w:hAnsi="Arial"/>
                <w:sz w:val="14"/>
                <w:szCs w:val="14"/>
                <w:color w:val="auto"/>
              </w:rPr>
              <w:t>million, assuming the assumed initial public offering</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color w:val="auto"/>
              </w:rPr>
              <w:t>price of $</w:t>
            </w:r>
          </w:p>
        </w:tc>
        <w:tc>
          <w:tcPr>
            <w:tcW w:w="8480" w:type="dxa"/>
            <w:vAlign w:val="bottom"/>
            <w:gridSpan w:val="14"/>
          </w:tcPr>
          <w:p>
            <w:pPr>
              <w:ind w:left="100"/>
              <w:spacing w:after="0"/>
              <w:rPr>
                <w:sz w:val="20"/>
                <w:szCs w:val="20"/>
                <w:color w:val="auto"/>
              </w:rPr>
            </w:pPr>
            <w:r>
              <w:rPr>
                <w:rFonts w:ascii="Arial" w:cs="Arial" w:eastAsia="Arial" w:hAnsi="Arial"/>
                <w:sz w:val="14"/>
                <w:szCs w:val="14"/>
                <w:color w:val="auto"/>
              </w:rPr>
              <w:t>per share, which is the midpoint of the estimated offering price range set forth on the cover page of this prospectus, remains the</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9840" w:type="dxa"/>
            <w:vAlign w:val="bottom"/>
            <w:gridSpan w:val="16"/>
          </w:tcPr>
          <w:p>
            <w:pPr>
              <w:ind w:left="360"/>
              <w:spacing w:after="0"/>
              <w:rPr>
                <w:sz w:val="20"/>
                <w:szCs w:val="20"/>
                <w:color w:val="auto"/>
              </w:rPr>
            </w:pPr>
            <w:r>
              <w:rPr>
                <w:rFonts w:ascii="Arial" w:cs="Arial" w:eastAsia="Arial" w:hAnsi="Arial"/>
                <w:sz w:val="14"/>
                <w:szCs w:val="14"/>
                <w:color w:val="auto"/>
              </w:rPr>
              <w:t>same and after deducting the estimated underwriting discounts and commissions payable by us. The pro forma as adjusted information discussed</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9840" w:type="dxa"/>
            <w:vAlign w:val="bottom"/>
            <w:gridSpan w:val="16"/>
          </w:tcPr>
          <w:p>
            <w:pPr>
              <w:ind w:left="360"/>
              <w:spacing w:after="0"/>
              <w:rPr>
                <w:sz w:val="20"/>
                <w:szCs w:val="20"/>
                <w:color w:val="auto"/>
              </w:rPr>
            </w:pPr>
            <w:r>
              <w:rPr>
                <w:rFonts w:ascii="Arial" w:cs="Arial" w:eastAsia="Arial" w:hAnsi="Arial"/>
                <w:sz w:val="14"/>
                <w:szCs w:val="14"/>
                <w:color w:val="auto"/>
              </w:rPr>
              <w:t>above is illustrative only and will change based on the actual initial public offering price and other terms of this offering determined at pricing.</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340" w:firstLine="484"/>
        <w:spacing w:after="0" w:line="238" w:lineRule="auto"/>
        <w:rPr>
          <w:sz w:val="20"/>
          <w:szCs w:val="20"/>
          <w:color w:val="auto"/>
        </w:rPr>
      </w:pPr>
      <w:r>
        <w:rPr>
          <w:rFonts w:ascii="Arial" w:cs="Arial" w:eastAsia="Arial" w:hAnsi="Arial"/>
          <w:sz w:val="18"/>
          <w:szCs w:val="18"/>
          <w:color w:val="auto"/>
        </w:rPr>
        <w:t>The number of shares of our common stock that will be outstanding after this offering is based on 178,096,830 shares of our common stock (including shares of our redeemable convertible preferred stock on an as-converted basis) outstanding as of October 31, 2018, and excludes:</w:t>
      </w:r>
    </w:p>
    <w:p>
      <w:pPr>
        <w:spacing w:after="0" w:line="208" w:lineRule="exact"/>
        <w:rPr>
          <w:sz w:val="20"/>
          <w:szCs w:val="20"/>
          <w:color w:val="auto"/>
        </w:rPr>
      </w:pPr>
    </w:p>
    <w:p>
      <w:pPr>
        <w:ind w:left="1080" w:right="800" w:hanging="532"/>
        <w:spacing w:after="0" w:line="23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26,150,055 shares of our common stock issuable upon the exercise of options to purchase shares of our common stock outstanding as of October 31, 2018, with a weighted-average exercise price of $3.43 per share;</w:t>
      </w:r>
    </w:p>
    <w:p>
      <w:pPr>
        <w:spacing w:after="0" w:line="20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3,826,547 shares of our common stock issuable upon the satisfaction of a performance-based vesting condition pursuant to RSUs outstanding as of October 31, 2018;</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1080" w:right="440" w:hanging="532"/>
        <w:spacing w:after="0" w:line="23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336,386 shares of our common stock, on an as-converted basis, issuable upon the exercise of warrants to purchase 336,386 shares of our redeemable convertible preferred stock that were outstanding as of October 31, 2018, with a weighted-average exercise price of $2.94 per share; and</w:t>
      </w:r>
    </w:p>
    <w:p>
      <w:pPr>
        <w:spacing w:after="0" w:line="207" w:lineRule="exact"/>
        <w:rPr>
          <w:rFonts w:ascii="Arial" w:cs="Arial" w:eastAsia="Arial" w:hAnsi="Arial"/>
          <w:sz w:val="18"/>
          <w:szCs w:val="18"/>
          <w:color w:val="auto"/>
        </w:rPr>
      </w:pPr>
    </w:p>
    <w:p>
      <w:pPr>
        <w:ind w:left="1720" w:hanging="1172"/>
        <w:spacing w:after="0"/>
        <w:tabs>
          <w:tab w:leader="none" w:pos="1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equity compensation plans, consisting of:</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620" w:right="240" w:hanging="532"/>
        <w:spacing w:after="0" w:line="239" w:lineRule="auto"/>
        <w:tabs>
          <w:tab w:leader="none" w:pos="225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our 2019 Plan, which will become effective prior to the completion of this offering;</w:t>
      </w:r>
    </w:p>
    <w:p>
      <w:pPr>
        <w:spacing w:after="0" w:line="195" w:lineRule="exact"/>
        <w:rPr>
          <w:rFonts w:ascii="Arial" w:cs="Arial" w:eastAsia="Arial" w:hAnsi="Arial"/>
          <w:sz w:val="18"/>
          <w:szCs w:val="18"/>
          <w:color w:val="auto"/>
        </w:rPr>
      </w:pPr>
    </w:p>
    <w:p>
      <w:pPr>
        <w:ind w:left="1620" w:right="280" w:hanging="532"/>
        <w:spacing w:after="0" w:line="238" w:lineRule="auto"/>
        <w:tabs>
          <w:tab w:leader="none" w:pos="225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2011 Plan, which number of shares will be added to the shares of our common stock to be reserved for future issuance under our 2019 Plan upon its effectiveness; and</w:t>
      </w:r>
    </w:p>
    <w:p>
      <w:pPr>
        <w:spacing w:after="0" w:line="207" w:lineRule="exact"/>
        <w:rPr>
          <w:rFonts w:ascii="Arial" w:cs="Arial" w:eastAsia="Arial" w:hAnsi="Arial"/>
          <w:sz w:val="18"/>
          <w:szCs w:val="18"/>
          <w:color w:val="auto"/>
        </w:rPr>
      </w:pPr>
    </w:p>
    <w:p>
      <w:pPr>
        <w:ind w:left="1620" w:right="140" w:hanging="532"/>
        <w:spacing w:after="0" w:line="239" w:lineRule="auto"/>
        <w:tabs>
          <w:tab w:leader="none" w:pos="225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our ESPP, which will become effective upon completion of this offering.</w:t>
      </w:r>
    </w:p>
    <w:p>
      <w:pPr>
        <w:spacing w:after="0" w:line="209"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Our 2019 Plan and ESPP each provide for annual automatic increases in the number of shares of our common stock reserved thereunder, and our 2019 Plan also provides for increases to the number of shares of our common stock that may be granted thereunder based on shares under our 2011 Plan that expire, are forfeited, or otherwise repurchased by us, as more fully described in the section titled "Executive Compensation—Employee Benefit and Stock Plans."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180" w:firstLine="488"/>
        <w:spacing w:after="0" w:line="238"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208"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Our historical net tangible book value (deficit) as of October 31, 2018, was $(501.5) million, or $(10.71) per share of common stock. Our pro forma net tangible book value as of October 31, 2018 was $60.3 million, or $0.34 per share of common stock. Our pro forma net tangible book value per share represents the amount of our total tangible assets reduced by the amount of our total liabilities and divided by the total number of shares of our common stock outstanding as of October 31, 2018, assuming the conversion of all 131,267,586 outstanding shares of our redeemable convertible preferred stock into an equivalent number of shares of common stock and the resulting reclassification of the redeemable convertible preferred stock warrant liability to additional paid-in-capital.</w:t>
      </w:r>
    </w:p>
    <w:p>
      <w:pPr>
        <w:spacing w:after="0" w:line="205" w:lineRule="exact"/>
        <w:rPr>
          <w:sz w:val="20"/>
          <w:szCs w:val="20"/>
          <w:color w:val="auto"/>
        </w:rPr>
      </w:pPr>
    </w:p>
    <w:p>
      <w:pPr>
        <w:ind w:left="480"/>
        <w:spacing w:after="0"/>
        <w:tabs>
          <w:tab w:leader="none" w:pos="4660" w:val="left"/>
        </w:tabs>
        <w:rPr>
          <w:sz w:val="20"/>
          <w:szCs w:val="20"/>
          <w:color w:val="auto"/>
        </w:rPr>
      </w:pPr>
      <w:r>
        <w:rPr>
          <w:rFonts w:ascii="Arial" w:cs="Arial" w:eastAsia="Arial" w:hAnsi="Arial"/>
          <w:sz w:val="18"/>
          <w:szCs w:val="18"/>
          <w:color w:val="auto"/>
        </w:rPr>
        <w:t>After giving effect to our sale in this offering of</w:t>
      </w:r>
      <w:r>
        <w:rPr>
          <w:sz w:val="20"/>
          <w:szCs w:val="20"/>
          <w:color w:val="auto"/>
        </w:rPr>
        <w:tab/>
      </w:r>
      <w:r>
        <w:rPr>
          <w:rFonts w:ascii="Arial" w:cs="Arial" w:eastAsia="Arial" w:hAnsi="Arial"/>
          <w:sz w:val="16"/>
          <w:szCs w:val="16"/>
          <w:color w:val="auto"/>
        </w:rPr>
        <w:t>shares of our common stock, at an assumed initial public offering price of</w:t>
      </w:r>
    </w:p>
    <w:p>
      <w:pPr>
        <w:ind w:left="740" w:hanging="732"/>
        <w:spacing w:after="0"/>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per share, the midpoint of the estimated offering price range reflected on the cover page of this prospectus, after deducting estimated</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underwriting discounts and commissions and estimated offering expenses payable by us, our pro forma as adjusted net tangible book value as</w:t>
      </w:r>
    </w:p>
    <w:p>
      <w:pPr>
        <w:spacing w:after="0" w:line="221" w:lineRule="exact"/>
        <w:rPr>
          <w:sz w:val="20"/>
          <w:szCs w:val="20"/>
          <w:color w:val="auto"/>
        </w:rPr>
      </w:pPr>
    </w:p>
    <w:p>
      <w:pPr>
        <w:ind w:right="740"/>
        <w:spacing w:after="0" w:line="234" w:lineRule="auto"/>
        <w:rPr>
          <w:sz w:val="20"/>
          <w:szCs w:val="20"/>
          <w:color w:val="auto"/>
        </w:rPr>
      </w:pPr>
      <w:r>
        <w:rPr>
          <w:rFonts w:ascii="Arial" w:cs="Arial" w:eastAsia="Arial" w:hAnsi="Arial"/>
          <w:sz w:val="18"/>
          <w:szCs w:val="18"/>
          <w:color w:val="auto"/>
        </w:rPr>
        <w:t>of October 31, 2018, would have been approximately $ million, or $ per share of our common stock. This represents an immediate increase in pro forma net tangible book value of $ per share to our existing stockholders and an immediate dilution of</w:t>
      </w:r>
    </w:p>
    <w:p>
      <w:pPr>
        <w:spacing w:after="0" w:line="1" w:lineRule="exact"/>
        <w:rPr>
          <w:sz w:val="20"/>
          <w:szCs w:val="20"/>
          <w:color w:val="auto"/>
        </w:rPr>
      </w:pPr>
    </w:p>
    <w:p>
      <w:pPr>
        <w:ind w:left="500" w:right="6140" w:hanging="492"/>
        <w:spacing w:after="0" w:line="483" w:lineRule="auto"/>
        <w:tabs>
          <w:tab w:leader="none" w:pos="7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 share to investors purchasing shares in this offering. The following table illustrates this dilution:</w:t>
      </w:r>
    </w:p>
    <w:tbl>
      <w:tblPr>
        <w:tblLayout w:type="fixed"/>
        <w:tblInd w:w="1120" w:type="dxa"/>
        <w:tblCellMar>
          <w:top w:w="0" w:type="dxa"/>
          <w:left w:w="0" w:type="dxa"/>
          <w:bottom w:w="0" w:type="dxa"/>
          <w:right w:w="0" w:type="dxa"/>
        </w:tblCellMar>
      </w:tblPr>
      <w:tr>
        <w:trPr>
          <w:trHeight w:val="203"/>
        </w:trPr>
        <w:tc>
          <w:tcPr>
            <w:tcW w:w="71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Assumed initial public offering price per share</w:t>
            </w:r>
          </w:p>
        </w:tc>
        <w:tc>
          <w:tcPr>
            <w:tcW w:w="16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632"/>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Historical net tangible book value (deficit) per share as of October 31, 2018</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(10.71)</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 forma net tangible book value per share as of October 31, 2018</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0.34</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7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 forma net tangible book value, as adjusted to give effect to this offering</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32"/>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r>
      <w:tr>
        <w:trPr>
          <w:trHeight w:val="196"/>
        </w:trPr>
        <w:tc>
          <w:tcPr>
            <w:tcW w:w="7100" w:type="dxa"/>
            <w:vAlign w:val="bottom"/>
          </w:tcPr>
          <w:p>
            <w:pPr>
              <w:ind w:left="20"/>
              <w:spacing w:after="0" w:line="196" w:lineRule="exact"/>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160" w:type="dxa"/>
            <w:vAlign w:val="bottom"/>
          </w:tcPr>
          <w:p>
            <w:pPr>
              <w:spacing w:after="0"/>
              <w:rPr>
                <w:sz w:val="17"/>
                <w:szCs w:val="17"/>
                <w:color w:val="auto"/>
              </w:rPr>
            </w:pPr>
          </w:p>
        </w:tc>
        <w:tc>
          <w:tcPr>
            <w:tcW w:w="1560" w:type="dxa"/>
            <w:vAlign w:val="bottom"/>
            <w:gridSpan w:val="3"/>
          </w:tcPr>
          <w:p>
            <w:pPr>
              <w:jc w:val="right"/>
              <w:ind w:right="632"/>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dilution information discussed above is illustrative only and will change based on the actual initial public offering price and other terms</w:t>
      </w:r>
    </w:p>
    <w:p>
      <w:pPr>
        <w:spacing w:after="0" w:line="1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of this offering determined at pricing. A $1.00 increase (decrease) in the assumed initial public offering price of $ per share, the midpoint of the estimated offering price range reflected on the cover page of this prospectus, would increase (decrease) our pro forma net tangible book</w:t>
      </w:r>
    </w:p>
    <w:p>
      <w:pPr>
        <w:ind w:right="20"/>
        <w:spacing w:after="0" w:line="234" w:lineRule="auto"/>
        <w:rPr>
          <w:sz w:val="20"/>
          <w:szCs w:val="20"/>
          <w:color w:val="auto"/>
        </w:rPr>
      </w:pPr>
      <w:r>
        <w:rPr>
          <w:rFonts w:ascii="Arial" w:cs="Arial" w:eastAsia="Arial" w:hAnsi="Arial"/>
          <w:sz w:val="18"/>
          <w:szCs w:val="18"/>
          <w:color w:val="auto"/>
        </w:rPr>
        <w:t>value, as adjusted to give effect to this offering, by $ per share, the increase (decrease) attributable to this offering by $ per share, and the dilution in pro forma as adjusted net tangible book value per share to new investors in this offering by $ per share, assuming the</w:t>
      </w:r>
    </w:p>
    <w:p>
      <w:pPr>
        <w:spacing w:after="0" w:line="1" w:lineRule="exact"/>
        <w:rPr>
          <w:sz w:val="20"/>
          <w:szCs w:val="20"/>
          <w:color w:val="auto"/>
        </w:rPr>
      </w:pPr>
    </w:p>
    <w:p>
      <w:pPr>
        <w:jc w:val="both"/>
        <w:ind w:right="100"/>
        <w:spacing w:after="0" w:line="264"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estimated underwriting discounts and commissions and estimated expenses payable by us. Each 1.0 million increase (decrease) in the number of shares offered by us as set forth on the cover page of this prospectus, would increase (decrease) our pro forma net tangible book value, as adjusted to give effect to</w:t>
      </w:r>
    </w:p>
    <w:tbl>
      <w:tblPr>
        <w:tblLayout w:type="fixed"/>
        <w:tblInd w:w="0" w:type="dxa"/>
        <w:tblCellMar>
          <w:top w:w="0" w:type="dxa"/>
          <w:left w:w="0" w:type="dxa"/>
          <w:bottom w:w="0" w:type="dxa"/>
          <w:right w:w="0" w:type="dxa"/>
        </w:tblCellMar>
      </w:tblPr>
      <w:tr>
        <w:trPr>
          <w:trHeight w:val="203"/>
        </w:trPr>
        <w:tc>
          <w:tcPr>
            <w:tcW w:w="1660" w:type="dxa"/>
            <w:vAlign w:val="bottom"/>
          </w:tcPr>
          <w:p>
            <w:pPr>
              <w:spacing w:after="0" w:line="203" w:lineRule="exact"/>
              <w:rPr>
                <w:sz w:val="20"/>
                <w:szCs w:val="20"/>
                <w:color w:val="auto"/>
              </w:rPr>
            </w:pPr>
            <w:r>
              <w:rPr>
                <w:rFonts w:ascii="Arial" w:cs="Arial" w:eastAsia="Arial" w:hAnsi="Arial"/>
                <w:sz w:val="18"/>
                <w:szCs w:val="18"/>
                <w:color w:val="auto"/>
              </w:rPr>
              <w:t>this offering, by $</w:t>
            </w:r>
          </w:p>
        </w:tc>
        <w:tc>
          <w:tcPr>
            <w:tcW w:w="576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per share, the increase (decrease) attributable to this offering by $</w:t>
            </w:r>
          </w:p>
        </w:tc>
        <w:tc>
          <w:tcPr>
            <w:tcW w:w="3820" w:type="dxa"/>
            <w:vAlign w:val="bottom"/>
          </w:tcPr>
          <w:p>
            <w:pPr>
              <w:ind w:left="320"/>
              <w:spacing w:after="0" w:line="203" w:lineRule="exact"/>
              <w:rPr>
                <w:sz w:val="20"/>
                <w:szCs w:val="20"/>
                <w:color w:val="auto"/>
              </w:rPr>
            </w:pPr>
            <w:r>
              <w:rPr>
                <w:rFonts w:ascii="Arial" w:cs="Arial" w:eastAsia="Arial" w:hAnsi="Arial"/>
                <w:sz w:val="18"/>
                <w:szCs w:val="18"/>
                <w:color w:val="auto"/>
              </w:rPr>
              <w:t>per share, and the dilution in pro forma as</w:t>
            </w:r>
          </w:p>
        </w:tc>
      </w:tr>
      <w:tr>
        <w:trPr>
          <w:trHeight w:val="203"/>
        </w:trPr>
        <w:tc>
          <w:tcPr>
            <w:tcW w:w="6460" w:type="dxa"/>
            <w:vAlign w:val="bottom"/>
            <w:gridSpan w:val="2"/>
          </w:tcPr>
          <w:p>
            <w:pPr>
              <w:spacing w:after="0" w:line="202" w:lineRule="exact"/>
              <w:rPr>
                <w:sz w:val="20"/>
                <w:szCs w:val="20"/>
                <w:color w:val="auto"/>
              </w:rPr>
            </w:pPr>
            <w:r>
              <w:rPr>
                <w:rFonts w:ascii="Arial" w:cs="Arial" w:eastAsia="Arial" w:hAnsi="Arial"/>
                <w:sz w:val="18"/>
                <w:szCs w:val="18"/>
                <w:color w:val="auto"/>
              </w:rPr>
              <w:t>adjusted net tangible book value per share to new investors in this offering by $</w:t>
            </w:r>
          </w:p>
        </w:tc>
        <w:tc>
          <w:tcPr>
            <w:tcW w:w="47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per share, assuming that the assumed initial public</w:t>
            </w:r>
          </w:p>
        </w:tc>
      </w:tr>
      <w:tr>
        <w:trPr>
          <w:trHeight w:val="211"/>
        </w:trPr>
        <w:tc>
          <w:tcPr>
            <w:tcW w:w="1660" w:type="dxa"/>
            <w:vAlign w:val="bottom"/>
          </w:tcPr>
          <w:p>
            <w:pPr>
              <w:spacing w:after="0"/>
              <w:rPr>
                <w:sz w:val="20"/>
                <w:szCs w:val="20"/>
                <w:color w:val="auto"/>
              </w:rPr>
            </w:pPr>
            <w:r>
              <w:rPr>
                <w:rFonts w:ascii="Arial" w:cs="Arial" w:eastAsia="Arial" w:hAnsi="Arial"/>
                <w:sz w:val="18"/>
                <w:szCs w:val="18"/>
                <w:color w:val="auto"/>
              </w:rPr>
              <w:t>offering price of</w:t>
            </w:r>
          </w:p>
        </w:tc>
        <w:tc>
          <w:tcPr>
            <w:tcW w:w="4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419"/>
        </w:trPr>
        <w:tc>
          <w:tcPr>
            <w:tcW w:w="1660" w:type="dxa"/>
            <w:vAlign w:val="bottom"/>
          </w:tcPr>
          <w:p>
            <w:pPr>
              <w:spacing w:after="0"/>
              <w:rPr>
                <w:sz w:val="24"/>
                <w:szCs w:val="24"/>
                <w:color w:val="auto"/>
              </w:rPr>
            </w:pPr>
          </w:p>
        </w:tc>
        <w:tc>
          <w:tcPr>
            <w:tcW w:w="4800" w:type="dxa"/>
            <w:vAlign w:val="bottom"/>
          </w:tcPr>
          <w:p>
            <w:pPr>
              <w:jc w:val="right"/>
              <w:ind w:right="652"/>
              <w:spacing w:after="0"/>
              <w:rPr>
                <w:sz w:val="20"/>
                <w:szCs w:val="20"/>
                <w:color w:val="auto"/>
              </w:rPr>
            </w:pPr>
            <w:r>
              <w:rPr>
                <w:rFonts w:ascii="Arial" w:cs="Arial" w:eastAsia="Arial" w:hAnsi="Arial"/>
                <w:sz w:val="18"/>
                <w:szCs w:val="18"/>
                <w:color w:val="auto"/>
              </w:rPr>
              <w:t>66</w:t>
            </w:r>
          </w:p>
        </w:tc>
        <w:tc>
          <w:tcPr>
            <w:tcW w:w="9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15"/>
        </w:trPr>
        <w:tc>
          <w:tcPr>
            <w:tcW w:w="1660" w:type="dxa"/>
            <w:vAlign w:val="bottom"/>
            <w:tcBorders>
              <w:bottom w:val="single" w:sz="8" w:color="808080"/>
            </w:tcBorders>
          </w:tcPr>
          <w:p>
            <w:pPr>
              <w:spacing w:after="0"/>
              <w:rPr>
                <w:sz w:val="18"/>
                <w:szCs w:val="18"/>
                <w:color w:val="auto"/>
              </w:rPr>
            </w:pPr>
          </w:p>
        </w:tc>
        <w:tc>
          <w:tcPr>
            <w:tcW w:w="48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38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firstLine="8"/>
        <w:spacing w:after="0" w:line="239" w:lineRule="auto"/>
        <w:tabs>
          <w:tab w:leader="none" w:pos="7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 share, the midpoint of the estimated offering price range on the cover of this prospectus, remains the same and after deducting the estimated underwriting discounts and commissions and estimated offering expenses payable by us.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the underwriters exercise their option to purchase additional shares in full, the pro forma net tangible book value per share of our</w:t>
      </w:r>
    </w:p>
    <w:p>
      <w:pPr>
        <w:spacing w:after="0" w:line="239" w:lineRule="auto"/>
        <w:rPr>
          <w:sz w:val="20"/>
          <w:szCs w:val="20"/>
          <w:color w:val="auto"/>
        </w:rPr>
      </w:pPr>
      <w:r>
        <w:rPr>
          <w:rFonts w:ascii="Arial" w:cs="Arial" w:eastAsia="Arial" w:hAnsi="Arial"/>
          <w:sz w:val="18"/>
          <w:szCs w:val="18"/>
          <w:color w:val="auto"/>
        </w:rPr>
        <w:t>common stock after giving effect to this offering would be $ per share, and the dilution in net tangible book value per share to investors in this offering would be $ per share.</w:t>
      </w:r>
    </w:p>
    <w:p>
      <w:pPr>
        <w:spacing w:after="0" w:line="209" w:lineRule="exact"/>
        <w:rPr>
          <w:sz w:val="20"/>
          <w:szCs w:val="20"/>
          <w:color w:val="auto"/>
        </w:rPr>
      </w:pPr>
    </w:p>
    <w:p>
      <w:pPr>
        <w:ind w:right="120" w:firstLine="484"/>
        <w:spacing w:after="0" w:line="234" w:lineRule="auto"/>
        <w:rPr>
          <w:sz w:val="20"/>
          <w:szCs w:val="20"/>
          <w:color w:val="auto"/>
        </w:rPr>
      </w:pPr>
      <w:r>
        <w:rPr>
          <w:rFonts w:ascii="Arial" w:cs="Arial" w:eastAsia="Arial" w:hAnsi="Arial"/>
          <w:sz w:val="18"/>
          <w:szCs w:val="18"/>
          <w:color w:val="auto"/>
        </w:rPr>
        <w:t>The following table summarizes, on a pro forma as adjusted basis as of October 31, 2018, after giving effect to the sale of shares of common stock by us in this offering at an assumed initial public offering price of $ per share, the midpoint of the estimated offering price</w:t>
      </w:r>
    </w:p>
    <w:p>
      <w:pPr>
        <w:spacing w:after="0" w:line="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range on the cover of this prospectus, the difference between existing stockholders and new investors with respect to the number of shares of common stock purchased from us, the total consideration paid to us and the average price per share paid or to be paid to us at an assumed</w:t>
      </w:r>
    </w:p>
    <w:tbl>
      <w:tblPr>
        <w:tblLayout w:type="fixed"/>
        <w:tblInd w:w="0" w:type="dxa"/>
        <w:tblCellMar>
          <w:top w:w="0" w:type="dxa"/>
          <w:left w:w="0" w:type="dxa"/>
          <w:bottom w:w="0" w:type="dxa"/>
          <w:right w:w="0" w:type="dxa"/>
        </w:tblCellMar>
      </w:tblPr>
      <w:tr>
        <w:trPr>
          <w:trHeight w:val="203"/>
        </w:trPr>
        <w:tc>
          <w:tcPr>
            <w:tcW w:w="1420" w:type="dxa"/>
            <w:vAlign w:val="bottom"/>
            <w:gridSpan w:val="2"/>
          </w:tcPr>
          <w:p>
            <w:pPr>
              <w:spacing w:after="0" w:line="203" w:lineRule="exact"/>
              <w:rPr>
                <w:sz w:val="20"/>
                <w:szCs w:val="20"/>
                <w:color w:val="auto"/>
              </w:rPr>
            </w:pPr>
            <w:r>
              <w:rPr>
                <w:rFonts w:ascii="Arial" w:cs="Arial" w:eastAsia="Arial" w:hAnsi="Arial"/>
                <w:sz w:val="18"/>
                <w:szCs w:val="18"/>
                <w:color w:val="auto"/>
              </w:rPr>
              <w:t>offering price of $</w:t>
            </w:r>
          </w:p>
        </w:tc>
        <w:tc>
          <w:tcPr>
            <w:tcW w:w="9360" w:type="dxa"/>
            <w:vAlign w:val="bottom"/>
            <w:gridSpan w:val="14"/>
          </w:tcPr>
          <w:p>
            <w:pPr>
              <w:ind w:left="580"/>
              <w:spacing w:after="0" w:line="203" w:lineRule="exact"/>
              <w:rPr>
                <w:sz w:val="20"/>
                <w:szCs w:val="20"/>
                <w:color w:val="auto"/>
              </w:rPr>
            </w:pPr>
            <w:r>
              <w:rPr>
                <w:rFonts w:ascii="Arial" w:cs="Arial" w:eastAsia="Arial" w:hAnsi="Arial"/>
                <w:sz w:val="18"/>
                <w:szCs w:val="18"/>
                <w:color w:val="auto"/>
                <w:w w:val="97"/>
              </w:rPr>
              <w:t>per share, the midpoint of the estimated offering price range on the cover of this prospectus, before deducting the</w:t>
            </w:r>
          </w:p>
        </w:tc>
      </w:tr>
      <w:tr>
        <w:trPr>
          <w:trHeight w:val="211"/>
        </w:trPr>
        <w:tc>
          <w:tcPr>
            <w:tcW w:w="7780" w:type="dxa"/>
            <w:vAlign w:val="bottom"/>
            <w:gridSpan w:val="9"/>
          </w:tcPr>
          <w:p>
            <w:pPr>
              <w:spacing w:after="0"/>
              <w:rPr>
                <w:sz w:val="20"/>
                <w:szCs w:val="20"/>
                <w:color w:val="auto"/>
              </w:rPr>
            </w:pPr>
            <w:r>
              <w:rPr>
                <w:rFonts w:ascii="Arial" w:cs="Arial" w:eastAsia="Arial" w:hAnsi="Arial"/>
                <w:sz w:val="18"/>
                <w:szCs w:val="18"/>
                <w:color w:val="auto"/>
                <w:w w:val="97"/>
              </w:rPr>
              <w:t>estimated underwriting discounts and commissions and estimated offering expenses payable by us: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549"/>
        </w:trPr>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Shares Purchased</w:t>
            </w:r>
          </w:p>
        </w:tc>
        <w:tc>
          <w:tcPr>
            <w:tcW w:w="1900" w:type="dxa"/>
            <w:vAlign w:val="bottom"/>
            <w:gridSpan w:val="5"/>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190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rPr>
              <w:t>Average Price</w:t>
            </w:r>
          </w:p>
        </w:tc>
      </w:tr>
      <w:tr>
        <w:trPr>
          <w:trHeight w:val="169"/>
        </w:trPr>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Per Share</w:t>
            </w:r>
          </w:p>
        </w:tc>
        <w:tc>
          <w:tcPr>
            <w:tcW w:w="800" w:type="dxa"/>
            <w:vAlign w:val="bottom"/>
            <w:gridSpan w:val="2"/>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46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Existing stockholders</w:t>
            </w:r>
          </w:p>
        </w:tc>
        <w:tc>
          <w:tcPr>
            <w:tcW w:w="12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9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New public investors</w:t>
            </w:r>
          </w:p>
        </w:tc>
        <w:tc>
          <w:tcPr>
            <w:tcW w:w="7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36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Total</w:t>
            </w:r>
          </w:p>
        </w:tc>
        <w:tc>
          <w:tcPr>
            <w:tcW w:w="1200" w:type="dxa"/>
            <w:vAlign w:val="bottom"/>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100% $</w:t>
            </w:r>
          </w:p>
        </w:tc>
        <w:tc>
          <w:tcPr>
            <w:tcW w:w="8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information discussed above is illustrative only and will change based on the actual initial public offering price and other terms of this</w:t>
      </w:r>
    </w:p>
    <w:p>
      <w:pPr>
        <w:spacing w:after="0" w:line="19"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offering determined at pricing. Each $1.00 increase (decrease) in the assumed initial public offering price of $ per share, the midpoint of the estimated offering price range set forth on the cover of this prospectus, would increase (decrease) total consideration paid by new investors</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and total consideration paid by all stockholders by approximately $ million, assuming that the number of shares offered by us, as set forth on the cover page of this prospectus remains the same and after deducting the estimated underwriting discounts and commissions and estimated offering expenses payable by us. Each 1.0 million increase (decrease) in the number of shares offered by us as set forth on the cover page of this prospectus, would increase (decrease) our pro forma net tangible book value, as adjusted to give effect to this offering, by</w:t>
      </w:r>
    </w:p>
    <w:p>
      <w:pPr>
        <w:spacing w:after="0" w:line="3"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 per share, the increase (decrease) attributable to this offering by $ per share, and the dilution in pro forma as adjusted net tangible book value per share to new investors in this offering by $ per share, assuming that the assumed initial public offering price of</w:t>
      </w:r>
    </w:p>
    <w:p>
      <w:pPr>
        <w:spacing w:after="0" w:line="1" w:lineRule="exact"/>
        <w:rPr>
          <w:sz w:val="20"/>
          <w:szCs w:val="20"/>
          <w:color w:val="auto"/>
        </w:rPr>
      </w:pPr>
    </w:p>
    <w:p>
      <w:pPr>
        <w:ind w:right="420" w:firstLine="8"/>
        <w:spacing w:after="0" w:line="239" w:lineRule="auto"/>
        <w:tabs>
          <w:tab w:leader="none" w:pos="7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 share, the midpoint of the estimated offering price range reflected on the cover of this prospectus, remains the same and after deducting the estimated underwriting discounts and commissions and estimated offering expenses payable by us.</w:t>
      </w:r>
    </w:p>
    <w:p>
      <w:pPr>
        <w:spacing w:after="0" w:line="209" w:lineRule="exact"/>
        <w:rPr>
          <w:sz w:val="20"/>
          <w:szCs w:val="20"/>
          <w:color w:val="auto"/>
        </w:rPr>
      </w:pPr>
    </w:p>
    <w:p>
      <w:pPr>
        <w:ind w:right="360" w:firstLine="488"/>
        <w:spacing w:after="0" w:line="264" w:lineRule="auto"/>
        <w:rPr>
          <w:sz w:val="20"/>
          <w:szCs w:val="20"/>
          <w:color w:val="auto"/>
        </w:rPr>
      </w:pPr>
      <w:r>
        <w:rPr>
          <w:rFonts w:ascii="Arial" w:cs="Arial" w:eastAsia="Arial" w:hAnsi="Arial"/>
          <w:sz w:val="16"/>
          <w:szCs w:val="16"/>
          <w:color w:val="auto"/>
        </w:rPr>
        <w:t>Except as otherwise indicated, the above discussion and tables assume no exercise of the underwriters' option to purchase additional shares of our common stock from us. If the underwriters exercise their option to purchase additional shares of our common stock in full, our</w:t>
      </w:r>
    </w:p>
    <w:p>
      <w:pPr>
        <w:ind w:right="60"/>
        <w:spacing w:after="0" w:line="239" w:lineRule="auto"/>
        <w:rPr>
          <w:sz w:val="20"/>
          <w:szCs w:val="20"/>
          <w:color w:val="auto"/>
        </w:rPr>
      </w:pPr>
      <w:r>
        <w:rPr>
          <w:rFonts w:ascii="Arial" w:cs="Arial" w:eastAsia="Arial" w:hAnsi="Arial"/>
          <w:sz w:val="18"/>
          <w:szCs w:val="18"/>
          <w:color w:val="auto"/>
        </w:rPr>
        <w:t>existing stockholders would own % and the investors purchasing shares of our common stock in this offering would own % of the total number of shares of our common stock outstanding immediately after completion of this offering.</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80" w:firstLine="484"/>
        <w:spacing w:after="0" w:line="238" w:lineRule="auto"/>
        <w:rPr>
          <w:sz w:val="20"/>
          <w:szCs w:val="20"/>
          <w:color w:val="auto"/>
        </w:rPr>
      </w:pPr>
      <w:r>
        <w:rPr>
          <w:rFonts w:ascii="Arial" w:cs="Arial" w:eastAsia="Arial" w:hAnsi="Arial"/>
          <w:sz w:val="18"/>
          <w:szCs w:val="18"/>
          <w:color w:val="auto"/>
        </w:rPr>
        <w:t>The number of shares of our common stock that will be outstanding after this offering is based on 178,096,830 shares of our common stock (including shares of our redeemable convertible preferred stock on an as-converted basis) outstanding as of October 31, 2018, and excludes:</w:t>
      </w:r>
    </w:p>
    <w:p>
      <w:pPr>
        <w:spacing w:after="0" w:line="208" w:lineRule="exact"/>
        <w:rPr>
          <w:sz w:val="20"/>
          <w:szCs w:val="20"/>
          <w:color w:val="auto"/>
        </w:rPr>
      </w:pPr>
    </w:p>
    <w:p>
      <w:pPr>
        <w:ind w:left="1080" w:right="840" w:hanging="532"/>
        <w:spacing w:after="0" w:line="23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26,150,055 shares of our common stock issuable upon the exercise of options to purchase shares of our common stock outstanding as of October 31, 2018, with a weighted-average exercise price of $3.43 per share;</w:t>
      </w:r>
    </w:p>
    <w:p>
      <w:pPr>
        <w:spacing w:after="0" w:line="208"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3,826,547 shares of our common stock issuable upon the satisfaction of a performance-based vesting condition pursuant to RSUs outstanding as of October 31, 2018;</w:t>
      </w:r>
    </w:p>
    <w:p>
      <w:pPr>
        <w:spacing w:after="0" w:line="195" w:lineRule="exact"/>
        <w:rPr>
          <w:rFonts w:ascii="Arial" w:cs="Arial" w:eastAsia="Arial" w:hAnsi="Arial"/>
          <w:sz w:val="18"/>
          <w:szCs w:val="18"/>
          <w:color w:val="auto"/>
        </w:rPr>
      </w:pPr>
    </w:p>
    <w:p>
      <w:pPr>
        <w:jc w:val="both"/>
        <w:ind w:left="1080" w:right="440" w:hanging="532"/>
        <w:spacing w:after="0" w:line="23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336,386 shares of our common stock, on an as-converted basis, issuable upon the exercise of warrants to purchase 336,386 shares of our redeemable convertible preferred stock that were outstanding as of October 31, 2018, with a weighted-average exercise price of $2.94 per share; and</w:t>
      </w:r>
    </w:p>
    <w:p>
      <w:pPr>
        <w:spacing w:after="0" w:line="194" w:lineRule="exact"/>
        <w:rPr>
          <w:rFonts w:ascii="Arial" w:cs="Arial" w:eastAsia="Arial" w:hAnsi="Arial"/>
          <w:sz w:val="18"/>
          <w:szCs w:val="18"/>
          <w:color w:val="auto"/>
        </w:rPr>
      </w:pPr>
    </w:p>
    <w:p>
      <w:pPr>
        <w:ind w:left="1720" w:hanging="1172"/>
        <w:spacing w:after="0"/>
        <w:tabs>
          <w:tab w:leader="none" w:pos="1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equity compensation plans, consisting of:</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right="240" w:hanging="532"/>
        <w:spacing w:after="0" w:line="239" w:lineRule="auto"/>
        <w:tabs>
          <w:tab w:leader="none" w:pos="22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our 2019 Plan, which will become effective prior to the completion of this offering;</w:t>
      </w:r>
    </w:p>
    <w:p>
      <w:pPr>
        <w:spacing w:after="0" w:line="195" w:lineRule="exact"/>
        <w:rPr>
          <w:rFonts w:ascii="Arial" w:cs="Arial" w:eastAsia="Arial" w:hAnsi="Arial"/>
          <w:sz w:val="18"/>
          <w:szCs w:val="18"/>
          <w:color w:val="auto"/>
        </w:rPr>
      </w:pPr>
    </w:p>
    <w:p>
      <w:pPr>
        <w:ind w:left="1620" w:right="280" w:hanging="532"/>
        <w:spacing w:after="0" w:line="238" w:lineRule="auto"/>
        <w:tabs>
          <w:tab w:leader="none" w:pos="22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2011 Plan, which number of shares will be added to the shares of our common stock to be reserved for future issuance under our 2019 Plan upon its effectiveness; and</w:t>
      </w:r>
    </w:p>
    <w:p>
      <w:pPr>
        <w:spacing w:after="0" w:line="194" w:lineRule="exact"/>
        <w:rPr>
          <w:rFonts w:ascii="Arial" w:cs="Arial" w:eastAsia="Arial" w:hAnsi="Arial"/>
          <w:sz w:val="18"/>
          <w:szCs w:val="18"/>
          <w:color w:val="auto"/>
        </w:rPr>
      </w:pPr>
    </w:p>
    <w:p>
      <w:pPr>
        <w:ind w:left="1620" w:right="140" w:hanging="532"/>
        <w:spacing w:after="0" w:line="239" w:lineRule="auto"/>
        <w:tabs>
          <w:tab w:leader="none" w:pos="22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shares of our common stock to be reserved for future issuance under our ESPP, which will become effective upon completion of this offering.</w:t>
      </w:r>
    </w:p>
    <w:p>
      <w:pPr>
        <w:spacing w:after="0" w:line="209"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Our 2019 Plan and ESPP each provide for annual automatic increases in the number of shares of our common stock reserved thereunder, and our 2019 Plan also provides for increases to the number of shares of our common stock that may be granted thereunder based on shares under our 2011 Plan that expire, are forfeited, or otherwise repurchased by us. See the section titled "Executive Compensation—Employee Benefit and Stock Plans" for further explanation.</w:t>
      </w:r>
    </w:p>
    <w:p>
      <w:pPr>
        <w:spacing w:after="0" w:line="208" w:lineRule="exact"/>
        <w:rPr>
          <w:sz w:val="20"/>
          <w:szCs w:val="20"/>
          <w:color w:val="auto"/>
        </w:rPr>
      </w:pPr>
    </w:p>
    <w:p>
      <w:pPr>
        <w:ind w:right="120" w:firstLine="484"/>
        <w:spacing w:after="0" w:line="239" w:lineRule="auto"/>
        <w:rPr>
          <w:sz w:val="20"/>
          <w:szCs w:val="20"/>
          <w:color w:val="auto"/>
        </w:rPr>
      </w:pPr>
      <w:r>
        <w:rPr>
          <w:rFonts w:ascii="Arial" w:cs="Arial" w:eastAsia="Arial" w:hAnsi="Arial"/>
          <w:sz w:val="18"/>
          <w:szCs w:val="18"/>
          <w:color w:val="auto"/>
        </w:rPr>
        <w:t>To the extent that any outstanding options or warrants are exercised or we issue any securities or convertible debt in the future, investors will experience further dilution.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34" w:lineRule="exact"/>
        <w:rPr>
          <w:sz w:val="20"/>
          <w:szCs w:val="20"/>
          <w:color w:val="auto"/>
        </w:rPr>
      </w:pPr>
    </w:p>
    <w:p>
      <w:pPr>
        <w:ind w:firstLine="484"/>
        <w:spacing w:after="0" w:line="235"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related notes and the section titled "Management's Discussion and Analysis of Financial Condition and Results of Operations," which are included elsewhere in this prospectus. We derived the selected consolidated statements of operations data for fiscal 2017 and fiscal 2018 and the consolidated balance sheet data as of January 31, 2017 and 2018 from our audited consolidated financial statements included elsewhere in this prospectus. The selected consolidated statements of operations data presented below for the nine months ended October 31, 2017 and 2018 and the consolidated balance sheet data as of October 31, 2018, is derived from our unaudited interim consolidated financial statements that are included elsewhere in this prospectus. In management's opinion, the unaudited interim consolidated financial statements include all adjustments necessary to state fairly our financial position as of October 31, 2018 and the results of operations and cash flows for the nine months ended October 31, 2017 and 2018. The following summary consolidated financial data should be read together with our audited and unaudited consolidated financial statements and the related notes, as well as the section titled "Management's Discussion and Analysis of Financial Condition and Results of Operations," included elsewhere in this prospectus. Our historical results are not necessarily indicative of financial results to be achieved in future periods.</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5"/>
                <w:szCs w:val="15"/>
                <w:color w:val="auto"/>
              </w:rPr>
            </w:pPr>
          </w:p>
        </w:tc>
        <w:tc>
          <w:tcPr>
            <w:tcW w:w="16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6"/>
          </w:tcPr>
          <w:p>
            <w:pPr>
              <w:jc w:val="right"/>
              <w:ind w:right="220"/>
              <w:spacing w:after="0" w:line="149"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per share data)</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 of Operations Data:</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Subscription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37,895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92,568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60,074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146,570</w:t>
            </w:r>
          </w:p>
        </w:tc>
        <w:tc>
          <w:tcPr>
            <w:tcW w:w="0" w:type="dxa"/>
            <w:vAlign w:val="bottom"/>
          </w:tcPr>
          <w:p>
            <w:pPr>
              <w:spacing w:after="0"/>
              <w:rPr>
                <w:sz w:val="1"/>
                <w:szCs w:val="1"/>
                <w:color w:val="auto"/>
              </w:rPr>
            </w:pPr>
          </w:p>
        </w:tc>
      </w:tr>
      <w:tr>
        <w:trPr>
          <w:trHeight w:val="162"/>
        </w:trPr>
        <w:tc>
          <w:tcPr>
            <w:tcW w:w="5420" w:type="dxa"/>
            <w:vAlign w:val="bottom"/>
          </w:tcPr>
          <w:p>
            <w:pPr>
              <w:ind w:left="160"/>
              <w:spacing w:after="0"/>
              <w:rPr>
                <w:sz w:val="20"/>
                <w:szCs w:val="20"/>
                <w:color w:val="auto"/>
              </w:rPr>
            </w:pPr>
            <w:r>
              <w:rPr>
                <w:rFonts w:ascii="Arial" w:cs="Arial" w:eastAsia="Arial" w:hAnsi="Arial"/>
                <w:sz w:val="14"/>
                <w:szCs w:val="14"/>
                <w:color w:val="auto"/>
              </w:rPr>
              <w:t>Professional services</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14,850</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26,184</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19,961</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22,799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20" w:type="dxa"/>
            <w:vAlign w:val="bottom"/>
            <w:shd w:val="clear" w:color="auto" w:fill="CCEEFF"/>
          </w:tcPr>
          <w:p>
            <w:pPr>
              <w:ind w:left="300"/>
              <w:spacing w:after="0" w:line="155" w:lineRule="exact"/>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52,745</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118,752</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80,035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169,369</w:t>
            </w:r>
          </w:p>
        </w:tc>
        <w:tc>
          <w:tcPr>
            <w:tcW w:w="0" w:type="dxa"/>
            <w:vAlign w:val="bottom"/>
          </w:tcPr>
          <w:p>
            <w:pPr>
              <w:spacing w:after="0"/>
              <w:rPr>
                <w:sz w:val="1"/>
                <w:szCs w:val="1"/>
                <w:color w:val="auto"/>
              </w:rPr>
            </w:pPr>
          </w:p>
        </w:tc>
      </w:tr>
      <w:tr>
        <w:trPr>
          <w:trHeight w:val="156"/>
        </w:trPr>
        <w:tc>
          <w:tcPr>
            <w:tcW w:w="5420" w:type="dxa"/>
            <w:vAlign w:val="bottom"/>
          </w:tcPr>
          <w:p>
            <w:pPr>
              <w:ind w:left="20"/>
              <w:spacing w:after="0" w:line="155" w:lineRule="exact"/>
              <w:rPr>
                <w:sz w:val="20"/>
                <w:szCs w:val="20"/>
                <w:color w:val="auto"/>
              </w:rPr>
            </w:pPr>
            <w:r>
              <w:rPr>
                <w:rFonts w:ascii="Arial" w:cs="Arial" w:eastAsia="Arial" w:hAnsi="Arial"/>
                <w:sz w:val="14"/>
                <w:szCs w:val="14"/>
                <w:color w:val="auto"/>
              </w:rPr>
              <w:t>Cost of revenue</w:t>
            </w: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Subscription</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24,378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39,857</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25,500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47,077</w:t>
            </w:r>
          </w:p>
        </w:tc>
        <w:tc>
          <w:tcPr>
            <w:tcW w:w="0" w:type="dxa"/>
            <w:vAlign w:val="bottom"/>
          </w:tcPr>
          <w:p>
            <w:pPr>
              <w:spacing w:after="0"/>
              <w:rPr>
                <w:sz w:val="1"/>
                <w:szCs w:val="1"/>
                <w:color w:val="auto"/>
              </w:rPr>
            </w:pPr>
          </w:p>
        </w:tc>
      </w:tr>
      <w:tr>
        <w:trPr>
          <w:trHeight w:val="162"/>
        </w:trPr>
        <w:tc>
          <w:tcPr>
            <w:tcW w:w="5420" w:type="dxa"/>
            <w:vAlign w:val="bottom"/>
          </w:tcPr>
          <w:p>
            <w:pPr>
              <w:ind w:left="160"/>
              <w:spacing w:after="0"/>
              <w:rPr>
                <w:sz w:val="20"/>
                <w:szCs w:val="20"/>
                <w:color w:val="auto"/>
              </w:rPr>
            </w:pPr>
            <w:r>
              <w:rPr>
                <w:rFonts w:ascii="Arial" w:cs="Arial" w:eastAsia="Arial" w:hAnsi="Arial"/>
                <w:sz w:val="14"/>
                <w:szCs w:val="14"/>
                <w:color w:val="auto"/>
              </w:rPr>
              <w:t>Professional services</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9,628</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14,629</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9,816</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13,166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20" w:type="dxa"/>
            <w:vAlign w:val="bottom"/>
            <w:shd w:val="clear" w:color="auto" w:fill="CCEEFF"/>
          </w:tcPr>
          <w:p>
            <w:pPr>
              <w:ind w:left="300"/>
              <w:spacing w:after="0" w:line="155" w:lineRule="exact"/>
              <w:rPr>
                <w:sz w:val="20"/>
                <w:szCs w:val="20"/>
                <w:color w:val="auto"/>
              </w:rPr>
            </w:pPr>
            <w:r>
              <w:rPr>
                <w:rFonts w:ascii="Arial" w:cs="Arial" w:eastAsia="Arial" w:hAnsi="Arial"/>
                <w:sz w:val="14"/>
                <w:szCs w:val="14"/>
                <w:color w:val="auto"/>
              </w:rPr>
              <w:t>Total cost of revenue</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34,006</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54,486</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35,316</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60,243</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18,739</w:t>
            </w:r>
          </w:p>
        </w:tc>
        <w:tc>
          <w:tcPr>
            <w:tcW w:w="140" w:type="dxa"/>
            <w:vAlign w:val="bottom"/>
          </w:tcPr>
          <w:p>
            <w:pPr>
              <w:spacing w:after="0"/>
              <w:rPr>
                <w:sz w:val="13"/>
                <w:szCs w:val="13"/>
                <w:color w:val="auto"/>
              </w:rPr>
            </w:pP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64,266</w:t>
            </w:r>
          </w:p>
        </w:tc>
        <w:tc>
          <w:tcPr>
            <w:tcW w:w="100" w:type="dxa"/>
            <w:vAlign w:val="bottom"/>
          </w:tcPr>
          <w:p>
            <w:pPr>
              <w:spacing w:after="0"/>
              <w:rPr>
                <w:sz w:val="13"/>
                <w:szCs w:val="13"/>
                <w:color w:val="auto"/>
              </w:rPr>
            </w:pP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44,719</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109,126</w:t>
            </w:r>
          </w:p>
        </w:tc>
        <w:tc>
          <w:tcPr>
            <w:tcW w:w="0" w:type="dxa"/>
            <w:vAlign w:val="bottom"/>
          </w:tcPr>
          <w:p>
            <w:pPr>
              <w:spacing w:after="0"/>
              <w:rPr>
                <w:sz w:val="1"/>
                <w:szCs w:val="1"/>
                <w:color w:val="auto"/>
              </w:rPr>
            </w:pPr>
          </w:p>
        </w:tc>
      </w:tr>
      <w:tr>
        <w:trPr>
          <w:trHeight w:val="155"/>
        </w:trPr>
        <w:tc>
          <w:tcPr>
            <w:tcW w:w="5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Operating expenses</w:t>
            </w: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1"/>
                <w:szCs w:val="21"/>
                <w:color w:val="auto"/>
                <w:vertAlign w:val="superscript"/>
              </w:rPr>
              <w:t>(1)</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53,748</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104,277</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70,012</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123,344</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160"/>
              <w:spacing w:after="0" w:line="189"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39,145</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58,887</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42,959</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62,546</w:t>
            </w:r>
          </w:p>
        </w:tc>
        <w:tc>
          <w:tcPr>
            <w:tcW w:w="0" w:type="dxa"/>
            <w:vAlign w:val="bottom"/>
          </w:tcPr>
          <w:p>
            <w:pPr>
              <w:spacing w:after="0"/>
              <w:rPr>
                <w:sz w:val="1"/>
                <w:szCs w:val="1"/>
                <w:color w:val="auto"/>
              </w:rPr>
            </w:pPr>
          </w:p>
        </w:tc>
      </w:tr>
      <w:tr>
        <w:trPr>
          <w:trHeight w:val="189"/>
        </w:trPr>
        <w:tc>
          <w:tcPr>
            <w:tcW w:w="5420" w:type="dxa"/>
            <w:vAlign w:val="bottom"/>
          </w:tcPr>
          <w:p>
            <w:pPr>
              <w:ind w:left="160"/>
              <w:spacing w:after="0" w:line="189"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1"/>
                <w:szCs w:val="21"/>
                <w:color w:val="auto"/>
                <w:vertAlign w:val="superscript"/>
              </w:rPr>
              <w:t>(1)</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16,402</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32,542</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26,421</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28,868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20" w:type="dxa"/>
            <w:vAlign w:val="bottom"/>
            <w:shd w:val="clear" w:color="auto" w:fill="CCEEFF"/>
          </w:tcPr>
          <w:p>
            <w:pPr>
              <w:ind w:left="300"/>
              <w:spacing w:after="0" w:line="155"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109,295</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195,706</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139,392</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214,758</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(90,556)</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(131,440)</w:t>
            </w:r>
          </w:p>
        </w:tc>
        <w:tc>
          <w:tcPr>
            <w:tcW w:w="100" w:type="dxa"/>
            <w:vAlign w:val="bottom"/>
          </w:tcPr>
          <w:p>
            <w:pPr>
              <w:spacing w:after="0"/>
              <w:rPr>
                <w:sz w:val="13"/>
                <w:szCs w:val="13"/>
                <w:color w:val="auto"/>
              </w:rPr>
            </w:pP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(94,673)</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(105,632)</w:t>
            </w:r>
          </w:p>
        </w:tc>
        <w:tc>
          <w:tcPr>
            <w:tcW w:w="0" w:type="dxa"/>
            <w:vAlign w:val="bottom"/>
          </w:tcPr>
          <w:p>
            <w:pPr>
              <w:spacing w:after="0"/>
              <w:rPr>
                <w:sz w:val="1"/>
                <w:szCs w:val="1"/>
                <w:color w:val="auto"/>
              </w:rPr>
            </w:pPr>
          </w:p>
        </w:tc>
      </w:tr>
      <w:tr>
        <w:trPr>
          <w:trHeight w:val="162"/>
        </w:trPr>
        <w:tc>
          <w:tcPr>
            <w:tcW w:w="5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(615)</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(1,648)</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(1,458)</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62"/>
        </w:trPr>
        <w:tc>
          <w:tcPr>
            <w:tcW w:w="5420" w:type="dxa"/>
            <w:vAlign w:val="bottom"/>
          </w:tcPr>
          <w:p>
            <w:pPr>
              <w:ind w:left="160"/>
              <w:spacing w:after="0"/>
              <w:rPr>
                <w:sz w:val="20"/>
                <w:szCs w:val="20"/>
                <w:color w:val="auto"/>
              </w:rPr>
            </w:pPr>
            <w:r>
              <w:rPr>
                <w:rFonts w:ascii="Arial" w:cs="Arial" w:eastAsia="Arial" w:hAnsi="Arial"/>
                <w:sz w:val="14"/>
                <w:szCs w:val="14"/>
                <w:color w:val="auto"/>
              </w:rPr>
              <w:t>Other expense, net</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(82)</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(1,420)</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Loss before provision for income taxes</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(91,253)</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(134,561)</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(97,551)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(107,799)</w:t>
            </w:r>
          </w:p>
        </w:tc>
        <w:tc>
          <w:tcPr>
            <w:tcW w:w="0" w:type="dxa"/>
            <w:vAlign w:val="bottom"/>
          </w:tcPr>
          <w:p>
            <w:pPr>
              <w:spacing w:after="0"/>
              <w:rPr>
                <w:sz w:val="1"/>
                <w:szCs w:val="1"/>
                <w:color w:val="auto"/>
              </w:rPr>
            </w:pPr>
          </w:p>
        </w:tc>
      </w:tr>
      <w:tr>
        <w:trPr>
          <w:trHeight w:val="162"/>
        </w:trPr>
        <w:tc>
          <w:tcPr>
            <w:tcW w:w="5420" w:type="dxa"/>
            <w:vAlign w:val="bottom"/>
          </w:tcPr>
          <w:p>
            <w:pPr>
              <w:ind w:left="160"/>
              <w:spacing w:after="0"/>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(446)</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(91,340)</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(135,490)</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(97,997)</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(108,817)</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(17,012)</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(5,853)</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(1,629)</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attributable to common stockholders</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(108,352)</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(141,343)</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(99,626)</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(108,817)</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line="210" w:lineRule="exact"/>
              <w:rPr>
                <w:sz w:val="20"/>
                <w:szCs w:val="20"/>
                <w:color w:val="auto"/>
              </w:rPr>
            </w:pPr>
            <w:r>
              <w:rPr>
                <w:rFonts w:ascii="Arial" w:cs="Arial" w:eastAsia="Arial" w:hAnsi="Arial"/>
                <w:sz w:val="14"/>
                <w:szCs w:val="14"/>
                <w:color w:val="auto"/>
              </w:rPr>
              <w:t>Net loss per share attributable to common stockholders, basic and diluted</w:t>
            </w:r>
            <w:r>
              <w:rPr>
                <w:rFonts w:ascii="Arial" w:cs="Arial" w:eastAsia="Arial" w:hAnsi="Arial"/>
                <w:sz w:val="21"/>
                <w:szCs w:val="21"/>
                <w:color w:val="auto"/>
                <w:vertAlign w:val="superscript"/>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2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(2.73)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(2.40)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Weighted-average shares used in computing net loss per share attributable to</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ind w:left="160"/>
              <w:spacing w:after="0" w:line="193" w:lineRule="exact"/>
              <w:rPr>
                <w:sz w:val="20"/>
                <w:szCs w:val="20"/>
                <w:color w:val="auto"/>
              </w:rPr>
            </w:pPr>
            <w:r>
              <w:rPr>
                <w:rFonts w:ascii="Arial" w:cs="Arial" w:eastAsia="Arial" w:hAnsi="Arial"/>
                <w:sz w:val="14"/>
                <w:szCs w:val="14"/>
                <w:color w:val="auto"/>
              </w:rPr>
              <w:t>common stockholders, basic and diluted</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39,706</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41,876</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41,483</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44,344</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20"/>
              <w:spacing w:after="0" w:line="210" w:lineRule="exact"/>
              <w:rPr>
                <w:sz w:val="20"/>
                <w:szCs w:val="20"/>
                <w:color w:val="auto"/>
              </w:rPr>
            </w:pPr>
            <w:r>
              <w:rPr>
                <w:rFonts w:ascii="Arial" w:cs="Arial" w:eastAsia="Arial" w:hAnsi="Arial"/>
                <w:sz w:val="14"/>
                <w:szCs w:val="14"/>
                <w:color w:val="auto"/>
              </w:rPr>
              <w:t>Pro forma net loss per share, basic and diluted (unaudited)</w:t>
            </w:r>
            <w:r>
              <w:rPr>
                <w:rFonts w:ascii="Arial" w:cs="Arial" w:eastAsia="Arial" w:hAnsi="Arial"/>
                <w:sz w:val="21"/>
                <w:szCs w:val="21"/>
                <w:color w:val="auto"/>
                <w:vertAlign w:val="superscript"/>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Weighted-average shares used in computing pro forma net loss per share, basic</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20" w:type="dxa"/>
            <w:vAlign w:val="bottom"/>
            <w:shd w:val="clear" w:color="auto" w:fill="CCEEFF"/>
          </w:tcPr>
          <w:p>
            <w:pPr>
              <w:ind w:left="160"/>
              <w:spacing w:after="0" w:line="193" w:lineRule="exact"/>
              <w:rPr>
                <w:sz w:val="20"/>
                <w:szCs w:val="20"/>
                <w:color w:val="auto"/>
              </w:rPr>
            </w:pPr>
            <w:r>
              <w:rPr>
                <w:rFonts w:ascii="Arial" w:cs="Arial" w:eastAsia="Arial" w:hAnsi="Arial"/>
                <w:sz w:val="14"/>
                <w:szCs w:val="14"/>
                <w:color w:val="auto"/>
              </w:rPr>
              <w:t>and diluted (unaudited)</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152,049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169,023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83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(1)</w:t>
            </w:r>
          </w:p>
        </w:tc>
        <w:tc>
          <w:tcPr>
            <w:tcW w:w="5200" w:type="dxa"/>
            <w:vAlign w:val="bottom"/>
            <w:gridSpan w:val="2"/>
          </w:tcPr>
          <w:p>
            <w:pPr>
              <w:ind w:left="180"/>
              <w:spacing w:after="0"/>
              <w:rPr>
                <w:sz w:val="20"/>
                <w:szCs w:val="20"/>
                <w:color w:val="auto"/>
              </w:rPr>
            </w:pPr>
            <w:r>
              <w:rPr>
                <w:rFonts w:ascii="Arial" w:cs="Arial" w:eastAsia="Arial" w:hAnsi="Arial"/>
                <w:sz w:val="14"/>
                <w:szCs w:val="14"/>
                <w:color w:val="auto"/>
              </w:rPr>
              <w:t>Includes stock-based compensation expense as follows: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50"/>
        </w:trPr>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Nine Months</w:t>
            </w:r>
          </w:p>
        </w:tc>
      </w:tr>
      <w:tr>
        <w:trPr>
          <w:trHeight w:val="162"/>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rPr>
              <w:t>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60" w:type="dxa"/>
            <w:vAlign w:val="bottom"/>
            <w:shd w:val="clear" w:color="auto" w:fill="CCEEFF"/>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5200" w:type="dxa"/>
            <w:vAlign w:val="bottom"/>
            <w:gridSpan w:val="2"/>
          </w:tcPr>
          <w:p>
            <w:pPr>
              <w:ind w:left="1340"/>
              <w:spacing w:after="0"/>
              <w:rPr>
                <w:sz w:val="20"/>
                <w:szCs w:val="20"/>
                <w:color w:val="auto"/>
              </w:rPr>
            </w:pPr>
            <w:r>
              <w:rPr>
                <w:rFonts w:ascii="Arial" w:cs="Arial" w:eastAsia="Arial" w:hAnsi="Arial"/>
                <w:sz w:val="14"/>
                <w:szCs w:val="14"/>
                <w:color w:val="auto"/>
              </w:rPr>
              <w:t>Sales and marketing</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1,386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3,942</w:t>
            </w:r>
          </w:p>
        </w:tc>
        <w:tc>
          <w:tcPr>
            <w:tcW w:w="160" w:type="dxa"/>
            <w:vAlign w:val="bottom"/>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7,230</w:t>
            </w:r>
          </w:p>
        </w:tc>
        <w:tc>
          <w:tcPr>
            <w:tcW w:w="160" w:type="dxa"/>
            <w:vAlign w:val="bottom"/>
            <w:shd w:val="clear" w:color="auto" w:fill="CCEEFF"/>
          </w:tcPr>
          <w:p>
            <w:pPr>
              <w:spacing w:after="0"/>
              <w:rPr>
                <w:sz w:val="14"/>
                <w:szCs w:val="14"/>
                <w:color w:val="auto"/>
              </w:rPr>
            </w:pPr>
          </w:p>
        </w:tc>
      </w:tr>
      <w:tr>
        <w:trPr>
          <w:trHeight w:val="162"/>
        </w:trPr>
        <w:tc>
          <w:tcPr>
            <w:tcW w:w="360" w:type="dxa"/>
            <w:vAlign w:val="bottom"/>
          </w:tcPr>
          <w:p>
            <w:pPr>
              <w:spacing w:after="0"/>
              <w:rPr>
                <w:sz w:val="14"/>
                <w:szCs w:val="14"/>
                <w:color w:val="auto"/>
              </w:rPr>
            </w:pPr>
          </w:p>
        </w:tc>
        <w:tc>
          <w:tcPr>
            <w:tcW w:w="5200" w:type="dxa"/>
            <w:vAlign w:val="bottom"/>
            <w:gridSpan w:val="2"/>
          </w:tcPr>
          <w:p>
            <w:pPr>
              <w:ind w:left="1340"/>
              <w:spacing w:after="0"/>
              <w:rPr>
                <w:sz w:val="20"/>
                <w:szCs w:val="20"/>
                <w:color w:val="auto"/>
              </w:rPr>
            </w:pPr>
            <w:r>
              <w:rPr>
                <w:rFonts w:ascii="Arial" w:cs="Arial" w:eastAsia="Arial" w:hAnsi="Arial"/>
                <w:sz w:val="14"/>
                <w:szCs w:val="14"/>
                <w:color w:val="auto"/>
              </w:rPr>
              <w:t>General and administrative</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5,541</w:t>
            </w:r>
          </w:p>
        </w:tc>
        <w:tc>
          <w:tcPr>
            <w:tcW w:w="160" w:type="dxa"/>
            <w:vAlign w:val="bottom"/>
          </w:tcPr>
          <w:p>
            <w:pPr>
              <w:spacing w:after="0"/>
              <w:rPr>
                <w:sz w:val="14"/>
                <w:szCs w:val="14"/>
                <w:color w:val="auto"/>
              </w:rPr>
            </w:pPr>
          </w:p>
        </w:tc>
      </w:tr>
      <w:tr>
        <w:trPr>
          <w:trHeight w:val="155"/>
        </w:trPr>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6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stock-based compensation expense</w:t>
            </w:r>
          </w:p>
        </w:tc>
        <w:tc>
          <w:tcPr>
            <w:tcW w:w="10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1,994</w:t>
            </w:r>
          </w:p>
        </w:tc>
        <w:tc>
          <w:tcPr>
            <w:tcW w:w="2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12,343</w:t>
            </w:r>
          </w:p>
        </w:tc>
        <w:tc>
          <w:tcPr>
            <w:tcW w:w="2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11,005</w:t>
            </w:r>
          </w:p>
        </w:tc>
        <w:tc>
          <w:tcPr>
            <w:tcW w:w="32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17,403</w:t>
            </w:r>
          </w:p>
        </w:tc>
        <w:tc>
          <w:tcPr>
            <w:tcW w:w="160" w:type="dxa"/>
            <w:vAlign w:val="bottom"/>
            <w:shd w:val="clear" w:color="auto" w:fill="CCEEFF"/>
          </w:tcPr>
          <w:p>
            <w:pPr>
              <w:spacing w:after="0"/>
              <w:rPr>
                <w:sz w:val="13"/>
                <w:szCs w:val="13"/>
                <w:color w:val="auto"/>
              </w:rPr>
            </w:pPr>
          </w:p>
        </w:tc>
      </w:tr>
      <w:tr>
        <w:trPr>
          <w:trHeight w:val="20"/>
        </w:trPr>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right="60" w:hanging="532"/>
        <w:spacing w:after="0" w:line="24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See Note 2 and Note 15 to our consolidated financial statements elsewhere in this prospectus for an explanation of the method used to calculate our basic and diluted net loss per share attributable to our common stockholders, our basic and diluted pro forma net loss per share, and the weighted-average number of shares used in the computation of the per share amounts.</w:t>
      </w:r>
    </w:p>
    <w:p>
      <w:pPr>
        <w:spacing w:after="0" w:line="385" w:lineRule="exact"/>
        <w:rPr>
          <w:sz w:val="20"/>
          <w:szCs w:val="20"/>
          <w:color w:val="auto"/>
        </w:rPr>
      </w:pPr>
    </w:p>
    <w:tbl>
      <w:tblPr>
        <w:tblLayout w:type="fixed"/>
        <w:tblInd w:w="1120" w:type="dxa"/>
        <w:tblCellMar>
          <w:top w:w="0" w:type="dxa"/>
          <w:left w:w="0" w:type="dxa"/>
          <w:bottom w:w="0" w:type="dxa"/>
          <w:right w:w="0" w:type="dxa"/>
        </w:tblCellMar>
      </w:tblPr>
      <w:tr>
        <w:trPr>
          <w:trHeight w:val="189"/>
        </w:trPr>
        <w:tc>
          <w:tcPr>
            <w:tcW w:w="9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of January 31,</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34"/>
        </w:trPr>
        <w:tc>
          <w:tcPr>
            <w:tcW w:w="9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81"/>
        </w:trPr>
        <w:tc>
          <w:tcPr>
            <w:tcW w:w="94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9"/>
              </w:rPr>
              <w:t>(in 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22,826</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63,179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83,462</w:t>
            </w: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7"/>
                <w:szCs w:val="17"/>
                <w:color w:val="auto"/>
              </w:rPr>
              <w:t>Working capital (deficit)</w:t>
            </w:r>
            <w:r>
              <w:rPr>
                <w:rFonts w:ascii="Arial" w:cs="Arial" w:eastAsia="Arial" w:hAnsi="Arial"/>
                <w:sz w:val="28"/>
                <w:szCs w:val="28"/>
                <w:color w:val="auto"/>
                <w:vertAlign w:val="superscript"/>
              </w:rPr>
              <w:t>(1)</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(19,013)</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(12,279)</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81,885</w:t>
            </w: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91,371</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217,703</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389,554</w:t>
            </w: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revenue, current and noncurrent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76,551</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158,950</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231,169</w:t>
            </w:r>
          </w:p>
        </w:tc>
        <w:tc>
          <w:tcPr>
            <w:tcW w:w="0" w:type="dxa"/>
            <w:vAlign w:val="bottom"/>
          </w:tcPr>
          <w:p>
            <w:pPr>
              <w:spacing w:after="0"/>
              <w:rPr>
                <w:sz w:val="1"/>
                <w:szCs w:val="1"/>
                <w:color w:val="auto"/>
              </w:rPr>
            </w:pPr>
          </w:p>
        </w:tc>
      </w:tr>
      <w:tr>
        <w:trPr>
          <w:trHeight w:val="203"/>
        </w:trPr>
        <w:tc>
          <w:tcPr>
            <w:tcW w:w="55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Redeemable convertible preferred stock</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214,728</w:t>
            </w:r>
          </w:p>
        </w:tc>
        <w:tc>
          <w:tcPr>
            <w:tcW w:w="20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351,016</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557,912</w:t>
            </w:r>
          </w:p>
        </w:tc>
        <w:tc>
          <w:tcPr>
            <w:tcW w:w="0" w:type="dxa"/>
            <w:vAlign w:val="bottom"/>
          </w:tcPr>
          <w:p>
            <w:pPr>
              <w:spacing w:after="0"/>
              <w:rPr>
                <w:sz w:val="1"/>
                <w:szCs w:val="1"/>
                <w:color w:val="auto"/>
              </w:rPr>
            </w:pPr>
          </w:p>
        </w:tc>
      </w:tr>
      <w:tr>
        <w:trPr>
          <w:trHeight w:val="203"/>
        </w:trPr>
        <w:tc>
          <w:tcPr>
            <w:tcW w:w="55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(243,458)</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(378,948)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(487,866)</w:t>
            </w:r>
          </w:p>
        </w:tc>
        <w:tc>
          <w:tcPr>
            <w:tcW w:w="0" w:type="dxa"/>
            <w:vAlign w:val="bottom"/>
          </w:tcPr>
          <w:p>
            <w:pPr>
              <w:spacing w:after="0"/>
              <w:rPr>
                <w:sz w:val="1"/>
                <w:szCs w:val="1"/>
                <w:color w:val="auto"/>
              </w:rPr>
            </w:pPr>
          </w:p>
        </w:tc>
      </w:tr>
      <w:tr>
        <w:trPr>
          <w:trHeight w:val="214"/>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(243,453)</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(369,474)</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(461,353)</w:t>
            </w:r>
          </w:p>
        </w:tc>
        <w:tc>
          <w:tcPr>
            <w:tcW w:w="0" w:type="dxa"/>
            <w:vAlign w:val="bottom"/>
          </w:tcPr>
          <w:p>
            <w:pPr>
              <w:spacing w:after="0"/>
              <w:rPr>
                <w:sz w:val="1"/>
                <w:szCs w:val="1"/>
                <w:color w:val="auto"/>
              </w:rPr>
            </w:pPr>
          </w:p>
        </w:tc>
      </w:tr>
      <w:tr>
        <w:trPr>
          <w:trHeight w:val="97"/>
        </w:trPr>
        <w:tc>
          <w:tcPr>
            <w:tcW w:w="9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Working capital (deficit) is defined as current assets less 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300" w:firstLine="488"/>
        <w:spacing w:after="0" w:line="239"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32" w:lineRule="exact"/>
        <w:rPr>
          <w:sz w:val="20"/>
          <w:szCs w:val="20"/>
          <w:color w:val="auto"/>
        </w:rPr>
      </w:pPr>
    </w:p>
    <w:p>
      <w:pPr>
        <w:ind w:right="280" w:firstLine="488"/>
        <w:spacing w:after="0" w:line="239" w:lineRule="auto"/>
        <w:rPr>
          <w:sz w:val="20"/>
          <w:szCs w:val="20"/>
          <w:color w:val="auto"/>
        </w:rPr>
      </w:pPr>
      <w:r>
        <w:rPr>
          <w:rFonts w:ascii="Arial" w:cs="Arial" w:eastAsia="Arial" w:hAnsi="Arial"/>
          <w:sz w:val="18"/>
          <w:szCs w:val="18"/>
          <w:color w:val="auto"/>
        </w:rPr>
        <w:t>Our subscription customers include all paid subscribers to our Falcon platform, and excludes customers solely of our incident response and proactive services. The following table sets forth the number of subscription customers as of the dates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2440" w:type="dxa"/>
            <w:vAlign w:val="bottom"/>
            <w:gridSpan w:val="6"/>
          </w:tcPr>
          <w:p>
            <w:pPr>
              <w:jc w:val="center"/>
              <w:ind w:right="1320"/>
              <w:spacing w:after="0"/>
              <w:rPr>
                <w:sz w:val="20"/>
                <w:szCs w:val="20"/>
                <w:color w:val="auto"/>
              </w:rPr>
            </w:pPr>
            <w:r>
              <w:rPr>
                <w:rFonts w:ascii="Arial" w:cs="Arial" w:eastAsia="Arial" w:hAnsi="Arial"/>
                <w:sz w:val="14"/>
                <w:szCs w:val="14"/>
                <w:b w:val="1"/>
                <w:bCs w:val="1"/>
                <w:color w:val="auto"/>
              </w:rPr>
              <w:t>As of</w:t>
            </w:r>
          </w:p>
        </w:tc>
      </w:tr>
      <w:tr>
        <w:trPr>
          <w:trHeight w:val="182"/>
        </w:trPr>
        <w:tc>
          <w:tcPr>
            <w:tcW w:w="11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January 31,</w:t>
            </w:r>
          </w:p>
        </w:tc>
        <w:tc>
          <w:tcPr>
            <w:tcW w:w="2440" w:type="dxa"/>
            <w:vAlign w:val="bottom"/>
            <w:gridSpan w:val="6"/>
          </w:tcPr>
          <w:p>
            <w:pPr>
              <w:jc w:val="center"/>
              <w:ind w:right="132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1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3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 customers</w:t>
            </w:r>
          </w:p>
        </w:tc>
        <w:tc>
          <w:tcPr>
            <w:tcW w:w="3780" w:type="dxa"/>
            <w:vAlign w:val="bottom"/>
            <w:gridSpan w:val="3"/>
            <w:shd w:val="clear" w:color="auto" w:fill="CCEEFF"/>
          </w:tcPr>
          <w:p>
            <w:pPr>
              <w:ind w:left="3340"/>
              <w:spacing w:after="0" w:line="202" w:lineRule="exact"/>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1,242</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843</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2,147</w:t>
            </w:r>
          </w:p>
        </w:tc>
        <w:tc>
          <w:tcPr>
            <w:tcW w:w="1140" w:type="dxa"/>
            <w:vAlign w:val="bottom"/>
          </w:tcPr>
          <w:p>
            <w:pPr>
              <w:spacing w:after="0"/>
              <w:rPr>
                <w:sz w:val="17"/>
                <w:szCs w:val="17"/>
                <w:color w:val="auto"/>
              </w:rPr>
            </w:pPr>
          </w:p>
        </w:tc>
      </w:tr>
      <w:tr>
        <w:trPr>
          <w:trHeight w:val="214"/>
        </w:trPr>
        <w:tc>
          <w:tcPr>
            <w:tcW w:w="11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3860" w:type="dxa"/>
            <w:vAlign w:val="bottom"/>
            <w:gridSpan w:val="4"/>
          </w:tcPr>
          <w:p>
            <w:pPr>
              <w:ind w:left="3340"/>
              <w:spacing w:after="0"/>
              <w:rPr>
                <w:sz w:val="20"/>
                <w:szCs w:val="20"/>
                <w:color w:val="auto"/>
              </w:rPr>
            </w:pPr>
            <w:r>
              <w:rPr>
                <w:rFonts w:ascii="Arial" w:cs="Arial" w:eastAsia="Arial" w:hAnsi="Arial"/>
                <w:sz w:val="18"/>
                <w:szCs w:val="18"/>
                <w:color w:val="auto"/>
              </w:rPr>
              <w:t>173%</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135%</w:t>
            </w:r>
          </w:p>
        </w:tc>
        <w:tc>
          <w:tcPr>
            <w:tcW w:w="1800" w:type="dxa"/>
            <w:vAlign w:val="bottom"/>
            <w:gridSpan w:val="3"/>
          </w:tcPr>
          <w:p>
            <w:pPr>
              <w:jc w:val="right"/>
              <w:ind w:right="1140"/>
              <w:spacing w:after="0"/>
              <w:rPr>
                <w:sz w:val="20"/>
                <w:szCs w:val="20"/>
                <w:color w:val="auto"/>
              </w:rPr>
            </w:pPr>
            <w:r>
              <w:rPr>
                <w:rFonts w:ascii="Arial" w:cs="Arial" w:eastAsia="Arial" w:hAnsi="Arial"/>
                <w:sz w:val="18"/>
                <w:szCs w:val="18"/>
                <w:color w:val="auto"/>
              </w:rPr>
              <w:t>155%</w:t>
            </w:r>
          </w:p>
        </w:tc>
      </w:tr>
      <w:tr>
        <w:trPr>
          <w:trHeight w:val="419"/>
        </w:trPr>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160" w:type="dxa"/>
            <w:vAlign w:val="bottom"/>
          </w:tcPr>
          <w:p>
            <w:pPr>
              <w:jc w:val="right"/>
              <w:ind w:right="1592"/>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3120" w:type="dxa"/>
            <w:vAlign w:val="bottom"/>
            <w:tcBorders>
              <w:bottom w:val="single" w:sz="8" w:color="808080"/>
            </w:tcBorders>
          </w:tcPr>
          <w:p>
            <w:pPr>
              <w:spacing w:after="0"/>
              <w:rPr>
                <w:sz w:val="18"/>
                <w:szCs w:val="18"/>
                <w:color w:val="auto"/>
              </w:rPr>
            </w:pPr>
          </w:p>
        </w:tc>
        <w:tc>
          <w:tcPr>
            <w:tcW w:w="31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Recurring Revenue</w:t>
      </w:r>
    </w:p>
    <w:p>
      <w:pPr>
        <w:spacing w:after="0" w:line="232" w:lineRule="exact"/>
        <w:rPr>
          <w:sz w:val="20"/>
          <w:szCs w:val="20"/>
          <w:color w:val="auto"/>
        </w:rPr>
      </w:pPr>
    </w:p>
    <w:p>
      <w:pPr>
        <w:ind w:right="40" w:firstLine="478"/>
        <w:spacing w:after="0" w:line="239" w:lineRule="auto"/>
        <w:rPr>
          <w:sz w:val="20"/>
          <w:szCs w:val="20"/>
          <w:color w:val="auto"/>
        </w:rPr>
      </w:pPr>
      <w:r>
        <w:rPr>
          <w:rFonts w:ascii="Arial" w:cs="Arial" w:eastAsia="Arial" w:hAnsi="Arial"/>
          <w:sz w:val="18"/>
          <w:szCs w:val="18"/>
          <w:color w:val="auto"/>
        </w:rPr>
        <w:t>ARR is calculated as the annualized value of our customer subscription contracts as of the measurement date, assuming any contract that expires during the next 12 months is renewed on its existing terms. The following table sets forth our ARR as of the dates presented:</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4460" w:type="dxa"/>
            <w:vAlign w:val="bottom"/>
          </w:tcPr>
          <w:p>
            <w:pPr>
              <w:spacing w:after="0"/>
              <w:rPr>
                <w:sz w:val="15"/>
                <w:szCs w:val="15"/>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As of January 31,</w:t>
            </w:r>
          </w:p>
        </w:tc>
        <w:tc>
          <w:tcPr>
            <w:tcW w:w="220" w:type="dxa"/>
            <w:vAlign w:val="bottom"/>
          </w:tcPr>
          <w:p>
            <w:pPr>
              <w:spacing w:after="0"/>
              <w:rPr>
                <w:sz w:val="15"/>
                <w:szCs w:val="15"/>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As of October 31,</w:t>
            </w:r>
          </w:p>
        </w:tc>
      </w:tr>
      <w:tr>
        <w:trPr>
          <w:trHeight w:val="169"/>
        </w:trPr>
        <w:tc>
          <w:tcPr>
            <w:tcW w:w="44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Annual recurring revenue</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58,758</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141,314</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113,398</w:t>
            </w:r>
          </w:p>
        </w:tc>
        <w:tc>
          <w:tcPr>
            <w:tcW w:w="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254,152</w:t>
            </w:r>
          </w:p>
        </w:tc>
      </w:tr>
      <w:tr>
        <w:trPr>
          <w:trHeight w:val="214"/>
        </w:trPr>
        <w:tc>
          <w:tcPr>
            <w:tcW w:w="446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The following table sets forth the dollar-based net retention rates as of the dates presented:</w:t>
      </w:r>
    </w:p>
    <w:p>
      <w:pPr>
        <w:spacing w:after="0" w:line="191"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280" w:type="dxa"/>
            <w:vAlign w:val="bottom"/>
            <w:gridSpan w:val="6"/>
          </w:tcPr>
          <w:p>
            <w:pPr>
              <w:ind w:left="360"/>
              <w:spacing w:after="0"/>
              <w:rPr>
                <w:sz w:val="20"/>
                <w:szCs w:val="20"/>
                <w:color w:val="auto"/>
              </w:rPr>
            </w:pPr>
            <w:r>
              <w:rPr>
                <w:rFonts w:ascii="Arial" w:cs="Arial" w:eastAsia="Arial" w:hAnsi="Arial"/>
                <w:sz w:val="14"/>
                <w:szCs w:val="14"/>
                <w:b w:val="1"/>
                <w:bCs w:val="1"/>
                <w:color w:val="auto"/>
              </w:rPr>
              <w:t>As of</w:t>
            </w:r>
          </w:p>
        </w:tc>
        <w:tc>
          <w:tcPr>
            <w:tcW w:w="1200" w:type="dxa"/>
            <w:vAlign w:val="bottom"/>
            <w:gridSpan w:val="5"/>
          </w:tcPr>
          <w:p>
            <w:pPr>
              <w:ind w:left="340"/>
              <w:spacing w:after="0"/>
              <w:rPr>
                <w:sz w:val="20"/>
                <w:szCs w:val="20"/>
                <w:color w:val="auto"/>
              </w:rPr>
            </w:pPr>
            <w:r>
              <w:rPr>
                <w:rFonts w:ascii="Arial" w:cs="Arial" w:eastAsia="Arial" w:hAnsi="Arial"/>
                <w:sz w:val="14"/>
                <w:szCs w:val="14"/>
                <w:b w:val="1"/>
                <w:bCs w:val="1"/>
                <w:color w:val="auto"/>
              </w:rPr>
              <w:t>As of</w:t>
            </w:r>
          </w:p>
        </w:tc>
      </w:tr>
      <w:tr>
        <w:trPr>
          <w:trHeight w:val="182"/>
        </w:trPr>
        <w:tc>
          <w:tcPr>
            <w:tcW w:w="6500" w:type="dxa"/>
            <w:vAlign w:val="bottom"/>
          </w:tcPr>
          <w:p>
            <w:pPr>
              <w:spacing w:after="0"/>
              <w:rPr>
                <w:sz w:val="15"/>
                <w:szCs w:val="15"/>
                <w:color w:val="auto"/>
              </w:rPr>
            </w:pPr>
          </w:p>
        </w:tc>
        <w:tc>
          <w:tcPr>
            <w:tcW w:w="1280" w:type="dxa"/>
            <w:vAlign w:val="bottom"/>
            <w:gridSpan w:val="6"/>
          </w:tcPr>
          <w:p>
            <w:pPr>
              <w:ind w:left="160"/>
              <w:spacing w:after="0"/>
              <w:rPr>
                <w:sz w:val="20"/>
                <w:szCs w:val="20"/>
                <w:color w:val="auto"/>
              </w:rPr>
            </w:pPr>
            <w:r>
              <w:rPr>
                <w:rFonts w:ascii="Arial" w:cs="Arial" w:eastAsia="Arial" w:hAnsi="Arial"/>
                <w:sz w:val="14"/>
                <w:szCs w:val="14"/>
                <w:b w:val="1"/>
                <w:bCs w:val="1"/>
                <w:color w:val="auto"/>
              </w:rPr>
              <w:t>January 31,</w:t>
            </w:r>
          </w:p>
        </w:tc>
        <w:tc>
          <w:tcPr>
            <w:tcW w:w="1200" w:type="dxa"/>
            <w:vAlign w:val="bottom"/>
            <w:gridSpan w:val="5"/>
          </w:tcPr>
          <w:p>
            <w:pPr>
              <w:ind w:left="12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65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Dollar-based net retention rate</w:t>
            </w:r>
          </w:p>
        </w:tc>
        <w:tc>
          <w:tcPr>
            <w:tcW w:w="66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104%</w:t>
            </w:r>
          </w:p>
        </w:tc>
        <w:tc>
          <w:tcPr>
            <w:tcW w:w="6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119%</w:t>
            </w:r>
          </w:p>
        </w:tc>
        <w:tc>
          <w:tcPr>
            <w:tcW w:w="620" w:type="dxa"/>
            <w:vAlign w:val="bottom"/>
            <w:gridSpan w:val="3"/>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122%</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We believe that, in addition to our results determined in accordance with GAAP, non-GAAP subscription gross profit, non-GAAP subscription gross margin, non-GAAP loss from operations, non-GAAP operating margin, free cash flow, and free cash flow margin are useful in evaluating our business, results of operations, and financial condition.</w:t>
      </w:r>
    </w:p>
    <w:p>
      <w:pPr>
        <w:spacing w:after="0" w:line="208" w:lineRule="exact"/>
        <w:rPr>
          <w:sz w:val="20"/>
          <w:szCs w:val="20"/>
          <w:color w:val="auto"/>
        </w:rPr>
      </w:pPr>
    </w:p>
    <w:p>
      <w:pPr>
        <w:ind w:right="300" w:firstLine="488"/>
        <w:spacing w:after="0" w:line="239" w:lineRule="auto"/>
        <w:rPr>
          <w:sz w:val="20"/>
          <w:szCs w:val="20"/>
          <w:color w:val="auto"/>
        </w:rPr>
      </w:pPr>
      <w:r>
        <w:rPr>
          <w:rFonts w:ascii="Arial" w:cs="Arial" w:eastAsia="Arial" w:hAnsi="Arial"/>
          <w:sz w:val="18"/>
          <w:szCs w:val="18"/>
          <w:color w:val="auto"/>
        </w:rPr>
        <w:t>See the section titled "Management's Discussion and Analysis of Financial Condition and Results of Operations—Non-GAAP Financial Measures" for explanations of how we calculate these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measures and for reconciliation to the most directly comparable financial measure stated in accordance with GAAP.</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4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Pr>
          <w:p>
            <w:pPr>
              <w:spacing w:after="0"/>
              <w:rPr>
                <w:sz w:val="15"/>
                <w:szCs w:val="15"/>
                <w:color w:val="auto"/>
              </w:rPr>
            </w:pPr>
          </w:p>
        </w:tc>
        <w:tc>
          <w:tcPr>
            <w:tcW w:w="20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45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4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 gross profit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13,517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52,711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34,574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99,493</w:t>
            </w:r>
          </w:p>
        </w:tc>
        <w:tc>
          <w:tcPr>
            <w:tcW w:w="20" w:type="dxa"/>
            <w:vAlign w:val="bottom"/>
          </w:tcPr>
          <w:p>
            <w:pPr>
              <w:spacing w:after="0"/>
              <w:rPr>
                <w:sz w:val="17"/>
                <w:szCs w:val="17"/>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Non-GAAP subscription gross profit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13,664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53,087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34,844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100,249</w:t>
            </w:r>
          </w:p>
        </w:tc>
        <w:tc>
          <w:tcPr>
            <w:tcW w:w="20" w:type="dxa"/>
            <w:vAlign w:val="bottom"/>
          </w:tcPr>
          <w:p>
            <w:pPr>
              <w:spacing w:after="0"/>
              <w:rPr>
                <w:sz w:val="17"/>
                <w:szCs w:val="17"/>
                <w:color w:val="auto"/>
              </w:rPr>
            </w:pPr>
          </w:p>
        </w:tc>
      </w:tr>
      <w:tr>
        <w:trPr>
          <w:trHeight w:val="41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Non-GAAP subscription gross margin</w:t>
            </w:r>
          </w:p>
        </w:tc>
        <w:tc>
          <w:tcPr>
            <w:tcW w:w="16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w:t>
            </w:r>
          </w:p>
        </w:tc>
        <w:tc>
          <w:tcPr>
            <w:tcW w:w="18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w:t>
            </w:r>
          </w:p>
        </w:tc>
        <w:tc>
          <w:tcPr>
            <w:tcW w:w="1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w:t>
            </w: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r>
      <w:tr>
        <w:trPr>
          <w:trHeight w:val="41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(90,556)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(131,440)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(105,632)</w:t>
            </w:r>
          </w:p>
        </w:tc>
        <w:tc>
          <w:tcPr>
            <w:tcW w:w="20" w:type="dxa"/>
            <w:vAlign w:val="bottom"/>
          </w:tcPr>
          <w:p>
            <w:pPr>
              <w:spacing w:after="0"/>
              <w:rPr>
                <w:sz w:val="24"/>
                <w:szCs w:val="24"/>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Non-GAAP loss from operations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(88,465)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(118,302)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(83,304)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(87,794)</w:t>
            </w:r>
          </w:p>
        </w:tc>
        <w:tc>
          <w:tcPr>
            <w:tcW w:w="20" w:type="dxa"/>
            <w:vAlign w:val="bottom"/>
          </w:tcPr>
          <w:p>
            <w:pPr>
              <w:spacing w:after="0"/>
              <w:rPr>
                <w:sz w:val="17"/>
                <w:szCs w:val="17"/>
                <w:color w:val="auto"/>
              </w:rPr>
            </w:pPr>
          </w:p>
        </w:tc>
      </w:tr>
      <w:tr>
        <w:trPr>
          <w:trHeight w:val="41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4"/>
                <w:szCs w:val="24"/>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Non-GAAP operating margin</w:t>
            </w:r>
          </w:p>
        </w:tc>
        <w:tc>
          <w:tcPr>
            <w:tcW w:w="1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w:t>
            </w:r>
          </w:p>
        </w:tc>
      </w:tr>
      <w:tr>
        <w:trPr>
          <w:trHeight w:val="41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(38,776)</w:t>
            </w:r>
          </w:p>
        </w:tc>
        <w:tc>
          <w:tcPr>
            <w:tcW w:w="20" w:type="dxa"/>
            <w:vAlign w:val="bottom"/>
          </w:tcPr>
          <w:p>
            <w:pPr>
              <w:spacing w:after="0"/>
              <w:rPr>
                <w:sz w:val="24"/>
                <w:szCs w:val="24"/>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(11,854)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(28,330)</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(28,383)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(131,359)</w:t>
            </w:r>
          </w:p>
        </w:tc>
        <w:tc>
          <w:tcPr>
            <w:tcW w:w="20" w:type="dxa"/>
            <w:vAlign w:val="bottom"/>
          </w:tcPr>
          <w:p>
            <w:pPr>
              <w:spacing w:after="0"/>
              <w:rPr>
                <w:sz w:val="17"/>
                <w:szCs w:val="17"/>
                <w:color w:val="auto"/>
              </w:rPr>
            </w:pPr>
          </w:p>
        </w:tc>
      </w:tr>
      <w:tr>
        <w:trPr>
          <w:trHeight w:val="203"/>
        </w:trPr>
        <w:tc>
          <w:tcPr>
            <w:tcW w:w="4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17,460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126,831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123,299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190,714</w:t>
            </w:r>
          </w:p>
        </w:tc>
        <w:tc>
          <w:tcPr>
            <w:tcW w:w="20" w:type="dxa"/>
            <w:vAlign w:val="bottom"/>
          </w:tcPr>
          <w:p>
            <w:pPr>
              <w:spacing w:after="0"/>
              <w:rPr>
                <w:sz w:val="17"/>
                <w:szCs w:val="17"/>
                <w:color w:val="auto"/>
              </w:rPr>
            </w:pPr>
          </w:p>
        </w:tc>
      </w:tr>
      <w:tr>
        <w:trPr>
          <w:trHeight w:val="203"/>
        </w:trPr>
        <w:tc>
          <w:tcPr>
            <w:tcW w:w="4500" w:type="dxa"/>
            <w:vAlign w:val="bottom"/>
          </w:tcPr>
          <w:p>
            <w:pPr>
              <w:ind w:left="20"/>
              <w:spacing w:after="0" w:line="202" w:lineRule="exact"/>
              <w:rPr>
                <w:sz w:val="20"/>
                <w:szCs w:val="20"/>
                <w:color w:val="auto"/>
              </w:rPr>
            </w:pPr>
            <w:r>
              <w:rPr>
                <w:rFonts w:ascii="Arial" w:cs="Arial" w:eastAsia="Arial" w:hAnsi="Arial"/>
                <w:sz w:val="18"/>
                <w:szCs w:val="18"/>
                <w:color w:val="auto"/>
              </w:rPr>
              <w:t>Free cash flow</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(64,645)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(94,992)</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(81,943)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(65,482)</w:t>
            </w:r>
          </w:p>
        </w:tc>
        <w:tc>
          <w:tcPr>
            <w:tcW w:w="20" w:type="dxa"/>
            <w:vAlign w:val="bottom"/>
          </w:tcPr>
          <w:p>
            <w:pPr>
              <w:spacing w:after="0"/>
              <w:rPr>
                <w:sz w:val="17"/>
                <w:szCs w:val="17"/>
                <w:color w:val="auto"/>
              </w:rPr>
            </w:pPr>
          </w:p>
        </w:tc>
      </w:tr>
      <w:tr>
        <w:trPr>
          <w:trHeight w:val="422"/>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 as a percentage of</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450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r>
      <w:tr>
        <w:trPr>
          <w:trHeight w:val="214"/>
        </w:trPr>
        <w:tc>
          <w:tcPr>
            <w:tcW w:w="4500" w:type="dxa"/>
            <w:vAlign w:val="bottom"/>
          </w:tcPr>
          <w:p>
            <w:pPr>
              <w:ind w:left="20"/>
              <w:spacing w:after="0"/>
              <w:rPr>
                <w:sz w:val="20"/>
                <w:szCs w:val="20"/>
                <w:color w:val="auto"/>
              </w:rPr>
            </w:pPr>
            <w:r>
              <w:rPr>
                <w:rFonts w:ascii="Arial" w:cs="Arial" w:eastAsia="Arial" w:hAnsi="Arial"/>
                <w:sz w:val="18"/>
                <w:szCs w:val="18"/>
                <w:color w:val="auto"/>
              </w:rPr>
              <w:t>Free cash flow margin</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Subscription Gross Profit and Non-GAAP Subscription Gross Margin</w:t>
      </w:r>
    </w:p>
    <w:p>
      <w:pPr>
        <w:spacing w:after="0" w:line="232" w:lineRule="exact"/>
        <w:rPr>
          <w:sz w:val="20"/>
          <w:szCs w:val="20"/>
          <w:color w:val="auto"/>
        </w:rPr>
      </w:pPr>
    </w:p>
    <w:p>
      <w:pPr>
        <w:ind w:right="320" w:firstLine="488"/>
        <w:spacing w:after="0" w:line="299" w:lineRule="auto"/>
        <w:rPr>
          <w:sz w:val="20"/>
          <w:szCs w:val="20"/>
          <w:color w:val="auto"/>
        </w:rPr>
      </w:pPr>
      <w:r>
        <w:rPr>
          <w:rFonts w:ascii="Arial" w:cs="Arial" w:eastAsia="Arial" w:hAnsi="Arial"/>
          <w:sz w:val="16"/>
          <w:szCs w:val="16"/>
          <w:color w:val="auto"/>
        </w:rPr>
        <w:t>We define non-GAAP subscription gross profit and non-GAAP subscription gross margin as GAAP subscription gross profit and GAAP subscription gross margin, respectively, excluding stock-based compensation expense and amortization of acquired intangible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32" w:lineRule="exact"/>
        <w:rPr>
          <w:sz w:val="20"/>
          <w:szCs w:val="20"/>
          <w:color w:val="auto"/>
        </w:rPr>
      </w:pPr>
    </w:p>
    <w:p>
      <w:pPr>
        <w:ind w:right="140" w:firstLine="488"/>
        <w:spacing w:after="0" w:line="299" w:lineRule="auto"/>
        <w:rPr>
          <w:sz w:val="20"/>
          <w:szCs w:val="20"/>
          <w:color w:val="auto"/>
        </w:rPr>
      </w:pPr>
      <w:r>
        <w:rPr>
          <w:rFonts w:ascii="Arial" w:cs="Arial" w:eastAsia="Arial" w:hAnsi="Arial"/>
          <w:sz w:val="16"/>
          <w:szCs w:val="16"/>
          <w:color w:val="auto"/>
        </w:rPr>
        <w:t>We define non-GAAP loss from operations and non-GAAP operating margin as GAAP loss from operations and GAAP operating margin, respectively, excluding stock-based compensation expense, amortization of acquired intangible assets, and acquisition-related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Free cash flow is a non-GAAP financial measure that we define as net cash used in operating activities less purchases of property and equipment, capitalized internal-use software, acquisition of intangible assets, and cash used for business combinations. Free cash flow margin is calculated as free cash flow divided by total revenue. One limitation of free cash flow and free cash flow margin is that they do not reflect our future contractual commitments. Additionally, free cash flow does not represent the total increase or decrease in our cash balance for a given period.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4" w:lineRule="exact"/>
        <w:rPr>
          <w:sz w:val="20"/>
          <w:szCs w:val="20"/>
          <w:color w:val="auto"/>
        </w:rPr>
      </w:pPr>
    </w:p>
    <w:p>
      <w:pPr>
        <w:ind w:firstLine="487"/>
        <w:spacing w:after="0" w:line="23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consolidated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sections titled "Special Note Regarding Forward-Looking Statements" and "Risk Factors." Our fiscal year end is January 31, and our fiscal quarters end on April 30, July 31, October 31, and January 31. Our fiscal years ended January 31, 2017 and January 31, 2018, are referred to herein as fiscal 2017 and fiscal 2018, respectively.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240" w:firstLine="488"/>
        <w:spacing w:after="0" w:line="236" w:lineRule="auto"/>
        <w:rPr>
          <w:sz w:val="20"/>
          <w:szCs w:val="20"/>
          <w:color w:val="auto"/>
        </w:rPr>
      </w:pPr>
      <w:r>
        <w:rPr>
          <w:rFonts w:ascii="Arial" w:cs="Arial" w:eastAsia="Arial" w:hAnsi="Arial"/>
          <w:sz w:val="18"/>
          <w:szCs w:val="18"/>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211"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We initially provided intelligence and incident response services while we developed our Falcon platform. In June 2013, we first began providing EDR capabilities as a single solution. In February 2017, as we executed on our Falcon platform expansion strategy, we began offering these and additional capabilities as separate cloud modules. This strategic move facilitated new customer adoption and allowed us to further expand within our customer base. Today, we offer 10 cloud modules on our Falcon platform via a SaaS subscription-based model that spans multiple large security markets, including endpoint security, security and IT operations (including vulnerability management), and threat intelligence.</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Since our founding, we have achieved a number of milestones such as:</w:t>
      </w:r>
    </w:p>
    <w:p>
      <w:pPr>
        <w:spacing w:after="0" w:line="212"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July 2012: We launched our threat intelligence product.</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June 2013: We launched our EDR capabilities as a single solution.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August 2013: We launched our threat hunting cloud module.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August 2015: We were named 2015 Technology Pioneer by World Economic Forum.</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August 2016: We were named to the 2016 Inc. 500--5000 list.</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February 2017: We launched our full next-generation antivirus cloud module.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February 2017: We launched our IT hygiene cloud module and our multi-SKU go-to-market strategy.</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 2017: We were named to CNBC's 2017 Disruptor 50 list.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July 2017: We launched our malware search cloud module.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November 2017: We launched our sandbox and vulnerability management cloud modules.</w:t>
      </w:r>
    </w:p>
    <w:p>
      <w:pPr>
        <w:spacing w:after="0" w:line="198"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April 2018: We received the SC Award for Best Security Company for the second year in a row, as well as for Best Enterprise Security Solution, and also launched our Falcon Complete cloud module.</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August 2018: We launched our device control cloud module.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September 2018: We received FedRAMP authorization.</w:t>
      </w:r>
    </w:p>
    <w:p>
      <w:pPr>
        <w:spacing w:after="0" w:line="198" w:lineRule="exact"/>
        <w:rPr>
          <w:rFonts w:ascii="Arial" w:cs="Arial" w:eastAsia="Arial" w:hAnsi="Arial"/>
          <w:sz w:val="18"/>
          <w:szCs w:val="18"/>
          <w:color w:val="auto"/>
        </w:rPr>
      </w:pPr>
    </w:p>
    <w:p>
      <w:pPr>
        <w:ind w:left="1080" w:right="200" w:hanging="532"/>
        <w:spacing w:after="0" w:line="23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November 2018: We received the highest overall score among Customers' Choice vendors in Gartner Peer Insights for Endpoint Security and Endpoint Protection.</w:t>
      </w:r>
    </w:p>
    <w:p>
      <w:pPr>
        <w:spacing w:after="0" w:line="195" w:lineRule="exact"/>
        <w:rPr>
          <w:rFonts w:ascii="Arial" w:cs="Arial" w:eastAsia="Arial" w:hAnsi="Arial"/>
          <w:sz w:val="18"/>
          <w:szCs w:val="18"/>
          <w:color w:val="auto"/>
        </w:rPr>
      </w:pPr>
    </w:p>
    <w:p>
      <w:pPr>
        <w:ind w:left="1080" w:right="300" w:hanging="532"/>
        <w:spacing w:after="0" w:line="23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February 2019: We launched the first open cloud-based application platform for endpoint security and the industry's first unified security cloud ecosystem of trusted third-party applications.</w:t>
      </w:r>
    </w:p>
    <w:p>
      <w:pPr>
        <w:spacing w:after="0" w:line="209" w:lineRule="exact"/>
        <w:rPr>
          <w:sz w:val="20"/>
          <w:szCs w:val="20"/>
          <w:color w:val="auto"/>
        </w:rPr>
      </w:pPr>
    </w:p>
    <w:p>
      <w:pPr>
        <w:ind w:right="320" w:firstLine="488"/>
        <w:spacing w:after="0" w:line="238" w:lineRule="auto"/>
        <w:rPr>
          <w:sz w:val="20"/>
          <w:szCs w:val="20"/>
          <w:color w:val="auto"/>
        </w:rPr>
      </w:pPr>
      <w:r>
        <w:rPr>
          <w:rFonts w:ascii="Arial" w:cs="Arial" w:eastAsia="Arial" w:hAnsi="Arial"/>
          <w:sz w:val="18"/>
          <w:szCs w:val="18"/>
          <w:color w:val="auto"/>
        </w:rPr>
        <w:t>Some of the world's largest enterprises, government organizations, and high profile brands trust us to protect their business. As of October 31, 2018, we had 2,147 subscription customers worldwide, including 38 of the Fortune 100, 32 of the top 100 global companies, and eight of the top 20 major banks. In fiscal 2018, 84% of our total revenue was generated from customers in the United States.</w:t>
      </w:r>
    </w:p>
    <w:p>
      <w:pPr>
        <w:spacing w:after="0" w:line="208" w:lineRule="exact"/>
        <w:rPr>
          <w:sz w:val="20"/>
          <w:szCs w:val="20"/>
          <w:color w:val="auto"/>
        </w:rPr>
      </w:pPr>
    </w:p>
    <w:p>
      <w:pPr>
        <w:ind w:right="60" w:firstLine="488"/>
        <w:spacing w:after="0" w:line="264" w:lineRule="auto"/>
        <w:rPr>
          <w:sz w:val="20"/>
          <w:szCs w:val="20"/>
          <w:color w:val="auto"/>
        </w:rPr>
      </w:pPr>
      <w:r>
        <w:rPr>
          <w:rFonts w:ascii="Arial" w:cs="Arial" w:eastAsia="Arial" w:hAnsi="Arial"/>
          <w:sz w:val="16"/>
          <w:szCs w:val="16"/>
          <w:color w:val="auto"/>
        </w:rPr>
        <w:t>We have recently experienced significant growth, with total revenue increasing from $52.7 million for fiscal 2017 to $118.8 million for fiscal 2018, representing year-over-year growth of 125% and from $80.0 million for the nine months ended October 31, 2017, to $169.4 million for the nine months ended October 31, 2018, representing year-over-year growth of 112%. Subscription revenue grew from $37.9 million for fiscal 2017 to $92.6 million for fiscal 2018, a 144% increase and from $60.1 million for the nine months ended October 31, 2017, to $146.6 million for the nine months ended October 31, 2018, a 144% increase. Our ARR has grown from $58.8 million as of January 31, 2017 to $141.3 million as of January 31, 2018, a 140% increase, and from $113.4 million as of October 31, 2017, to $254.2 million as of October 31, 2018, a 124% increase. Our net loss increased from $91.3 million for fiscal 2017 to $135.5 million for fiscal 2018 and from $98.0 million for the nine months ended October 31, 2017, to $108.8 million for the nine months ended October 31, 2018. Our accumulated deficit as of October 31, 2018 was</w:t>
      </w:r>
    </w:p>
    <w:p>
      <w:pPr>
        <w:spacing w:after="0" w:line="1"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$487.9 million. We expect to continue to incur net losses for the foreseeable future as we continue to invest in our business and our sales capabilities, in particular, to address our large market opportunity.</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Go-To-Market Strategy</w:t>
      </w:r>
    </w:p>
    <w:p>
      <w:pPr>
        <w:spacing w:after="0" w:line="234"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We have a diverse and highly efficient go-to-market strategy through which 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208"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seamlessly offer our solution to customers of any size—from those with hundreds of thousands of endpoints to as few as one. We have expanded our sales focus to include any organization without the need to modify our Falcon platform for small and medium sized businesses.</w:t>
      </w:r>
    </w:p>
    <w:p>
      <w:pPr>
        <w:spacing w:after="0" w:line="208" w:lineRule="exact"/>
        <w:rPr>
          <w:sz w:val="20"/>
          <w:szCs w:val="20"/>
          <w:color w:val="auto"/>
        </w:rPr>
      </w:pPr>
    </w:p>
    <w:p>
      <w:pPr>
        <w:ind w:right="160" w:firstLine="478"/>
        <w:spacing w:after="0" w:line="275" w:lineRule="auto"/>
        <w:rPr>
          <w:sz w:val="20"/>
          <w:szCs w:val="20"/>
          <w:color w:val="auto"/>
        </w:rPr>
      </w:pPr>
      <w:r>
        <w:rPr>
          <w:rFonts w:ascii="Arial" w:cs="Arial" w:eastAsia="Arial" w:hAnsi="Arial"/>
          <w:sz w:val="16"/>
          <w:szCs w:val="16"/>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214" w:lineRule="exact"/>
        <w:rPr>
          <w:sz w:val="20"/>
          <w:szCs w:val="20"/>
          <w:color w:val="auto"/>
        </w:rPr>
      </w:pPr>
    </w:p>
    <w:p>
      <w:pPr>
        <w:ind w:right="40" w:firstLine="481"/>
        <w:spacing w:after="0" w:line="236" w:lineRule="auto"/>
        <w:rPr>
          <w:sz w:val="20"/>
          <w:szCs w:val="20"/>
          <w:color w:val="auto"/>
        </w:rPr>
      </w:pPr>
      <w:r>
        <w:rPr>
          <w:rFonts w:ascii="Arial" w:cs="Arial" w:eastAsia="Arial" w:hAnsi="Arial"/>
          <w:sz w:val="18"/>
          <w:szCs w:val="18"/>
          <w:b w:val="1"/>
          <w:bCs w:val="1"/>
          <w:i w:val="1"/>
          <w:iCs w:val="1"/>
          <w:color w:val="auto"/>
        </w:rPr>
        <w:t xml:space="preserve">Adoption of Our Solutions. </w:t>
      </w:r>
      <w:r>
        <w:rPr>
          <w:rFonts w:ascii="Arial" w:cs="Arial" w:eastAsia="Arial" w:hAnsi="Arial"/>
          <w:sz w:val="18"/>
          <w:szCs w:val="18"/>
          <w:color w:val="auto"/>
        </w:rPr>
        <w:t>We believe our future success depends in large part on the growth in the market for cloud-based SaaS-delivered endpoint security solutions. The limitations of legacy on-premise products, coupled with a dynamic and growing threat landscape, are intensifying the need for organizations to reevaluate their approach to cybersecurity. As organizations grow and become more distributed and diverse, adding more endpoints and workloads, they expand the attack surface available to sophisticated adversaries targeting their data and IT infrastructure. As security threats multiply, organizations often find themselves unable to hire sufficient security professionals to address all security gaps and vulnerabilities, underscoring the need for automated systems to effectively address these threats. Many organizations have not yet abandoned the on-premise legacy products in which they have invested substantial personnel and financial resources to design and maintain. As a result, it is difficult to predict customer adoption rates and demand for our cloud-based solutions. On-premise legacy products are siloed, lack integration, and have limited ability to collect, process, and analyze vast amounts of data, attributes that are required to be effective in today's increasingly dynamic threat landscape. Legacy security products have tried to address these attacks but firewalls are ineffective at protecting endpoints outside the corporate perimeter and signature-based products are not capable of protecting against unknown threats. Other alternatives such as malware-focused machine learning products are useless against cyberattacks that do not leverage malware, and approaches based on creating a manual list of approved programs, or whitelisting, are cumbersome to implement and enforce and are also vulnerable to attacks that exploit legitimate applications. To ensure comprehensive threat protection, we believe organizations need to adopt an integrated, data-driven, and automated cloud-based approach to security.</w:t>
      </w:r>
    </w:p>
    <w:p>
      <w:pPr>
        <w:spacing w:after="0" w:line="200"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b w:val="1"/>
          <w:bCs w:val="1"/>
          <w:i w:val="1"/>
          <w:iCs w:val="1"/>
          <w:color w:val="auto"/>
        </w:rPr>
        <w:t xml:space="preserve">New Customer Acquisition. </w:t>
      </w:r>
      <w:r>
        <w:rPr>
          <w:rFonts w:ascii="Arial" w:cs="Arial" w:eastAsia="Arial" w:hAnsi="Arial"/>
          <w:sz w:val="18"/>
          <w:szCs w:val="18"/>
          <w:color w:val="auto"/>
        </w:rPr>
        <w:t>Our future growth depends in large part on our ability to acquire new customers. If our efforts to attract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customers are not successful, our revenue and rate of revenue growth may decline. We believe our ability to add new customers is a key indicator of the market's increased adoption of our solution. Our subscription customer count grew from 450 as of January 31, 2017, to 1,242 as of January 31, 2018, representing a year-over-year increase of 176% and from 843 as of October 31, 2017, to 2,147 as of October 31, 2018, representing a year-over-year increase of 155%.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91" w:lineRule="exact"/>
        <w:rPr>
          <w:sz w:val="20"/>
          <w:szCs w:val="20"/>
          <w:color w:val="auto"/>
        </w:rPr>
      </w:pPr>
    </w:p>
    <w:p>
      <w:pPr>
        <w:ind w:right="320" w:firstLine="488"/>
        <w:spacing w:after="0" w:line="262" w:lineRule="auto"/>
        <w:rPr>
          <w:sz w:val="20"/>
          <w:szCs w:val="20"/>
          <w:color w:val="auto"/>
        </w:rPr>
      </w:pPr>
      <w:r>
        <w:rPr>
          <w:rFonts w:ascii="Arial" w:cs="Arial" w:eastAsia="Arial" w:hAnsi="Arial"/>
          <w:sz w:val="18"/>
          <w:szCs w:val="18"/>
          <w:b w:val="1"/>
          <w:bCs w:val="1"/>
          <w:i w:val="1"/>
          <w:iCs w:val="1"/>
          <w:color w:val="auto"/>
        </w:rPr>
        <w:t xml:space="preserve">Maintain Customer Retention and Increase Sales. </w:t>
      </w:r>
      <w:r>
        <w:rPr>
          <w:rFonts w:ascii="Arial" w:cs="Arial" w:eastAsia="Arial" w:hAnsi="Arial"/>
          <w:sz w:val="18"/>
          <w:szCs w:val="18"/>
          <w:color w:val="auto"/>
        </w:rPr>
        <w:t>Our ability to increase revenue depends in large part on our ability to retain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customers and increase the ARR of their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subscriptions. We typically enjoy a high rate of customer retention. For example, our dollar-based gross retention rate was 96% as of</w:t>
      </w:r>
    </w:p>
    <w:p>
      <w:pPr>
        <w:ind w:right="60"/>
        <w:spacing w:after="0" w:line="235" w:lineRule="auto"/>
        <w:rPr>
          <w:sz w:val="20"/>
          <w:szCs w:val="20"/>
          <w:color w:val="auto"/>
        </w:rPr>
      </w:pPr>
      <w:r>
        <w:rPr>
          <w:rFonts w:ascii="Arial" w:cs="Arial" w:eastAsia="Arial" w:hAnsi="Arial"/>
          <w:sz w:val="18"/>
          <w:szCs w:val="18"/>
          <w:color w:val="auto"/>
        </w:rPr>
        <w:t>October 31, 2017, and 97% as of October 31, 2018. We calculate our dollar-based gross retention rate as of the period end by starting with the ARR from all subscription customers as of 12 months prior to such period, or Prior Period ARR. We then deduct from the Prior Period ARR any ARR from subscription customers who are no longer customers as of the current period end, or Current Period Remaining ARR. We then divide the total Current Period Remaining ARR by the total Prior Period ARR to arrive at our dollar-based gross retention rate, which is the percentage of ARR from all subscription customers as of the year prior that is not lost to customer churn. Our dollar-based gross retention rate reflects only customer losses and does not reflect customer expansion or contraction, so it demonstrates that the vast majority of our customers continue to use our solution and renew their subscriptions. We also focus on increasing sales to our existing customers by expanding their deployments to more endpoints and selling additional cloud modules for increased functionality. However, our customer retention and expansion may decline or fluctuate as a result of a number of factors, and if our efforts to expand our relationships with our customers are not successful, our business, results of operations, and financial condition may suffer.</w:t>
      </w:r>
    </w:p>
    <w:p>
      <w:pPr>
        <w:spacing w:after="0" w:line="214" w:lineRule="exact"/>
        <w:rPr>
          <w:sz w:val="20"/>
          <w:szCs w:val="20"/>
          <w:color w:val="auto"/>
        </w:rPr>
      </w:pPr>
    </w:p>
    <w:p>
      <w:pPr>
        <w:jc w:val="both"/>
        <w:ind w:right="160" w:firstLine="484"/>
        <w:spacing w:after="0" w:line="264" w:lineRule="auto"/>
        <w:rPr>
          <w:sz w:val="20"/>
          <w:szCs w:val="20"/>
          <w:color w:val="auto"/>
        </w:rPr>
      </w:pPr>
      <w:r>
        <w:rPr>
          <w:rFonts w:ascii="Arial" w:cs="Arial" w:eastAsia="Arial" w:hAnsi="Arial"/>
          <w:sz w:val="16"/>
          <w:szCs w:val="16"/>
          <w:color w:val="auto"/>
        </w:rPr>
        <w:t>The chart below illustrates our strong relationship with existing customers by presenting our dollar-based net retention rate over the past eight fiscal quarters. Consistent with the execution of our platform strategy beginning in the first quarter of fiscal 2018, the ARR of our existing customer accounts has generally increased. Our dollar-based net retention rate, which measures existing customers' subscriptions over a</w:t>
      </w:r>
    </w:p>
    <w:p>
      <w:pPr>
        <w:spacing w:after="0" w:line="272" w:lineRule="auto"/>
        <w:rPr>
          <w:sz w:val="20"/>
          <w:szCs w:val="20"/>
          <w:color w:val="auto"/>
        </w:rPr>
      </w:pPr>
      <w:r>
        <w:rPr>
          <w:rFonts w:ascii="Arial" w:cs="Arial" w:eastAsia="Arial" w:hAnsi="Arial"/>
          <w:sz w:val="16"/>
          <w:szCs w:val="16"/>
          <w:color w:val="auto"/>
        </w:rPr>
        <w:t>12 month period, was 127% as of October 31, 2018, demonstrating the power of our land-and-expand strategy. In order for us to increase the ARR from our existing customers, we need to expand our commercial relationships with these customers by deploying to more endpoints in their environment and selling additional modules. See the section titled "Key Metrics—Dollar-Based Net Retention Rate" below for additional information about how we define dollar-based net retention rate. The chart below also illustrates that the vast majority of our customers continue to use our solution and renew their subscriptions by presenting our dollar-based gross retention rates over the same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116205</wp:posOffset>
            </wp:positionV>
            <wp:extent cx="4637405" cy="33686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3740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February 2017, we transitioned our platform from a single offering into highly-integrated offerings of multiple SKU cloud modules. We initially launched this strategy with our IT hygiene, next-generation antivirus, EDR, managed threat hunting, and intelligence modules, and added five additional modules between February 2017 and October 2018. As our platform has become more integral to our customers' security strategy and we have continued to innovate and release new modules, we have experienced increased adoption of our cloud modules. Some of our subscription customers begin with one module and purchase additional modules over time, while others immediately deploy multiple modules. The chart below demonstrates the success we have had executing on our platform strategy, as 44% of our subscription customers have adopted four or more cloud modules as of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b w:val="1"/>
          <w:bCs w:val="1"/>
          <w:i w:val="1"/>
          <w:iCs w:val="1"/>
          <w:color w:val="auto"/>
        </w:rPr>
        <w:t xml:space="preserve">Invest in Growth. </w:t>
      </w:r>
      <w:r>
        <w:rPr>
          <w:rFonts w:ascii="Arial" w:cs="Arial" w:eastAsia="Arial" w:hAnsi="Arial"/>
          <w:sz w:val="18"/>
          <w:szCs w:val="18"/>
          <w:color w:val="auto"/>
        </w:rPr>
        <w:t>We believe that our market opportunity is large and requires us to continue to invest significantly in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efforts 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become a public company. While we expect these investments will contribute to our long-term growth, they may adversely affect our profitability in the near term, until such time as we are able to sufficiently grow our number of customers and increase the value of ARR with existing customers. We plan to balance these investments in future growth with a continued focus on managing our results of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Metrics</w:t>
      </w:r>
    </w:p>
    <w:p>
      <w:pPr>
        <w:spacing w:after="0" w:line="234" w:lineRule="exact"/>
        <w:rPr>
          <w:sz w:val="20"/>
          <w:szCs w:val="20"/>
          <w:color w:val="auto"/>
        </w:rPr>
      </w:pPr>
    </w:p>
    <w:p>
      <w:pPr>
        <w:ind w:right="300" w:firstLine="488"/>
        <w:spacing w:after="0" w:line="239"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32" w:lineRule="exact"/>
        <w:rPr>
          <w:sz w:val="20"/>
          <w:szCs w:val="20"/>
          <w:color w:val="auto"/>
        </w:rPr>
      </w:pPr>
    </w:p>
    <w:p>
      <w:pPr>
        <w:ind w:right="40" w:firstLine="488"/>
        <w:spacing w:after="0" w:line="235" w:lineRule="auto"/>
        <w:rPr>
          <w:sz w:val="20"/>
          <w:szCs w:val="20"/>
          <w:color w:val="auto"/>
        </w:rPr>
      </w:pPr>
      <w:r>
        <w:rPr>
          <w:rFonts w:ascii="Arial" w:cs="Arial" w:eastAsia="Arial" w:hAnsi="Arial"/>
          <w:sz w:val="18"/>
          <w:szCs w:val="18"/>
          <w:color w:val="auto"/>
        </w:rPr>
        <w:t>We believe that our ability to increase the number of subscription customers on our platform is an indicator of our market penetration, the growth of our business, and our potential future business opportunities. We have a history of growing the number of customers who subscribe to our Falcon platform, which does not include customers solely of our incident response and proactive services. 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Historically, we have consistently increased the number of subscription customers period-over-period, and we expect this trend to continue as we increase the number of our subscription customers who are small and medium sized businesses, and as larger enterprises continue to replace or supplement their legacy on-premise security products.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number of our subscription customers as of the dates presented:</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As of</w:t>
            </w:r>
          </w:p>
        </w:tc>
      </w:tr>
      <w:tr>
        <w:trPr>
          <w:trHeight w:val="182"/>
        </w:trPr>
        <w:tc>
          <w:tcPr>
            <w:tcW w:w="6280" w:type="dxa"/>
            <w:vAlign w:val="bottom"/>
          </w:tcPr>
          <w:p>
            <w:pPr>
              <w:spacing w:after="0"/>
              <w:rPr>
                <w:sz w:val="15"/>
                <w:szCs w:val="15"/>
                <w:color w:val="auto"/>
              </w:rPr>
            </w:pPr>
          </w:p>
        </w:tc>
        <w:tc>
          <w:tcPr>
            <w:tcW w:w="14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January 31,</w:t>
            </w: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62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03"/>
        </w:trPr>
        <w:tc>
          <w:tcPr>
            <w:tcW w:w="6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 customers</w:t>
            </w:r>
          </w:p>
        </w:tc>
        <w:tc>
          <w:tcPr>
            <w:tcW w:w="6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1,242</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843</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2,147</w:t>
            </w:r>
          </w:p>
        </w:tc>
      </w:tr>
      <w:tr>
        <w:trPr>
          <w:trHeight w:val="214"/>
        </w:trPr>
        <w:tc>
          <w:tcPr>
            <w:tcW w:w="628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173%</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c>
          <w:tcPr>
            <w:tcW w:w="640" w:type="dxa"/>
            <w:vAlign w:val="bottom"/>
            <w:gridSpan w:val="3"/>
          </w:tcPr>
          <w:p>
            <w:pPr>
              <w:ind w:left="120"/>
              <w:spacing w:after="0"/>
              <w:rPr>
                <w:sz w:val="20"/>
                <w:szCs w:val="20"/>
                <w:color w:val="auto"/>
              </w:rPr>
            </w:pPr>
            <w:r>
              <w:rPr>
                <w:rFonts w:ascii="Arial" w:cs="Arial" w:eastAsia="Arial" w:hAnsi="Arial"/>
                <w:sz w:val="18"/>
                <w:szCs w:val="18"/>
                <w:color w:val="auto"/>
              </w:rPr>
              <w:t>135%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Recurring Revenue</w:t>
      </w:r>
    </w:p>
    <w:p>
      <w:pPr>
        <w:spacing w:after="0" w:line="23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We believe that ARR is a key metric to measure our business because it is driven by our ability to acquire new subscription customers and to maintain and expand our relationship with existing subscription customers. 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ARR as of the dates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34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As of January 31,</w:t>
            </w:r>
          </w:p>
        </w:tc>
        <w:tc>
          <w:tcPr>
            <w:tcW w:w="240" w:type="dxa"/>
            <w:vAlign w:val="bottom"/>
          </w:tcPr>
          <w:p>
            <w:pPr>
              <w:spacing w:after="0"/>
              <w:rPr>
                <w:sz w:val="15"/>
                <w:szCs w:val="15"/>
                <w:color w:val="auto"/>
              </w:rPr>
            </w:pPr>
          </w:p>
        </w:tc>
        <w:tc>
          <w:tcPr>
            <w:tcW w:w="3280" w:type="dxa"/>
            <w:vAlign w:val="bottom"/>
            <w:gridSpan w:val="6"/>
          </w:tcPr>
          <w:p>
            <w:pPr>
              <w:jc w:val="right"/>
              <w:ind w:right="1800"/>
              <w:spacing w:after="0"/>
              <w:rPr>
                <w:sz w:val="20"/>
                <w:szCs w:val="20"/>
                <w:color w:val="auto"/>
              </w:rPr>
            </w:pPr>
            <w:r>
              <w:rPr>
                <w:rFonts w:ascii="Arial" w:cs="Arial" w:eastAsia="Arial" w:hAnsi="Arial"/>
                <w:sz w:val="14"/>
                <w:szCs w:val="14"/>
                <w:b w:val="1"/>
                <w:bCs w:val="1"/>
                <w:color w:val="auto"/>
              </w:rPr>
              <w:t>As of October 31,</w:t>
            </w:r>
          </w:p>
        </w:tc>
      </w:tr>
      <w:tr>
        <w:trPr>
          <w:trHeight w:val="169"/>
        </w:trPr>
        <w:tc>
          <w:tcPr>
            <w:tcW w:w="11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w w:val="79"/>
              </w:rPr>
              <w:t>in</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4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Annual recurring revenue</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   58,758</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141,314</w:t>
            </w:r>
          </w:p>
        </w:tc>
        <w:tc>
          <w:tcPr>
            <w:tcW w:w="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113,398</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254,152</w:t>
            </w:r>
          </w:p>
        </w:tc>
        <w:tc>
          <w:tcPr>
            <w:tcW w:w="1140" w:type="dxa"/>
            <w:vAlign w:val="bottom"/>
          </w:tcPr>
          <w:p>
            <w:pPr>
              <w:spacing w:after="0"/>
              <w:rPr>
                <w:sz w:val="17"/>
                <w:szCs w:val="17"/>
                <w:color w:val="auto"/>
              </w:rPr>
            </w:pPr>
          </w:p>
        </w:tc>
      </w:tr>
      <w:tr>
        <w:trPr>
          <w:trHeight w:val="214"/>
        </w:trPr>
        <w:tc>
          <w:tcPr>
            <w:tcW w:w="112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Year-over-year growth</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2060" w:type="dxa"/>
            <w:vAlign w:val="bottom"/>
            <w:gridSpan w:val="3"/>
          </w:tcPr>
          <w:p>
            <w:pPr>
              <w:jc w:val="right"/>
              <w:ind w:right="1140"/>
              <w:spacing w:after="0"/>
              <w:rPr>
                <w:sz w:val="20"/>
                <w:szCs w:val="20"/>
                <w:color w:val="auto"/>
              </w:rPr>
            </w:pPr>
            <w:r>
              <w:rPr>
                <w:rFonts w:ascii="Arial" w:cs="Arial" w:eastAsia="Arial" w:hAnsi="Arial"/>
                <w:sz w:val="18"/>
                <w:szCs w:val="18"/>
                <w:color w:val="auto"/>
              </w:rPr>
              <w:t>124%</w:t>
            </w:r>
          </w:p>
        </w:tc>
      </w:tr>
      <w:tr>
        <w:trPr>
          <w:trHeight w:val="418"/>
        </w:trPr>
        <w:tc>
          <w:tcPr>
            <w:tcW w:w="11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80" w:type="dxa"/>
            <w:vAlign w:val="bottom"/>
          </w:tcPr>
          <w:p>
            <w:pPr>
              <w:jc w:val="right"/>
              <w:ind w:right="459"/>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42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20" w:firstLine="484"/>
        <w:spacing w:after="0" w:line="239" w:lineRule="auto"/>
        <w:rPr>
          <w:sz w:val="20"/>
          <w:szCs w:val="20"/>
          <w:color w:val="auto"/>
        </w:rPr>
      </w:pPr>
      <w:r>
        <w:rPr>
          <w:rFonts w:ascii="Arial" w:cs="Arial" w:eastAsia="Arial" w:hAnsi="Arial"/>
          <w:sz w:val="18"/>
          <w:szCs w:val="18"/>
          <w:color w:val="auto"/>
        </w:rPr>
        <w:t>The chart below illustrates our robust growth in ARR by presenting the ARR from the prior period plus the new ARR added during the period, net of any churn or contraction.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130810</wp:posOffset>
            </wp:positionV>
            <wp:extent cx="4688840" cy="33947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8884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32" w:lineRule="exact"/>
        <w:rPr>
          <w:sz w:val="20"/>
          <w:szCs w:val="20"/>
          <w:color w:val="auto"/>
        </w:rPr>
      </w:pPr>
    </w:p>
    <w:p>
      <w:pPr>
        <w:ind w:right="160" w:firstLine="488"/>
        <w:spacing w:after="0" w:line="237" w:lineRule="auto"/>
        <w:rPr>
          <w:sz w:val="20"/>
          <w:szCs w:val="20"/>
          <w:color w:val="auto"/>
        </w:rPr>
      </w:pPr>
      <w:r>
        <w:rPr>
          <w:rFonts w:ascii="Arial" w:cs="Arial" w:eastAsia="Arial" w:hAnsi="Arial"/>
          <w:sz w:val="18"/>
          <w:szCs w:val="18"/>
          <w:color w:val="auto"/>
        </w:rPr>
        <w:t>We believe that our ability to retain and grow the subscription revenue generated from our existing subscription customers is an indicator of the long-term value of our subscription customer relationships and our potential future business opportunities. We track our performance in this area by measuring our dollar-based net retention rate, which reflects customer renewals, expansion, contraction, and churn, and excludes revenue from our incident response and proactive services.</w:t>
      </w:r>
    </w:p>
    <w:p>
      <w:pPr>
        <w:spacing w:after="0" w:line="208"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color w:val="auto"/>
        </w:rPr>
        <w:t>Our dollar-based net retention rate as of a given point in time is calculated as Current Period ARR divided by Prior Period ARR, where prior Period ARR is the ARR from all subscription customers as of 12 months prior to such period end and Current Period ARR is the ARR from these same subscription customers as of the current period end, which includes any expansion and is net of contraction or churn over the trailing 12 months, but excludes revenue from new subscription customers in the current period.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dollar-based net retention rates as of the dates presented: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gridSpan w:val="3"/>
          </w:tcPr>
          <w:p>
            <w:pPr>
              <w:ind w:left="400"/>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ind w:left="420"/>
              <w:spacing w:after="0"/>
              <w:rPr>
                <w:sz w:val="20"/>
                <w:szCs w:val="20"/>
                <w:color w:val="auto"/>
              </w:rPr>
            </w:pPr>
            <w:r>
              <w:rPr>
                <w:rFonts w:ascii="Arial" w:cs="Arial" w:eastAsia="Arial" w:hAnsi="Arial"/>
                <w:sz w:val="14"/>
                <w:szCs w:val="14"/>
                <w:b w:val="1"/>
                <w:bCs w:val="1"/>
                <w:color w:val="auto"/>
                <w:w w:val="97"/>
              </w:rPr>
              <w:t>As of</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1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0" w:type="dxa"/>
            <w:vAlign w:val="bottom"/>
            <w:gridSpan w:val="5"/>
          </w:tcPr>
          <w:p>
            <w:pPr>
              <w:ind w:left="200"/>
              <w:spacing w:after="0"/>
              <w:rPr>
                <w:sz w:val="20"/>
                <w:szCs w:val="20"/>
                <w:color w:val="auto"/>
              </w:rPr>
            </w:pPr>
            <w:r>
              <w:rPr>
                <w:rFonts w:ascii="Arial" w:cs="Arial" w:eastAsia="Arial" w:hAnsi="Arial"/>
                <w:sz w:val="14"/>
                <w:szCs w:val="14"/>
                <w:b w:val="1"/>
                <w:bCs w:val="1"/>
                <w:color w:val="auto"/>
              </w:rPr>
              <w:t>January 31,</w:t>
            </w:r>
          </w:p>
        </w:tc>
        <w:tc>
          <w:tcPr>
            <w:tcW w:w="2460" w:type="dxa"/>
            <w:vAlign w:val="bottom"/>
            <w:gridSpan w:val="6"/>
          </w:tcPr>
          <w:p>
            <w:pPr>
              <w:ind w:left="20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1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3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Dollar-based net retention rate</w:t>
            </w:r>
          </w:p>
        </w:tc>
        <w:tc>
          <w:tcPr>
            <w:tcW w:w="3560" w:type="dxa"/>
            <w:vAlign w:val="bottom"/>
            <w:gridSpan w:val="3"/>
            <w:shd w:val="clear" w:color="auto" w:fill="CCEEFF"/>
          </w:tcPr>
          <w:p>
            <w:pPr>
              <w:ind w:left="3040"/>
              <w:spacing w:after="0" w:line="202"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119%</w:t>
            </w:r>
          </w:p>
        </w:tc>
        <w:tc>
          <w:tcPr>
            <w:tcW w:w="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1140" w:type="dxa"/>
            <w:vAlign w:val="bottom"/>
          </w:tcPr>
          <w:p>
            <w:pPr>
              <w:spacing w:after="0"/>
              <w:rPr>
                <w:sz w:val="17"/>
                <w:szCs w:val="17"/>
                <w:color w:val="auto"/>
              </w:rPr>
            </w:pPr>
          </w:p>
        </w:tc>
      </w:tr>
      <w:tr>
        <w:trPr>
          <w:trHeight w:val="430"/>
        </w:trPr>
        <w:tc>
          <w:tcPr>
            <w:tcW w:w="1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60" w:type="dxa"/>
            <w:vAlign w:val="bottom"/>
          </w:tcPr>
          <w:p>
            <w:pPr>
              <w:jc w:val="right"/>
              <w:ind w:right="1572"/>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3400" w:type="dxa"/>
            <w:vAlign w:val="bottom"/>
            <w:tcBorders>
              <w:bottom w:val="single" w:sz="8" w:color="808080"/>
            </w:tcBorders>
          </w:tcPr>
          <w:p>
            <w:pPr>
              <w:spacing w:after="0"/>
              <w:rPr>
                <w:sz w:val="18"/>
                <w:szCs w:val="18"/>
                <w:color w:val="auto"/>
              </w:rPr>
            </w:pPr>
          </w:p>
        </w:tc>
        <w:tc>
          <w:tcPr>
            <w:tcW w:w="28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392"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We believe that these non-GAAP financial measures as presented in the below table, when taken together with the corresponding GAAP financial measures, provide meaningful supplemental</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performance by excluding certain items that may not be indicative of our business, results of operations, or outlook.</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5"/>
                <w:szCs w:val="15"/>
                <w:color w:val="auto"/>
              </w:rPr>
            </w:pPr>
          </w:p>
        </w:tc>
        <w:tc>
          <w:tcPr>
            <w:tcW w:w="20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45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 gross profit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13,517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52,711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34,574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99,493</w:t>
            </w:r>
          </w:p>
        </w:tc>
        <w:tc>
          <w:tcPr>
            <w:tcW w:w="2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Non-GAAP subscription gross profit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13,664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53,087</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34,844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100,249</w:t>
            </w:r>
          </w:p>
        </w:tc>
        <w:tc>
          <w:tcPr>
            <w:tcW w:w="20" w:type="dxa"/>
            <w:vAlign w:val="bottom"/>
          </w:tcPr>
          <w:p>
            <w:pPr>
              <w:spacing w:after="0"/>
              <w:rPr>
                <w:sz w:val="17"/>
                <w:szCs w:val="17"/>
                <w:color w:val="auto"/>
              </w:rPr>
            </w:pPr>
          </w:p>
        </w:tc>
      </w:tr>
      <w:tr>
        <w:trPr>
          <w:trHeight w:val="41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Non-GAAP subscription gross margin</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w:t>
            </w: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r>
      <w:tr>
        <w:trPr>
          <w:trHeight w:val="41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(105,632)</w:t>
            </w:r>
          </w:p>
        </w:tc>
        <w:tc>
          <w:tcPr>
            <w:tcW w:w="20" w:type="dxa"/>
            <w:vAlign w:val="bottom"/>
          </w:tcPr>
          <w:p>
            <w:pPr>
              <w:spacing w:after="0"/>
              <w:rPr>
                <w:sz w:val="24"/>
                <w:szCs w:val="24"/>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Non-GAAP loss from operations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(88,465)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(118,302)</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(83,304)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(87,794)</w:t>
            </w:r>
          </w:p>
        </w:tc>
        <w:tc>
          <w:tcPr>
            <w:tcW w:w="20" w:type="dxa"/>
            <w:vAlign w:val="bottom"/>
          </w:tcPr>
          <w:p>
            <w:pPr>
              <w:spacing w:after="0"/>
              <w:rPr>
                <w:sz w:val="17"/>
                <w:szCs w:val="17"/>
                <w:color w:val="auto"/>
              </w:rPr>
            </w:pPr>
          </w:p>
        </w:tc>
      </w:tr>
      <w:tr>
        <w:trPr>
          <w:trHeight w:val="41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4"/>
                <w:szCs w:val="24"/>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Non-GAAP operating margin</w:t>
            </w:r>
          </w:p>
        </w:tc>
        <w:tc>
          <w:tcPr>
            <w:tcW w:w="18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w:t>
            </w:r>
          </w:p>
        </w:tc>
      </w:tr>
      <w:tr>
        <w:trPr>
          <w:trHeight w:val="41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(38,776)</w:t>
            </w:r>
          </w:p>
        </w:tc>
        <w:tc>
          <w:tcPr>
            <w:tcW w:w="20" w:type="dxa"/>
            <w:vAlign w:val="bottom"/>
          </w:tcPr>
          <w:p>
            <w:pPr>
              <w:spacing w:after="0"/>
              <w:rPr>
                <w:sz w:val="24"/>
                <w:szCs w:val="24"/>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(11,854)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(28,330)</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(28,383)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(131,359)</w:t>
            </w:r>
          </w:p>
        </w:tc>
        <w:tc>
          <w:tcPr>
            <w:tcW w:w="2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17,460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126,831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123,299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190,714</w:t>
            </w:r>
          </w:p>
        </w:tc>
        <w:tc>
          <w:tcPr>
            <w:tcW w:w="20" w:type="dxa"/>
            <w:vAlign w:val="bottom"/>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Free cash flow</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(64,645)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(94,992)</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(81,943)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(65,482)</w:t>
            </w:r>
          </w:p>
        </w:tc>
        <w:tc>
          <w:tcPr>
            <w:tcW w:w="20" w:type="dxa"/>
            <w:vAlign w:val="bottom"/>
          </w:tcPr>
          <w:p>
            <w:pPr>
              <w:spacing w:after="0"/>
              <w:rPr>
                <w:sz w:val="17"/>
                <w:szCs w:val="17"/>
                <w:color w:val="auto"/>
              </w:rPr>
            </w:pPr>
          </w:p>
        </w:tc>
      </w:tr>
      <w:tr>
        <w:trPr>
          <w:trHeight w:val="422"/>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 as a percentage of</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199"/>
        </w:trPr>
        <w:tc>
          <w:tcPr>
            <w:tcW w:w="45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r>
      <w:tr>
        <w:trPr>
          <w:trHeight w:val="214"/>
        </w:trPr>
        <w:tc>
          <w:tcPr>
            <w:tcW w:w="4580" w:type="dxa"/>
            <w:vAlign w:val="bottom"/>
          </w:tcPr>
          <w:p>
            <w:pPr>
              <w:ind w:left="20"/>
              <w:spacing w:after="0"/>
              <w:rPr>
                <w:sz w:val="20"/>
                <w:szCs w:val="20"/>
                <w:color w:val="auto"/>
              </w:rPr>
            </w:pPr>
            <w:r>
              <w:rPr>
                <w:rFonts w:ascii="Arial" w:cs="Arial" w:eastAsia="Arial" w:hAnsi="Arial"/>
                <w:sz w:val="18"/>
                <w:szCs w:val="18"/>
                <w:color w:val="auto"/>
              </w:rPr>
              <w:t>Free cash flow margin</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Subscription Gross Profit and Non-GAAP Subscription Gross Margin</w:t>
      </w:r>
    </w:p>
    <w:p>
      <w:pPr>
        <w:spacing w:after="0" w:line="232" w:lineRule="exact"/>
        <w:rPr>
          <w:sz w:val="20"/>
          <w:szCs w:val="20"/>
          <w:color w:val="auto"/>
        </w:rPr>
      </w:pPr>
    </w:p>
    <w:p>
      <w:pPr>
        <w:ind w:right="200" w:firstLine="488"/>
        <w:spacing w:after="0" w:line="236" w:lineRule="auto"/>
        <w:rPr>
          <w:sz w:val="20"/>
          <w:szCs w:val="20"/>
          <w:color w:val="auto"/>
        </w:rPr>
      </w:pPr>
      <w:r>
        <w:rPr>
          <w:rFonts w:ascii="Arial" w:cs="Arial" w:eastAsia="Arial" w:hAnsi="Arial"/>
          <w:sz w:val="18"/>
          <w:szCs w:val="18"/>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211" w:lineRule="exact"/>
        <w:rPr>
          <w:sz w:val="20"/>
          <w:szCs w:val="20"/>
          <w:color w:val="auto"/>
        </w:rPr>
      </w:pPr>
    </w:p>
    <w:p>
      <w:pPr>
        <w:ind w:right="280" w:firstLine="484"/>
        <w:spacing w:after="0" w:line="239" w:lineRule="auto"/>
        <w:rPr>
          <w:sz w:val="20"/>
          <w:szCs w:val="20"/>
          <w:color w:val="auto"/>
        </w:rPr>
      </w:pPr>
      <w:r>
        <w:rPr>
          <w:rFonts w:ascii="Arial" w:cs="Arial" w:eastAsia="Arial" w:hAnsi="Arial"/>
          <w:sz w:val="18"/>
          <w:szCs w:val="18"/>
          <w:color w:val="auto"/>
        </w:rPr>
        <w:t>The following table presents a reconciliation of our non-GAAP subscription gross profit to our GAAP subscription gross profit and of our non-GAAP subscription gross margin to our GAAP subscription gross margin as of the periods presented:</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8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5"/>
                <w:szCs w:val="15"/>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50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 revenue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37,895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92,568</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60,074</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146,570</w:t>
            </w:r>
          </w:p>
        </w:tc>
      </w:tr>
      <w:tr>
        <w:trPr>
          <w:trHeight w:val="418"/>
        </w:trPr>
        <w:tc>
          <w:tcPr>
            <w:tcW w:w="5040" w:type="dxa"/>
            <w:vAlign w:val="bottom"/>
          </w:tcPr>
          <w:p>
            <w:pPr>
              <w:ind w:left="20"/>
              <w:spacing w:after="0"/>
              <w:rPr>
                <w:sz w:val="20"/>
                <w:szCs w:val="20"/>
                <w:color w:val="auto"/>
              </w:rPr>
            </w:pPr>
            <w:r>
              <w:rPr>
                <w:rFonts w:ascii="Arial" w:cs="Arial" w:eastAsia="Arial" w:hAnsi="Arial"/>
                <w:sz w:val="18"/>
                <w:szCs w:val="18"/>
                <w:color w:val="auto"/>
              </w:rPr>
              <w:t>Subscription 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13,517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52,711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34,574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99,493</w:t>
            </w:r>
          </w:p>
        </w:tc>
      </w:tr>
      <w:tr>
        <w:trPr>
          <w:trHeight w:val="203"/>
        </w:trPr>
        <w:tc>
          <w:tcPr>
            <w:tcW w:w="5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 Stock-based compensation expense</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534</w:t>
            </w:r>
          </w:p>
        </w:tc>
      </w:tr>
      <w:tr>
        <w:trPr>
          <w:trHeight w:val="203"/>
        </w:trPr>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Add: Amortization of acquired intangible assets</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97</w:t>
            </w:r>
          </w:p>
        </w:tc>
        <w:tc>
          <w:tcPr>
            <w:tcW w:w="1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287</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197</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222</w:t>
            </w:r>
          </w:p>
        </w:tc>
      </w:tr>
      <w:tr>
        <w:trPr>
          <w:trHeight w:val="20"/>
        </w:trPr>
        <w:tc>
          <w:tcPr>
            <w:tcW w:w="5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subscription gross profit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13,664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53,087</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34,844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100,249</w:t>
            </w: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3660" w:type="dxa"/>
            <w:vAlign w:val="bottom"/>
          </w:tcPr>
          <w:p>
            <w:pPr>
              <w:ind w:left="20"/>
              <w:spacing w:after="0" w:line="202" w:lineRule="exact"/>
              <w:rPr>
                <w:sz w:val="20"/>
                <w:szCs w:val="20"/>
                <w:color w:val="auto"/>
              </w:rPr>
            </w:pPr>
            <w:r>
              <w:rPr>
                <w:rFonts w:ascii="Arial" w:cs="Arial" w:eastAsia="Arial" w:hAnsi="Arial"/>
                <w:sz w:val="18"/>
                <w:szCs w:val="18"/>
                <w:color w:val="auto"/>
              </w:rPr>
              <w:t>Subscription gross margin</w:t>
            </w:r>
          </w:p>
        </w:tc>
        <w:tc>
          <w:tcPr>
            <w:tcW w:w="26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36%</w:t>
            </w:r>
          </w:p>
        </w:tc>
        <w:tc>
          <w:tcPr>
            <w:tcW w:w="96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57%</w:t>
            </w:r>
          </w:p>
        </w:tc>
        <w:tc>
          <w:tcPr>
            <w:tcW w:w="10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58%</w:t>
            </w:r>
          </w:p>
        </w:tc>
        <w:tc>
          <w:tcPr>
            <w:tcW w:w="1840" w:type="dxa"/>
            <w:vAlign w:val="bottom"/>
            <w:gridSpan w:val="2"/>
          </w:tcPr>
          <w:p>
            <w:pPr>
              <w:jc w:val="right"/>
              <w:ind w:right="1140"/>
              <w:spacing w:after="0" w:line="202" w:lineRule="exact"/>
              <w:rPr>
                <w:sz w:val="20"/>
                <w:szCs w:val="20"/>
                <w:color w:val="auto"/>
              </w:rPr>
            </w:pPr>
            <w:r>
              <w:rPr>
                <w:rFonts w:ascii="Arial" w:cs="Arial" w:eastAsia="Arial" w:hAnsi="Arial"/>
                <w:sz w:val="18"/>
                <w:szCs w:val="18"/>
                <w:color w:val="auto"/>
              </w:rPr>
              <w:t>68%</w:t>
            </w:r>
          </w:p>
        </w:tc>
      </w:tr>
      <w:tr>
        <w:trPr>
          <w:trHeight w:val="203"/>
        </w:trPr>
        <w:tc>
          <w:tcPr>
            <w:tcW w:w="1120" w:type="dxa"/>
            <w:vAlign w:val="bottom"/>
          </w:tcPr>
          <w:p>
            <w:pPr>
              <w:spacing w:after="0"/>
              <w:rPr>
                <w:sz w:val="17"/>
                <w:szCs w:val="17"/>
                <w:color w:val="auto"/>
              </w:rPr>
            </w:pPr>
          </w:p>
        </w:tc>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Non-GAAP subscription gross margin</w:t>
            </w:r>
          </w:p>
        </w:tc>
        <w:tc>
          <w:tcPr>
            <w:tcW w:w="264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36%</w:t>
            </w:r>
          </w:p>
        </w:tc>
        <w:tc>
          <w:tcPr>
            <w:tcW w:w="96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57%</w:t>
            </w:r>
          </w:p>
        </w:tc>
        <w:tc>
          <w:tcPr>
            <w:tcW w:w="10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58%</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1140" w:type="dxa"/>
            <w:vAlign w:val="bottom"/>
          </w:tcPr>
          <w:p>
            <w:pPr>
              <w:spacing w:after="0"/>
              <w:rPr>
                <w:sz w:val="17"/>
                <w:szCs w:val="17"/>
                <w:color w:val="auto"/>
              </w:rPr>
            </w:pPr>
          </w:p>
        </w:tc>
      </w:tr>
      <w:tr>
        <w:trPr>
          <w:trHeight w:val="430"/>
        </w:trPr>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40" w:type="dxa"/>
            <w:vAlign w:val="bottom"/>
          </w:tcPr>
          <w:p>
            <w:pPr>
              <w:jc w:val="right"/>
              <w:ind w:right="1612"/>
              <w:spacing w:after="0"/>
              <w:rPr>
                <w:sz w:val="20"/>
                <w:szCs w:val="20"/>
                <w:color w:val="auto"/>
              </w:rPr>
            </w:pPr>
            <w:r>
              <w:rPr>
                <w:rFonts w:ascii="Arial" w:cs="Arial" w:eastAsia="Arial" w:hAnsi="Arial"/>
                <w:sz w:val="18"/>
                <w:szCs w:val="18"/>
                <w:color w:val="auto"/>
              </w:rPr>
              <w:t>81</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3660" w:type="dxa"/>
            <w:vAlign w:val="bottom"/>
            <w:tcBorders>
              <w:bottom w:val="single" w:sz="8" w:color="808080"/>
            </w:tcBorders>
          </w:tcPr>
          <w:p>
            <w:pPr>
              <w:spacing w:after="0"/>
              <w:rPr>
                <w:sz w:val="18"/>
                <w:szCs w:val="18"/>
                <w:color w:val="auto"/>
              </w:rPr>
            </w:pPr>
          </w:p>
        </w:tc>
        <w:tc>
          <w:tcPr>
            <w:tcW w:w="26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3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We define non-GAAP loss from operations and non-GAAP operating margin as GAAP loss from operations and GAAP operating margin, respectively, excluding stock-based compensation expense, amortization of acquired intangible assets, and acquisition-related expenses. We believe non-GAAP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211" w:lineRule="exact"/>
        <w:rPr>
          <w:sz w:val="20"/>
          <w:szCs w:val="20"/>
          <w:color w:val="auto"/>
        </w:rPr>
      </w:pPr>
    </w:p>
    <w:p>
      <w:pPr>
        <w:ind w:right="80" w:firstLine="484"/>
        <w:spacing w:after="0" w:line="239" w:lineRule="auto"/>
        <w:rPr>
          <w:sz w:val="20"/>
          <w:szCs w:val="20"/>
          <w:color w:val="auto"/>
        </w:rPr>
      </w:pPr>
      <w:r>
        <w:rPr>
          <w:rFonts w:ascii="Arial" w:cs="Arial" w:eastAsia="Arial" w:hAnsi="Arial"/>
          <w:sz w:val="18"/>
          <w:szCs w:val="18"/>
          <w:color w:val="auto"/>
        </w:rPr>
        <w:t>The following table presents a reconciliation of our non-GAAP loss from operations to our GAAP loss from operations and our non-GAAP operating margin to our GAAP operating margin as of the periods presented:</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5"/>
                <w:szCs w:val="15"/>
                <w:color w:val="auto"/>
              </w:rPr>
            </w:pPr>
          </w:p>
        </w:tc>
        <w:tc>
          <w:tcPr>
            <w:tcW w:w="20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52,745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118,752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80,035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169,369</w:t>
            </w:r>
          </w:p>
        </w:tc>
        <w:tc>
          <w:tcPr>
            <w:tcW w:w="0" w:type="dxa"/>
            <w:vAlign w:val="bottom"/>
          </w:tcPr>
          <w:p>
            <w:pPr>
              <w:spacing w:after="0"/>
              <w:rPr>
                <w:sz w:val="1"/>
                <w:szCs w:val="1"/>
                <w:color w:val="auto"/>
              </w:rPr>
            </w:pPr>
          </w:p>
        </w:tc>
      </w:tr>
      <w:tr>
        <w:trPr>
          <w:trHeight w:val="418"/>
        </w:trPr>
        <w:tc>
          <w:tcPr>
            <w:tcW w:w="44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(90,556)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(131,440)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(94,673)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(105,632)</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 Stock-based compensation expense</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1,994</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12,343</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11,005</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17,403</w:t>
            </w:r>
          </w:p>
        </w:tc>
        <w:tc>
          <w:tcPr>
            <w:tcW w:w="0" w:type="dxa"/>
            <w:vAlign w:val="bottom"/>
          </w:tcPr>
          <w:p>
            <w:pPr>
              <w:spacing w:after="0"/>
              <w:rPr>
                <w:sz w:val="1"/>
                <w:szCs w:val="1"/>
                <w:color w:val="auto"/>
              </w:rPr>
            </w:pPr>
          </w:p>
        </w:tc>
      </w:tr>
      <w:tr>
        <w:trPr>
          <w:trHeight w:val="203"/>
        </w:trPr>
        <w:tc>
          <w:tcPr>
            <w:tcW w:w="4440" w:type="dxa"/>
            <w:vAlign w:val="bottom"/>
          </w:tcPr>
          <w:p>
            <w:pPr>
              <w:ind w:left="200"/>
              <w:spacing w:after="0" w:line="202" w:lineRule="exact"/>
              <w:rPr>
                <w:sz w:val="20"/>
                <w:szCs w:val="20"/>
                <w:color w:val="auto"/>
              </w:rPr>
            </w:pPr>
            <w:r>
              <w:rPr>
                <w:rFonts w:ascii="Arial" w:cs="Arial" w:eastAsia="Arial" w:hAnsi="Arial"/>
                <w:sz w:val="18"/>
                <w:szCs w:val="18"/>
                <w:color w:val="auto"/>
              </w:rPr>
              <w:t>Add: Amortization of acquired intangible assets</w:t>
            </w:r>
          </w:p>
        </w:tc>
        <w:tc>
          <w:tcPr>
            <w:tcW w:w="20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97</w:t>
            </w:r>
          </w:p>
        </w:tc>
        <w:tc>
          <w:tcPr>
            <w:tcW w:w="18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628</w:t>
            </w:r>
          </w:p>
        </w:tc>
        <w:tc>
          <w:tcPr>
            <w:tcW w:w="18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197</w:t>
            </w:r>
          </w:p>
        </w:tc>
        <w:tc>
          <w:tcPr>
            <w:tcW w:w="16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 Acquisition-related expenses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Non-GAAP loss from operations</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vMerge w:val="continue"/>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(88,465)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(118,302)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(83,304)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(87,794)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Operating margin</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4"/>
        </w:trPr>
        <w:tc>
          <w:tcPr>
            <w:tcW w:w="444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32"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Free cash flow is a non-GAAP financial measure that we define as net cash used in operating activities less purchases of property and equipment, capitalized internal-use software, acquisition of intangible assets, and cash used for business combinations.</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Free cash flow margin is calculated as free cash flow divided by total revenue. We believe that free cash flow and free cash flow margin are useful indicators of liquidity that provide information to management and investors, even if negative, as they provide useful information about the amount of cash consumed by our operating activities that is not available to be used for purchases of property and equipment and other strategic initiatives. For example, as free cash flow is negative, we will need to access cash reserves or other sources of capital for these investments. One limitation of free cash flow and free cash flow margin is that they do not reflect our future contractual commitments. Additionally, free cash flow does not represent the total increase or decrease in our cash balance for a given period.</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reconciliation of free cash flow and free cash flow margin to net cash used in operating activities: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5"/>
                <w:szCs w:val="15"/>
                <w:color w:val="auto"/>
              </w:rPr>
            </w:pPr>
          </w:p>
        </w:tc>
        <w:tc>
          <w:tcPr>
            <w:tcW w:w="20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52,745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118,752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80,035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169,369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6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(51,998)</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(58,766)</w:t>
            </w: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(52,041)</w:t>
            </w:r>
          </w:p>
        </w:tc>
        <w:tc>
          <w:tcPr>
            <w:tcW w:w="1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(38,776)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Purchases of property and equipment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(6,591)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(22,906)</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(19,461)</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(21,664)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line="202" w:lineRule="exact"/>
              <w:rPr>
                <w:sz w:val="20"/>
                <w:szCs w:val="20"/>
                <w:color w:val="auto"/>
              </w:rPr>
            </w:pPr>
            <w:r>
              <w:rPr>
                <w:rFonts w:ascii="Arial" w:cs="Arial" w:eastAsia="Arial" w:hAnsi="Arial"/>
                <w:sz w:val="18"/>
                <w:szCs w:val="18"/>
                <w:color w:val="auto"/>
              </w:rPr>
              <w:t>Less: Capitalized internal-use software</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(5,556)</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(6,542)</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(3,663)</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Less: Acquisition of intangible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line="202" w:lineRule="exact"/>
              <w:rPr>
                <w:sz w:val="20"/>
                <w:szCs w:val="20"/>
                <w:color w:val="auto"/>
              </w:rPr>
            </w:pPr>
            <w:r>
              <w:rPr>
                <w:rFonts w:ascii="Arial" w:cs="Arial" w:eastAsia="Arial" w:hAnsi="Arial"/>
                <w:sz w:val="18"/>
                <w:szCs w:val="18"/>
                <w:color w:val="auto"/>
              </w:rPr>
              <w:t>Less: Cash used for business combinations</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(6,471)</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(6,471)</w:t>
            </w:r>
          </w:p>
        </w:tc>
        <w:tc>
          <w:tcPr>
            <w:tcW w:w="160" w:type="dxa"/>
            <w:vAlign w:val="bottom"/>
          </w:tcPr>
          <w:p>
            <w:pPr>
              <w:spacing w:after="0"/>
              <w:rPr>
                <w:sz w:val="17"/>
                <w:szCs w:val="17"/>
                <w:color w:val="auto"/>
              </w:rPr>
            </w:pPr>
          </w:p>
        </w:tc>
        <w:tc>
          <w:tcPr>
            <w:tcW w:w="9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Free cash flow</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(64,645)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(94,992)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(81,943)</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(65,482)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(11,854)</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(28,330)</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(28,383)</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(131,359)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17,460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126,831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123,299</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190,714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tcPr>
          <w:p>
            <w:pPr>
              <w:ind w:left="20"/>
              <w:spacing w:after="0" w:line="206" w:lineRule="exact"/>
              <w:rPr>
                <w:sz w:val="20"/>
                <w:szCs w:val="20"/>
                <w:color w:val="auto"/>
              </w:rPr>
            </w:pPr>
            <w:r>
              <w:rPr>
                <w:rFonts w:ascii="Arial" w:cs="Arial" w:eastAsia="Arial" w:hAnsi="Arial"/>
                <w:sz w:val="18"/>
                <w:szCs w:val="18"/>
                <w:color w:val="auto"/>
              </w:rPr>
              <w:t>Net cash used in operating activities as a percentage of</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00"/>
              <w:spacing w:after="0" w:line="200" w:lineRule="exact"/>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7"/>
                <w:szCs w:val="17"/>
                <w:color w:val="auto"/>
              </w:rPr>
            </w:pPr>
          </w:p>
        </w:tc>
        <w:tc>
          <w:tcPr>
            <w:tcW w:w="8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(99)%</w:t>
            </w:r>
          </w:p>
        </w:tc>
        <w:tc>
          <w:tcPr>
            <w:tcW w:w="160" w:type="dxa"/>
            <w:vAlign w:val="bottom"/>
          </w:tcPr>
          <w:p>
            <w:pPr>
              <w:spacing w:after="0"/>
              <w:rPr>
                <w:sz w:val="17"/>
                <w:szCs w:val="17"/>
                <w:color w:val="auto"/>
              </w:rPr>
            </w:pP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(49)%</w:t>
            </w:r>
          </w:p>
        </w:tc>
        <w:tc>
          <w:tcPr>
            <w:tcW w:w="160" w:type="dxa"/>
            <w:vAlign w:val="bottom"/>
          </w:tcPr>
          <w:p>
            <w:pPr>
              <w:spacing w:after="0"/>
              <w:rPr>
                <w:sz w:val="17"/>
                <w:szCs w:val="17"/>
                <w:color w:val="auto"/>
              </w:rPr>
            </w:pP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7"/>
                <w:szCs w:val="17"/>
                <w:color w:val="auto"/>
              </w:rPr>
            </w:pPr>
          </w:p>
        </w:tc>
        <w:tc>
          <w:tcPr>
            <w:tcW w:w="9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Less: Purchases of property and equipment as a</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rPr>
              <w:t>percentage of revenue</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tcPr>
          <w:p>
            <w:pPr>
              <w:ind w:left="200"/>
              <w:spacing w:after="0" w:line="206" w:lineRule="exact"/>
              <w:rPr>
                <w:sz w:val="20"/>
                <w:szCs w:val="20"/>
                <w:color w:val="auto"/>
              </w:rPr>
            </w:pPr>
            <w:r>
              <w:rPr>
                <w:rFonts w:ascii="Arial" w:cs="Arial" w:eastAsia="Arial" w:hAnsi="Arial"/>
                <w:sz w:val="18"/>
                <w:szCs w:val="18"/>
                <w:color w:val="auto"/>
              </w:rPr>
              <w:t>Less: Capitalized internal-use software as a</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380"/>
              <w:spacing w:after="0" w:line="200" w:lineRule="exact"/>
              <w:rPr>
                <w:sz w:val="20"/>
                <w:szCs w:val="20"/>
                <w:color w:val="auto"/>
              </w:rPr>
            </w:pPr>
            <w:r>
              <w:rPr>
                <w:rFonts w:ascii="Arial" w:cs="Arial" w:eastAsia="Arial" w:hAnsi="Arial"/>
                <w:sz w:val="18"/>
                <w:szCs w:val="18"/>
                <w:color w:val="auto"/>
              </w:rPr>
              <w:t>percentage of revenue</w:t>
            </w:r>
          </w:p>
        </w:tc>
        <w:tc>
          <w:tcPr>
            <w:tcW w:w="180" w:type="dxa"/>
            <w:vAlign w:val="bottom"/>
          </w:tcPr>
          <w:p>
            <w:pPr>
              <w:spacing w:after="0"/>
              <w:rPr>
                <w:sz w:val="17"/>
                <w:szCs w:val="17"/>
                <w:color w:val="auto"/>
              </w:rPr>
            </w:pPr>
          </w:p>
        </w:tc>
        <w:tc>
          <w:tcPr>
            <w:tcW w:w="8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9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Less: Acquisition of intangible assets as a percentage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rPr>
              <w:t>of revenue</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tcPr>
          <w:p>
            <w:pPr>
              <w:ind w:left="200"/>
              <w:spacing w:after="0" w:line="206" w:lineRule="exact"/>
              <w:rPr>
                <w:sz w:val="20"/>
                <w:szCs w:val="20"/>
                <w:color w:val="auto"/>
              </w:rPr>
            </w:pPr>
            <w:r>
              <w:rPr>
                <w:rFonts w:ascii="Arial" w:cs="Arial" w:eastAsia="Arial" w:hAnsi="Arial"/>
                <w:sz w:val="18"/>
                <w:szCs w:val="18"/>
                <w:color w:val="auto"/>
              </w:rPr>
              <w:t>Less: Cash used for business combinations as a</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380"/>
              <w:spacing w:after="0" w:line="200" w:lineRule="exact"/>
              <w:rPr>
                <w:sz w:val="20"/>
                <w:szCs w:val="20"/>
                <w:color w:val="auto"/>
              </w:rPr>
            </w:pPr>
            <w:r>
              <w:rPr>
                <w:rFonts w:ascii="Arial" w:cs="Arial" w:eastAsia="Arial" w:hAnsi="Arial"/>
                <w:sz w:val="18"/>
                <w:szCs w:val="18"/>
                <w:color w:val="auto"/>
              </w:rPr>
              <w:t>percentage of revenue</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0%</w:t>
            </w:r>
          </w:p>
        </w:tc>
        <w:tc>
          <w:tcPr>
            <w:tcW w:w="160" w:type="dxa"/>
            <w:vAlign w:val="bottom"/>
          </w:tcPr>
          <w:p>
            <w:pPr>
              <w:spacing w:after="0"/>
              <w:rPr>
                <w:sz w:val="17"/>
                <w:szCs w:val="17"/>
                <w:color w:val="auto"/>
              </w:rPr>
            </w:pP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9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96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Free cash flow margin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4"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Subscription revenue primarily consists of subscription fees for our Falcon platform and additional cloud modules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supported by our cloud-based platform. Subscription revenue is driven primarily by the number of subscription customers, the number of endpoints per customer, and the number of cloud modules included in the subscription. We recognize subscription revenue ratably over the life of the contract, which is generally one year. Because our subscription customers are generally billed upfront, we have recorded significant deferred revenue. Consequently, a substantial portion of the revenue that we report in each period is attributable to the recognition of deferred revenue relating to subscriptions that we entered into during previous periods.</w:t>
      </w:r>
    </w:p>
    <w:p>
      <w:pPr>
        <w:spacing w:after="0" w:line="194" w:lineRule="exact"/>
        <w:rPr>
          <w:sz w:val="20"/>
          <w:szCs w:val="20"/>
          <w:color w:val="auto"/>
        </w:rPr>
      </w:pPr>
    </w:p>
    <w:p>
      <w:pPr>
        <w:ind w:firstLine="488"/>
        <w:spacing w:after="0" w:line="241"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Professional services revenue includes incident response and proactive services, forensic and malware</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We recognize revenue when the following criteria are met: there is evidence that an arrangement exists, work has been performed, the fee is fixed or determinable, and collectability is reasonably assured. We recognize revenue upon determination that all these criteria have been met. Revenue for time and materials arrangements is recognized as services are performed. For professional services fixed fee contracts, we recognize revenue by applying the proportional performance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4" w:lineRule="exact"/>
        <w:rPr>
          <w:sz w:val="20"/>
          <w:szCs w:val="20"/>
          <w:color w:val="auto"/>
        </w:rPr>
      </w:pPr>
    </w:p>
    <w:p>
      <w:pPr>
        <w:ind w:right="260" w:firstLine="488"/>
        <w:spacing w:after="0" w:line="243" w:lineRule="auto"/>
        <w:rPr>
          <w:sz w:val="20"/>
          <w:szCs w:val="20"/>
          <w:color w:val="auto"/>
        </w:rPr>
      </w:pPr>
      <w:r>
        <w:rPr>
          <w:rFonts w:ascii="Arial" w:cs="Arial" w:eastAsia="Arial" w:hAnsi="Arial"/>
          <w:sz w:val="18"/>
          <w:szCs w:val="18"/>
          <w:i w:val="1"/>
          <w:iCs w:val="1"/>
          <w:color w:val="auto"/>
        </w:rPr>
        <w:t xml:space="preserve">Subscription Cost of Revenue. </w:t>
      </w:r>
      <w:r>
        <w:rPr>
          <w:rFonts w:ascii="Arial" w:cs="Arial" w:eastAsia="Arial" w:hAnsi="Arial"/>
          <w:sz w:val="18"/>
          <w:szCs w:val="18"/>
          <w:color w:val="auto"/>
        </w:rPr>
        <w:t>Subscription cost of revenue consists primarily of costs related to hosting our cloud-based Falcon</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in data centers, amortization of our capitalized internal-use software, employee-related costs such as salaries, bonuses, stock-based compensation expense, benefits costs associated with our operations and support personnel, software license fees, property and equipment depreciation, and an allocated portion of facilities and administrative costs.</w:t>
      </w:r>
    </w:p>
    <w:p>
      <w:pPr>
        <w:spacing w:after="0" w:line="206"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93" w:lineRule="exact"/>
        <w:rPr>
          <w:sz w:val="20"/>
          <w:szCs w:val="20"/>
          <w:color w:val="auto"/>
        </w:rPr>
      </w:pPr>
    </w:p>
    <w:p>
      <w:pPr>
        <w:ind w:right="120" w:firstLine="488"/>
        <w:spacing w:after="0" w:line="260" w:lineRule="auto"/>
        <w:rPr>
          <w:sz w:val="20"/>
          <w:szCs w:val="20"/>
          <w:color w:val="auto"/>
        </w:rPr>
      </w:pPr>
      <w:r>
        <w:rPr>
          <w:rFonts w:ascii="Arial" w:cs="Arial" w:eastAsia="Arial" w:hAnsi="Arial"/>
          <w:sz w:val="18"/>
          <w:szCs w:val="18"/>
          <w:i w:val="1"/>
          <w:iCs w:val="1"/>
          <w:color w:val="auto"/>
        </w:rPr>
        <w:t xml:space="preserve">Professional Services Cost of Revenue. </w:t>
      </w:r>
      <w:r>
        <w:rPr>
          <w:rFonts w:ascii="Arial" w:cs="Arial" w:eastAsia="Arial" w:hAnsi="Arial"/>
          <w:sz w:val="18"/>
          <w:szCs w:val="18"/>
          <w:color w:val="auto"/>
        </w:rPr>
        <w:t>Professional services cost of revenue consists primarily of employee-related costs,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depreciation, and an allocated portion of facilities and administrative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32" w:lineRule="exact"/>
        <w:rPr>
          <w:sz w:val="20"/>
          <w:szCs w:val="20"/>
          <w:color w:val="auto"/>
        </w:rPr>
      </w:pPr>
    </w:p>
    <w:p>
      <w:pPr>
        <w:ind w:right="120" w:firstLine="488"/>
        <w:spacing w:after="0" w:line="235" w:lineRule="auto"/>
        <w:rPr>
          <w:sz w:val="20"/>
          <w:szCs w:val="20"/>
          <w:color w:val="auto"/>
        </w:rPr>
      </w:pPr>
      <w:r>
        <w:rPr>
          <w:rFonts w:ascii="Arial" w:cs="Arial" w:eastAsia="Arial" w:hAnsi="Arial"/>
          <w:sz w:val="18"/>
          <w:szCs w:val="18"/>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2" w:lineRule="exact"/>
        <w:rPr>
          <w:sz w:val="20"/>
          <w:szCs w:val="20"/>
          <w:color w:val="auto"/>
        </w:rPr>
      </w:pPr>
    </w:p>
    <w:p>
      <w:pPr>
        <w:ind w:right="260" w:firstLine="488"/>
        <w:spacing w:after="0" w:line="237" w:lineRule="auto"/>
        <w:rPr>
          <w:sz w:val="20"/>
          <w:szCs w:val="20"/>
          <w:color w:val="auto"/>
        </w:rPr>
      </w:pPr>
      <w:r>
        <w:rPr>
          <w:rFonts w:ascii="Arial" w:cs="Arial" w:eastAsia="Arial" w:hAnsi="Arial"/>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benefit costs, bonuses, sales commissions, travel and entertainment related expenses, and stock-based compensation expense. Operating expenses also include an allocated portion of overhead costs for facilities, IT, and depreciation expense.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primarily consist of employee-related expenses. Sales and marketing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also include expenses related to our Fal.Con customer conference and other marketing events and an allocated portion of facilities and administrative expenses. Incremental expenses to obtain a subscription contract, such as sales commissions, are capitalized and amortized over the term of the subscription. We currently amortize sales commissions on a straight-line basis to sales and marketing expense over the term of the subscription. Once we adopt ASC 606 in the fiscal year ending January 31, 2020, sales commissions and any other incremental expenses to obtain a subscription that are paid upon the initial acquisition of a subscription will be amortized to sales and marketing expense over the estimated customer life, and any such expenses paid for the renewal of a subscription will be amortized to sales and marketing expense over the term of the renewal.</w:t>
      </w:r>
    </w:p>
    <w:p>
      <w:pPr>
        <w:spacing w:after="0" w:line="212" w:lineRule="exact"/>
        <w:rPr>
          <w:sz w:val="20"/>
          <w:szCs w:val="20"/>
          <w:color w:val="auto"/>
        </w:rPr>
      </w:pPr>
    </w:p>
    <w:p>
      <w:pPr>
        <w:ind w:right="300" w:firstLine="488"/>
        <w:spacing w:after="0" w:line="239" w:lineRule="auto"/>
        <w:rPr>
          <w:sz w:val="20"/>
          <w:szCs w:val="20"/>
          <w:color w:val="auto"/>
        </w:rPr>
      </w:pPr>
      <w:r>
        <w:rPr>
          <w:rFonts w:ascii="Arial" w:cs="Arial" w:eastAsia="Arial" w:hAnsi="Arial"/>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w:t>
      </w:r>
    </w:p>
    <w:p>
      <w:pPr>
        <w:spacing w:after="0" w:line="191" w:lineRule="exact"/>
        <w:rPr>
          <w:sz w:val="20"/>
          <w:szCs w:val="20"/>
          <w:color w:val="auto"/>
        </w:rPr>
      </w:pPr>
    </w:p>
    <w:p>
      <w:pPr>
        <w:ind w:right="180" w:firstLine="488"/>
        <w:spacing w:after="0" w:line="243"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primarily consist of employee-related expenses,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206" w:lineRule="exact"/>
        <w:rPr>
          <w:sz w:val="20"/>
          <w:szCs w:val="20"/>
          <w:color w:val="auto"/>
        </w:rPr>
      </w:pPr>
    </w:p>
    <w:p>
      <w:pPr>
        <w:ind w:right="180" w:firstLine="488"/>
        <w:spacing w:after="0" w:line="237" w:lineRule="auto"/>
        <w:rPr>
          <w:sz w:val="20"/>
          <w:szCs w:val="20"/>
          <w:color w:val="auto"/>
        </w:rPr>
      </w:pPr>
      <w:r>
        <w:rPr>
          <w:rFonts w:ascii="Arial" w:cs="Arial" w:eastAsia="Arial" w:hAnsi="Arial"/>
          <w:sz w:val="18"/>
          <w:szCs w:val="18"/>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90"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of employee-related expenses and related expenses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finance, human resources, and legal organizations. In addition, general and administrative expenses include outside legal, accounting, and other professional fees, and an allocated portion of facilities and administrative expenses. Following the completion of this offering, we expect to incur additional expenses as a result of operating as a public company. As a result, we expect our general and administrative expenses to increase in dollar amount. However, we anticipate general and administrative expenses to decrease as a percentage of our total revenue over time.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right="240" w:firstLine="484"/>
        <w:spacing w:after="0" w:line="239" w:lineRule="auto"/>
        <w:rPr>
          <w:sz w:val="20"/>
          <w:szCs w:val="20"/>
          <w:color w:val="auto"/>
        </w:rPr>
      </w:pPr>
      <w:r>
        <w:rPr>
          <w:rFonts w:ascii="Arial" w:cs="Arial" w:eastAsia="Arial" w:hAnsi="Arial"/>
          <w:sz w:val="18"/>
          <w:szCs w:val="18"/>
          <w:color w:val="auto"/>
        </w:rPr>
        <w:t>The following tables set forth our consolidated statements of operations in dollar amounts and as a percentage of total revenue for each period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October 31, 2017 and 2018</w:t>
      </w:r>
    </w:p>
    <w:p>
      <w:pPr>
        <w:spacing w:after="0" w:line="232" w:lineRule="exact"/>
        <w:rPr>
          <w:sz w:val="20"/>
          <w:szCs w:val="20"/>
          <w:color w:val="auto"/>
        </w:rPr>
      </w:pPr>
    </w:p>
    <w:p>
      <w:pPr>
        <w:ind w:right="300" w:firstLine="484"/>
        <w:spacing w:after="0" w:line="239" w:lineRule="auto"/>
        <w:rPr>
          <w:sz w:val="20"/>
          <w:szCs w:val="20"/>
          <w:color w:val="auto"/>
        </w:rPr>
      </w:pPr>
      <w:r>
        <w:rPr>
          <w:rFonts w:ascii="Arial" w:cs="Arial" w:eastAsia="Arial" w:hAnsi="Arial"/>
          <w:sz w:val="18"/>
          <w:szCs w:val="18"/>
          <w:color w:val="auto"/>
        </w:rPr>
        <w:t>The following table summarizes our results of operations for the nine months ended October 31, 2017 as compared to the nine months ended October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5"/>
          </w:tcPr>
          <w:p>
            <w:pPr>
              <w:ind w:left="1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9"/>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28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Subscription</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60,074</w:t>
            </w:r>
          </w:p>
        </w:tc>
        <w:tc>
          <w:tcPr>
            <w:tcW w:w="220" w:type="dxa"/>
            <w:vAlign w:val="bottom"/>
          </w:tcPr>
          <w:p>
            <w:pPr>
              <w:jc w:val="right"/>
              <w:ind w:right="18"/>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146,570</w:t>
            </w:r>
          </w:p>
        </w:tc>
        <w:tc>
          <w:tcPr>
            <w:tcW w:w="200" w:type="dxa"/>
            <w:vAlign w:val="bottom"/>
            <w:gridSpan w:val="2"/>
          </w:tcPr>
          <w:p>
            <w:pPr>
              <w:jc w:val="center"/>
              <w:ind w:left="23"/>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72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w w:val="98"/>
              </w:rPr>
              <w:t>86,496</w:t>
            </w:r>
          </w:p>
        </w:tc>
        <w:tc>
          <w:tcPr>
            <w:tcW w:w="80" w:type="dxa"/>
            <w:vAlign w:val="bottom"/>
          </w:tcPr>
          <w:p>
            <w:pPr>
              <w:spacing w:after="0"/>
              <w:rPr>
                <w:sz w:val="17"/>
                <w:szCs w:val="17"/>
                <w:color w:val="auto"/>
              </w:rPr>
            </w:pPr>
          </w:p>
        </w:tc>
        <w:tc>
          <w:tcPr>
            <w:tcW w:w="7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144%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Professional services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19,961</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22,799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2,838</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gridSpan w:val="3"/>
            <w:vMerge w:val="restart"/>
          </w:tcPr>
          <w:p>
            <w:pPr>
              <w:ind w:left="180"/>
              <w:spacing w:after="0"/>
              <w:rPr>
                <w:sz w:val="20"/>
                <w:szCs w:val="20"/>
                <w:color w:val="auto"/>
              </w:rPr>
            </w:pPr>
            <w:r>
              <w:rPr>
                <w:rFonts w:ascii="Arial" w:cs="Arial" w:eastAsia="Arial" w:hAnsi="Arial"/>
                <w:sz w:val="18"/>
                <w:szCs w:val="18"/>
                <w:color w:val="auto"/>
              </w:rPr>
              <w:t>Total revenue</w:t>
            </w: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112%</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80,035</w:t>
            </w:r>
          </w:p>
        </w:tc>
        <w:tc>
          <w:tcPr>
            <w:tcW w:w="220" w:type="dxa"/>
            <w:vAlign w:val="bottom"/>
          </w:tcPr>
          <w:p>
            <w:pPr>
              <w:spacing w:after="0"/>
              <w:rPr>
                <w:sz w:val="17"/>
                <w:szCs w:val="17"/>
                <w:color w:val="auto"/>
              </w:rPr>
            </w:pPr>
          </w:p>
        </w:tc>
        <w:tc>
          <w:tcPr>
            <w:tcW w:w="84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169,369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w w:val="98"/>
              </w:rPr>
              <w:t>89,334</w:t>
            </w:r>
          </w:p>
        </w:tc>
        <w:tc>
          <w:tcPr>
            <w:tcW w:w="8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4280" w:type="dxa"/>
            <w:vAlign w:val="bottom"/>
            <w:gridSpan w:val="4"/>
            <w:shd w:val="clear" w:color="auto" w:fill="CCEEFF"/>
          </w:tcPr>
          <w:p>
            <w:pPr>
              <w:ind w:left="20"/>
              <w:spacing w:after="0" w:line="236" w:lineRule="exact"/>
              <w:rPr>
                <w:sz w:val="20"/>
                <w:szCs w:val="20"/>
                <w:color w:val="auto"/>
              </w:rPr>
            </w:pPr>
            <w:r>
              <w:rPr>
                <w:rFonts w:ascii="Arial" w:cs="Arial" w:eastAsia="Arial" w:hAnsi="Arial"/>
                <w:sz w:val="17"/>
                <w:szCs w:val="17"/>
                <w:color w:val="auto"/>
              </w:rPr>
              <w:t>Cost of revenue</w:t>
            </w:r>
            <w:r>
              <w:rPr>
                <w:rFonts w:ascii="Arial" w:cs="Arial" w:eastAsia="Arial" w:hAnsi="Arial"/>
                <w:sz w:val="27"/>
                <w:szCs w:val="27"/>
                <w:color w:val="auto"/>
                <w:vertAlign w:val="superscript"/>
              </w:rPr>
              <w:t>(1)</w:t>
            </w:r>
          </w:p>
        </w:tc>
        <w:tc>
          <w:tcPr>
            <w:tcW w:w="6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Subscription</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25,500</w:t>
            </w:r>
          </w:p>
        </w:tc>
        <w:tc>
          <w:tcPr>
            <w:tcW w:w="22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47,077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w w:val="98"/>
              </w:rPr>
              <w:t>21,577</w:t>
            </w:r>
          </w:p>
        </w:tc>
        <w:tc>
          <w:tcPr>
            <w:tcW w:w="80" w:type="dxa"/>
            <w:vAlign w:val="bottom"/>
          </w:tcPr>
          <w:p>
            <w:pPr>
              <w:spacing w:after="0"/>
              <w:rPr>
                <w:sz w:val="17"/>
                <w:szCs w:val="17"/>
                <w:color w:val="auto"/>
              </w:rPr>
            </w:pPr>
          </w:p>
        </w:tc>
        <w:tc>
          <w:tcPr>
            <w:tcW w:w="7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85%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Professional services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9,816</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3,350</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gridSpan w:val="3"/>
            <w:vMerge w:val="restart"/>
          </w:tcPr>
          <w:p>
            <w:pPr>
              <w:ind w:left="180"/>
              <w:spacing w:after="0"/>
              <w:rPr>
                <w:sz w:val="20"/>
                <w:szCs w:val="20"/>
                <w:color w:val="auto"/>
              </w:rPr>
            </w:pPr>
            <w:r>
              <w:rPr>
                <w:rFonts w:ascii="Arial" w:cs="Arial" w:eastAsia="Arial" w:hAnsi="Arial"/>
                <w:sz w:val="18"/>
                <w:szCs w:val="18"/>
                <w:color w:val="auto"/>
              </w:rPr>
              <w:t>Total cost of revenue</w:t>
            </w: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71%</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35,316</w:t>
            </w:r>
          </w:p>
        </w:tc>
        <w:tc>
          <w:tcPr>
            <w:tcW w:w="220" w:type="dxa"/>
            <w:vAlign w:val="bottom"/>
          </w:tcPr>
          <w:p>
            <w:pPr>
              <w:spacing w:after="0"/>
              <w:rPr>
                <w:sz w:val="17"/>
                <w:szCs w:val="17"/>
                <w:color w:val="auto"/>
              </w:rPr>
            </w:pPr>
          </w:p>
        </w:tc>
        <w:tc>
          <w:tcPr>
            <w:tcW w:w="84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60,243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w w:val="98"/>
              </w:rPr>
              <w:t>24,927</w:t>
            </w:r>
          </w:p>
        </w:tc>
        <w:tc>
          <w:tcPr>
            <w:tcW w:w="8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44,719</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109,126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8"/>
              </w:rPr>
              <w:t>64,407</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144%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8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8"/>
                <w:szCs w:val="28"/>
                <w:color w:val="auto"/>
                <w:vertAlign w:val="superscript"/>
              </w:rPr>
              <w:t>(1)</w:t>
            </w: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70,012</w:t>
            </w:r>
          </w:p>
        </w:tc>
        <w:tc>
          <w:tcPr>
            <w:tcW w:w="2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123,344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8"/>
              </w:rPr>
              <w:t>53,332</w:t>
            </w:r>
          </w:p>
        </w:tc>
        <w:tc>
          <w:tcPr>
            <w:tcW w:w="8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3"/>
          </w:tcPr>
          <w:p>
            <w:pPr>
              <w:spacing w:after="0" w:line="243"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42,959</w:t>
            </w:r>
          </w:p>
        </w:tc>
        <w:tc>
          <w:tcPr>
            <w:tcW w:w="22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62,546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19,587</w:t>
            </w:r>
          </w:p>
        </w:tc>
        <w:tc>
          <w:tcPr>
            <w:tcW w:w="80" w:type="dxa"/>
            <w:vAlign w:val="bottom"/>
          </w:tcPr>
          <w:p>
            <w:pPr>
              <w:spacing w:after="0"/>
              <w:rPr>
                <w:sz w:val="21"/>
                <w:szCs w:val="21"/>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46%</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120" w:type="dxa"/>
            <w:vAlign w:val="bottom"/>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26,421</w:t>
            </w:r>
          </w:p>
        </w:tc>
        <w:tc>
          <w:tcPr>
            <w:tcW w:w="2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28,868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2,447</w:t>
            </w:r>
          </w:p>
        </w:tc>
        <w:tc>
          <w:tcPr>
            <w:tcW w:w="8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gridSpan w:val="3"/>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54%</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139,392</w:t>
            </w:r>
          </w:p>
        </w:tc>
        <w:tc>
          <w:tcPr>
            <w:tcW w:w="220" w:type="dxa"/>
            <w:vAlign w:val="bottom"/>
          </w:tcPr>
          <w:p>
            <w:pPr>
              <w:spacing w:after="0"/>
              <w:rPr>
                <w:sz w:val="17"/>
                <w:szCs w:val="17"/>
                <w:color w:val="auto"/>
              </w:rPr>
            </w:pPr>
          </w:p>
        </w:tc>
        <w:tc>
          <w:tcPr>
            <w:tcW w:w="84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214,758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w w:val="98"/>
              </w:rPr>
              <w:t>75,366</w:t>
            </w:r>
          </w:p>
        </w:tc>
        <w:tc>
          <w:tcPr>
            <w:tcW w:w="8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(94,673)</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(105,632)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(10,959)</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(1,458)</w:t>
            </w:r>
          </w:p>
        </w:tc>
        <w:tc>
          <w:tcPr>
            <w:tcW w:w="22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1,030</w:t>
            </w:r>
          </w:p>
        </w:tc>
        <w:tc>
          <w:tcPr>
            <w:tcW w:w="80" w:type="dxa"/>
            <w:vAlign w:val="bottom"/>
          </w:tcPr>
          <w:p>
            <w:pPr>
              <w:spacing w:after="0"/>
              <w:rPr>
                <w:sz w:val="17"/>
                <w:szCs w:val="17"/>
                <w:color w:val="auto"/>
              </w:rPr>
            </w:pPr>
          </w:p>
        </w:tc>
        <w:tc>
          <w:tcPr>
            <w:tcW w:w="7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expense, net</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(1,420)</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gridSpan w:val="4"/>
            <w:vMerge w:val="restart"/>
          </w:tcPr>
          <w:p>
            <w:pPr>
              <w:ind w:left="20"/>
              <w:spacing w:after="0"/>
              <w:rPr>
                <w:sz w:val="20"/>
                <w:szCs w:val="20"/>
                <w:color w:val="auto"/>
              </w:rPr>
            </w:pPr>
            <w:r>
              <w:rPr>
                <w:rFonts w:ascii="Arial" w:cs="Arial" w:eastAsia="Arial" w:hAnsi="Arial"/>
                <w:sz w:val="18"/>
                <w:szCs w:val="18"/>
                <w:color w:val="auto"/>
              </w:rPr>
              <w:t>Loss before provision for income taxes</w:t>
            </w: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(97,551)</w:t>
            </w:r>
          </w:p>
        </w:tc>
        <w:tc>
          <w:tcPr>
            <w:tcW w:w="22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(107,799)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color w:val="auto"/>
              </w:rPr>
              <w:t>(10,248)</w:t>
            </w:r>
          </w:p>
        </w:tc>
        <w:tc>
          <w:tcPr>
            <w:tcW w:w="8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gridSpan w:val="4"/>
            <w:vMerge w:val="restart"/>
          </w:tcPr>
          <w:p>
            <w:pPr>
              <w:ind w:left="20"/>
              <w:spacing w:after="0"/>
              <w:rPr>
                <w:sz w:val="20"/>
                <w:szCs w:val="20"/>
                <w:color w:val="auto"/>
              </w:rPr>
            </w:pPr>
            <w:r>
              <w:rPr>
                <w:rFonts w:ascii="Arial" w:cs="Arial" w:eastAsia="Arial" w:hAnsi="Arial"/>
                <w:sz w:val="18"/>
                <w:szCs w:val="18"/>
                <w:color w:val="auto"/>
              </w:rPr>
              <w:t>Net loss</w:t>
            </w: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vMerge w:val="continue"/>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(97,997)</w:t>
            </w:r>
          </w:p>
        </w:tc>
        <w:tc>
          <w:tcPr>
            <w:tcW w:w="220" w:type="dxa"/>
            <w:vAlign w:val="bottom"/>
          </w:tcPr>
          <w:p>
            <w:pPr>
              <w:jc w:val="right"/>
              <w:ind w:right="18"/>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(108,817)</w:t>
            </w:r>
          </w:p>
        </w:tc>
        <w:tc>
          <w:tcPr>
            <w:tcW w:w="200" w:type="dxa"/>
            <w:vAlign w:val="bottom"/>
            <w:gridSpan w:val="2"/>
          </w:tcPr>
          <w:p>
            <w:pPr>
              <w:jc w:val="center"/>
              <w:ind w:left="23"/>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color w:val="auto"/>
              </w:rPr>
              <w:t>(10,820)</w:t>
            </w:r>
          </w:p>
        </w:tc>
        <w:tc>
          <w:tcPr>
            <w:tcW w:w="8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1320" w:type="dxa"/>
            <w:vAlign w:val="bottom"/>
            <w:gridSpan w:val="2"/>
          </w:tcPr>
          <w:p>
            <w:pPr>
              <w:ind w:left="1140"/>
              <w:spacing w:after="0"/>
              <w:rPr>
                <w:sz w:val="20"/>
                <w:szCs w:val="20"/>
                <w:color w:val="auto"/>
              </w:rPr>
            </w:pPr>
            <w:r>
              <w:rPr>
                <w:rFonts w:ascii="Arial" w:cs="Arial" w:eastAsia="Arial" w:hAnsi="Arial"/>
                <w:sz w:val="14"/>
                <w:szCs w:val="14"/>
                <w:color w:val="auto"/>
                <w:w w:val="93"/>
              </w:rPr>
              <w:t>(1)</w:t>
            </w:r>
          </w:p>
        </w:tc>
        <w:tc>
          <w:tcPr>
            <w:tcW w:w="4080" w:type="dxa"/>
            <w:vAlign w:val="bottom"/>
            <w:gridSpan w:val="3"/>
          </w:tcPr>
          <w:p>
            <w:pPr>
              <w:ind w:left="360"/>
              <w:spacing w:after="0"/>
              <w:rPr>
                <w:sz w:val="20"/>
                <w:szCs w:val="20"/>
                <w:color w:val="auto"/>
              </w:rPr>
            </w:pPr>
            <w:r>
              <w:rPr>
                <w:rFonts w:ascii="Arial" w:cs="Arial" w:eastAsia="Arial" w:hAnsi="Arial"/>
                <w:sz w:val="14"/>
                <w:szCs w:val="14"/>
                <w:color w:val="auto"/>
              </w:rPr>
              <w:t>Includes stock-based compensation expense as follows: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rPr>
              <w:t>Nine Months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6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gridSpan w:val="3"/>
          </w:tcPr>
          <w:p>
            <w:pPr>
              <w:ind w:left="380"/>
              <w:spacing w:after="0"/>
              <w:rPr>
                <w:sz w:val="20"/>
                <w:szCs w:val="20"/>
                <w:color w:val="auto"/>
              </w:rPr>
            </w:pPr>
            <w:r>
              <w:rPr>
                <w:rFonts w:ascii="Arial" w:cs="Arial" w:eastAsia="Arial" w:hAnsi="Arial"/>
                <w:sz w:val="14"/>
                <w:szCs w:val="14"/>
                <w:color w:val="auto"/>
              </w:rPr>
              <w:t>Sales and marketing</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94"/>
              </w:rPr>
              <w:t>933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3,942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7,230</w:t>
            </w:r>
          </w:p>
        </w:tc>
        <w:tc>
          <w:tcPr>
            <w:tcW w:w="16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gridSpan w:val="3"/>
          </w:tcPr>
          <w:p>
            <w:pPr>
              <w:ind w:left="380"/>
              <w:spacing w:after="0"/>
              <w:rPr>
                <w:sz w:val="20"/>
                <w:szCs w:val="20"/>
                <w:color w:val="auto"/>
              </w:rPr>
            </w:pPr>
            <w:r>
              <w:rPr>
                <w:rFonts w:ascii="Arial" w:cs="Arial" w:eastAsia="Arial" w:hAnsi="Arial"/>
                <w:sz w:val="14"/>
                <w:szCs w:val="14"/>
                <w:color w:val="auto"/>
              </w:rPr>
              <w:t>General and administrative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6,891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5,541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00" w:type="dxa"/>
            <w:vAlign w:val="bottom"/>
            <w:gridSpan w:val="2"/>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stock-based compensation expense</w:t>
            </w: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7"/>
              </w:rPr>
              <w:t>11,005</w:t>
            </w:r>
          </w:p>
        </w:tc>
        <w:tc>
          <w:tcPr>
            <w:tcW w:w="32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17,403</w:t>
            </w:r>
          </w:p>
        </w:tc>
        <w:tc>
          <w:tcPr>
            <w:tcW w:w="16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20" w:type="dxa"/>
            <w:vAlign w:val="bottom"/>
            <w:vMerge w:val="restart"/>
          </w:tcPr>
          <w:p>
            <w:pPr>
              <w:jc w:val="right"/>
              <w:ind w:right="212"/>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3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Nine Months Ended</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October 31,</w:t>
      </w:r>
    </w:p>
    <w:tbl>
      <w:tblPr>
        <w:tblLayout w:type="fixed"/>
        <w:tblInd w:w="1120" w:type="dxa"/>
        <w:tblCellMar>
          <w:top w:w="0" w:type="dxa"/>
          <w:left w:w="0" w:type="dxa"/>
          <w:bottom w:w="0" w:type="dxa"/>
          <w:right w:w="0" w:type="dxa"/>
        </w:tblCellMar>
      </w:tblPr>
      <w:tr>
        <w:trPr>
          <w:trHeight w:val="156"/>
        </w:trPr>
        <w:tc>
          <w:tcPr>
            <w:tcW w:w="6520" w:type="dxa"/>
            <w:vAlign w:val="bottom"/>
          </w:tcPr>
          <w:p>
            <w:pPr>
              <w:spacing w:after="0"/>
              <w:rPr>
                <w:sz w:val="13"/>
                <w:szCs w:val="13"/>
                <w:color w:val="auto"/>
              </w:rPr>
            </w:pPr>
          </w:p>
        </w:tc>
        <w:tc>
          <w:tcPr>
            <w:tcW w:w="880" w:type="dxa"/>
            <w:vAlign w:val="bottom"/>
            <w:tcBorders>
              <w:top w:val="single" w:sz="8" w:color="auto"/>
            </w:tcBorders>
          </w:tcPr>
          <w:p>
            <w:pPr>
              <w:jc w:val="right"/>
              <w:ind w:right="174"/>
              <w:spacing w:after="0" w:line="156"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74"/>
              <w:spacing w:after="0" w:line="156"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5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Revenue</w:t>
            </w: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 Revenue</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w:t>
            </w: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Subscription</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w:t>
            </w:r>
          </w:p>
        </w:tc>
        <w:tc>
          <w:tcPr>
            <w:tcW w:w="13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Professional services</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w:t>
            </w:r>
          </w:p>
        </w:tc>
        <w:tc>
          <w:tcPr>
            <w:tcW w:w="13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380"/>
              <w:spacing w:after="0"/>
              <w:rPr>
                <w:sz w:val="20"/>
                <w:szCs w:val="20"/>
                <w:color w:val="auto"/>
              </w:rPr>
            </w:pPr>
            <w:r>
              <w:rPr>
                <w:rFonts w:ascii="Arial" w:cs="Arial" w:eastAsia="Arial" w:hAnsi="Arial"/>
                <w:sz w:val="18"/>
                <w:szCs w:val="18"/>
                <w:color w:val="auto"/>
              </w:rPr>
              <w:t>Total revenue</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revenue</w:t>
            </w: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Subscription</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w:t>
            </w:r>
          </w:p>
        </w:tc>
        <w:tc>
          <w:tcPr>
            <w:tcW w:w="13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Professional services</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380"/>
              <w:spacing w:after="0"/>
              <w:rPr>
                <w:sz w:val="20"/>
                <w:szCs w:val="20"/>
                <w:color w:val="auto"/>
              </w:rPr>
            </w:pPr>
            <w:r>
              <w:rPr>
                <w:rFonts w:ascii="Arial" w:cs="Arial" w:eastAsia="Arial" w:hAnsi="Arial"/>
                <w:sz w:val="18"/>
                <w:szCs w:val="18"/>
                <w:color w:val="auto"/>
              </w:rPr>
              <w:t>Total cost of revenue</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44%</w:t>
            </w:r>
          </w:p>
        </w:tc>
        <w:tc>
          <w:tcPr>
            <w:tcW w:w="134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profit</w:t>
            </w:r>
          </w:p>
        </w:tc>
        <w:tc>
          <w:tcPr>
            <w:tcW w:w="11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56%</w:t>
            </w:r>
          </w:p>
        </w:tc>
        <w:tc>
          <w:tcPr>
            <w:tcW w:w="134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w:t>
            </w:r>
          </w:p>
        </w:tc>
        <w:tc>
          <w:tcPr>
            <w:tcW w:w="13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54%</w:t>
            </w:r>
          </w:p>
        </w:tc>
        <w:tc>
          <w:tcPr>
            <w:tcW w:w="13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13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38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174%</w:t>
            </w:r>
          </w:p>
        </w:tc>
        <w:tc>
          <w:tcPr>
            <w:tcW w:w="134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13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
              <w:spacing w:after="0"/>
              <w:rPr>
                <w:sz w:val="20"/>
                <w:szCs w:val="20"/>
                <w:color w:val="auto"/>
              </w:rPr>
            </w:pPr>
            <w:r>
              <w:rPr>
                <w:rFonts w:ascii="Arial" w:cs="Arial" w:eastAsia="Arial" w:hAnsi="Arial"/>
                <w:sz w:val="18"/>
                <w:szCs w:val="18"/>
                <w:color w:val="auto"/>
              </w:rPr>
              <w:t>Loss before provision for income taxes</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1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13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1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1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13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2" w:lineRule="exact"/>
        <w:rPr>
          <w:sz w:val="20"/>
          <w:szCs w:val="20"/>
          <w:color w:val="auto"/>
        </w:rPr>
      </w:pPr>
    </w:p>
    <w:p>
      <w:pPr>
        <w:ind w:firstLine="484"/>
        <w:spacing w:after="0" w:line="239" w:lineRule="auto"/>
        <w:rPr>
          <w:sz w:val="20"/>
          <w:szCs w:val="20"/>
          <w:color w:val="auto"/>
        </w:rPr>
      </w:pPr>
      <w:r>
        <w:rPr>
          <w:rFonts w:ascii="Arial" w:cs="Arial" w:eastAsia="Arial" w:hAnsi="Arial"/>
          <w:sz w:val="18"/>
          <w:szCs w:val="18"/>
          <w:color w:val="auto"/>
        </w:rPr>
        <w:t>The following is a breakdown of total revenue from subscriptions and professional services for the nine months ended October 31, 2017, as compared to the nine months ended October 31, 2018:</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4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October 31,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4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60,074</w:t>
            </w:r>
          </w:p>
        </w:tc>
        <w:tc>
          <w:tcPr>
            <w:tcW w:w="380" w:type="dxa"/>
            <w:vAlign w:val="bottom"/>
            <w:shd w:val="clear" w:color="auto" w:fill="CCEEFF"/>
          </w:tcPr>
          <w:p>
            <w:pPr>
              <w:jc w:val="right"/>
              <w:ind w:right="178"/>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146,570</w:t>
            </w:r>
          </w:p>
        </w:tc>
        <w:tc>
          <w:tcPr>
            <w:tcW w:w="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86,496</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7"/>
                <w:szCs w:val="17"/>
                <w:color w:val="auto"/>
              </w:rPr>
            </w:pPr>
          </w:p>
        </w:tc>
        <w:tc>
          <w:tcPr>
            <w:tcW w:w="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19,961</w:t>
            </w:r>
          </w:p>
        </w:tc>
        <w:tc>
          <w:tcPr>
            <w:tcW w:w="3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22,799</w:t>
            </w:r>
          </w:p>
        </w:tc>
        <w:tc>
          <w:tcPr>
            <w:tcW w:w="40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2,838</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
        </w:trPr>
        <w:tc>
          <w:tcPr>
            <w:tcW w:w="4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90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80,035</w:t>
            </w:r>
          </w:p>
        </w:tc>
        <w:tc>
          <w:tcPr>
            <w:tcW w:w="380" w:type="dxa"/>
            <w:vAlign w:val="bottom"/>
            <w:shd w:val="clear" w:color="auto" w:fill="CCEEFF"/>
          </w:tcPr>
          <w:p>
            <w:pPr>
              <w:jc w:val="right"/>
              <w:ind w:right="178"/>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169,369</w:t>
            </w:r>
          </w:p>
        </w:tc>
        <w:tc>
          <w:tcPr>
            <w:tcW w:w="4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89,334</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0" w:firstLine="484"/>
        <w:spacing w:after="0" w:line="236" w:lineRule="auto"/>
        <w:rPr>
          <w:sz w:val="20"/>
          <w:szCs w:val="20"/>
          <w:color w:val="auto"/>
        </w:rPr>
      </w:pPr>
      <w:r>
        <w:rPr>
          <w:rFonts w:ascii="Arial" w:cs="Arial" w:eastAsia="Arial" w:hAnsi="Arial"/>
          <w:sz w:val="18"/>
          <w:szCs w:val="18"/>
          <w:color w:val="auto"/>
        </w:rPr>
        <w:t>Total revenue increased from $80.0 million for the nine months ended October 31, 2017, to $169.4 million for the nine months ended October 31, 2018. Subscription revenue accounted for 75% of our total revenue for the nine months ended October 31, 2017, and 87% for the nine months ended October 31, 2018. Professional services revenue accounted for 25% of our total revenue for the nine months ended October 31, 2017, and 13% for the nine months ended October 31, 2018. The growth in subscription revenue from $60.1 million for the nine months ended October 31, 2017 to $146.6 million for the nine months ended October 31, 2018, a 144% increase, was primarily attributable to the increase in our subscription customer base. Total subscription customers increased from 843 as of October 31, 2017, to 2,147 as of October 31, 2018, a 155% increase.</w:t>
      </w: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143" w:right="5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0" w:firstLine="488"/>
        <w:spacing w:after="0" w:line="299" w:lineRule="auto"/>
        <w:rPr>
          <w:sz w:val="20"/>
          <w:szCs w:val="20"/>
          <w:color w:val="auto"/>
        </w:rPr>
      </w:pPr>
      <w:r>
        <w:rPr>
          <w:rFonts w:ascii="Arial" w:cs="Arial" w:eastAsia="Arial" w:hAnsi="Arial"/>
          <w:sz w:val="16"/>
          <w:szCs w:val="16"/>
          <w:color w:val="auto"/>
        </w:rPr>
        <w:t>Professional services revenue grew from $20.0 million for the nine months ended October 31, 2017, to $22.8 million for the nine months ended October 31, 2018, a 14% increase, and was primarily attributable to an increase in the number of professional service hours performed.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32" w:lineRule="exact"/>
        <w:rPr>
          <w:sz w:val="20"/>
          <w:szCs w:val="20"/>
          <w:color w:val="auto"/>
        </w:rPr>
      </w:pPr>
    </w:p>
    <w:p>
      <w:pPr>
        <w:ind w:right="100" w:firstLine="484"/>
        <w:spacing w:after="0" w:line="239" w:lineRule="auto"/>
        <w:rPr>
          <w:sz w:val="20"/>
          <w:szCs w:val="20"/>
          <w:color w:val="auto"/>
        </w:rPr>
      </w:pPr>
      <w:r>
        <w:rPr>
          <w:rFonts w:ascii="Arial" w:cs="Arial" w:eastAsia="Arial" w:hAnsi="Arial"/>
          <w:sz w:val="18"/>
          <w:szCs w:val="18"/>
          <w:color w:val="auto"/>
        </w:rPr>
        <w:t>The following is a breakdown of cost of revenue related to subscriptions and professional services for the nine months ended October 31, 2017, as compared to the nine months ended October 31, 2018:</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rPr>
              <w:t>October 31,</w:t>
            </w:r>
          </w:p>
        </w:tc>
        <w:tc>
          <w:tcPr>
            <w:tcW w:w="40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w:t>
            </w:r>
          </w:p>
        </w:tc>
        <w:tc>
          <w:tcPr>
            <w:tcW w:w="2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25,500</w:t>
            </w:r>
          </w:p>
        </w:tc>
        <w:tc>
          <w:tcPr>
            <w:tcW w:w="3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47,077</w:t>
            </w:r>
          </w:p>
        </w:tc>
        <w:tc>
          <w:tcPr>
            <w:tcW w:w="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4"/>
              </w:rPr>
              <w:t>21,577</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13,166</w:t>
            </w:r>
          </w:p>
        </w:tc>
        <w:tc>
          <w:tcPr>
            <w:tcW w:w="40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3,350</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
        </w:trPr>
        <w:tc>
          <w:tcPr>
            <w:tcW w:w="5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20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cost of revenue</w:t>
            </w:r>
          </w:p>
        </w:tc>
        <w:tc>
          <w:tcPr>
            <w:tcW w:w="2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35,316</w:t>
            </w:r>
          </w:p>
        </w:tc>
        <w:tc>
          <w:tcPr>
            <w:tcW w:w="3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60,243</w:t>
            </w:r>
          </w:p>
        </w:tc>
        <w:tc>
          <w:tcPr>
            <w:tcW w:w="4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4"/>
              </w:rPr>
              <w:t>24,927</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484"/>
        <w:spacing w:after="0" w:line="264" w:lineRule="auto"/>
        <w:rPr>
          <w:sz w:val="20"/>
          <w:szCs w:val="20"/>
          <w:color w:val="auto"/>
        </w:rPr>
      </w:pPr>
      <w:r>
        <w:rPr>
          <w:rFonts w:ascii="Arial" w:cs="Arial" w:eastAsia="Arial" w:hAnsi="Arial"/>
          <w:sz w:val="16"/>
          <w:szCs w:val="16"/>
          <w:color w:val="auto"/>
        </w:rPr>
        <w:t>Total cost of revenue increased from $35.3 million for the nine months ended October 31, 2017, to $60.2 million for the nine months ended October 31, 2018. Subscription cost of revenue increased from $25.5 million for the nine months ended October 31, 2017, to $47.1 million for the nine months ended October 31, 2018, an 85% increase. The increase in subscription cost of revenue was primarily due to an increase of</w:t>
      </w:r>
    </w:p>
    <w:p>
      <w:pPr>
        <w:ind w:right="240"/>
        <w:spacing w:after="0" w:line="237" w:lineRule="auto"/>
        <w:rPr>
          <w:sz w:val="20"/>
          <w:szCs w:val="20"/>
          <w:color w:val="auto"/>
        </w:rPr>
      </w:pPr>
      <w:r>
        <w:rPr>
          <w:rFonts w:ascii="Arial" w:cs="Arial" w:eastAsia="Arial" w:hAnsi="Arial"/>
          <w:sz w:val="18"/>
          <w:szCs w:val="18"/>
          <w:color w:val="auto"/>
        </w:rPr>
        <w:t>$7.7 million in cloud hosting and related services, an increase in employee-related expenses of $5.2 million driven by an increase in average headcount of 94%, an increase in depreciation of data center equipment of $2.9 million, an increase in amortization of internal-use software of $1.1 million, an increase in software license fees of $0.8 million, an increase in stock-based compensation expense of $0.5 million, and an increase of $1.4 million in allocated overhead costs.</w:t>
      </w:r>
    </w:p>
    <w:p>
      <w:pPr>
        <w:spacing w:after="0" w:line="208"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Professional services cost of revenue increased from $9.8 million for the nine months ended October 31, 2017, to $13.2 million for the nine months ended October 31, 2018, a 34% increase. The increase in professional services cost of revenue was primarily due to an increase in employee-related expenses of $1.9 million driven by an increase in average headcount of 31%, a $0.5 million increase in travel related costs, a $0.4 million increase in consulting costs as we used more third-party contractors to deliver our services, and an increase of $0.5 million in allocated overhead costs.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11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42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5"/>
                <w:szCs w:val="15"/>
                <w:color w:val="auto"/>
              </w:rPr>
            </w:pPr>
          </w:p>
        </w:tc>
        <w:tc>
          <w:tcPr>
            <w:tcW w:w="800" w:type="dxa"/>
            <w:vAlign w:val="bottom"/>
            <w:gridSpan w:val="3"/>
          </w:tcPr>
          <w:p>
            <w:pPr>
              <w:ind w:left="2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3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 gross profit</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34,574</w:t>
            </w:r>
          </w:p>
        </w:tc>
        <w:tc>
          <w:tcPr>
            <w:tcW w:w="2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99,493</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64,919</w:t>
            </w:r>
          </w:p>
        </w:tc>
        <w:tc>
          <w:tcPr>
            <w:tcW w:w="6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Professional services gross profit</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10,145</w:t>
            </w:r>
          </w:p>
        </w:tc>
        <w:tc>
          <w:tcPr>
            <w:tcW w:w="22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9,633</w:t>
            </w:r>
          </w:p>
        </w:tc>
        <w:tc>
          <w:tcPr>
            <w:tcW w:w="220" w:type="dxa"/>
            <w:vAlign w:val="bottom"/>
          </w:tcPr>
          <w:p>
            <w:pPr>
              <w:spacing w:after="0"/>
              <w:rPr>
                <w:sz w:val="17"/>
                <w:szCs w:val="17"/>
                <w:color w:val="auto"/>
              </w:rPr>
            </w:pPr>
          </w:p>
        </w:tc>
        <w:tc>
          <w:tcPr>
            <w:tcW w:w="8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(512)</w:t>
            </w:r>
          </w:p>
        </w:tc>
        <w:tc>
          <w:tcPr>
            <w:tcW w:w="6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5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gross profit</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44,719</w:t>
            </w:r>
          </w:p>
        </w:tc>
        <w:tc>
          <w:tcPr>
            <w:tcW w:w="2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109,126</w:t>
            </w:r>
          </w:p>
        </w:tc>
        <w:tc>
          <w:tcPr>
            <w:tcW w:w="2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64,407</w:t>
            </w:r>
          </w:p>
        </w:tc>
        <w:tc>
          <w:tcPr>
            <w:tcW w:w="6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29"/>
        </w:trPr>
        <w:tc>
          <w:tcPr>
            <w:tcW w:w="11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80" w:type="dxa"/>
            <w:vAlign w:val="bottom"/>
            <w:gridSpan w:val="8"/>
          </w:tcPr>
          <w:p>
            <w:pPr>
              <w:ind w:left="80"/>
              <w:spacing w:after="0" w:line="129" w:lineRule="exact"/>
              <w:rPr>
                <w:sz w:val="20"/>
                <w:szCs w:val="20"/>
                <w:color w:val="auto"/>
              </w:rPr>
            </w:pPr>
            <w:r>
              <w:rPr>
                <w:rFonts w:ascii="Arial" w:cs="Arial" w:eastAsia="Arial" w:hAnsi="Arial"/>
                <w:sz w:val="14"/>
                <w:szCs w:val="14"/>
                <w:b w:val="1"/>
                <w:bCs w:val="1"/>
                <w:color w:val="auto"/>
              </w:rPr>
              <w:t>Nine Months Ended</w:t>
            </w:r>
          </w:p>
        </w:tc>
      </w:tr>
      <w:tr>
        <w:trPr>
          <w:trHeight w:val="182"/>
        </w:trPr>
        <w:tc>
          <w:tcPr>
            <w:tcW w:w="11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8"/>
          </w:tcPr>
          <w:p>
            <w:pPr>
              <w:ind w:left="36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1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3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 gross margin</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58%</w:t>
            </w:r>
          </w:p>
        </w:tc>
        <w:tc>
          <w:tcPr>
            <w:tcW w:w="16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Professional services gross margin</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51%</w:t>
            </w:r>
          </w:p>
        </w:tc>
        <w:tc>
          <w:tcPr>
            <w:tcW w:w="160" w:type="dxa"/>
            <w:vAlign w:val="bottom"/>
          </w:tcPr>
          <w:p>
            <w:pPr>
              <w:spacing w:after="0"/>
              <w:rPr>
                <w:sz w:val="17"/>
                <w:szCs w:val="17"/>
                <w:color w:val="auto"/>
              </w:rPr>
            </w:pPr>
          </w:p>
        </w:tc>
        <w:tc>
          <w:tcPr>
            <w:tcW w:w="1980" w:type="dxa"/>
            <w:vAlign w:val="bottom"/>
            <w:gridSpan w:val="5"/>
          </w:tcPr>
          <w:p>
            <w:pPr>
              <w:jc w:val="right"/>
              <w:ind w:right="1140"/>
              <w:spacing w:after="0" w:line="202" w:lineRule="exact"/>
              <w:rPr>
                <w:sz w:val="20"/>
                <w:szCs w:val="20"/>
                <w:color w:val="auto"/>
              </w:rPr>
            </w:pPr>
            <w:r>
              <w:rPr>
                <w:rFonts w:ascii="Arial" w:cs="Arial" w:eastAsia="Arial" w:hAnsi="Arial"/>
                <w:sz w:val="18"/>
                <w:szCs w:val="18"/>
                <w:color w:val="auto"/>
              </w:rPr>
              <w:t>42%</w:t>
            </w:r>
          </w:p>
        </w:tc>
      </w:tr>
      <w:tr>
        <w:trPr>
          <w:trHeight w:val="203"/>
        </w:trPr>
        <w:tc>
          <w:tcPr>
            <w:tcW w:w="1120" w:type="dxa"/>
            <w:vAlign w:val="bottom"/>
          </w:tcPr>
          <w:p>
            <w:pPr>
              <w:spacing w:after="0"/>
              <w:rPr>
                <w:sz w:val="17"/>
                <w:szCs w:val="17"/>
                <w:color w:val="auto"/>
              </w:rPr>
            </w:pPr>
          </w:p>
        </w:tc>
        <w:tc>
          <w:tcPr>
            <w:tcW w:w="3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gross margin</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56%</w:t>
            </w:r>
          </w:p>
        </w:tc>
        <w:tc>
          <w:tcPr>
            <w:tcW w:w="16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140" w:type="dxa"/>
            <w:vAlign w:val="bottom"/>
          </w:tcPr>
          <w:p>
            <w:pPr>
              <w:spacing w:after="0"/>
              <w:rPr>
                <w:sz w:val="17"/>
                <w:szCs w:val="17"/>
                <w:color w:val="auto"/>
              </w:rPr>
            </w:pPr>
          </w:p>
        </w:tc>
      </w:tr>
      <w:tr>
        <w:trPr>
          <w:trHeight w:val="430"/>
        </w:trPr>
        <w:tc>
          <w:tcPr>
            <w:tcW w:w="11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35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Subscription gross margin increased from 58% for the nine months ended October 31, 2017, to 68% for the nine months ended October 31, 2018.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 subscriptions and efforts to optimize our channel partner programs. Professional services gross margin decreased from 51% for the nine months ended October 31, 2017, to 42% for the nine months ended October 31, 2018, primarily due to the lower utilization of professional services personnel. The timing of professional services engagements is highly variable and can result in fluctuations in gross margin on professional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30" w:lineRule="exact"/>
        <w:rPr>
          <w:sz w:val="20"/>
          <w:szCs w:val="20"/>
          <w:color w:val="auto"/>
        </w:rPr>
      </w:pPr>
    </w:p>
    <w:p>
      <w:pPr>
        <w:ind w:right="340" w:firstLine="484"/>
        <w:spacing w:after="0" w:line="239" w:lineRule="auto"/>
        <w:rPr>
          <w:sz w:val="20"/>
          <w:szCs w:val="20"/>
          <w:color w:val="auto"/>
        </w:rPr>
      </w:pPr>
      <w:r>
        <w:rPr>
          <w:rFonts w:ascii="Arial" w:cs="Arial" w:eastAsia="Arial" w:hAnsi="Arial"/>
          <w:sz w:val="18"/>
          <w:szCs w:val="18"/>
          <w:color w:val="auto"/>
        </w:rPr>
        <w:t>The following is a breakdown of sales and marketing expenses for the nine months ended October 31, 2017, as compared to the nine months ended October 31, 2018:</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240" w:type="dxa"/>
            <w:vAlign w:val="bottom"/>
          </w:tcPr>
          <w:p>
            <w:pPr>
              <w:spacing w:after="0"/>
              <w:rPr>
                <w:sz w:val="15"/>
                <w:szCs w:val="15"/>
                <w:color w:val="auto"/>
              </w:rPr>
            </w:pPr>
          </w:p>
        </w:tc>
        <w:tc>
          <w:tcPr>
            <w:tcW w:w="2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October 31,</w:t>
            </w:r>
          </w:p>
        </w:tc>
        <w:tc>
          <w:tcPr>
            <w:tcW w:w="3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2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 and marketing expenses</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70,012</w:t>
            </w: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123,344</w:t>
            </w:r>
          </w:p>
        </w:tc>
        <w:tc>
          <w:tcPr>
            <w:tcW w:w="3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4"/>
              </w:rPr>
              <w:t>53,332</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r>
    </w:tbl>
    <w:p>
      <w:pPr>
        <w:spacing w:after="0" w:line="21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Sales and marketing expenses increased from $70.0 million for the nine months ended October 31, 2017, to $123.3 million for the nine months ended October 31, 2018, a 76% increase. The increase in sales and marketing expenses was primarily due to an increase in employee-related expenses of $35.6 million, which includes an increase of $3.1 million in stock-based compensation expense, driven by an increase in average sales and marketing headcount of 81%, an increase in marketing programs of $5.8 million, an increase in overhead allocation of $5.6 million, and an increase in travel-related expenses of $2.4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ind w:right="220" w:firstLine="484"/>
        <w:spacing w:after="0" w:line="239" w:lineRule="auto"/>
        <w:rPr>
          <w:sz w:val="20"/>
          <w:szCs w:val="20"/>
          <w:color w:val="auto"/>
        </w:rPr>
      </w:pPr>
      <w:r>
        <w:rPr>
          <w:rFonts w:ascii="Arial" w:cs="Arial" w:eastAsia="Arial" w:hAnsi="Arial"/>
          <w:sz w:val="18"/>
          <w:szCs w:val="18"/>
          <w:color w:val="auto"/>
        </w:rPr>
        <w:t>The following is a breakdown of research and development expenses for the nine months ended October 31, 2017, as compared to the nine months ended October 31, 2018:</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4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440" w:type="dxa"/>
            <w:vAlign w:val="bottom"/>
          </w:tcPr>
          <w:p>
            <w:pPr>
              <w:spacing w:after="0"/>
              <w:rPr>
                <w:sz w:val="15"/>
                <w:szCs w:val="15"/>
                <w:color w:val="auto"/>
              </w:rPr>
            </w:pPr>
          </w:p>
        </w:tc>
        <w:tc>
          <w:tcPr>
            <w:tcW w:w="204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4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(dollars in</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expenses</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42,959</w:t>
            </w:r>
          </w:p>
        </w:tc>
        <w:tc>
          <w:tcPr>
            <w:tcW w:w="114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   62,546</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19,587</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Research and development expenses increased from $43.0 million for the nine months ended October 31, 2017, to $62.5 million for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October 31, 2018, a 46% increase. This increase was primarily due to an increase in employee-related expenses of</w:t>
      </w:r>
    </w:p>
    <w:p>
      <w:pPr>
        <w:spacing w:after="0"/>
        <w:rPr>
          <w:sz w:val="20"/>
          <w:szCs w:val="20"/>
          <w:color w:val="auto"/>
        </w:rPr>
      </w:pPr>
      <w:r>
        <w:rPr>
          <w:rFonts w:ascii="Arial" w:cs="Arial" w:eastAsia="Arial" w:hAnsi="Arial"/>
          <w:sz w:val="16"/>
          <w:szCs w:val="16"/>
          <w:color w:val="auto"/>
        </w:rPr>
        <w:t>$15.5 million, which includes an increase of $4.2 million in stock-based compensation expense, driven by an increase in average research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development headcount of 38%. In addition, there was an increase in software license fees of $0.5 million, a $2.4 million increase in cloud</w:t>
      </w:r>
    </w:p>
    <w:p>
      <w:pPr>
        <w:spacing w:after="0" w:line="234" w:lineRule="auto"/>
        <w:rPr>
          <w:sz w:val="20"/>
          <w:szCs w:val="20"/>
          <w:color w:val="auto"/>
        </w:rPr>
      </w:pPr>
      <w:r>
        <w:rPr>
          <w:rFonts w:ascii="Arial" w:cs="Arial" w:eastAsia="Arial" w:hAnsi="Arial"/>
          <w:sz w:val="18"/>
          <w:szCs w:val="18"/>
          <w:color w:val="auto"/>
        </w:rPr>
        <w:t>hosting and related costs, and an increase of $2.1 million in allocated overhead costs, partially offset by an increase in internal-use software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capitalization of $1.5 million.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ind w:right="220" w:firstLine="484"/>
        <w:spacing w:after="0" w:line="239" w:lineRule="auto"/>
        <w:rPr>
          <w:sz w:val="20"/>
          <w:szCs w:val="20"/>
          <w:color w:val="auto"/>
        </w:rPr>
      </w:pPr>
      <w:r>
        <w:rPr>
          <w:rFonts w:ascii="Arial" w:cs="Arial" w:eastAsia="Arial" w:hAnsi="Arial"/>
          <w:sz w:val="18"/>
          <w:szCs w:val="18"/>
          <w:color w:val="auto"/>
        </w:rPr>
        <w:t>The following is a breakdown of general and administrative expenses for the nine months ended October 31, 2017, as compared to the nine months ended October 31, 2018:</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0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580" w:type="dxa"/>
            <w:vAlign w:val="bottom"/>
          </w:tcPr>
          <w:p>
            <w:pPr>
              <w:spacing w:after="0"/>
              <w:rPr>
                <w:sz w:val="15"/>
                <w:szCs w:val="15"/>
                <w:color w:val="auto"/>
              </w:rPr>
            </w:pPr>
          </w:p>
        </w:tc>
        <w:tc>
          <w:tcPr>
            <w:tcW w:w="20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October 31,</w:t>
            </w:r>
          </w:p>
        </w:tc>
        <w:tc>
          <w:tcPr>
            <w:tcW w:w="3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5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expenses</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26,421</w:t>
            </w:r>
          </w:p>
        </w:tc>
        <w:tc>
          <w:tcPr>
            <w:tcW w:w="11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28,868</w:t>
            </w:r>
          </w:p>
        </w:tc>
        <w:tc>
          <w:tcPr>
            <w:tcW w:w="3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2,447</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r>
    </w:tbl>
    <w:p>
      <w:pPr>
        <w:spacing w:after="0" w:line="219"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color w:val="auto"/>
        </w:rPr>
        <w:t>General and administrative expenses increased from $26.4 million for the nine months ended October 31, 2017, to $28.9 million for the nine months ended October 31, 2018, a 9% increase. The increase in general and administrative expenses was primarily due to an increase in employee-related expenses, driven by an increase in average general and administrative headcount of 67%.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32" w:lineRule="exact"/>
        <w:rPr>
          <w:sz w:val="20"/>
          <w:szCs w:val="20"/>
          <w:color w:val="auto"/>
        </w:rPr>
      </w:pPr>
    </w:p>
    <w:p>
      <w:pPr>
        <w:ind w:right="220" w:firstLine="484"/>
        <w:spacing w:after="0" w:line="239" w:lineRule="auto"/>
        <w:rPr>
          <w:sz w:val="20"/>
          <w:szCs w:val="20"/>
          <w:color w:val="auto"/>
        </w:rPr>
      </w:pPr>
      <w:r>
        <w:rPr>
          <w:rFonts w:ascii="Arial" w:cs="Arial" w:eastAsia="Arial" w:hAnsi="Arial"/>
          <w:sz w:val="18"/>
          <w:szCs w:val="18"/>
          <w:color w:val="auto"/>
        </w:rPr>
        <w:t>The following is a breakdown of interest and other expense, net, for the nine months ended October 31, 2017, as compared to the nine months ended October 31, 2018:</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rPr>
              <w:t>October 31,</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(dollars in</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1,458</w:t>
            </w:r>
          </w:p>
        </w:tc>
        <w:tc>
          <w:tcPr>
            <w:tcW w:w="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428</w:t>
            </w:r>
          </w:p>
        </w:tc>
        <w:tc>
          <w:tcPr>
            <w:tcW w:w="4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(1,030)</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14"/>
        </w:trPr>
        <w:tc>
          <w:tcPr>
            <w:tcW w:w="50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1,420</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1,739</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w:t>
            </w:r>
          </w:p>
        </w:tc>
      </w:tr>
    </w:tbl>
    <w:p>
      <w:pPr>
        <w:spacing w:after="0" w:line="208" w:lineRule="exact"/>
        <w:rPr>
          <w:sz w:val="20"/>
          <w:szCs w:val="20"/>
          <w:color w:val="auto"/>
        </w:rPr>
      </w:pPr>
    </w:p>
    <w:p>
      <w:pPr>
        <w:ind w:firstLine="484"/>
        <w:spacing w:after="0" w:line="237" w:lineRule="auto"/>
        <w:rPr>
          <w:sz w:val="20"/>
          <w:szCs w:val="20"/>
          <w:color w:val="auto"/>
        </w:rPr>
      </w:pPr>
      <w:r>
        <w:rPr>
          <w:rFonts w:ascii="Arial" w:cs="Arial" w:eastAsia="Arial" w:hAnsi="Arial"/>
          <w:sz w:val="18"/>
          <w:szCs w:val="18"/>
          <w:color w:val="auto"/>
        </w:rPr>
        <w:t>The decrease in interest expense was driven primarily by a decrease in the amounts borrowed during the nine months ended October 31, 2018 compared to the nine months ended October 31, 2017. The increase in other expense, net of $0.3 million was driven primarily by an increase in expenses of $2.9 million due to an increase in the fair value of the redeemable convertible preferred stock warrant liability, partially offset by an increase in investment income of $1.4 million and a decrease in the amortization of debt issuance costs of $1.0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2" w:lineRule="exact"/>
        <w:rPr>
          <w:sz w:val="20"/>
          <w:szCs w:val="20"/>
          <w:color w:val="auto"/>
        </w:rPr>
      </w:pPr>
    </w:p>
    <w:p>
      <w:pPr>
        <w:ind w:right="360" w:firstLine="484"/>
        <w:spacing w:after="0" w:line="239" w:lineRule="auto"/>
        <w:rPr>
          <w:sz w:val="20"/>
          <w:szCs w:val="20"/>
          <w:color w:val="auto"/>
        </w:rPr>
      </w:pPr>
      <w:r>
        <w:rPr>
          <w:rFonts w:ascii="Arial" w:cs="Arial" w:eastAsia="Arial" w:hAnsi="Arial"/>
          <w:sz w:val="18"/>
          <w:szCs w:val="18"/>
          <w:color w:val="auto"/>
        </w:rPr>
        <w:t>The following is a breakdown of the provision for income taxes for the nine months ended October 31, 2017, as compared to the nine months ended October 31, 2018:</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5"/>
                <w:szCs w:val="15"/>
                <w:color w:val="auto"/>
              </w:rPr>
            </w:pPr>
          </w:p>
        </w:tc>
        <w:tc>
          <w:tcPr>
            <w:tcW w:w="760" w:type="dxa"/>
            <w:vAlign w:val="bottom"/>
            <w:gridSpan w:val="3"/>
          </w:tcPr>
          <w:p>
            <w:pPr>
              <w:ind w:left="18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5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7"/>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446</w:t>
            </w:r>
          </w:p>
        </w:tc>
        <w:tc>
          <w:tcPr>
            <w:tcW w:w="4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1,018</w:t>
            </w:r>
          </w:p>
        </w:tc>
        <w:tc>
          <w:tcPr>
            <w:tcW w:w="2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91"/>
              </w:rPr>
              <w:t>128%</w:t>
            </w:r>
          </w:p>
        </w:tc>
      </w:tr>
    </w:tbl>
    <w:p>
      <w:pPr>
        <w:spacing w:after="0" w:line="219" w:lineRule="exact"/>
        <w:rPr>
          <w:sz w:val="20"/>
          <w:szCs w:val="20"/>
          <w:color w:val="auto"/>
        </w:rPr>
      </w:pPr>
    </w:p>
    <w:p>
      <w:pPr>
        <w:ind w:right="660" w:firstLine="484"/>
        <w:spacing w:after="0" w:line="239" w:lineRule="auto"/>
        <w:rPr>
          <w:sz w:val="20"/>
          <w:szCs w:val="20"/>
          <w:color w:val="auto"/>
        </w:rPr>
      </w:pPr>
      <w:r>
        <w:rPr>
          <w:rFonts w:ascii="Arial" w:cs="Arial" w:eastAsia="Arial" w:hAnsi="Arial"/>
          <w:sz w:val="18"/>
          <w:szCs w:val="18"/>
          <w:color w:val="auto"/>
        </w:rPr>
        <w:t>The increase in the provision for income taxes was driven primarily by an increase in international income tax expense due to our expansion into several new countries during fiscal 2018.</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Years Ended January 31, 2017 and 2018</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fiscal 2017 as compared to fiscal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6"/>
          </w:tcPr>
          <w:p>
            <w:pPr>
              <w:jc w:val="right"/>
              <w:ind w:right="228"/>
              <w:spacing w:after="0"/>
              <w:rPr>
                <w:sz w:val="20"/>
                <w:szCs w:val="20"/>
                <w:color w:val="auto"/>
              </w:rPr>
            </w:pPr>
            <w:r>
              <w:rPr>
                <w:rFonts w:ascii="Arial" w:cs="Arial" w:eastAsia="Arial" w:hAnsi="Arial"/>
                <w:sz w:val="14"/>
                <w:szCs w:val="14"/>
                <w:b w:val="1"/>
                <w:bCs w:val="1"/>
                <w:color w:val="auto"/>
              </w:rPr>
              <w:t>Year Ended January 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(dollars in</w:t>
            </w:r>
          </w:p>
        </w:tc>
        <w:tc>
          <w:tcPr>
            <w:tcW w:w="7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79"/>
              </w:rPr>
              <w:t>thousands)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28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Subscription</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37,895</w:t>
            </w:r>
          </w:p>
        </w:tc>
        <w:tc>
          <w:tcPr>
            <w:tcW w:w="200" w:type="dxa"/>
            <w:vAlign w:val="bottom"/>
          </w:tcPr>
          <w:p>
            <w:pPr>
              <w:jc w:val="right"/>
              <w:ind w:right="18"/>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92,568</w:t>
            </w:r>
          </w:p>
        </w:tc>
        <w:tc>
          <w:tcPr>
            <w:tcW w:w="3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54,673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4"/>
          </w:tcPr>
          <w:p>
            <w:pPr>
              <w:jc w:val="right"/>
              <w:ind w:right="1140"/>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Professional services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14,850</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26,184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11,334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gridSpan w:val="3"/>
            <w:vMerge w:val="restart"/>
          </w:tcPr>
          <w:p>
            <w:pPr>
              <w:ind w:left="18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4"/>
            <w:vMerge w:val="restart"/>
          </w:tcPr>
          <w:p>
            <w:pPr>
              <w:jc w:val="right"/>
              <w:ind w:right="1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52,745</w:t>
            </w:r>
          </w:p>
        </w:tc>
        <w:tc>
          <w:tcPr>
            <w:tcW w:w="20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118,752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rPr>
              <w:t>66,007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4280" w:type="dxa"/>
            <w:vAlign w:val="bottom"/>
            <w:gridSpan w:val="4"/>
            <w:shd w:val="clear" w:color="auto" w:fill="CCEEFF"/>
          </w:tcPr>
          <w:p>
            <w:pPr>
              <w:ind w:left="20"/>
              <w:spacing w:after="0" w:line="236" w:lineRule="exact"/>
              <w:rPr>
                <w:sz w:val="20"/>
                <w:szCs w:val="20"/>
                <w:color w:val="auto"/>
              </w:rPr>
            </w:pPr>
            <w:r>
              <w:rPr>
                <w:rFonts w:ascii="Arial" w:cs="Arial" w:eastAsia="Arial" w:hAnsi="Arial"/>
                <w:sz w:val="17"/>
                <w:szCs w:val="17"/>
                <w:color w:val="auto"/>
              </w:rPr>
              <w:t>Cost of revenue</w:t>
            </w:r>
            <w:r>
              <w:rPr>
                <w:rFonts w:ascii="Arial" w:cs="Arial" w:eastAsia="Arial" w:hAnsi="Arial"/>
                <w:sz w:val="27"/>
                <w:szCs w:val="27"/>
                <w:color w:val="auto"/>
                <w:vertAlign w:val="superscript"/>
              </w:rPr>
              <w:t>(1)</w:t>
            </w:r>
          </w:p>
        </w:tc>
        <w:tc>
          <w:tcPr>
            <w:tcW w:w="66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Subscription</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24,378</w:t>
            </w:r>
          </w:p>
        </w:tc>
        <w:tc>
          <w:tcPr>
            <w:tcW w:w="2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39,857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15,479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4"/>
          </w:tcPr>
          <w:p>
            <w:pPr>
              <w:jc w:val="right"/>
              <w:ind w:right="114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Professional services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9,628</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14,629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gridSpan w:val="3"/>
            <w:vMerge w:val="restart"/>
          </w:tcPr>
          <w:p>
            <w:pPr>
              <w:ind w:left="180"/>
              <w:spacing w:after="0"/>
              <w:rPr>
                <w:sz w:val="20"/>
                <w:szCs w:val="20"/>
                <w:color w:val="auto"/>
              </w:rPr>
            </w:pPr>
            <w:r>
              <w:rPr>
                <w:rFonts w:ascii="Arial" w:cs="Arial" w:eastAsia="Arial" w:hAnsi="Arial"/>
                <w:sz w:val="18"/>
                <w:szCs w:val="18"/>
                <w:color w:val="auto"/>
              </w:rPr>
              <w:t>Total cost of revenue</w:t>
            </w: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4"/>
            <w:vMerge w:val="restart"/>
          </w:tcPr>
          <w:p>
            <w:pPr>
              <w:jc w:val="right"/>
              <w:ind w:right="1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34,006</w:t>
            </w:r>
          </w:p>
        </w:tc>
        <w:tc>
          <w:tcPr>
            <w:tcW w:w="20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54,486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rPr>
              <w:t>20,480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18,739</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64,266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45,527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243%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8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8"/>
                <w:szCs w:val="28"/>
                <w:color w:val="auto"/>
                <w:vertAlign w:val="superscript"/>
              </w:rPr>
              <w:t>(1)</w:t>
            </w: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53,748</w:t>
            </w: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104,277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50,529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80" w:type="dxa"/>
            <w:vAlign w:val="bottom"/>
            <w:gridSpan w:val="3"/>
          </w:tcPr>
          <w:p>
            <w:pPr>
              <w:spacing w:after="0" w:line="243"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39,145</w:t>
            </w:r>
          </w:p>
        </w:tc>
        <w:tc>
          <w:tcPr>
            <w:tcW w:w="2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58,887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19,742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80" w:type="dxa"/>
            <w:vAlign w:val="bottom"/>
            <w:gridSpan w:val="4"/>
          </w:tcPr>
          <w:p>
            <w:pPr>
              <w:jc w:val="right"/>
              <w:ind w:right="1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8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16,402</w:t>
            </w: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16,140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gridSpan w:val="3"/>
            <w:vMerge w:val="restart"/>
          </w:tcPr>
          <w:p>
            <w:pPr>
              <w:ind w:left="18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4"/>
            <w:vMerge w:val="restart"/>
          </w:tcPr>
          <w:p>
            <w:pPr>
              <w:jc w:val="right"/>
              <w:ind w:right="1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109,295</w:t>
            </w:r>
          </w:p>
        </w:tc>
        <w:tc>
          <w:tcPr>
            <w:tcW w:w="20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195,706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rPr>
              <w:t>86,411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(90,556)</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(131,440)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(40,884)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(615)</w:t>
            </w:r>
          </w:p>
        </w:tc>
        <w:tc>
          <w:tcPr>
            <w:tcW w:w="200" w:type="dxa"/>
            <w:vAlign w:val="bottom"/>
          </w:tcPr>
          <w:p>
            <w:pPr>
              <w:spacing w:after="0"/>
              <w:rPr>
                <w:sz w:val="17"/>
                <w:szCs w:val="17"/>
                <w:color w:val="auto"/>
              </w:rPr>
            </w:pP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(1,033)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4"/>
          </w:tcPr>
          <w:p>
            <w:pPr>
              <w:jc w:val="right"/>
              <w:ind w:right="114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gridSpan w:val="4"/>
            <w:vMerge w:val="restart"/>
          </w:tcPr>
          <w:p>
            <w:pPr>
              <w:ind w:left="20"/>
              <w:spacing w:after="0"/>
              <w:rPr>
                <w:sz w:val="20"/>
                <w:szCs w:val="20"/>
                <w:color w:val="auto"/>
              </w:rPr>
            </w:pPr>
            <w:r>
              <w:rPr>
                <w:rFonts w:ascii="Arial" w:cs="Arial" w:eastAsia="Arial" w:hAnsi="Arial"/>
                <w:sz w:val="18"/>
                <w:szCs w:val="18"/>
                <w:color w:val="auto"/>
              </w:rPr>
              <w:t>Loss before provision for income taxes</w:t>
            </w: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4"/>
            <w:vMerge w:val="restart"/>
          </w:tcPr>
          <w:p>
            <w:pPr>
              <w:jc w:val="right"/>
              <w:ind w:right="1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vMerge w:val="continue"/>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(91,253)</w:t>
            </w:r>
          </w:p>
        </w:tc>
        <w:tc>
          <w:tcPr>
            <w:tcW w:w="20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(134,561)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w w:val="98"/>
              </w:rPr>
              <w:t>(43,308)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5"/>
              </w:rPr>
              <w:t>(842)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968%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gridSpan w:val="4"/>
            <w:vMerge w:val="restart"/>
          </w:tcPr>
          <w:p>
            <w:pPr>
              <w:ind w:left="20"/>
              <w:spacing w:after="0"/>
              <w:rPr>
                <w:sz w:val="20"/>
                <w:szCs w:val="20"/>
                <w:color w:val="auto"/>
              </w:rPr>
            </w:pPr>
            <w:r>
              <w:rPr>
                <w:rFonts w:ascii="Arial" w:cs="Arial" w:eastAsia="Arial" w:hAnsi="Arial"/>
                <w:sz w:val="18"/>
                <w:szCs w:val="18"/>
                <w:color w:val="auto"/>
              </w:rPr>
              <w:t>Net loss</w:t>
            </w: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4"/>
            <w:vMerge w:val="restart"/>
          </w:tcPr>
          <w:p>
            <w:pPr>
              <w:jc w:val="right"/>
              <w:ind w:right="11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80" w:type="dxa"/>
            <w:vAlign w:val="bottom"/>
            <w:gridSpan w:val="4"/>
            <w:vMerge w:val="continue"/>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(91,340)</w:t>
            </w:r>
          </w:p>
        </w:tc>
        <w:tc>
          <w:tcPr>
            <w:tcW w:w="200" w:type="dxa"/>
            <w:vAlign w:val="bottom"/>
          </w:tcPr>
          <w:p>
            <w:pPr>
              <w:jc w:val="right"/>
              <w:ind w:right="18"/>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(135,490)</w:t>
            </w:r>
          </w:p>
        </w:tc>
        <w:tc>
          <w:tcPr>
            <w:tcW w:w="3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w w:val="98"/>
              </w:rPr>
              <w:t>(44,150)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1320" w:type="dxa"/>
            <w:vAlign w:val="bottom"/>
            <w:gridSpan w:val="2"/>
          </w:tcPr>
          <w:p>
            <w:pPr>
              <w:ind w:left="1140"/>
              <w:spacing w:after="0"/>
              <w:rPr>
                <w:sz w:val="20"/>
                <w:szCs w:val="20"/>
                <w:color w:val="auto"/>
              </w:rPr>
            </w:pPr>
            <w:r>
              <w:rPr>
                <w:rFonts w:ascii="Arial" w:cs="Arial" w:eastAsia="Arial" w:hAnsi="Arial"/>
                <w:sz w:val="14"/>
                <w:szCs w:val="14"/>
                <w:color w:val="auto"/>
                <w:w w:val="93"/>
              </w:rPr>
              <w:t>(1)</w:t>
            </w:r>
          </w:p>
        </w:tc>
        <w:tc>
          <w:tcPr>
            <w:tcW w:w="4080" w:type="dxa"/>
            <w:vAlign w:val="bottom"/>
            <w:gridSpan w:val="3"/>
          </w:tcPr>
          <w:p>
            <w:pPr>
              <w:ind w:left="360"/>
              <w:spacing w:after="0"/>
              <w:rPr>
                <w:sz w:val="20"/>
                <w:szCs w:val="20"/>
                <w:color w:val="auto"/>
              </w:rPr>
            </w:pPr>
            <w:r>
              <w:rPr>
                <w:rFonts w:ascii="Arial" w:cs="Arial" w:eastAsia="Arial" w:hAnsi="Arial"/>
                <w:sz w:val="14"/>
                <w:szCs w:val="14"/>
                <w:color w:val="auto"/>
              </w:rPr>
              <w:t>Includes stock-based compensation expense as follows: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7"/>
          </w:tcPr>
          <w:p>
            <w:pPr>
              <w:ind w:left="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7"/>
          </w:tcPr>
          <w:p>
            <w:pPr>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Borders>
              <w:top w:val="single" w:sz="8" w:color="auto"/>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3"/>
              </w:rPr>
              <w:t>(in</w:t>
            </w:r>
          </w:p>
        </w:tc>
        <w:tc>
          <w:tcPr>
            <w:tcW w:w="8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79"/>
              </w:rPr>
              <w:t>thousands)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revenue</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gridSpan w:val="3"/>
          </w:tcPr>
          <w:p>
            <w:pPr>
              <w:ind w:left="380"/>
              <w:spacing w:after="0"/>
              <w:rPr>
                <w:sz w:val="20"/>
                <w:szCs w:val="20"/>
                <w:color w:val="auto"/>
              </w:rPr>
            </w:pPr>
            <w:r>
              <w:rPr>
                <w:rFonts w:ascii="Arial" w:cs="Arial" w:eastAsia="Arial" w:hAnsi="Arial"/>
                <w:sz w:val="14"/>
                <w:szCs w:val="14"/>
                <w:color w:val="auto"/>
              </w:rPr>
              <w:t>Sales and marketing</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638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1,386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80" w:type="dxa"/>
            <w:vAlign w:val="bottom"/>
            <w:gridSpan w:val="3"/>
          </w:tcPr>
          <w:p>
            <w:pPr>
              <w:ind w:left="380"/>
              <w:spacing w:after="0"/>
              <w:rPr>
                <w:sz w:val="20"/>
                <w:szCs w:val="20"/>
                <w:color w:val="auto"/>
              </w:rPr>
            </w:pPr>
            <w:r>
              <w:rPr>
                <w:rFonts w:ascii="Arial" w:cs="Arial" w:eastAsia="Arial" w:hAnsi="Arial"/>
                <w:sz w:val="14"/>
                <w:szCs w:val="14"/>
                <w:color w:val="auto"/>
              </w:rPr>
              <w:t>General and administrative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704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7,187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700" w:type="dxa"/>
            <w:vAlign w:val="bottom"/>
            <w:gridSpan w:val="2"/>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stock-based compensation expense</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1,994</w:t>
            </w:r>
          </w:p>
        </w:tc>
        <w:tc>
          <w:tcPr>
            <w:tcW w:w="2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12,343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34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January 31,</w:t>
      </w:r>
    </w:p>
    <w:tbl>
      <w:tblPr>
        <w:tblLayout w:type="fixed"/>
        <w:tblInd w:w="1120" w:type="dxa"/>
        <w:tblCellMar>
          <w:top w:w="0" w:type="dxa"/>
          <w:left w:w="0" w:type="dxa"/>
          <w:bottom w:w="0" w:type="dxa"/>
          <w:right w:w="0" w:type="dxa"/>
        </w:tblCellMar>
      </w:tblPr>
      <w:tr>
        <w:trPr>
          <w:trHeight w:val="156"/>
        </w:trPr>
        <w:tc>
          <w:tcPr>
            <w:tcW w:w="6340" w:type="dxa"/>
            <w:vAlign w:val="bottom"/>
          </w:tcPr>
          <w:p>
            <w:pPr>
              <w:spacing w:after="0"/>
              <w:rPr>
                <w:sz w:val="13"/>
                <w:szCs w:val="13"/>
                <w:color w:val="auto"/>
              </w:rPr>
            </w:pPr>
          </w:p>
        </w:tc>
        <w:tc>
          <w:tcPr>
            <w:tcW w:w="880" w:type="dxa"/>
            <w:vAlign w:val="bottom"/>
            <w:tcBorders>
              <w:top w:val="single" w:sz="8" w:color="auto"/>
            </w:tcBorders>
          </w:tcPr>
          <w:p>
            <w:pPr>
              <w:jc w:val="right"/>
              <w:ind w:right="194"/>
              <w:spacing w:after="0" w:line="156"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194"/>
              <w:spacing w:after="0" w:line="156"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34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 Revenue</w:t>
            </w: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 Revenue</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w:t>
            </w: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Subscription</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72%</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Professional services</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80"/>
              <w:spacing w:after="0"/>
              <w:rPr>
                <w:sz w:val="20"/>
                <w:szCs w:val="20"/>
                <w:color w:val="auto"/>
              </w:rPr>
            </w:pPr>
            <w:r>
              <w:rPr>
                <w:rFonts w:ascii="Arial" w:cs="Arial" w:eastAsia="Arial" w:hAnsi="Arial"/>
                <w:sz w:val="18"/>
                <w:szCs w:val="18"/>
                <w:color w:val="auto"/>
              </w:rPr>
              <w:t>Total revenue</w:t>
            </w: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3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revenue</w:t>
            </w: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Subscription</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46%</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Professional services</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80"/>
              <w:spacing w:after="0"/>
              <w:rPr>
                <w:sz w:val="20"/>
                <w:szCs w:val="20"/>
                <w:color w:val="auto"/>
              </w:rPr>
            </w:pPr>
            <w:r>
              <w:rPr>
                <w:rFonts w:ascii="Arial" w:cs="Arial" w:eastAsia="Arial" w:hAnsi="Arial"/>
                <w:sz w:val="18"/>
                <w:szCs w:val="18"/>
                <w:color w:val="auto"/>
              </w:rPr>
              <w:t>Total cost of revenue</w:t>
            </w: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3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64%</w:t>
            </w:r>
          </w:p>
        </w:tc>
        <w:tc>
          <w:tcPr>
            <w:tcW w:w="13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profit</w:t>
            </w:r>
          </w:p>
        </w:tc>
        <w:tc>
          <w:tcPr>
            <w:tcW w:w="13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634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8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102%</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74%</w:t>
            </w:r>
          </w:p>
        </w:tc>
        <w:tc>
          <w:tcPr>
            <w:tcW w:w="13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w:t>
            </w:r>
          </w:p>
        </w:tc>
        <w:tc>
          <w:tcPr>
            <w:tcW w:w="1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8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3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207%</w:t>
            </w:r>
          </w:p>
        </w:tc>
        <w:tc>
          <w:tcPr>
            <w:tcW w:w="13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3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(172)%</w:t>
            </w:r>
          </w:p>
        </w:tc>
        <w:tc>
          <w:tcPr>
            <w:tcW w:w="13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8"/>
                <w:szCs w:val="18"/>
                <w:color w:val="auto"/>
              </w:rPr>
              <w:t>Loss before provision for income taxes</w:t>
            </w: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(173)%</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vMerge w:val="continue"/>
          </w:tcPr>
          <w:p>
            <w:pPr>
              <w:spacing w:after="0"/>
              <w:rPr>
                <w:sz w:val="17"/>
                <w:szCs w:val="17"/>
                <w:color w:val="auto"/>
              </w:rPr>
            </w:pP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(173)%</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breakdown of total revenue from subscriptions and professional services for fiscal 2017 and fiscal 2018:</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4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4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4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37,895</w:t>
            </w:r>
          </w:p>
        </w:tc>
        <w:tc>
          <w:tcPr>
            <w:tcW w:w="380" w:type="dxa"/>
            <w:vAlign w:val="bottom"/>
            <w:shd w:val="clear" w:color="auto" w:fill="CCEEFF"/>
          </w:tcPr>
          <w:p>
            <w:pPr>
              <w:jc w:val="right"/>
              <w:ind w:right="178"/>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92,568</w:t>
            </w:r>
          </w:p>
        </w:tc>
        <w:tc>
          <w:tcPr>
            <w:tcW w:w="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54,673</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4900" w:type="dxa"/>
            <w:vAlign w:val="bottom"/>
          </w:tcPr>
          <w:p>
            <w:pPr>
              <w:ind w:left="20"/>
              <w:spacing w:after="0" w:line="202" w:lineRule="exact"/>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14,850</w:t>
            </w:r>
          </w:p>
        </w:tc>
        <w:tc>
          <w:tcPr>
            <w:tcW w:w="38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26,184</w:t>
            </w:r>
          </w:p>
        </w:tc>
        <w:tc>
          <w:tcPr>
            <w:tcW w:w="400" w:type="dxa"/>
            <w:vAlign w:val="bottom"/>
          </w:tcPr>
          <w:p>
            <w:pPr>
              <w:spacing w:after="0"/>
              <w:rPr>
                <w:sz w:val="17"/>
                <w:szCs w:val="17"/>
                <w:color w:val="auto"/>
              </w:rPr>
            </w:pPr>
          </w:p>
        </w:tc>
        <w:tc>
          <w:tcPr>
            <w:tcW w:w="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11,334</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
        </w:trPr>
        <w:tc>
          <w:tcPr>
            <w:tcW w:w="4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90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52,745</w:t>
            </w:r>
          </w:p>
        </w:tc>
        <w:tc>
          <w:tcPr>
            <w:tcW w:w="380" w:type="dxa"/>
            <w:vAlign w:val="bottom"/>
            <w:shd w:val="clear" w:color="auto" w:fill="CCEEFF"/>
          </w:tcPr>
          <w:p>
            <w:pPr>
              <w:jc w:val="right"/>
              <w:ind w:right="178"/>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118,752</w:t>
            </w:r>
          </w:p>
        </w:tc>
        <w:tc>
          <w:tcPr>
            <w:tcW w:w="4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66,007</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4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Total revenue increased from $52.7 million for fiscal 2017 to $118.8 million for fiscal 2018. Subscription revenue accounted for 72% of our total revenue for fiscal 2017 and 78% for fiscal 2018. Professional services revenue accounted for 28% of our total revenue for fiscal 2017 and 22% for fiscal 2018. The growth in subscription revenue from $37.9 million for fiscal 2017 to $92.6 million for fiscal 2018, a 144% increase, was primarily attributable to the increase in our subscription customer base. Total subscription customers increased from 450 at the end of fiscal 2017 to 1,242 at the end of fiscal 2018, a 176% increase.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firstLine="488"/>
        <w:spacing w:after="0" w:line="239" w:lineRule="auto"/>
        <w:rPr>
          <w:sz w:val="20"/>
          <w:szCs w:val="20"/>
          <w:color w:val="auto"/>
        </w:rPr>
      </w:pPr>
      <w:r>
        <w:rPr>
          <w:rFonts w:ascii="Arial" w:cs="Arial" w:eastAsia="Arial" w:hAnsi="Arial"/>
          <w:sz w:val="18"/>
          <w:szCs w:val="18"/>
          <w:color w:val="auto"/>
        </w:rPr>
        <w:t>Professional services revenue grew from $14.9 million for fiscal 2017 to $26.2 million for fiscal 2018, a 76% year-over-year increase, and was primarily attributable to an increase in the number of professional service hours performed.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breakdown of cost of revenue related to subscriptions and professional services for fiscal 2017 and fiscal 2018:</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January 31,</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w:t>
            </w:r>
          </w:p>
        </w:tc>
        <w:tc>
          <w:tcPr>
            <w:tcW w:w="2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24,378</w:t>
            </w:r>
          </w:p>
        </w:tc>
        <w:tc>
          <w:tcPr>
            <w:tcW w:w="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39,857</w:t>
            </w:r>
          </w:p>
        </w:tc>
        <w:tc>
          <w:tcPr>
            <w:tcW w:w="4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4"/>
              </w:rPr>
              <w:t>15,479</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14,629</w:t>
            </w:r>
          </w:p>
        </w:tc>
        <w:tc>
          <w:tcPr>
            <w:tcW w:w="40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5,001</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
        </w:trPr>
        <w:tc>
          <w:tcPr>
            <w:tcW w:w="5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20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cost of revenue</w:t>
            </w:r>
          </w:p>
        </w:tc>
        <w:tc>
          <w:tcPr>
            <w:tcW w:w="2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34,006</w:t>
            </w:r>
          </w:p>
        </w:tc>
        <w:tc>
          <w:tcPr>
            <w:tcW w:w="46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54,486</w:t>
            </w:r>
          </w:p>
        </w:tc>
        <w:tc>
          <w:tcPr>
            <w:tcW w:w="4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4"/>
              </w:rPr>
              <w:t>20,480</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0" w:firstLine="484"/>
        <w:spacing w:after="0" w:line="236" w:lineRule="auto"/>
        <w:rPr>
          <w:sz w:val="20"/>
          <w:szCs w:val="20"/>
          <w:color w:val="auto"/>
        </w:rPr>
      </w:pPr>
      <w:r>
        <w:rPr>
          <w:rFonts w:ascii="Arial" w:cs="Arial" w:eastAsia="Arial" w:hAnsi="Arial"/>
          <w:sz w:val="18"/>
          <w:szCs w:val="18"/>
          <w:color w:val="auto"/>
        </w:rPr>
        <w:t>Total cost of revenue increased from $34.0 million for fiscal 2017 to $54.5 million for fiscal 2018. Subscription cost of revenue increased from $24.4 million for fiscal 2017 to $39.9 million for fiscal 2018, a 63% increase. The increase in subscription cost of revenue was primarily due to an increase of $9.2 million in cloud hosting and related services, an increase in employee-related expenses of $3.4 million driven by an increase in average headcount of 75%, an increase in amortization of internal-use software of $1.6 million, and an increase of $1.2 million in allocated overhead costs.</w:t>
      </w:r>
    </w:p>
    <w:p>
      <w:pPr>
        <w:spacing w:after="0" w:line="211"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Professional services cost of revenue increased from $9.6 million for fiscal 2017 to $14.6 million for fiscal 2018, a 52% increase. The increase in professional services cost of revenue was primarily due to an increase in employee-related expenses of $3.0 million driven by an increase in average headcount of 22% for fiscal 2018 compared to fiscal 2017. Of this $3.0 million, $1.1 million was attributable to an increase in employee bonus expense, which was driven by the 76% increase in professional services revenue for fiscal 2018 compared to fiscal 2017. In addition, there was an increase of $1.0 million in allocated overhead costs and $0.6 million increase in consulting costs as we used more third-party contractors to deliver our services.</w:t>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January 31,</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(dollars in</w:t>
            </w:r>
          </w:p>
        </w:tc>
        <w:tc>
          <w:tcPr>
            <w:tcW w:w="10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76"/>
              </w:rPr>
              <w:t>thousands)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 gross profit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13,517</w:t>
            </w:r>
          </w:p>
        </w:tc>
        <w:tc>
          <w:tcPr>
            <w:tcW w:w="40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w w:val="98"/>
              </w:rPr>
              <w:t>52,711</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39,194</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Professional services gross profit</w:t>
            </w: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5,222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11,555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6,333</w:t>
            </w:r>
          </w:p>
        </w:tc>
        <w:tc>
          <w:tcPr>
            <w:tcW w:w="4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
        </w:trPr>
        <w:tc>
          <w:tcPr>
            <w:tcW w:w="5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2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gross profit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18,739</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w w:val="98"/>
              </w:rPr>
              <w:t>64,266</w:t>
            </w:r>
          </w:p>
        </w:tc>
        <w:tc>
          <w:tcPr>
            <w:tcW w:w="2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45,527</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243%</w:t>
            </w: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764"/>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Year Ended</w:t>
            </w:r>
          </w:p>
        </w:tc>
      </w:tr>
      <w:tr>
        <w:trPr>
          <w:trHeight w:val="182"/>
        </w:trPr>
        <w:tc>
          <w:tcPr>
            <w:tcW w:w="5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January 31,</w:t>
            </w: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Subscription gross margin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Professional services gross margin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35%</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03"/>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gross margin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r>
    </w:tbl>
    <w:p>
      <w:pPr>
        <w:spacing w:after="0" w:line="219" w:lineRule="exact"/>
        <w:rPr>
          <w:sz w:val="20"/>
          <w:szCs w:val="20"/>
          <w:color w:val="auto"/>
        </w:rPr>
      </w:pPr>
    </w:p>
    <w:p>
      <w:pPr>
        <w:ind w:right="120" w:firstLine="488"/>
        <w:spacing w:after="0" w:line="238" w:lineRule="auto"/>
        <w:rPr>
          <w:sz w:val="20"/>
          <w:szCs w:val="20"/>
          <w:color w:val="auto"/>
        </w:rPr>
      </w:pPr>
      <w:r>
        <w:rPr>
          <w:rFonts w:ascii="Arial" w:cs="Arial" w:eastAsia="Arial" w:hAnsi="Arial"/>
          <w:sz w:val="18"/>
          <w:szCs w:val="18"/>
          <w:color w:val="auto"/>
        </w:rPr>
        <w:t>Subscription gross margin increased from 36% for fiscal 2017 to 57% for fiscal 2018.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subscriptions and efforts to optimize our channel partner programs. Professional services gross margin increased from 35% for fiscal 2017 to 44% for fiscal 2018 as a result of the increase in the number of professional services hours performed in fiscal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breakdown of sales and marketing expenses for fiscal 2017 and fiscal 2018:</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0" w:type="dxa"/>
            <w:vAlign w:val="bottom"/>
            <w:gridSpan w:val="5"/>
          </w:tcPr>
          <w:p>
            <w:pPr>
              <w:ind w:left="64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240" w:type="dxa"/>
            <w:vAlign w:val="bottom"/>
          </w:tcPr>
          <w:p>
            <w:pPr>
              <w:spacing w:after="0"/>
              <w:rPr>
                <w:sz w:val="15"/>
                <w:szCs w:val="15"/>
                <w:color w:val="auto"/>
              </w:rPr>
            </w:pPr>
          </w:p>
        </w:tc>
        <w:tc>
          <w:tcPr>
            <w:tcW w:w="2200" w:type="dxa"/>
            <w:vAlign w:val="bottom"/>
            <w:gridSpan w:val="5"/>
          </w:tcPr>
          <w:p>
            <w:pPr>
              <w:ind w:left="640"/>
              <w:spacing w:after="0"/>
              <w:rPr>
                <w:sz w:val="20"/>
                <w:szCs w:val="20"/>
                <w:color w:val="auto"/>
              </w:rPr>
            </w:pPr>
            <w:r>
              <w:rPr>
                <w:rFonts w:ascii="Arial" w:cs="Arial" w:eastAsia="Arial" w:hAnsi="Arial"/>
                <w:sz w:val="14"/>
                <w:szCs w:val="14"/>
                <w:b w:val="1"/>
                <w:bCs w:val="1"/>
                <w:color w:val="auto"/>
              </w:rPr>
              <w:t>January 31,</w:t>
            </w:r>
          </w:p>
        </w:tc>
        <w:tc>
          <w:tcPr>
            <w:tcW w:w="36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2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Sales and marketing expenses</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53,748</w:t>
            </w: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   104,277</w:t>
            </w:r>
          </w:p>
        </w:tc>
        <w:tc>
          <w:tcPr>
            <w:tcW w:w="3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4"/>
              </w:rPr>
              <w:t>50,529</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r>
    </w:tbl>
    <w:p>
      <w:pPr>
        <w:spacing w:after="0" w:line="21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Sales and marketing expenses increased from $53.7 million for fiscal 2017 to $104.3 million for fiscal 2018, a 94% increase. The increase in sales and marketing expenses was primarily due to an increase in employee-related expenses of $32.9 million driven by an increase in average sales and marketing headcount of 106% for fiscal 2018 compared to fiscal 2017 and an increase in sales commission expense of $12.4 million. In addition, there was an increase of $7.7 million in allocated overhead costs, an increase of $4.0 million in marketing program expenses including costs incurred for Fal.Con, our first user conference, an increase in travel-related costs of $3.1 million, and an increase of $1.9 million in contract labor and consulting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breakdown of research and development expenses for fiscal 2017 and fiscal 2018:</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40" w:type="dxa"/>
            <w:vAlign w:val="bottom"/>
            <w:gridSpan w:val="5"/>
          </w:tcPr>
          <w:p>
            <w:pPr>
              <w:ind w:left="5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440" w:type="dxa"/>
            <w:vAlign w:val="bottom"/>
          </w:tcPr>
          <w:p>
            <w:pPr>
              <w:spacing w:after="0"/>
              <w:rPr>
                <w:sz w:val="15"/>
                <w:szCs w:val="15"/>
                <w:color w:val="auto"/>
              </w:rPr>
            </w:pPr>
          </w:p>
        </w:tc>
        <w:tc>
          <w:tcPr>
            <w:tcW w:w="2040" w:type="dxa"/>
            <w:vAlign w:val="bottom"/>
            <w:gridSpan w:val="5"/>
          </w:tcPr>
          <w:p>
            <w:pPr>
              <w:ind w:left="56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4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(dollars in</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 expenses</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39,145</w:t>
            </w:r>
          </w:p>
        </w:tc>
        <w:tc>
          <w:tcPr>
            <w:tcW w:w="114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   58,887</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19,742</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r>
    </w:tbl>
    <w:p>
      <w:pPr>
        <w:spacing w:after="0" w:line="21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Research and development expenses increased from $39.1 million for fiscal 2017 to $58.9 million for fiscal 2018, a 50% increase. This increase was primarily due to an increase in employee-related expenses of $14.0 million, which includes an increase of $2.9 million in stock-based compensation expense, driven by an increase in average research and development headcount of 40% for fiscal 2018 compared to fiscal 2017. In addition, there was an increase of $2.6 million in allocated overhead costs, an increase of $2.4 million in cloud hosting and related services, and an increase of $1.0 million in contract labor and consulting costs, partially offset by an increase in internal-use software capitalization of $1.5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breakdown of general and administrative expenses for fiscal 2017 and fiscal 2018: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40" w:type="dxa"/>
            <w:vAlign w:val="bottom"/>
            <w:gridSpan w:val="5"/>
          </w:tcPr>
          <w:p>
            <w:pPr>
              <w:ind w:left="5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11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40" w:type="dxa"/>
            <w:vAlign w:val="bottom"/>
            <w:gridSpan w:val="5"/>
          </w:tcPr>
          <w:p>
            <w:pPr>
              <w:ind w:left="54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9"/>
        </w:trPr>
        <w:tc>
          <w:tcPr>
            <w:tcW w:w="1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(dollars in thousands)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3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expenses</w:t>
            </w:r>
          </w:p>
        </w:tc>
        <w:tc>
          <w:tcPr>
            <w:tcW w:w="2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   16,402</w:t>
            </w:r>
          </w:p>
        </w:tc>
        <w:tc>
          <w:tcPr>
            <w:tcW w:w="11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32,542</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16,140</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1140" w:type="dxa"/>
            <w:vAlign w:val="bottom"/>
          </w:tcPr>
          <w:p>
            <w:pPr>
              <w:spacing w:after="0"/>
              <w:rPr>
                <w:sz w:val="17"/>
                <w:szCs w:val="17"/>
                <w:color w:val="auto"/>
              </w:rPr>
            </w:pPr>
          </w:p>
        </w:tc>
      </w:tr>
      <w:tr>
        <w:trPr>
          <w:trHeight w:val="430"/>
        </w:trPr>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80" w:type="dxa"/>
            <w:vAlign w:val="bottom"/>
          </w:tcPr>
          <w:p>
            <w:pPr>
              <w:jc w:val="right"/>
              <w:ind w:right="752"/>
              <w:spacing w:after="0"/>
              <w:rPr>
                <w:sz w:val="20"/>
                <w:szCs w:val="20"/>
                <w:color w:val="auto"/>
              </w:rPr>
            </w:pPr>
            <w:r>
              <w:rPr>
                <w:rFonts w:ascii="Arial" w:cs="Arial" w:eastAsia="Arial" w:hAnsi="Arial"/>
                <w:sz w:val="18"/>
                <w:szCs w:val="18"/>
                <w:color w:val="auto"/>
              </w:rPr>
              <w:t>94</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366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and administrative expenses increased from $16.4 million for fiscal 2017 to $32.5 million for fiscal 2018, a 98% increase. The</w:t>
      </w:r>
    </w:p>
    <w:p>
      <w:pPr>
        <w:spacing w:after="0"/>
        <w:rPr>
          <w:sz w:val="20"/>
          <w:szCs w:val="20"/>
          <w:color w:val="auto"/>
        </w:rPr>
      </w:pPr>
      <w:r>
        <w:rPr>
          <w:rFonts w:ascii="Arial" w:cs="Arial" w:eastAsia="Arial" w:hAnsi="Arial"/>
          <w:sz w:val="16"/>
          <w:szCs w:val="16"/>
          <w:color w:val="auto"/>
        </w:rPr>
        <w:t>increase in general and administrative expenses was primarily due to an increase in employee-related expenses of $9.1 million, which includes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 increase of $6.3 million in stock-based compensation expense, driven by an increase in average general and administrative headcount of</w:t>
      </w:r>
    </w:p>
    <w:p>
      <w:pPr>
        <w:spacing w:after="0" w:line="234" w:lineRule="auto"/>
        <w:rPr>
          <w:sz w:val="20"/>
          <w:szCs w:val="20"/>
          <w:color w:val="auto"/>
        </w:rPr>
      </w:pPr>
      <w:r>
        <w:rPr>
          <w:rFonts w:ascii="Arial" w:cs="Arial" w:eastAsia="Arial" w:hAnsi="Arial"/>
          <w:sz w:val="18"/>
          <w:szCs w:val="18"/>
          <w:color w:val="auto"/>
        </w:rPr>
        <w:t>78% for fiscal 2018 compared to fiscal 2017. In addition, there was an increase of $3.7 million in legal and accounting fees, an increase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$0.7 million in allocated overhead costs, an increase of $0.5 million in contract labor and consulting costs, an increase of $0.4 million in recruiting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costs, an increase of $0.4 million in bad debt expense, and an increase of $0.4 million in finance charges.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breakdown of interest and other expense, net, for fiscal 2017 and fiscal 2018:</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right"/>
              <w:ind w:right="628"/>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5"/>
          </w:tcPr>
          <w:p>
            <w:pPr>
              <w:jc w:val="right"/>
              <w:ind w:right="608"/>
              <w:spacing w:after="0"/>
              <w:rPr>
                <w:sz w:val="20"/>
                <w:szCs w:val="20"/>
                <w:color w:val="auto"/>
              </w:rPr>
            </w:pPr>
            <w:r>
              <w:rPr>
                <w:rFonts w:ascii="Arial" w:cs="Arial" w:eastAsia="Arial" w:hAnsi="Arial"/>
                <w:sz w:val="14"/>
                <w:szCs w:val="14"/>
                <w:b w:val="1"/>
                <w:bCs w:val="1"/>
                <w:color w:val="auto"/>
              </w:rPr>
              <w:t>January 31,</w:t>
            </w:r>
          </w:p>
        </w:tc>
        <w:tc>
          <w:tcPr>
            <w:tcW w:w="280" w:type="dxa"/>
            <w:vAlign w:val="bottom"/>
          </w:tcPr>
          <w:p>
            <w:pPr>
              <w:spacing w:after="0"/>
              <w:rPr>
                <w:sz w:val="15"/>
                <w:szCs w:val="15"/>
                <w:color w:val="auto"/>
              </w:rPr>
            </w:pPr>
          </w:p>
        </w:tc>
        <w:tc>
          <w:tcPr>
            <w:tcW w:w="88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11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thousands)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1,648</w:t>
            </w: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1,033</w:t>
            </w:r>
          </w:p>
        </w:tc>
        <w:tc>
          <w:tcPr>
            <w:tcW w:w="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r>
      <w:tr>
        <w:trPr>
          <w:trHeight w:val="214"/>
        </w:trPr>
        <w:tc>
          <w:tcPr>
            <w:tcW w:w="514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88"/>
              <w:spacing w:after="0"/>
              <w:rPr>
                <w:sz w:val="20"/>
                <w:szCs w:val="20"/>
                <w:color w:val="auto"/>
              </w:rPr>
            </w:pPr>
            <w:r>
              <w:rPr>
                <w:rFonts w:ascii="Arial" w:cs="Arial" w:eastAsia="Arial" w:hAnsi="Arial"/>
                <w:sz w:val="18"/>
                <w:szCs w:val="18"/>
                <w:color w:val="auto"/>
              </w:rPr>
              <w:t>1,473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1,391</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1,696%</w:t>
            </w:r>
          </w:p>
        </w:tc>
      </w:tr>
    </w:tbl>
    <w:p>
      <w:pPr>
        <w:spacing w:after="0" w:line="208" w:lineRule="exact"/>
        <w:rPr>
          <w:sz w:val="20"/>
          <w:szCs w:val="20"/>
          <w:color w:val="auto"/>
        </w:rPr>
      </w:pPr>
    </w:p>
    <w:p>
      <w:pPr>
        <w:ind w:right="340" w:firstLine="484"/>
        <w:spacing w:after="0" w:line="238" w:lineRule="auto"/>
        <w:rPr>
          <w:sz w:val="20"/>
          <w:szCs w:val="20"/>
          <w:color w:val="auto"/>
        </w:rPr>
      </w:pPr>
      <w:r>
        <w:rPr>
          <w:rFonts w:ascii="Arial" w:cs="Arial" w:eastAsia="Arial" w:hAnsi="Arial"/>
          <w:sz w:val="18"/>
          <w:szCs w:val="18"/>
          <w:color w:val="auto"/>
        </w:rPr>
        <w:t>The increase in interest expense was driven primarily by an increase in amounts borrowed during fiscal 2018 compared to fiscal 2017. The increase in other expense, net was primarily driven by a $1.1 million increase in the amortization of our debt issuance costs due to the termination of our loan agreement during fiscal 2018, as discussed below in the section titled "—Debt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breakdown of the provision for income taxes for the years ended fiscal 2017 and fiscal 2018:</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2"/>
        </w:trPr>
        <w:tc>
          <w:tcPr>
            <w:tcW w:w="5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January 31,</w:t>
            </w: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(dollars in</w:t>
            </w:r>
          </w:p>
        </w:tc>
        <w:tc>
          <w:tcPr>
            <w:tcW w:w="860" w:type="dxa"/>
            <w:vAlign w:val="bottom"/>
            <w:gridSpan w:val="3"/>
          </w:tcPr>
          <w:p>
            <w:pPr>
              <w:jc w:val="right"/>
              <w:ind w:right="63"/>
              <w:spacing w:after="0"/>
              <w:rPr>
                <w:sz w:val="20"/>
                <w:szCs w:val="20"/>
                <w:color w:val="auto"/>
              </w:rPr>
            </w:pPr>
            <w:r>
              <w:rPr>
                <w:rFonts w:ascii="Arial" w:cs="Arial" w:eastAsia="Arial" w:hAnsi="Arial"/>
                <w:sz w:val="14"/>
                <w:szCs w:val="14"/>
                <w:b w:val="1"/>
                <w:bCs w:val="1"/>
                <w:color w:val="auto"/>
                <w:w w:val="92"/>
              </w:rPr>
              <w:t>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87</w:t>
            </w:r>
          </w:p>
        </w:tc>
        <w:tc>
          <w:tcPr>
            <w:tcW w:w="5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1"/>
              </w:rPr>
              <w:t>968%</w:t>
            </w:r>
          </w:p>
        </w:tc>
      </w:tr>
    </w:tbl>
    <w:p>
      <w:pPr>
        <w:spacing w:after="0" w:line="219" w:lineRule="exact"/>
        <w:rPr>
          <w:sz w:val="20"/>
          <w:szCs w:val="20"/>
          <w:color w:val="auto"/>
        </w:rPr>
      </w:pPr>
    </w:p>
    <w:p>
      <w:pPr>
        <w:ind w:right="740" w:firstLine="484"/>
        <w:spacing w:after="0" w:line="239" w:lineRule="auto"/>
        <w:rPr>
          <w:sz w:val="20"/>
          <w:szCs w:val="20"/>
          <w:color w:val="auto"/>
        </w:rPr>
      </w:pPr>
      <w:r>
        <w:rPr>
          <w:rFonts w:ascii="Arial" w:cs="Arial" w:eastAsia="Arial" w:hAnsi="Arial"/>
          <w:sz w:val="18"/>
          <w:szCs w:val="18"/>
          <w:color w:val="auto"/>
        </w:rPr>
        <w:t>The increase in the provision for income taxes was driven primarily by an increase in international income tax expense due to our expansion into several new countries during fiscal 2018.</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To date, we have financed our operations principally through private placements of our equity securities, payments received from customers using our Falcon platform and professional services, and borrowings under our credit facility. As of October 31, 2018, we had cash and cash equivalents of $83.5 million and marketable securities of $108.0 million. Our cash and cash equivalents primarily consist of highly liquid investments in money market funds and corporate debt securities. Since our inception, we have generated operating losses, as reflected in our accumulated deficit of $487.9 million as of October 31, 2018, and negative cash flows from operations. We expect to continue to incur operating losses and generate negative cash flows from operations for the foreseeable future due to the investments we intend to continue to make in sales and marketing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and research and development, and due to additional general and administrative costs we expect to incur as a public company. As a result, we may require additional capital resources to execute strategic initiatives to grow our business.</w:t>
      </w:r>
    </w:p>
    <w:p>
      <w:pPr>
        <w:spacing w:after="0" w:line="209"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We believe that our existing cash and cash equivalents and marketable securities will be sufficient to fund our operating and capital needs for at least the next 12 months. This assessment is a forward-looking statement and involves risks and uncertainties. Our actual results could vary because of, and our future capital requirements will depend on, many factors, including our growth rate, the timing and extent of spending to support the expansion of our sales and marketing team, our research and development efforts, international operating activities, the timing of any new module deployments, and the continuing market acceptance of our Falcon platform. We may in the future enter into arrangements to acquire or invest in complementary businesses, services, and technologies, including intellectual property rights, which could decrease our cash and cash equivalents and increase our cash requirements. As a result of these and other factors, we may be required to seek additional equity or debt financing sooner than we currently anticipate. If additional financing is required from outside sources, we may not be able to raise it on terms acceptable to us, or at all. If we are unable to raise additional capital when required, or if we cannot expand our operations or otherwise capitalize on our business opportunities because we lack sufficient capital, our business, results of operations, and financial condition would be adversely affected.</w:t>
      </w:r>
    </w:p>
    <w:p>
      <w:pPr>
        <w:spacing w:after="0" w:line="214" w:lineRule="exact"/>
        <w:rPr>
          <w:sz w:val="20"/>
          <w:szCs w:val="20"/>
          <w:color w:val="auto"/>
        </w:rPr>
      </w:pPr>
    </w:p>
    <w:p>
      <w:pPr>
        <w:ind w:right="140" w:firstLine="488"/>
        <w:spacing w:after="0" w:line="272" w:lineRule="auto"/>
        <w:rPr>
          <w:sz w:val="20"/>
          <w:szCs w:val="20"/>
          <w:color w:val="auto"/>
        </w:rPr>
      </w:pPr>
      <w:r>
        <w:rPr>
          <w:rFonts w:ascii="Arial" w:cs="Arial" w:eastAsia="Arial" w:hAnsi="Arial"/>
          <w:sz w:val="16"/>
          <w:szCs w:val="16"/>
          <w:color w:val="auto"/>
        </w:rPr>
        <w:t>We typically invoice our subscription customers annually in advance. Therefore, a substantial source of our cash is from such prepayments, which are included on our consolidated balance sheets as deferred revenue. Deferred revenue consists of billed fees for our subscriptions, prior to satisfying the criteria for revenue recognition, which are subsequently recognized as revenue in accordance with our revenue recognition policy. As of October 31, 2018, we had deferred revenue of $231.2 million, of which $171.4 million was recorded as a current liability and is expected to be recorded as revenue in the next 12 months, provided all other revenue recognition criteria have been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120" w:type="dxa"/>
            <w:vAlign w:val="bottom"/>
            <w:gridSpan w:val="5"/>
          </w:tcPr>
          <w:p>
            <w:pPr>
              <w:jc w:val="right"/>
              <w:ind w:right="668"/>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4660" w:type="dxa"/>
            <w:vAlign w:val="bottom"/>
          </w:tcPr>
          <w:p>
            <w:pPr>
              <w:spacing w:after="0"/>
              <w:rPr>
                <w:sz w:val="15"/>
                <w:szCs w:val="15"/>
                <w:color w:val="auto"/>
              </w:rPr>
            </w:pPr>
          </w:p>
        </w:tc>
        <w:tc>
          <w:tcPr>
            <w:tcW w:w="2120" w:type="dxa"/>
            <w:vAlign w:val="bottom"/>
            <w:gridSpan w:val="5"/>
          </w:tcPr>
          <w:p>
            <w:pPr>
              <w:jc w:val="right"/>
              <w:ind w:right="668"/>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5"/>
                <w:szCs w:val="15"/>
                <w:color w:val="auto"/>
              </w:rPr>
            </w:pPr>
          </w:p>
        </w:tc>
        <w:tc>
          <w:tcPr>
            <w:tcW w:w="20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46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2"/>
              </w:rPr>
              <w:t>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(51,998)</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(58,766)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(52,041)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(38,776)</w:t>
            </w: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(11,854)</w:t>
            </w:r>
          </w:p>
        </w:tc>
        <w:tc>
          <w:tcPr>
            <w:tcW w:w="200" w:type="dxa"/>
            <w:vAlign w:val="bottom"/>
          </w:tcPr>
          <w:p>
            <w:pPr>
              <w:spacing w:after="0"/>
              <w:rPr>
                <w:sz w:val="17"/>
                <w:szCs w:val="17"/>
                <w:color w:val="auto"/>
              </w:rPr>
            </w:pPr>
          </w:p>
        </w:tc>
        <w:tc>
          <w:tcPr>
            <w:tcW w:w="88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(28,330)</w:t>
            </w:r>
          </w:p>
        </w:tc>
        <w:tc>
          <w:tcPr>
            <w:tcW w:w="1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(28,383)</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(131,359)</w:t>
            </w:r>
          </w:p>
        </w:tc>
      </w:tr>
      <w:tr>
        <w:trPr>
          <w:trHeight w:val="203"/>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17,460</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126,831</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123,299</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190,714</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2"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Net cash used in operating activities during the nine months ended October 31, 2018 was $38.8 million, which resulted from a net loss of $108.8 million, adjusted for non-cash charges of $50.6 million and net cash inflow of $19.4 million from changes in operating assets and liabilities. Non-cash charges primarily consisted of $19.3 million of amortization of deferred commissions, $17.4 million in stock-based compensation expense, and $10.2 million of depreciation and amortization. The net cash inflow from changes in operating assets and liabilities was primarily due to a $72.2 million increase in deferred revenue, partially offset by a $27.5 million increase in deferred commissions, a $17.9 million increase in accounts receivable, and an $8.6 million decrease in accounts payable and accrued expenses.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Net cash used in operating activities during the nine months ended October 31, 2017 was $52.0 million, which resulted from a net loss of $98.0 million, adjusted for non-cash charges of $24.9 million and net cash inflow of $21.1 million from changes in operating assets and liabilities. Non-cash charges primarily consisted of $11.0 million in stock-based compensation expense, $7.8 million of amortization of deferred commissions, and $5.0 million of depreciation and amortization. The net cash inflow from changes in operating assets and liabilities was primarily due to a $39.5 million increase in deferred revenue and a $5.8 million increase in accounts payable and accrued expenses, partially offset by a $13.2 million increase in deferred commissions and a $15.7 million increase in accounts receivable.</w:t>
      </w:r>
    </w:p>
    <w:p>
      <w:pPr>
        <w:spacing w:after="0" w:line="210" w:lineRule="exact"/>
        <w:rPr>
          <w:sz w:val="20"/>
          <w:szCs w:val="20"/>
          <w:color w:val="auto"/>
        </w:rPr>
      </w:pPr>
    </w:p>
    <w:p>
      <w:pPr>
        <w:ind w:right="340" w:firstLine="488"/>
        <w:spacing w:after="0" w:line="264" w:lineRule="auto"/>
        <w:rPr>
          <w:sz w:val="20"/>
          <w:szCs w:val="20"/>
          <w:color w:val="auto"/>
        </w:rPr>
      </w:pPr>
      <w:r>
        <w:rPr>
          <w:rFonts w:ascii="Arial" w:cs="Arial" w:eastAsia="Arial" w:hAnsi="Arial"/>
          <w:sz w:val="16"/>
          <w:szCs w:val="16"/>
          <w:color w:val="auto"/>
        </w:rPr>
        <w:t>Net cash used in operating activities during fiscal 2018 was $58.8 million, which resulted from a net loss of $135.5 million, adjusted for non-cash charges of $34.3 million and net cash inflow of $42.4 million from changes in operating assets and liabilities. Non-cash charges primarily consisted of $12.5 million of amortization of deferred commissions, $12.3 million of stock-based compensation expense, and</w:t>
      </w:r>
    </w:p>
    <w:p>
      <w:pPr>
        <w:ind w:right="60"/>
        <w:spacing w:after="0" w:line="237" w:lineRule="auto"/>
        <w:rPr>
          <w:sz w:val="20"/>
          <w:szCs w:val="20"/>
          <w:color w:val="auto"/>
        </w:rPr>
      </w:pPr>
      <w:r>
        <w:rPr>
          <w:rFonts w:ascii="Arial" w:cs="Arial" w:eastAsia="Arial" w:hAnsi="Arial"/>
          <w:sz w:val="18"/>
          <w:szCs w:val="18"/>
          <w:color w:val="auto"/>
        </w:rPr>
        <w:t>$7.1 million of depreciation and amortization. The net cash inflow from changes in operating assets and liabilities was primarily the result of an $82.2 million increase in deferred revenue from advance invoicing in accordance with our subscriptions and a $23.7 million increase in accounts payable and accrued expenses, partially offset by a $25.3 million increase in deferred commissions and an increase in accounts receivable of $35.3 million.</w:t>
      </w:r>
    </w:p>
    <w:p>
      <w:pPr>
        <w:spacing w:after="0" w:line="208" w:lineRule="exact"/>
        <w:rPr>
          <w:sz w:val="20"/>
          <w:szCs w:val="20"/>
          <w:color w:val="auto"/>
        </w:rPr>
      </w:pPr>
    </w:p>
    <w:p>
      <w:pPr>
        <w:ind w:firstLine="488"/>
        <w:spacing w:after="0" w:line="271" w:lineRule="auto"/>
        <w:rPr>
          <w:sz w:val="20"/>
          <w:szCs w:val="20"/>
          <w:color w:val="auto"/>
        </w:rPr>
      </w:pPr>
      <w:r>
        <w:rPr>
          <w:rFonts w:ascii="Arial" w:cs="Arial" w:eastAsia="Arial" w:hAnsi="Arial"/>
          <w:sz w:val="16"/>
          <w:szCs w:val="16"/>
          <w:color w:val="auto"/>
        </w:rPr>
        <w:t>Net cash used in operating activities during fiscal 2017 was $52.0 million, which resulted from a net loss of $91.3 million, adjusted for non-cash charges of $10.3 million, and net cash inflow of $29.0 million from changes in operating assets and liabilities. Non-cash charges primarily consisted of $5.1 million of amortization of deferred commissions, $2.9 million of depreciation and amortization, and $2.0 million of stock-based compensation expense. The net cash inflow from changes in operating assets and liabilities was primarily the result of a $37.3 million increase in deferred revenue from advance invoicing in accordance with our subscriptions and a $5.3 million increase in accounts payable and accrued expenses, partially offset by a $9.4 million increase in deferred commissions and an increase in accounts receivable of $8.5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2" w:lineRule="exact"/>
        <w:rPr>
          <w:sz w:val="20"/>
          <w:szCs w:val="20"/>
          <w:color w:val="auto"/>
        </w:rPr>
      </w:pPr>
    </w:p>
    <w:p>
      <w:pPr>
        <w:ind w:right="180" w:firstLine="488"/>
        <w:spacing w:after="0" w:line="238" w:lineRule="auto"/>
        <w:rPr>
          <w:sz w:val="20"/>
          <w:szCs w:val="20"/>
          <w:color w:val="auto"/>
        </w:rPr>
      </w:pPr>
      <w:r>
        <w:rPr>
          <w:rFonts w:ascii="Arial" w:cs="Arial" w:eastAsia="Arial" w:hAnsi="Arial"/>
          <w:sz w:val="18"/>
          <w:szCs w:val="18"/>
          <w:color w:val="auto"/>
        </w:rPr>
        <w:t>Net cash used in investing activities during the nine months ended October 31, 2018 of $131.4 million was primarily due to purchases of marketable securities of $135.3 million, purchases of property and equipment of $21.7 million, and capitalized internal-use software of $5.0 million, partially offset by maturities of marketable securities of $30.6 million.</w:t>
      </w:r>
    </w:p>
    <w:p>
      <w:pPr>
        <w:spacing w:after="0" w:line="208"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color w:val="auto"/>
        </w:rPr>
        <w:t>Net cash used in investing activities during the nine months ended October 31, 2017 of $28.4 million was primarily due to purchases of property and equipment of $19.5 million, purchases of marketable securities of $8.8 million, cash used in business combinations of $6.5 million, and capitalized internal-use software of $3.7 million, partially offset by maturities of marketable securities of $10.3 million.</w:t>
      </w:r>
    </w:p>
    <w:p>
      <w:pPr>
        <w:spacing w:after="0" w:line="208" w:lineRule="exact"/>
        <w:rPr>
          <w:sz w:val="20"/>
          <w:szCs w:val="20"/>
          <w:color w:val="auto"/>
        </w:rPr>
      </w:pPr>
    </w:p>
    <w:p>
      <w:pPr>
        <w:ind w:right="420" w:firstLine="488"/>
        <w:spacing w:after="0" w:line="238" w:lineRule="auto"/>
        <w:rPr>
          <w:sz w:val="20"/>
          <w:szCs w:val="20"/>
          <w:color w:val="auto"/>
        </w:rPr>
      </w:pPr>
      <w:r>
        <w:rPr>
          <w:rFonts w:ascii="Arial" w:cs="Arial" w:eastAsia="Arial" w:hAnsi="Arial"/>
          <w:sz w:val="18"/>
          <w:szCs w:val="18"/>
          <w:color w:val="auto"/>
        </w:rPr>
        <w:t>Net cash used in investing activities during fiscal 2018 of $28.3 million was primarily due to purchases of property and equipment of $22.9 million, capitalization of internal-use software of $6.5 million, cash used in business combinations of $6.5 million, and the purchase of marketable securities of $9.6 million, partially offset by maturities of marketable securities of $17.5 million.</w:t>
      </w:r>
    </w:p>
    <w:p>
      <w:pPr>
        <w:spacing w:after="0" w:line="208" w:lineRule="exact"/>
        <w:rPr>
          <w:sz w:val="20"/>
          <w:szCs w:val="20"/>
          <w:color w:val="auto"/>
        </w:rPr>
      </w:pPr>
    </w:p>
    <w:p>
      <w:pPr>
        <w:ind w:right="540" w:firstLine="488"/>
        <w:spacing w:after="0" w:line="238" w:lineRule="auto"/>
        <w:rPr>
          <w:sz w:val="20"/>
          <w:szCs w:val="20"/>
          <w:color w:val="auto"/>
        </w:rPr>
      </w:pPr>
      <w:r>
        <w:rPr>
          <w:rFonts w:ascii="Arial" w:cs="Arial" w:eastAsia="Arial" w:hAnsi="Arial"/>
          <w:sz w:val="18"/>
          <w:szCs w:val="18"/>
          <w:color w:val="auto"/>
        </w:rPr>
        <w:t>Net cash used in investing activities during fiscal 2017 of $11.9 million was primarily due to purchases of property and equipment of $6.6 million and capitalization of internal-use software of $5.6 million. Most of these capital expenditures were related to developing and expanding our colocation centers for our cloud platform.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cash provided by financing activities of $190.7 million during the nine months ended October 31, 2018 was primarily due to</w:t>
      </w:r>
    </w:p>
    <w:p>
      <w:pPr>
        <w:spacing w:after="0"/>
        <w:rPr>
          <w:sz w:val="20"/>
          <w:szCs w:val="20"/>
          <w:color w:val="auto"/>
        </w:rPr>
      </w:pPr>
      <w:r>
        <w:rPr>
          <w:rFonts w:ascii="Arial" w:cs="Arial" w:eastAsia="Arial" w:hAnsi="Arial"/>
          <w:sz w:val="16"/>
          <w:szCs w:val="16"/>
          <w:color w:val="auto"/>
        </w:rPr>
        <w:t>$206.9 million in net proceeds from the issuance of our Series E redeemable convertible preferred stock and $10.0 million in proceeds from 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revolving line of credit, partially offset by a repayment on our line of credit of $20.0 million and a repayment on our outstanding bank loan of</w:t>
      </w:r>
    </w:p>
    <w:p>
      <w:pPr>
        <w:spacing w:after="0"/>
        <w:rPr>
          <w:sz w:val="20"/>
          <w:szCs w:val="20"/>
          <w:color w:val="auto"/>
        </w:rPr>
      </w:pPr>
      <w:r>
        <w:rPr>
          <w:rFonts w:ascii="Arial" w:cs="Arial" w:eastAsia="Arial" w:hAnsi="Arial"/>
          <w:sz w:val="18"/>
          <w:szCs w:val="18"/>
          <w:color w:val="auto"/>
        </w:rPr>
        <w:t>$6.2 million.</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cash provided by financing activities of $123.3 million during the nine months ended October 31, 2017 was primarily due to</w:t>
      </w:r>
    </w:p>
    <w:p>
      <w:pPr>
        <w:spacing w:after="0" w:line="234" w:lineRule="auto"/>
        <w:rPr>
          <w:sz w:val="20"/>
          <w:szCs w:val="20"/>
          <w:color w:val="auto"/>
        </w:rPr>
      </w:pPr>
      <w:r>
        <w:rPr>
          <w:rFonts w:ascii="Arial" w:cs="Arial" w:eastAsia="Arial" w:hAnsi="Arial"/>
          <w:sz w:val="18"/>
          <w:szCs w:val="18"/>
          <w:color w:val="auto"/>
        </w:rPr>
        <w:t>$130.4 million in net proceeds from the issuance of our Series D and Series D-1 redeemable convertible preferred stock and $10.0 million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our revolving line of credit, partially offset by a repayment on our outstanding bank loan of $19.3 million.</w:t>
      </w:r>
    </w:p>
    <w:p>
      <w:pPr>
        <w:spacing w:after="0" w:line="212" w:lineRule="exact"/>
        <w:rPr>
          <w:sz w:val="20"/>
          <w:szCs w:val="20"/>
          <w:color w:val="auto"/>
        </w:rPr>
      </w:pPr>
    </w:p>
    <w:p>
      <w:pPr>
        <w:jc w:val="both"/>
        <w:ind w:right="180" w:firstLine="488"/>
        <w:spacing w:after="0" w:line="237" w:lineRule="auto"/>
        <w:rPr>
          <w:sz w:val="20"/>
          <w:szCs w:val="20"/>
          <w:color w:val="auto"/>
        </w:rPr>
      </w:pPr>
      <w:r>
        <w:rPr>
          <w:rFonts w:ascii="Arial" w:cs="Arial" w:eastAsia="Arial" w:hAnsi="Arial"/>
          <w:sz w:val="18"/>
          <w:szCs w:val="18"/>
          <w:color w:val="auto"/>
        </w:rPr>
        <w:t>Net cash provided by financing activities of $126.8 million during fiscal 2018 was primarily due to $130.4 million in net proceeds from the issuance of shares of our Series D and Series D-1 redeemable convertible preferred stock, $10.0 million in proceeds from our revolving line of credit, $3.7 million from the exercise of stock options, and the repayment of notes receivable from related parties of $2.4 million, partially offset by a repayment on our outstanding bank loan of $19.3 million.</w:t>
      </w:r>
    </w:p>
    <w:p>
      <w:pPr>
        <w:spacing w:after="0" w:line="208" w:lineRule="exact"/>
        <w:rPr>
          <w:sz w:val="20"/>
          <w:szCs w:val="20"/>
          <w:color w:val="auto"/>
        </w:rPr>
      </w:pPr>
    </w:p>
    <w:p>
      <w:pPr>
        <w:jc w:val="both"/>
        <w:ind w:right="180" w:firstLine="488"/>
        <w:spacing w:after="0" w:line="239" w:lineRule="auto"/>
        <w:rPr>
          <w:sz w:val="20"/>
          <w:szCs w:val="20"/>
          <w:color w:val="auto"/>
        </w:rPr>
      </w:pPr>
      <w:r>
        <w:rPr>
          <w:rFonts w:ascii="Arial" w:cs="Arial" w:eastAsia="Arial" w:hAnsi="Arial"/>
          <w:sz w:val="18"/>
          <w:szCs w:val="18"/>
          <w:color w:val="auto"/>
        </w:rPr>
        <w:t>Net cash provided by financing activities of $17.5 million during fiscal 2017 was primarily due to $19.3 million in proceeds from our credit facility, partially offset by repayment of $2.4 million for that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30"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In January 2015, we entered into a Loan and Security Agreement with Silicon Valley Bank, which was subsequently amended and restated in March 2017, providing us with the ability to borrow up to $10.0 million from a term loan and $20.0 million from a revolving line of credit. As of January 31, 2018, we owed $6.2 million on the term loan. In July 2018, we voluntarily repaid the outstanding principal balance of the term loan, and no further amounts were available for borrowing under the term loan or owed as of October 31, 2018. Interest expense on the term loan was $0.4 million and $0.3 million for fiscal 2017 and fiscal 2018, respectively, and $0.2 million and $0.1 million for the nine months ended October 31, 2017 and October 31, 2018, respectively. As of January 31, 2018, we had drawn $10.0 million against the revolving line of credit. In July 2018, we voluntarily repaid the outstanding principal balance of the revolving line of credit and no further amounts were outstanding as of October 31, 2018. The carrying amount of the revolving line of credit, net of debt issuance costs of $0.2 million, was</w:t>
      </w:r>
    </w:p>
    <w:p>
      <w:pPr>
        <w:spacing w:after="0" w:line="1"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$9.8 million as of January 31, 2018. Outstanding principal amounts on the revolving line of credit incur interest at the Prime Rate, as published by the Wall Street Journal. Interest expense on the revolving line of credit was $0.4 million for fiscal 2018, and $0.3 million and $0.3 million for the nine months ended October 31, 2017 and October 31, 2018, respectively.</w:t>
      </w:r>
    </w:p>
    <w:p>
      <w:pPr>
        <w:spacing w:after="0" w:line="208" w:lineRule="exact"/>
        <w:rPr>
          <w:sz w:val="20"/>
          <w:szCs w:val="20"/>
          <w:color w:val="auto"/>
        </w:rPr>
      </w:pPr>
    </w:p>
    <w:p>
      <w:pPr>
        <w:ind w:right="100" w:firstLine="484"/>
        <w:spacing w:after="0" w:line="235" w:lineRule="auto"/>
        <w:rPr>
          <w:sz w:val="20"/>
          <w:szCs w:val="20"/>
          <w:color w:val="auto"/>
        </w:rPr>
      </w:pPr>
      <w:r>
        <w:rPr>
          <w:rFonts w:ascii="Arial" w:cs="Arial" w:eastAsia="Arial" w:hAnsi="Arial"/>
          <w:sz w:val="18"/>
          <w:szCs w:val="18"/>
          <w:color w:val="auto"/>
        </w:rPr>
        <w:t>The Loan and Security Agreement is collateralized by our property, rights, and assets, including, but not limited to, cash, goods, equipment, contractual rights, financial assets, and intangible assets. The Loan and Security Agreement contains customary affirmative covenants and customary negative covenants limiting our ability and the ability of our subsidiaries to, among other things, dispose of assets, undergo a change in control, merge or consolidate, make acquisitions, incur debt, incur liens, pay dividends, repurchase stock, and make investments, in each case subject to certain exceptions. Further, the Loan and Security Agreement contains financial covenants that require the maintenance of minimum annual contract values. We were in compliance with all covenants as of October 31, 2018. The Loan and Security Agreement contains customary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78"/>
        <w:spacing w:after="0" w:line="237" w:lineRule="auto"/>
        <w:rPr>
          <w:sz w:val="20"/>
          <w:szCs w:val="20"/>
          <w:color w:val="auto"/>
        </w:rPr>
      </w:pPr>
      <w:r>
        <w:rPr>
          <w:rFonts w:ascii="Arial" w:cs="Arial" w:eastAsia="Arial" w:hAnsi="Arial"/>
          <w:sz w:val="18"/>
          <w:szCs w:val="18"/>
          <w:color w:val="auto"/>
        </w:rPr>
        <w:t>As part of the Loan and Security Agreement, in January 2015, we issued Silicon Valley Bank a warrant to purchase 170,818 shares of our Series B redeemable convertible preferred stock at an exercise price of $1.405 per share. In March 2017, as part of the Amended and Restated Loan and Security Agreement, we issued Silicon Valley Bank a warrant to purchase up to 66,225 shares of Series C redeemable convertible preferred stock at an exercise price of $4.53 per share. None of the warrants have been exercised.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Capital Loan and Security Agreement</w:t>
      </w:r>
    </w:p>
    <w:p>
      <w:pPr>
        <w:spacing w:after="0" w:line="230" w:lineRule="exact"/>
        <w:rPr>
          <w:sz w:val="20"/>
          <w:szCs w:val="20"/>
          <w:color w:val="auto"/>
        </w:rPr>
      </w:pPr>
    </w:p>
    <w:p>
      <w:pPr>
        <w:ind w:right="20" w:firstLine="488"/>
        <w:spacing w:after="0" w:line="272" w:lineRule="auto"/>
        <w:rPr>
          <w:sz w:val="20"/>
          <w:szCs w:val="20"/>
          <w:color w:val="auto"/>
        </w:rPr>
      </w:pPr>
      <w:r>
        <w:rPr>
          <w:rFonts w:ascii="Arial" w:cs="Arial" w:eastAsia="Arial" w:hAnsi="Arial"/>
          <w:sz w:val="16"/>
          <w:szCs w:val="16"/>
          <w:color w:val="auto"/>
        </w:rPr>
        <w:t>In December 2016, we entered into a Growth Capital Loan and Security Agreement with TriplePoint Venture Growth BDC Corp. providing us the ability to borrow up to an aggregate principal amount of $40.0 million in a growth capital term loan. The agreement was collateralized by our personal property, including but not limited to cash, goods, equipment, contractual rights, financial assets, and intangible assets. Draws on the growth capital term loan were payable as interest-only at the Prime Rate, as published by the Wall Street Journal (not to be less than 3.5%), plus 7.75% per month through December 31, 2018, followed by 24 months of principal and accrued interest.</w:t>
      </w:r>
    </w:p>
    <w:p>
      <w:pPr>
        <w:spacing w:after="0" w:line="186" w:lineRule="exact"/>
        <w:rPr>
          <w:sz w:val="20"/>
          <w:szCs w:val="20"/>
          <w:color w:val="auto"/>
        </w:rPr>
      </w:pPr>
    </w:p>
    <w:p>
      <w:pPr>
        <w:ind w:right="20" w:firstLine="484"/>
        <w:spacing w:after="0" w:line="236" w:lineRule="auto"/>
        <w:rPr>
          <w:sz w:val="20"/>
          <w:szCs w:val="20"/>
          <w:color w:val="auto"/>
        </w:rPr>
      </w:pPr>
      <w:r>
        <w:rPr>
          <w:rFonts w:ascii="Arial" w:cs="Arial" w:eastAsia="Arial" w:hAnsi="Arial"/>
          <w:sz w:val="18"/>
          <w:szCs w:val="18"/>
          <w:color w:val="auto"/>
        </w:rPr>
        <w:t>The Growth Capital Loan and Security Agreement contained customary affirmative covenants and customary negative covenants limiting our ability and the ability of our subsidiaries to, among other things, dispose of assets, undergo a change in control, merge or consolidate, make acquisitions, incur debt, incur liens, pay dividends, repurchase stock, and make investments, in each case subject to certain exceptions. The Growth Capital Loan and Security Agreement contained customary events of default that included, among others, non-payment of principal, interest, or fees, breach of covenants, inaccuracy of representations and warranties, cross defaults to certain other indebtedness, bankruptcy and insolvency events, material judgments, and events constituting a change in control.</w:t>
      </w:r>
    </w:p>
    <w:p>
      <w:pPr>
        <w:spacing w:after="0" w:line="210" w:lineRule="exact"/>
        <w:rPr>
          <w:sz w:val="20"/>
          <w:szCs w:val="20"/>
          <w:color w:val="auto"/>
        </w:rPr>
      </w:pPr>
    </w:p>
    <w:p>
      <w:pPr>
        <w:ind w:right="60" w:firstLine="478"/>
        <w:spacing w:after="0" w:line="238" w:lineRule="auto"/>
        <w:rPr>
          <w:sz w:val="20"/>
          <w:szCs w:val="20"/>
          <w:color w:val="auto"/>
        </w:rPr>
      </w:pPr>
      <w:r>
        <w:rPr>
          <w:rFonts w:ascii="Arial" w:cs="Arial" w:eastAsia="Arial" w:hAnsi="Arial"/>
          <w:sz w:val="18"/>
          <w:szCs w:val="18"/>
          <w:color w:val="auto"/>
        </w:rPr>
        <w:t>As part of the Growth Capital Loan and Security Agreement, in December 2016 we issued TriplePoint Venture Growth BDC Corp. a warrant to purchase 99,343 shares of our Series C redeemable convertible preferred stock at an exercise price of $4.53 per share. The warrant has not been exercised.</w:t>
      </w:r>
    </w:p>
    <w:p>
      <w:pPr>
        <w:spacing w:after="0" w:line="208" w:lineRule="exact"/>
        <w:rPr>
          <w:sz w:val="20"/>
          <w:szCs w:val="20"/>
          <w:color w:val="auto"/>
        </w:rPr>
      </w:pPr>
    </w:p>
    <w:p>
      <w:pPr>
        <w:jc w:val="both"/>
        <w:ind w:right="120" w:firstLine="478"/>
        <w:spacing w:after="0" w:line="281" w:lineRule="auto"/>
        <w:rPr>
          <w:sz w:val="20"/>
          <w:szCs w:val="20"/>
          <w:color w:val="auto"/>
        </w:rPr>
      </w:pPr>
      <w:r>
        <w:rPr>
          <w:rFonts w:ascii="Arial" w:cs="Arial" w:eastAsia="Arial" w:hAnsi="Arial"/>
          <w:sz w:val="16"/>
          <w:szCs w:val="16"/>
          <w:color w:val="auto"/>
        </w:rPr>
        <w:t>As of January 31, 2017, we owed $19.1 million on the Growth Capital Loan and Security Agreement. In June 2017, we voluntarily repaid the outstanding principal balance of $19.1 million and terminated the facility. Interest expense was $0.2 million and $1.0 million for fiscal 2017 and fiscal 2018, respectively, and $1.0 million and $0 for the nine months ended October 31, 2017 and October 31, 2018, respectively.</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summarizes our contractual obligations as of January 31, 2018 and the years in which these obligations are due:</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160" w:type="dxa"/>
            <w:vAlign w:val="bottom"/>
            <w:vMerge w:val="restart"/>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Fiscal Year Ending January 31,</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7"/>
                <w:szCs w:val="17"/>
                <w:color w:val="auto"/>
              </w:rPr>
              <w:t>Operating leases</w:t>
            </w:r>
            <w:r>
              <w:rPr>
                <w:rFonts w:ascii="Arial" w:cs="Arial" w:eastAsia="Arial" w:hAnsi="Arial"/>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Data center commitments</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197,025</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30,622</w:t>
            </w:r>
          </w:p>
        </w:tc>
        <w:tc>
          <w:tcPr>
            <w:tcW w:w="18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32,240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46,668</w:t>
            </w:r>
          </w:p>
        </w:tc>
        <w:tc>
          <w:tcPr>
            <w:tcW w:w="1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59,836</w:t>
            </w:r>
          </w:p>
        </w:tc>
        <w:tc>
          <w:tcPr>
            <w:tcW w:w="1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27,102</w:t>
            </w:r>
          </w:p>
        </w:tc>
        <w:tc>
          <w:tcPr>
            <w:tcW w:w="2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5"/>
        </w:trPr>
        <w:tc>
          <w:tcPr>
            <w:tcW w:w="2420" w:type="dxa"/>
            <w:vAlign w:val="bottom"/>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Other purchase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420" w:type="dxa"/>
            <w:vAlign w:val="bottom"/>
            <w:gridSpan w:val="2"/>
            <w:shd w:val="clear" w:color="auto" w:fill="CCEEFF"/>
          </w:tcPr>
          <w:p>
            <w:pPr>
              <w:ind w:left="200"/>
              <w:spacing w:after="0" w:line="240" w:lineRule="exact"/>
              <w:rPr>
                <w:sz w:val="20"/>
                <w:szCs w:val="20"/>
                <w:color w:val="auto"/>
              </w:rPr>
            </w:pPr>
            <w:r>
              <w:rPr>
                <w:rFonts w:ascii="Arial" w:cs="Arial" w:eastAsia="Arial" w:hAnsi="Arial"/>
                <w:sz w:val="17"/>
                <w:szCs w:val="17"/>
                <w:color w:val="auto"/>
              </w:rPr>
              <w:t>obligations</w:t>
            </w:r>
            <w:r>
              <w:rPr>
                <w:rFonts w:ascii="Arial" w:cs="Arial" w:eastAsia="Arial" w:hAnsi="Arial"/>
                <w:sz w:val="27"/>
                <w:szCs w:val="27"/>
                <w:color w:val="auto"/>
                <w:vertAlign w:val="superscript"/>
              </w:rPr>
              <w:t>(3)</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4,067</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2,767</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42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Fair value of contingent</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ind w:left="200"/>
              <w:spacing w:after="0" w:line="240" w:lineRule="exact"/>
              <w:rPr>
                <w:sz w:val="20"/>
                <w:szCs w:val="20"/>
                <w:color w:val="auto"/>
              </w:rPr>
            </w:pPr>
            <w:r>
              <w:rPr>
                <w:rFonts w:ascii="Arial" w:cs="Arial" w:eastAsia="Arial" w:hAnsi="Arial"/>
                <w:sz w:val="17"/>
                <w:szCs w:val="17"/>
                <w:color w:val="auto"/>
              </w:rPr>
              <w:t>consideration</w:t>
            </w:r>
            <w:r>
              <w:rPr>
                <w:rFonts w:ascii="Arial" w:cs="Arial" w:eastAsia="Arial" w:hAnsi="Arial"/>
                <w:sz w:val="27"/>
                <w:szCs w:val="27"/>
                <w:color w:val="auto"/>
                <w:vertAlign w:val="superscript"/>
              </w:rPr>
              <w:t>(4)</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217,629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37,474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37,418</w:t>
            </w:r>
          </w:p>
        </w:tc>
        <w:tc>
          <w:tcPr>
            <w:tcW w:w="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49,890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62,508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28,776</w:t>
            </w:r>
          </w:p>
        </w:tc>
        <w:tc>
          <w:tcPr>
            <w:tcW w:w="240" w:type="dxa"/>
            <w:vAlign w:val="bottom"/>
            <w:shd w:val="clear" w:color="auto" w:fill="CCEEFF"/>
          </w:tcPr>
          <w:p>
            <w:pPr>
              <w:jc w:val="right"/>
              <w:ind w:right="58"/>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4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Relates to our facilities worldwide.</w:t>
      </w:r>
    </w:p>
    <w:p>
      <w:pPr>
        <w:spacing w:after="0" w:line="1" w:lineRule="exact"/>
        <w:rPr>
          <w:rFonts w:ascii="Arial" w:cs="Arial" w:eastAsia="Arial" w:hAnsi="Arial"/>
          <w:sz w:val="14"/>
          <w:szCs w:val="14"/>
          <w:color w:val="auto"/>
        </w:rPr>
      </w:pPr>
    </w:p>
    <w:p>
      <w:pPr>
        <w:ind w:left="1680" w:hanging="549"/>
        <w:spacing w:after="0"/>
        <w:tabs>
          <w:tab w:leader="none" w:pos="16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Relates to commitments to data center vendors.</w:t>
      </w:r>
    </w:p>
    <w:p>
      <w:pPr>
        <w:spacing w:after="0" w:line="1" w:lineRule="exact"/>
        <w:rPr>
          <w:rFonts w:ascii="Arial" w:cs="Arial" w:eastAsia="Arial" w:hAnsi="Arial"/>
          <w:sz w:val="14"/>
          <w:szCs w:val="14"/>
          <w:color w:val="auto"/>
        </w:rPr>
      </w:pPr>
    </w:p>
    <w:p>
      <w:pPr>
        <w:ind w:left="1680" w:right="580" w:hanging="549"/>
        <w:spacing w:after="0" w:line="241" w:lineRule="auto"/>
        <w:tabs>
          <w:tab w:leader="none" w:pos="16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Relates to non-cancelable purchase commitments with various parties to purchase products and services entered into in the normal course of business.</w:t>
      </w:r>
    </w:p>
    <w:p>
      <w:pPr>
        <w:ind w:left="1680" w:hanging="549"/>
        <w:spacing w:after="0"/>
        <w:tabs>
          <w:tab w:leader="none" w:pos="16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Relates to business combinations. See Note 5 to our consolidated financial statements included elsewhere in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32"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consolidated balance sheet as of January 31, 2017, January 31, 2018, or October 31, 2018.</w:t>
      </w:r>
    </w:p>
    <w:p>
      <w:pPr>
        <w:spacing w:after="0" w:line="208"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consolidated balance sheet as of January 31, 2017, January 31, 2018, or October 31, 2018.</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Backlog</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consolidated financial statements, and are considered by us to be backlog. As of January 31, 2017, January 31, 2018, and October 31, 2018, we had backlog of approximately $0.5 million, $29.5 million, and $39.8 million, respectively. Of the backlog of $39.8 million as of October 31, 2018, approximately $15.6 million is not reasonably expected to be filled in fiscal 2019. We expect backlog will change from period to period for several reasons, including the timing and duration of</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32" w:lineRule="exact"/>
        <w:rPr>
          <w:sz w:val="20"/>
          <w:szCs w:val="20"/>
          <w:color w:val="auto"/>
        </w:rPr>
      </w:pPr>
    </w:p>
    <w:p>
      <w:pPr>
        <w:jc w:val="both"/>
        <w:ind w:right="180" w:firstLine="488"/>
        <w:spacing w:after="0" w:line="238"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Our cash and cash equivalents primarily consist of cash on hand and highly liquid investments in corporate debt securities and money market funds, including overnight investments. Our investments are exposed to market risk due to fluctuations in interest rates, which may affect our interest income and the fair market value of our investments. As of October 31, 2018, we had cash and cash equivalents of $83.5 million and marketable securities of $108.0 million.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However, due to the short-term nature of our investment portfolio, for fiscal 2018 and the nine months ended October 31, 2018, we do not believe an immediate 10% increase or decrease in interest rates would have a material effect on the fair market value of our portfolio. We therefore do not expect our results of operations or cash flows to be materially affected by a sudden change in market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2" w:lineRule="exact"/>
        <w:rPr>
          <w:sz w:val="20"/>
          <w:szCs w:val="20"/>
          <w:color w:val="auto"/>
        </w:rPr>
      </w:pPr>
    </w:p>
    <w:p>
      <w:pPr>
        <w:jc w:val="both"/>
        <w:ind w:right="320" w:firstLine="484"/>
        <w:spacing w:after="0" w:line="264" w:lineRule="auto"/>
        <w:rPr>
          <w:sz w:val="20"/>
          <w:szCs w:val="20"/>
          <w:color w:val="auto"/>
        </w:rPr>
      </w:pPr>
      <w:r>
        <w:rPr>
          <w:rFonts w:ascii="Arial" w:cs="Arial" w:eastAsia="Arial" w:hAnsi="Arial"/>
          <w:sz w:val="16"/>
          <w:szCs w:val="16"/>
          <w:color w:val="auto"/>
        </w:rPr>
        <w:t>To date,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Indian Rupee, and Euro. The functional currency of our foreign subsidiaries is that country's local currency.</w:t>
      </w:r>
    </w:p>
    <w:p>
      <w:pPr>
        <w:spacing w:after="0" w:line="237" w:lineRule="auto"/>
        <w:rPr>
          <w:sz w:val="20"/>
          <w:szCs w:val="20"/>
          <w:color w:val="auto"/>
        </w:rPr>
      </w:pPr>
      <w:r>
        <w:rPr>
          <w:rFonts w:ascii="Arial" w:cs="Arial" w:eastAsia="Arial" w:hAnsi="Arial"/>
          <w:sz w:val="18"/>
          <w:szCs w:val="18"/>
          <w:color w:val="auto"/>
        </w:rPr>
        <w:t>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other expense, net. As the impact of foreign currency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exchange rates has not been material to our historical results of operations, we have not entered into derivative or hedging transactions, but we may do so in the future if our exposure to foreign currency becomes more significant.</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of long-lived assets, the useful lives of long-lived assets, the fair value of financial instruments, the recognition and disclosure of contingent liabilities, the provision for income taxes and related deferred taxes, stock-based compensation, the fair value of our common stock, and the fair value of our redeemable convertible preferred stock warrants.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214" w:lineRule="exact"/>
        <w:rPr>
          <w:sz w:val="20"/>
          <w:szCs w:val="20"/>
          <w:color w:val="auto"/>
        </w:rPr>
      </w:pPr>
    </w:p>
    <w:p>
      <w:pPr>
        <w:ind w:right="120" w:firstLine="484"/>
        <w:spacing w:after="0" w:line="236" w:lineRule="auto"/>
        <w:rPr>
          <w:sz w:val="20"/>
          <w:szCs w:val="20"/>
          <w:color w:val="auto"/>
        </w:rPr>
      </w:pPr>
      <w:r>
        <w:rPr>
          <w:rFonts w:ascii="Arial" w:cs="Arial" w:eastAsia="Arial" w:hAnsi="Arial"/>
          <w:sz w:val="18"/>
          <w:szCs w:val="18"/>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210" w:lineRule="exact"/>
        <w:rPr>
          <w:sz w:val="20"/>
          <w:szCs w:val="20"/>
          <w:color w:val="auto"/>
        </w:rPr>
      </w:pPr>
    </w:p>
    <w:p>
      <w:pPr>
        <w:ind w:right="20" w:firstLine="488"/>
        <w:spacing w:after="0" w:line="238" w:lineRule="auto"/>
        <w:rPr>
          <w:sz w:val="20"/>
          <w:szCs w:val="20"/>
          <w:color w:val="auto"/>
        </w:rPr>
      </w:pPr>
      <w:r>
        <w:rPr>
          <w:rFonts w:ascii="Arial" w:cs="Arial" w:eastAsia="Arial" w:hAnsi="Arial"/>
          <w:sz w:val="18"/>
          <w:szCs w:val="18"/>
          <w:color w:val="auto"/>
        </w:rPr>
        <w:t>While our significant accounting policies are more fully described in Note 2 of our consolidated financial statements included elsewhere in this prospectus, we believe the following reflect our critical accounting policies and our more significant judgments and estimates used in the preparation of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4" w:lineRule="exact"/>
        <w:rPr>
          <w:sz w:val="20"/>
          <w:szCs w:val="20"/>
          <w:color w:val="auto"/>
        </w:rPr>
      </w:pPr>
    </w:p>
    <w:p>
      <w:pPr>
        <w:jc w:val="both"/>
        <w:ind w:right="260" w:firstLine="488"/>
        <w:spacing w:after="0" w:line="271" w:lineRule="auto"/>
        <w:rPr>
          <w:sz w:val="20"/>
          <w:szCs w:val="20"/>
          <w:color w:val="auto"/>
        </w:rPr>
      </w:pPr>
      <w:r>
        <w:rPr>
          <w:rFonts w:ascii="Arial" w:cs="Arial" w:eastAsia="Arial" w:hAnsi="Arial"/>
          <w:sz w:val="16"/>
          <w:szCs w:val="16"/>
          <w:color w:val="auto"/>
        </w:rPr>
        <w:t xml:space="preserve">We currently recognize revenue in accordance with Accounting Standards Codification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or ASC 605. Beginning February 1, 2019, we will be required to adopt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 or ASC 606. This new revenue standard became effective for public companies for the fiscal years beginning after December 15, 2017, and interim periods within that year.</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Private companies have an additional year to adopt the standard. Pursuant to Section 107 of the JOBS Act, as an emerging growth company, we have elected to take advantage of the extended transition period for applying ASC 606 that otherwise only applies to private companies. We plan to adopt using the modified retrospective transition method.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Under ASC 605, revenue is recognized only when:</w:t>
      </w:r>
    </w:p>
    <w:p>
      <w:pPr>
        <w:spacing w:after="0" w:line="212" w:lineRule="exact"/>
        <w:rPr>
          <w:sz w:val="20"/>
          <w:szCs w:val="20"/>
          <w:color w:val="auto"/>
        </w:rPr>
      </w:pPr>
    </w:p>
    <w:p>
      <w:pPr>
        <w:ind w:left="1080" w:right="640" w:hanging="532"/>
        <w:spacing w:after="0" w:line="23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persuasive evidence that an arrangement exists, in the form of a written contract, amendments to that contract, or purchase orders from a third party;</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is fixed or determinable; and</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collectability is reasonably assured based on customer creditworthiness and history of collection.</w:t>
      </w:r>
    </w:p>
    <w:p>
      <w:pPr>
        <w:spacing w:after="0" w:line="212" w:lineRule="exact"/>
        <w:rPr>
          <w:sz w:val="20"/>
          <w:szCs w:val="20"/>
          <w:color w:val="auto"/>
        </w:rPr>
      </w:pPr>
    </w:p>
    <w:p>
      <w:pPr>
        <w:ind w:right="100" w:firstLine="488"/>
        <w:spacing w:after="0" w:line="237" w:lineRule="auto"/>
        <w:rPr>
          <w:sz w:val="20"/>
          <w:szCs w:val="20"/>
          <w:color w:val="auto"/>
        </w:rPr>
      </w:pPr>
      <w:r>
        <w:rPr>
          <w:rFonts w:ascii="Arial" w:cs="Arial" w:eastAsia="Arial" w:hAnsi="Arial"/>
          <w:sz w:val="18"/>
          <w:szCs w:val="18"/>
          <w:color w:val="auto"/>
        </w:rPr>
        <w:t>Determining whether and when some of these criteria have been satisfied often involves judgments that can have a significant impact on the timing and amount of revenue we report. For example, our assessment of the likelihood of collection is a critical element in determining the timing of revenue recognition. If we do not believe that collection is probable and/or reasonably assured, revenue will be deferred until cash is received.</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multiple element arrangements we are required to allocate revenue to all elements in the arrangement based on their fair value. If we cannot establish, vendor specific objective evidence of fair value, or VSOE, we then determine if we can establish third-party evidence of fair value, or TPE. TPE is determined based on competitor prices for similar deliverables when sold separately. Our services differ significantly from those of our peers and our offerings contain a significant level of customization and differentiation such that the comparable pricing of products with similar functionality cannot generally be obtained. Furthermore, we are unable to reliably determine what similar competitor products' selling prices are on a stand-alone basis. Therefore, we are typically not able to determine TPE.</w:t>
      </w:r>
    </w:p>
    <w:p>
      <w:pPr>
        <w:spacing w:after="0" w:line="210" w:lineRule="exact"/>
        <w:rPr>
          <w:sz w:val="20"/>
          <w:szCs w:val="20"/>
          <w:color w:val="auto"/>
        </w:rPr>
      </w:pPr>
    </w:p>
    <w:p>
      <w:pPr>
        <w:ind w:right="200" w:firstLine="488"/>
        <w:spacing w:after="0" w:line="237" w:lineRule="auto"/>
        <w:rPr>
          <w:sz w:val="20"/>
          <w:szCs w:val="20"/>
          <w:color w:val="auto"/>
        </w:rPr>
      </w:pPr>
      <w:r>
        <w:rPr>
          <w:rFonts w:ascii="Arial" w:cs="Arial" w:eastAsia="Arial" w:hAnsi="Arial"/>
          <w:sz w:val="18"/>
          <w:szCs w:val="18"/>
          <w:color w:val="auto"/>
        </w:rPr>
        <w:t>If both VSOE and TPE do not exist, we then use best estimate of selling price, or BESP, to establish fair value and to allocate total consideration to each element in the arrangement and consideration related to each element is then recognized as each element is delivered. Any discount or premium inherent in the arrangement is allocated to each element in the arrangement based on the relative fair value of each element.</w:t>
      </w:r>
    </w:p>
    <w:p>
      <w:pPr>
        <w:spacing w:after="0" w:line="208" w:lineRule="exact"/>
        <w:rPr>
          <w:sz w:val="20"/>
          <w:szCs w:val="20"/>
          <w:color w:val="auto"/>
        </w:rPr>
      </w:pPr>
    </w:p>
    <w:p>
      <w:pPr>
        <w:ind w:right="100" w:firstLine="484"/>
        <w:spacing w:after="0" w:line="236" w:lineRule="auto"/>
        <w:rPr>
          <w:sz w:val="20"/>
          <w:szCs w:val="20"/>
          <w:color w:val="auto"/>
        </w:rPr>
      </w:pPr>
      <w:r>
        <w:rPr>
          <w:rFonts w:ascii="Arial" w:cs="Arial" w:eastAsia="Arial" w:hAnsi="Arial"/>
          <w:sz w:val="18"/>
          <w:szCs w:val="18"/>
          <w:color w:val="auto"/>
        </w:rPr>
        <w:t>The objective of BESP is to determine the price at which we would transact a sale if the product or service were sold on a stand-alone basis. We determine BESP for a product or service by considering multiple factors including an analysis of recent stand-alone sales of that product, market conditions, competitive landscape, internal costs, gross margin objectives and pricing practices. As these factors are mostly subjective, the determination of BESP requires significant judgment. If we had chosen different values for BESP, our revenue and deferred revenue could have been materially different. We regularly review VSOE, TPE and BESP and maintain internal controls over the establishment and updates of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2"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Stock-based compensation expense related to stock awards is recognized based on the fair value of the awards on the date of the grant. The fair value of each option award is estimated on the grant date using the Black-Scholes option-pricing model and a single option award approach. Stock-based compensation expense is recognized over the requisite service period of the awards, which is generally four years. A substantial majority of option awards have service-based vesting conditions and we record the expense for these awards using the straight-line method.</w:t>
      </w:r>
    </w:p>
    <w:p>
      <w:pPr>
        <w:spacing w:after="0" w:line="211"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 xml:space="preserve">During fiscal 2017 and fiscal 2018, we recognized stock-based compensation expense, net of estimated forfeitures. We used historical data to estimate pre-vesting forfeitures and recorded stock-based compensation expense only for those grants that were expected to vest. On February 1, 2018, we adopted Accounting Standard Update No. 2016-09, </w:t>
      </w:r>
      <w:r>
        <w:rPr>
          <w:rFonts w:ascii="Arial" w:cs="Arial" w:eastAsia="Arial" w:hAnsi="Arial"/>
          <w:sz w:val="18"/>
          <w:szCs w:val="18"/>
          <w:i w:val="1"/>
          <w:iCs w:val="1"/>
          <w:color w:val="auto"/>
        </w:rPr>
        <w:t>Compensation—Stock Compensation: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or ASU 2016-09, which simplifies several aspects of the accounting for employee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In accordance with ASU 2016-09, we have elected to account for forfeitures as they occur.</w:t>
      </w:r>
    </w:p>
    <w:p>
      <w:pPr>
        <w:spacing w:after="0" w:line="211" w:lineRule="exact"/>
        <w:rPr>
          <w:sz w:val="20"/>
          <w:szCs w:val="20"/>
          <w:color w:val="auto"/>
        </w:rPr>
      </w:pPr>
    </w:p>
    <w:p>
      <w:pPr>
        <w:ind w:right="160" w:firstLine="488"/>
        <w:spacing w:after="0" w:line="238" w:lineRule="auto"/>
        <w:rPr>
          <w:sz w:val="20"/>
          <w:szCs w:val="20"/>
          <w:color w:val="auto"/>
        </w:rPr>
      </w:pPr>
      <w:r>
        <w:rPr>
          <w:rFonts w:ascii="Arial" w:cs="Arial" w:eastAsia="Arial" w:hAnsi="Arial"/>
          <w:sz w:val="18"/>
          <w:szCs w:val="18"/>
          <w:color w:val="auto"/>
        </w:rPr>
        <w:t>Our use of the Black-Scholes option-pricing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option awards represent management's best estimates. These estimates involve inherent uncertainties and the application of management's judgment.</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assumptions and estimates are as follows:</w:t>
      </w:r>
    </w:p>
    <w:p>
      <w:pPr>
        <w:spacing w:after="0" w:line="194" w:lineRule="exact"/>
        <w:rPr>
          <w:sz w:val="20"/>
          <w:szCs w:val="20"/>
          <w:color w:val="auto"/>
        </w:rPr>
      </w:pPr>
    </w:p>
    <w:p>
      <w:pPr>
        <w:ind w:left="1080" w:right="140" w:hanging="532"/>
        <w:spacing w:after="0" w:line="260"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Because our common stock is not yet publicly traded, we must estimate the fair value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as discussed below in the section titled "—Common Stock Valuations."</w:t>
      </w:r>
    </w:p>
    <w:p>
      <w:pPr>
        <w:spacing w:after="0" w:line="172" w:lineRule="exact"/>
        <w:rPr>
          <w:rFonts w:ascii="Arial" w:cs="Arial" w:eastAsia="Arial" w:hAnsi="Arial"/>
          <w:sz w:val="18"/>
          <w:szCs w:val="18"/>
          <w:color w:val="auto"/>
        </w:rPr>
      </w:pPr>
    </w:p>
    <w:p>
      <w:pPr>
        <w:jc w:val="both"/>
        <w:ind w:left="1080" w:right="400" w:hanging="532"/>
        <w:spacing w:after="0" w:line="32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represents the period that our stock-based awards are expected to be outstanding.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term assumptions were determined based on the vesting terms, exercise terms, and contractual lives of the options.</w:t>
      </w:r>
    </w:p>
    <w:p>
      <w:pPr>
        <w:spacing w:after="0" w:line="113" w:lineRule="exact"/>
        <w:rPr>
          <w:rFonts w:ascii="Arial" w:cs="Arial" w:eastAsia="Arial" w:hAnsi="Arial"/>
          <w:sz w:val="16"/>
          <w:szCs w:val="16"/>
          <w:color w:val="auto"/>
        </w:rPr>
      </w:pPr>
    </w:p>
    <w:p>
      <w:pPr>
        <w:ind w:left="1080" w:hanging="532"/>
        <w:spacing w:after="0" w:line="23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Since we do not have a trading history of our common stock, the expected volatility is determined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our comparable companies. Comparable companies consist of public companies in our industry, which are similar in size, stage of life cycle and financial leverage. We intend to continue to apply this process using the same or similar public companies until a sufficient amount of historical information regarding the volatility of our own share price becomes available, or unless circumstances change such that the identified companies are no longer similar to us, in which case, more suitable companies whose share prices are publicly available would be used in the calculation.</w:t>
      </w:r>
    </w:p>
    <w:p>
      <w:pPr>
        <w:spacing w:after="0" w:line="180" w:lineRule="exact"/>
        <w:rPr>
          <w:rFonts w:ascii="Arial" w:cs="Arial" w:eastAsia="Arial" w:hAnsi="Arial"/>
          <w:sz w:val="18"/>
          <w:szCs w:val="18"/>
          <w:color w:val="auto"/>
        </w:rPr>
      </w:pPr>
    </w:p>
    <w:p>
      <w:pPr>
        <w:ind w:left="1080" w:right="200" w:hanging="532"/>
        <w:spacing w:after="0" w:line="32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We base the risk-free interest rate used in the Black-Scholes option-pricing model on the implied yield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on U.S. Treasury zero-coupon issues with a remaining term equivalent to that of the options for each expected term.</w:t>
      </w:r>
    </w:p>
    <w:p>
      <w:pPr>
        <w:spacing w:after="0" w:line="127" w:lineRule="exact"/>
        <w:rPr>
          <w:rFonts w:ascii="Arial" w:cs="Arial" w:eastAsia="Arial" w:hAnsi="Arial"/>
          <w:sz w:val="16"/>
          <w:szCs w:val="16"/>
          <w:color w:val="auto"/>
        </w:rPr>
      </w:pPr>
    </w:p>
    <w:p>
      <w:pPr>
        <w:ind w:left="1080" w:right="20" w:hanging="532"/>
        <w:spacing w:after="0" w:line="260"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assumption is based on our current expectations about our anticipated dividend policy. As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no history of paying any dividends, we used an expected dividend yield of zero.</w:t>
      </w:r>
    </w:p>
    <w:p>
      <w:pPr>
        <w:spacing w:after="0" w:line="191" w:lineRule="exact"/>
        <w:rPr>
          <w:sz w:val="20"/>
          <w:szCs w:val="20"/>
          <w:color w:val="auto"/>
        </w:rPr>
      </w:pPr>
    </w:p>
    <w:p>
      <w:pPr>
        <w:ind w:right="240" w:firstLine="484"/>
        <w:spacing w:after="0" w:line="239"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the fair value of our stock options:</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28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 January 31,</w:t>
            </w: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October 31,</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304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1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w:t>
            </w:r>
          </w:p>
        </w:tc>
        <w:tc>
          <w:tcPr>
            <w:tcW w:w="1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jc w:val="right"/>
              <w:ind w:right="2"/>
              <w:spacing w:after="0"/>
              <w:rPr>
                <w:sz w:val="20"/>
                <w:szCs w:val="20"/>
                <w:color w:val="auto"/>
              </w:rPr>
            </w:pPr>
            <w:r>
              <w:rPr>
                <w:rFonts w:ascii="Arial" w:cs="Arial" w:eastAsia="Arial" w:hAnsi="Arial"/>
                <w:sz w:val="8"/>
                <w:szCs w:val="8"/>
                <w:color w:val="auto"/>
                <w:w w:val="73"/>
              </w:rPr>
              <w:t>-</w:t>
            </w: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6"/>
              </w:rPr>
              <w:t>7.52</w:t>
            </w:r>
          </w:p>
        </w:tc>
      </w:tr>
      <w:tr>
        <w:trPr>
          <w:trHeight w:val="203"/>
        </w:trPr>
        <w:tc>
          <w:tcPr>
            <w:tcW w:w="304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- 1.5%</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- 2.2%</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- 2.1%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- 3.1%</w:t>
            </w: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stock price volatility</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41.7% - 42.8%</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 - 41.4%</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 - 41.4%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jc w:val="right"/>
              <w:ind w:right="2"/>
              <w:spacing w:after="0"/>
              <w:rPr>
                <w:sz w:val="20"/>
                <w:szCs w:val="20"/>
                <w:color w:val="auto"/>
              </w:rPr>
            </w:pPr>
            <w:r>
              <w:rPr>
                <w:rFonts w:ascii="Arial" w:cs="Arial" w:eastAsia="Arial" w:hAnsi="Arial"/>
                <w:sz w:val="8"/>
                <w:szCs w:val="8"/>
                <w:color w:val="auto"/>
                <w:w w:val="73"/>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38.9%</w:t>
            </w:r>
          </w:p>
        </w:tc>
      </w:tr>
      <w:tr>
        <w:trPr>
          <w:trHeight w:val="214"/>
        </w:trPr>
        <w:tc>
          <w:tcPr>
            <w:tcW w:w="30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232"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Because our common stock is not publicly traded, our board of directors exercises significant judgment in determining the fair value of our common stock on the date of each option grant, with input from management, based on several objective and subjective factors. Factors considered by our board of directors include:</w:t>
      </w:r>
    </w:p>
    <w:p>
      <w:pPr>
        <w:spacing w:after="0" w:line="208"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company performance, our growth rate and financial condition at the approximate time of the option grant;</w:t>
      </w:r>
    </w:p>
    <w:p>
      <w:pPr>
        <w:spacing w:after="0" w:line="198"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value of companies that we consider peers based on several factors including, but not limited to, similarity to us with respect to industry, business model, stage of growth, financial risk, or other factors;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company and our prospects since the last time the board approved option grants and determined of fair value;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recently paid by investors for our redeemable convertible preferred stock in arm's-length transactions;</w:t>
      </w:r>
    </w:p>
    <w:p>
      <w:pPr>
        <w:spacing w:after="0" w:line="198"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recently paid by investors for our common stock in arm's-length secondary stock transactions, including a secondary stock purchase transaction with certain of our stockholders completed in October 2018;</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all or a portion of the company;</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financial projections;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valuations completed near the time of the grant.</w:t>
      </w:r>
    </w:p>
    <w:p>
      <w:pPr>
        <w:spacing w:after="0" w:line="194"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 xml:space="preserve">Since our inception, we have prepared valuations in a manner consistent with the method outlined in the AICPA Practice Guide, </w:t>
      </w:r>
      <w:r>
        <w:rPr>
          <w:rFonts w:ascii="Arial" w:cs="Arial" w:eastAsia="Arial" w:hAnsi="Arial"/>
          <w:sz w:val="18"/>
          <w:szCs w:val="18"/>
          <w:i w:val="1"/>
          <w:iCs w:val="1"/>
          <w:color w:val="auto"/>
        </w:rPr>
        <w:t>Valuation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Privately-Held-Company Equity Securities Issued as Compensation</w:t>
      </w:r>
      <w:r>
        <w:rPr>
          <w:rFonts w:ascii="Arial" w:cs="Arial" w:eastAsia="Arial" w:hAnsi="Arial"/>
          <w:sz w:val="18"/>
          <w:szCs w:val="18"/>
          <w:color w:val="auto"/>
        </w:rPr>
        <w:t>. Certain of these valuations relied on a fundamental analysis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using a discounted cash flow model, to derive an estimate of our total equity. The estimated equity value was then allocated to each class of equity, based on the respective rights and preferences, using an Option-Pricing Methodology, or OPM. Certain other valuations relied on recent transactions in our preferred and/or common stock. For dates near a recent preferred stock financing, we assessed the value of common stock implied by the price paid for the preferred, primarily using an OPM to backsolve the common stock value, but also giving consideration to the value implied on an "as converted" or "common stock equivalent" methodology. Additionally, in certain cases, transactions involving sales or purchases of our common stock were also considered.</w:t>
      </w:r>
    </w:p>
    <w:p>
      <w:pPr>
        <w:spacing w:after="0" w:line="212"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color w:val="auto"/>
        </w:rPr>
        <w:t xml:space="preserve">We believe that we have used reasonable methodologies, approaches and assumptions consistent with the AICPA Practice Guide, </w:t>
      </w:r>
      <w:r>
        <w:rPr>
          <w:rFonts w:ascii="Arial" w:cs="Arial" w:eastAsia="Arial" w:hAnsi="Arial"/>
          <w:sz w:val="18"/>
          <w:szCs w:val="18"/>
          <w:i w:val="1"/>
          <w:iCs w:val="1"/>
          <w:color w:val="auto"/>
        </w:rPr>
        <w:t xml:space="preserve">Valuation of Privately-Held-Company Equity Securities Issued as Compensation, </w:t>
      </w:r>
      <w:r>
        <w:rPr>
          <w:rFonts w:ascii="Arial" w:cs="Arial" w:eastAsia="Arial" w:hAnsi="Arial"/>
          <w:sz w:val="18"/>
          <w:szCs w:val="18"/>
          <w:color w:val="auto"/>
        </w:rPr>
        <w:t>to determine the fair value of our common stock.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reviewed key factors and events between each date below and have determined that the combination of the factors and events described above reflect a true measurement of the fair value of our common stock over an extended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Business Combinations</w:t>
      </w:r>
    </w:p>
    <w:p>
      <w:pPr>
        <w:spacing w:after="0" w:line="232" w:lineRule="exact"/>
        <w:rPr>
          <w:sz w:val="20"/>
          <w:szCs w:val="20"/>
          <w:color w:val="auto"/>
        </w:rPr>
      </w:pPr>
    </w:p>
    <w:p>
      <w:pPr>
        <w:ind w:right="20" w:firstLine="488"/>
        <w:spacing w:after="0" w:line="235" w:lineRule="auto"/>
        <w:rPr>
          <w:sz w:val="20"/>
          <w:szCs w:val="20"/>
          <w:color w:val="auto"/>
        </w:rPr>
      </w:pPr>
      <w:r>
        <w:rPr>
          <w:rFonts w:ascii="Arial" w:cs="Arial" w:eastAsia="Arial" w:hAnsi="Arial"/>
          <w:sz w:val="18"/>
          <w:szCs w:val="18"/>
          <w:color w:val="auto"/>
        </w:rPr>
        <w:t>We account for business combinations using the acquisition method of accounting. 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Intangible assets consist predominantly of purchased intellectual property acquired in transactions that were accounted for as business combinations under GAAP and purchased intellectual property that were acquired as an asset acquisition under GAAP. These intangible assets are measured at fair value at the date of acquisition. Such valuations require us to make significant estimates and assumptions, especially with respect to intangible assets. Significant estimates in valuing certain intangible assets include, but are not limited to, future expected cash flows from using the acquired technology, and discount rates. Our estimates of fair value are based upon assumptions believed to be reasonable, but which are inherently uncertain and unpredictable and, as a result, actual results may differ from estimates.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During the measurement period, which is one year from the acquisition date, we may record adjustments to the assets acquired and liabilities assumed, with the corresponding offset to goodwill. Upon the conclusion of the measurement period, any subsequent adjustments are recorded in the consolidated statement of operations. We amortize all intangible assets on a straight-line basis over their expected lives. As of October 31, 2018, we had $1.2 million of intangible assets, net. We evaluate our intangible assets for impairment by assessing the recoverability of these assets whenever adverse events or changes in circumstances or business climate indicate that expected undiscounted future cash flows related to such intangible assets may not be sufficient to support the net book value of such assets. An impairment is recognized in the period of identification to the extent the carrying amount of an asset exceeds the fair value of such asset. Based on our analysis, no impairment was recorded for fiscal 2017 or fiscal 2018.</w:t>
      </w:r>
    </w:p>
    <w:p>
      <w:pPr>
        <w:spacing w:after="0" w:line="208"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Goodwill is currently our only indefinite-lived intangible asset. As of October 31, 2018, we had $7.9 million of goodwill. Goodwill is tested for impairment at least annually on January 31 of each calendar year or more often if events or changes in circumstances indicate the carrying value may not be recoverable. Significant judgments are required in assessing impairment of goodwill and intangible assets include the identification of reporting units, identifying whether events or changes in circumstances require an impairment assessment, estimating future cash flows, determining appropriate discount and growth rates and other assumptions. Changes in these estimates and assumptions could materially affect the determination of fair value whether an impairment exists and if so the amount of that impairment.</w:t>
      </w:r>
    </w:p>
    <w:p>
      <w:pPr>
        <w:spacing w:after="0" w:line="210" w:lineRule="exact"/>
        <w:rPr>
          <w:sz w:val="20"/>
          <w:szCs w:val="20"/>
          <w:color w:val="auto"/>
        </w:rPr>
      </w:pPr>
    </w:p>
    <w:p>
      <w:pPr>
        <w:ind w:firstLine="488"/>
        <w:spacing w:after="0" w:line="269" w:lineRule="auto"/>
        <w:rPr>
          <w:sz w:val="20"/>
          <w:szCs w:val="20"/>
          <w:color w:val="auto"/>
        </w:rPr>
      </w:pPr>
      <w:r>
        <w:rPr>
          <w:rFonts w:ascii="Arial" w:cs="Arial" w:eastAsia="Arial" w:hAnsi="Arial"/>
          <w:sz w:val="16"/>
          <w:szCs w:val="16"/>
          <w:color w:val="auto"/>
        </w:rPr>
        <w:t>When an acquisition includes a liability contingent consideration, this liability must be adjusted to its fair value each quarter, with changes in fair value recorded in the consolidated statement of operations. Management estimates the fair value of contingent consideration each quarter based on its most recent financial forecast. To the extent our forecast increases, the fair value of the contingent consideration will increase with change in fair value recorded to operating expenses. Conversely, to the extent our forecast decreases, the fair value of the contingent consideration will decrease with change in fair value recorded as a reduction to operating expenses. Significant judgment is required in developing the assumptions required to determine the purchase price and in allocating that purchase price to the assets. If any of these assumptions were different, the amount recorded as goodwill, intangible assets and contingent consideration would have been different.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2"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are subject to federal, state, and local taxes in the United States as well as in other tax jurisdictions or countries in which we conduct business. Earnings generated by our non-U.S. activities are related to applicable transfer pricing requirements under local country income tax laws. We account for uncertain tax positions based on those positions taken or expected to be taken in a tax return. We determine if the amount of available support indicates that it is more likely than not that the tax position will be sustained on audit, including resolution of any related appeals or litigation processes. We then measure the tax benefit as the largest amount that is more than 50% likely to be realized upon settlement.</w:t>
      </w:r>
    </w:p>
    <w:p>
      <w:pPr>
        <w:spacing w:after="0" w:line="210" w:lineRule="exact"/>
        <w:rPr>
          <w:sz w:val="20"/>
          <w:szCs w:val="20"/>
          <w:color w:val="auto"/>
        </w:rPr>
      </w:pPr>
    </w:p>
    <w:p>
      <w:pPr>
        <w:ind w:right="100" w:firstLine="488"/>
        <w:spacing w:after="0" w:line="281" w:lineRule="auto"/>
        <w:rPr>
          <w:sz w:val="20"/>
          <w:szCs w:val="20"/>
          <w:color w:val="auto"/>
        </w:rPr>
      </w:pPr>
      <w:r>
        <w:rPr>
          <w:rFonts w:ascii="Arial" w:cs="Arial" w:eastAsia="Arial" w:hAnsi="Arial"/>
          <w:sz w:val="16"/>
          <w:szCs w:val="16"/>
          <w:color w:val="auto"/>
        </w:rPr>
        <w:t>We have a full valuation allowance for our net deferred tax assets generated from our U.S. operations. We will continue to assess the need for such valuation allowance on our deferred tax assets by evaluating both positive and negative evidence that may exist. Any adjustment to the deferred tax asset valuation allowance would be recorded in the periods in which the adjustment is determined to be required.</w:t>
      </w:r>
    </w:p>
    <w:p>
      <w:pPr>
        <w:spacing w:after="0" w:line="177" w:lineRule="exact"/>
        <w:rPr>
          <w:sz w:val="20"/>
          <w:szCs w:val="20"/>
          <w:color w:val="auto"/>
        </w:rPr>
      </w:pPr>
    </w:p>
    <w:p>
      <w:pPr>
        <w:ind w:right="140" w:firstLine="488"/>
        <w:spacing w:after="0" w:line="239" w:lineRule="auto"/>
        <w:rPr>
          <w:sz w:val="20"/>
          <w:szCs w:val="20"/>
          <w:color w:val="auto"/>
        </w:rPr>
      </w:pPr>
      <w:r>
        <w:rPr>
          <w:rFonts w:ascii="Arial" w:cs="Arial" w:eastAsia="Arial" w:hAnsi="Arial"/>
          <w:sz w:val="18"/>
          <w:szCs w:val="18"/>
          <w:color w:val="auto"/>
        </w:rPr>
        <w:t>On December 22, 2017, the U.S. government enacted legislation commonly referred to as the Tax Cuts and Jobs Act of 2017, or the Tax Act, which makes significant changes to the U.S. tax</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code. The Tax Act contains several key tax provisions that affect us, including, but not limited to, reducing our U.S. federal corporate tax rate from 34% to 21% for tax years beginning after December 31, 2017, imposing a one-time repatriation tax on deemed repatriated earnings and changing rules related to uses and limitations of net operating loss carryforwards created in tax years beginning after December 31, 2017. On December 22, 2017, the SEC issued Staff Accounting Bulletin No. 118, Income Tax Accounting Implications of the Tax Cuts and Jobs Act, or SAB 118, which provides guidance on accounting for the Tax Act's impact and allows registrants to record provisional amounts during a measurement period not to extend beyond one year of the enactment date.</w:t>
      </w:r>
    </w:p>
    <w:p>
      <w:pPr>
        <w:spacing w:after="0" w:line="210"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Although we have not completed our accounting assessment for the effects of the Tax Act, based on our initial assessment, we have determined that the Tax Act did not have a material impact on our financial statements for fiscal 2018, the period in which the legislation was enacted, other than disclosures in our year-end financial statements. We currently maintain a full valuation allowance recorded against our U.S. federal deferred tax assets and we anticipate incurring a loss for fiscal 2019. As such, the remeasurement of the deferred tax assets and related valuation allowance is not expected to have a material impact to the financial statements for fiscal 2019, other than disclosures in our year-end financial statements. Because of our full valuation allowance, there is no tax expense associated with the one-time transition tax. We expect to complete our assessment within the measurement period in accordance with SAB 118.</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right="60" w:firstLine="488"/>
        <w:spacing w:after="0" w:line="238"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after the enactment of the JOBS Act until those standards apply to private companies. We have elected to use this extended transition period under the JOBS Act.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4" w:lineRule="exact"/>
        <w:rPr>
          <w:sz w:val="20"/>
          <w:szCs w:val="20"/>
          <w:color w:val="auto"/>
        </w:rPr>
      </w:pPr>
    </w:p>
    <w:p>
      <w:pPr>
        <w:ind w:right="700" w:firstLine="488"/>
        <w:spacing w:after="0" w:line="239" w:lineRule="auto"/>
        <w:rPr>
          <w:sz w:val="20"/>
          <w:szCs w:val="20"/>
          <w:color w:val="auto"/>
        </w:rPr>
      </w:pPr>
      <w:r>
        <w:rPr>
          <w:rFonts w:ascii="Arial" w:cs="Arial" w:eastAsia="Arial" w:hAnsi="Arial"/>
          <w:sz w:val="18"/>
          <w:szCs w:val="18"/>
          <w:color w:val="auto"/>
        </w:rPr>
        <w:t>See Note 2 to our consolidated financial statements included at the end of this prospectus, regarding the impact of certain recent accounting pronouncements on our consolidated financial statements.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Mission</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don't have a mission statement—we are on a mission to protect our customers from breaches.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211"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laptops, desktops, servers, virtual machines, and IoT devices. We deliver comprehensive breach protection even against today's most sophisticated attacks on the endpoint, where the most valuable corporate data resides.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Our single lightweight agent is installed on each endpoint and provides local detection and prevention capabilities while also intelligently collecting and streaming high fidelity data to our platform for real-time decision-making. Our Threat Graph processes, correlates, and analyzes this data in the cloud using a combination of AI and behavioral pattern-matching techniques. By analyzing and correlating information across our massive, crowdsourced dataset, we are able to deploy our AI algorithms at cloud-scale and build a more intelligent, effective solution to detect threats and stop breaches that on-premise or single instance cloud products cannot match. Today, we offer 10 cloud modules on our Falcon platform via a SaaS subscription-based model that spans multiple large security markets, including endpoint security, security and IT operations (including vulnerability management), and threat intelligence.</w:t>
      </w:r>
    </w:p>
    <w:p>
      <w:pPr>
        <w:spacing w:after="0" w:line="390"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Organizations everywhere are becoming more distributed as they adopt the cloud, increase workforce mobility, and grow their number of connected devices. They are adding more workloads to a myriad of different endpoints beyond the traditional security perimeter, exposing an increasingly broad attack surface to adversaries. In addition, the sophistication of cyberattacks has increased, often coming from nation-states, well-funded criminal organizations, and hackers using advanced, easily obtained methods of attack. On a number of occasions, adversaries have launched devastating, destructive attacks that have caused significant business disruption and billions of dollars in cumulative losses. The architectural limitations of legacy security products, coupled with a dynamic and intensifying threat landscape, are creating the need for a fundamentally new approach to security.</w:t>
      </w:r>
    </w:p>
    <w:p>
      <w:pPr>
        <w:spacing w:after="0" w:line="209"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Our unique approach starts with our single intelligent lightweight agent that enables frictionless deployment of our platform at scale. Our customers can rapidly adopt our technology across any type of workload running on a variety of endpoints. Our lightweight agent offloads computationally intensive tasks to the cloud, while retaining local detection and prevention capabilities that are necessary on the endpoint. The agent is nonintrusive to the end user and</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43" w:right="4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continues to protect the endpoint and track activity even when offline. The agent recommences transmitting data to our Falcon platform when the connection to the cloud has been reestablished. By utilizing a single agent, customers are able to leverage all the capabilities of our platform without burdening the endpoint with multiple agents.</w:t>
      </w:r>
    </w:p>
    <w:p>
      <w:pPr>
        <w:spacing w:after="0" w:line="208" w:lineRule="exact"/>
        <w:rPr>
          <w:sz w:val="20"/>
          <w:szCs w:val="20"/>
          <w:color w:val="auto"/>
        </w:rPr>
      </w:pPr>
    </w:p>
    <w:p>
      <w:pPr>
        <w:ind w:right="180" w:firstLine="488"/>
        <w:spacing w:after="0" w:line="271" w:lineRule="auto"/>
        <w:rPr>
          <w:sz w:val="20"/>
          <w:szCs w:val="20"/>
          <w:color w:val="auto"/>
        </w:rPr>
      </w:pPr>
      <w:r>
        <w:rPr>
          <w:rFonts w:ascii="Arial" w:cs="Arial" w:eastAsia="Arial" w:hAnsi="Arial"/>
          <w:sz w:val="16"/>
          <w:szCs w:val="16"/>
          <w:color w:val="auto"/>
        </w:rPr>
        <w:t>Our lightweight agent intelligently streams high fidelity endpoint data to the cloud where Threat Graph provides a simple, flexible, and scalable way to model highly interconnected data sets. Threat Graph processes, correlates, and analyzes over one trillion endpoint-related events per week in real time and maintains an index of these events for future use. Threat Graph continuously looks for malicious activity by applying graph analytics and AI algorithms to the data streamed from the endpoints. Our multi-tenant architecture allows us to collect a broad array of high fidelity data about both potential attacks and benign behavioral patterns across our entire customer base, continuously enhancing our AI algorithms. This significantly increases the efficacy of our solution to stop breaches while reducing false positives.</w:t>
      </w:r>
    </w:p>
    <w:p>
      <w:pPr>
        <w:spacing w:after="0" w:line="184" w:lineRule="exact"/>
        <w:rPr>
          <w:sz w:val="20"/>
          <w:szCs w:val="20"/>
          <w:color w:val="auto"/>
        </w:rPr>
      </w:pPr>
    </w:p>
    <w:p>
      <w:pPr>
        <w:ind w:right="20" w:firstLine="488"/>
        <w:spacing w:after="0" w:line="235" w:lineRule="auto"/>
        <w:rPr>
          <w:sz w:val="20"/>
          <w:szCs w:val="20"/>
          <w:color w:val="auto"/>
        </w:rPr>
      </w:pPr>
      <w:r>
        <w:rPr>
          <w:rFonts w:ascii="Arial" w:cs="Arial" w:eastAsia="Arial" w:hAnsi="Arial"/>
          <w:sz w:val="18"/>
          <w:szCs w:val="18"/>
          <w:color w:val="auto"/>
        </w:rPr>
        <w:t>We founded our company on the principle that the future of security would be driven by AI and that a cloud-native architecture would enable the collection of high fidelity data and scalability necessary for an effective solution. We call this cloud-scale AI. From the beginning, our strategy was focused on collecting data at scale, centrally storing such data in a singular model, and training our algorithms on these vast amounts of high fidelity data, which we believe is a fundamental differentiator from our competitors. Our cloud-scale AI means that the more data that is fed into our Falcon platform, the more intelligent Threat Graph becomes and the more our customers benefit, creating a powerful network effect that increases the overall value we provide. AI is revolutionizing many technology fields, including security solutions. To be truly effective, algorithms that enable AI depend on the quality and volume of data that trains them and the selection of the right differentiating features from that data. Our proprietary algorithms in Threat Graph identify events that may or may not be directly related, but together could indicate a threat that could otherwise remain undetected. Our cloud-scale algorithms make over 91 million indicator of attack decisions per minute. We are uniquely effective because we have more high fidelity data to train our AI models and more security expertise to guide our feature selection—all resulting in industry-leading efficacy and low false positives. Our rich set of continuously collected high fidelity endpoint data feeding our algorithms also enables us to use an active learning approach, where the models are continuously updated to fill in gaps identified in initial models and their performance is validated with this data prior to production use.</w:t>
      </w:r>
    </w:p>
    <w:p>
      <w:pPr>
        <w:spacing w:after="0" w:line="214"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By leveraging a multi-tenant, cloud native solution, the data we analyze to stop breaches is both larger and more meaningful than the data from on-premise or single instance private cloud products. If Threat Graph discovers something in one customer environment, all customers benefit automatically and in real time. Taken together, our platform enables intelligent, dynamic automation at scale to detect threats and stop breaches.</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designed our Falcon platform with an open, interoperable, and highly extensible architecture. Because of our single data model, we only need to collect high fidelity endpoint data once from our agent, which we can use repeatedly for multiple use cases. Therefore, we can rapidly innovate, build, and deploy highly integrated modules to access additional market opportunities. We recently launched CrowdStrike Store, the first open cloud-based application platform for endpoint security and the industry's first unified security cloud ecosystem of trusted third-party applications. We also built a rich set of APIs that allows us to ingest third-party data into our Falcon platform and allows our customers to expand the functionality of their existing security systems by writing their own programs and accessing the data on our platform.</w:t>
      </w:r>
    </w:p>
    <w:p>
      <w:pPr>
        <w:spacing w:after="0" w:line="210" w:lineRule="exact"/>
        <w:rPr>
          <w:sz w:val="20"/>
          <w:szCs w:val="20"/>
          <w:color w:val="auto"/>
        </w:rPr>
      </w:pPr>
    </w:p>
    <w:p>
      <w:pPr>
        <w:ind w:right="600" w:firstLine="488"/>
        <w:spacing w:after="0" w:line="239" w:lineRule="auto"/>
        <w:rPr>
          <w:sz w:val="20"/>
          <w:szCs w:val="20"/>
          <w:color w:val="auto"/>
        </w:rPr>
      </w:pPr>
      <w:r>
        <w:rPr>
          <w:rFonts w:ascii="Arial" w:cs="Arial" w:eastAsia="Arial" w:hAnsi="Arial"/>
          <w:sz w:val="18"/>
          <w:szCs w:val="18"/>
          <w:color w:val="auto"/>
        </w:rPr>
        <w:t>Our Falcon platform includes our OverWatch threat hunting cloud module that combines the human intelligence of our elite security experts with the power of Threat Graph. Because our world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class team can see potential attacks across our entire customer base, their expertise is enhanced by their constant visibility into the threat landscape. We are able to keep this team extremely small and scalable by leveraging automation and our Threat Graph. OverWatch is a force multiplier that extends the capabilities and improves the productivity of our customers' security teams.</w:t>
      </w:r>
    </w:p>
    <w:p>
      <w:pPr>
        <w:spacing w:after="0" w:line="208"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We offer our customers compelling business value that includes ease of adoption, rapid time-to-value, superior efficacy rates in detecting threats and preventing breaches, and reduced total cost of ownership by consolidating legacy, siloed security products in a single solution. We also allow thinly-stretched security organizations to automate previously manual tasks, freeing them to focus on their most important objectives. With the Falcon platform, organizations can transform how they combat threats, from slow, manual, and reactionary to fast, automated, and predictive, providing visibility across the entire threat lifecycle.</w:t>
      </w:r>
    </w:p>
    <w:p>
      <w:pPr>
        <w:spacing w:after="0" w:line="211"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We have a channel-centric go-to-market approach. We sell our platform and cloud modules directly and through channel partners, who work closely with our field sales and inside sales professionals. We primarily sell our platform and cloud modules through our direct sales team that leverages our network of channel partners to maximize effectiveness and scale. We amplify our sales presence by leveraging our technology alliance partners that can deliver, embed, or build applications with data and analytics from our Falcon platform. We are also enhancing our go-to-market strategy using a low-touch, trial-to-pay approach. We recently launched a free trial of Falcon Prevent, our next-generation antivirus module, available directly from our website or the AWS Marketplace. We are beginning to see a number of these trial users convert to paying customers. We believe this approach will enable a higher velocity of new customer acquisition and expansion, and will extend our reach to customers of all sizes.</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a low friction land-and-expand sales strategy. When customers deploy our Falcon platform, they can start with any number of cloud modules and we can activate additional cloud modules in real time on the same agent already deployed on the endpoint. Once customers experience the benefits of our Falcon platform, they often expand their adoption over time by adding more endpoints or purchasing additional modules. Our dollar-based net retention rate, which measures expansion in existing customers' subscriptions over a 12 month period, was 127% as of October 31, 2018, demonstrating the power of our land-and-expand strategy.</w:t>
      </w:r>
    </w:p>
    <w:p>
      <w:pPr>
        <w:spacing w:after="0" w:line="211" w:lineRule="exact"/>
        <w:rPr>
          <w:sz w:val="20"/>
          <w:szCs w:val="20"/>
          <w:color w:val="auto"/>
        </w:rPr>
      </w:pPr>
    </w:p>
    <w:p>
      <w:pPr>
        <w:ind w:right="180" w:firstLine="488"/>
        <w:spacing w:after="0" w:line="272" w:lineRule="auto"/>
        <w:rPr>
          <w:sz w:val="20"/>
          <w:szCs w:val="20"/>
          <w:color w:val="auto"/>
        </w:rPr>
      </w:pPr>
      <w:r>
        <w:rPr>
          <w:rFonts w:ascii="Arial" w:cs="Arial" w:eastAsia="Arial" w:hAnsi="Arial"/>
          <w:sz w:val="16"/>
          <w:szCs w:val="16"/>
          <w:color w:val="auto"/>
        </w:rPr>
        <w:t>Some of the world's largest enterprises, government organizations, and high profile brands trust us to protect their business. As of October 31, 2018, we had 2,147 subscription customers worldwide, including 38 of the Fortune 100, 32 of the top 100 global companies, and eight of the top 20 major banks. We began as a large enterprise solution, but the flexibility and scalability of our Falcon platform and enhanced go-to-market approach enable us to protect customers of any size—from hundreds of thousands of endpoints to as few as one. We have been recognized as a security market leader by numerous independent third-party analysts, including Gartner, Forrester, and IDC.</w:t>
      </w:r>
    </w:p>
    <w:p>
      <w:pPr>
        <w:spacing w:after="0" w:line="186" w:lineRule="exact"/>
        <w:rPr>
          <w:sz w:val="20"/>
          <w:szCs w:val="20"/>
          <w:color w:val="auto"/>
        </w:rPr>
      </w:pPr>
    </w:p>
    <w:p>
      <w:pPr>
        <w:ind w:right="40" w:firstLine="488"/>
        <w:spacing w:after="0" w:line="235" w:lineRule="auto"/>
        <w:rPr>
          <w:sz w:val="20"/>
          <w:szCs w:val="20"/>
          <w:color w:val="auto"/>
        </w:rPr>
      </w:pPr>
      <w:r>
        <w:rPr>
          <w:rFonts w:ascii="Arial" w:cs="Arial" w:eastAsia="Arial" w:hAnsi="Arial"/>
          <w:sz w:val="18"/>
          <w:szCs w:val="18"/>
          <w:color w:val="auto"/>
        </w:rPr>
        <w:t>We have recently experienced significant growth, with total revenue increasing from $52.7 million for fiscal 2017 to $118.8 million for fiscal 2018, representing year-over-year growth of 125% and from $80.0 million for the nine months ended October 31, 2017, to $169.4 million for the nine months ended October 31, 2018, representing year-over-year growth of 112%. Subscription revenue grew from $37.9 million for fiscal 2017 to $92.6 million for fiscal 2018, a 144% increase, and from $60.1 million for the nine months ended October 31, 2017, to $146.6 million for the nine months ended October 31, 2018, a 144% increase. Our ARR has grown from $58.8 million as of January 31, 2017, to $141.3 million as of January 31, 2018, a 140% increase, and from $113.4 million as of October 31, 2017, to $254.2 million as of October 31, 2018, a 124% increase. Our net loss increased from $91.3 million for fiscal 2017 to $135.5 million for fiscal 2018 and from $98.0 million for the nine months ended October 31, 2017, to $108.8 million for the nine months ended October 31, 2018. We expect to continue to incur net losses for the foreseeable future as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continue to invest in our business, and our sales capabilities in particular, to address our large market opportunity.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Background</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are a number of key trends that are driving the need for a new approach to security.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Threats are Greater than Ever</w:t>
      </w:r>
    </w:p>
    <w:p>
      <w:pPr>
        <w:spacing w:after="0" w:line="232"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Today's cybersecurity threat landscape is more dangerous than ever. Breaches are complex and often executed over multiple steps known in the industry as the threat lifecycle. The typical threat lifecycle starts with an initial exploit to enter a system, historically using malware, but increasingly using malware-free or fileless methods, to penetrate endpoints and establish a beachhead inside the corporate perimeter. Once inside, adversaries move laterally across the corporate environment where they collect credentials and escalate privileges enabling the typical adversary to download a larger, more destructive malware program or connect with an external control source. At this stage in the threat lifecycle, the adversary is able to encrypt, destroy, or silently exfiltrate sensitive data.</w:t>
      </w:r>
    </w:p>
    <w:p>
      <w:pPr>
        <w:spacing w:after="0" w:line="210" w:lineRule="exact"/>
        <w:rPr>
          <w:sz w:val="20"/>
          <w:szCs w:val="20"/>
          <w:color w:val="auto"/>
        </w:rPr>
      </w:pPr>
    </w:p>
    <w:p>
      <w:pPr>
        <w:ind w:right="80" w:firstLine="488"/>
        <w:spacing w:after="0" w:line="269" w:lineRule="auto"/>
        <w:rPr>
          <w:sz w:val="20"/>
          <w:szCs w:val="20"/>
          <w:color w:val="auto"/>
        </w:rPr>
      </w:pPr>
      <w:r>
        <w:rPr>
          <w:rFonts w:ascii="Arial" w:cs="Arial" w:eastAsia="Arial" w:hAnsi="Arial"/>
          <w:sz w:val="16"/>
          <w:szCs w:val="16"/>
          <w:color w:val="auto"/>
        </w:rPr>
        <w:t>Increasingly, adversaries are well-trained, possess significant technological and human resources, and are highly deliberate and targeted in their attacks. Adversaries today range from militaries and intelligence services of well-funded nation-states to sophisticated criminal organizations who are motivated by financial gains to hackers leveraging readily available advanced techniques. These groups and individuals are responsible for many breaches that involve theft or holding hostage financial data, intellectual property, and trade secrets. These attacks are pervasive, targeting a broad range of industries including technology, transportation, healthcare, financial services, governments and political organizations, utility, retail, and public infrastructure. On a number of occasions, adversaries have launched devastating, destructive attacks that have caused significant business disruption and billions of dollars in cumulative losses. For example, cyber risk modeling firm Cyence Inc. estimated that the overall global economic costs incurred from the 2017 WannaCry attack were between $4 billion and $8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Proliferation of Workloads Expanding the Attack Surface</w:t>
      </w:r>
    </w:p>
    <w:p>
      <w:pPr>
        <w:spacing w:after="0" w:line="232" w:lineRule="exact"/>
        <w:rPr>
          <w:sz w:val="20"/>
          <w:szCs w:val="20"/>
          <w:color w:val="auto"/>
        </w:rPr>
      </w:pPr>
    </w:p>
    <w:p>
      <w:pPr>
        <w:ind w:right="80" w:firstLine="484"/>
        <w:spacing w:after="0" w:line="235" w:lineRule="auto"/>
        <w:rPr>
          <w:sz w:val="20"/>
          <w:szCs w:val="20"/>
          <w:color w:val="auto"/>
        </w:rPr>
      </w:pPr>
      <w:r>
        <w:rPr>
          <w:rFonts w:ascii="Arial" w:cs="Arial" w:eastAsia="Arial" w:hAnsi="Arial"/>
          <w:sz w:val="18"/>
          <w:szCs w:val="18"/>
          <w:color w:val="auto"/>
        </w:rPr>
        <w:t>The rise of cloud computing, workforce mobility, and growth in connected devices has created a rapid expansion of workloads across endpoints and industries. According to a 2018 Cisco white paper, the number of connected devices is expected to be 28.5 billion by 2022, up from 18 billion in 2017. As a result, devices, applications, and data are highly distributed and diverse, challenging organizations to monitor and protect all of their workloads running on various endpoints. The adoption of many of these technologies and the resulting disappearance of the corporate perimeter have expanded the attack surface and left many organizations increasingly vulnerable to breach. Today, workloads running on endpoints, such as laptops and servers, are the primary targets in a security attack since they are vulnerable and frequently are repositories of valuable and sensitive data, including intellectual property, authentication credentials, personally identifiable information, financial information, and other digital assets. As new workloads are provisioned on emerging mobile and IoT devices, oftentimes residing outside of the corporate perimeter, increasingly more sensitive and mission critical data will be generated and stored on these endpoints as well. Attacks such as Shamoon, WannaCry and NotPetya have shown that destroying or locking data on a large portion of an enterprise's endpoints can cause widespread business disruption.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On-Premise Security Architectures are Constrained</w:t>
      </w:r>
    </w:p>
    <w:p>
      <w:pPr>
        <w:spacing w:after="0" w:line="23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On-premise products are siloed, lack integration, and have limited ability to collect, process, and analyze vast amounts of data—attributes that are required to be effective in today's increasingly dynamic threat landscape. Legacy vendors often deploy more agents to the endpoint as they layer on a patchwork of additional point product capabilities. This approach burdens endpoints by consuming additional storage space, memory, and processor capacity, degrading end user experience without providing effective security. In addition, integrating and maintaining numerous products, data repositories, and infrastructures across highly distributed enterprise environments is a costly and resource-intensive process for already thinly-staffed security teams.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Existing Security Products have Limitations</w:t>
      </w:r>
    </w:p>
    <w:p>
      <w:pPr>
        <w:spacing w:after="0" w:line="214"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i w:val="1"/>
          <w:iCs w:val="1"/>
          <w:color w:val="auto"/>
        </w:rPr>
        <w:t xml:space="preserve">Legacy Signature-based Products. </w:t>
      </w:r>
      <w:r>
        <w:rPr>
          <w:rFonts w:ascii="Arial" w:cs="Arial" w:eastAsia="Arial" w:hAnsi="Arial"/>
          <w:sz w:val="18"/>
          <w:szCs w:val="18"/>
          <w:color w:val="auto"/>
        </w:rPr>
        <w:t>Signature-based products are designed to detect attacks that are already catalogued in a repository</w:t>
      </w:r>
      <w:r>
        <w:rPr>
          <w:rFonts w:ascii="Arial" w:cs="Arial" w:eastAsia="Arial" w:hAnsi="Arial"/>
          <w:sz w:val="18"/>
          <w:szCs w:val="18"/>
          <w:i w:val="1"/>
          <w:iCs w:val="1"/>
          <w:color w:val="auto"/>
        </w:rPr>
        <w:t xml:space="preserve"> </w:t>
      </w:r>
      <w:r>
        <w:rPr>
          <w:rFonts w:ascii="Arial" w:cs="Arial" w:eastAsia="Arial" w:hAnsi="Arial"/>
          <w:sz w:val="18"/>
          <w:szCs w:val="18"/>
          <w:color w:val="auto"/>
        </w:rPr>
        <w:t>of previously identified threats but are not capable of preventing unknown threats or stopping associated breaches. These signatures, known as Indicators of Compromise, or IOCs, represent a reactive method of tracking cyberattacks. By the time IOCs are located, all they provide is evidence of compromise or breach that may have already resulted in substantial losses to the victim. If an attack vector is even slightly modified, a signature-based approach will no longer detect the attack and will fail to stop the breach. Many significant breaches seen in the last two decades have involved the failure of a legacy signature-based antivirus product to detect a previously unknown or modified version of a previously known attack.</w:t>
      </w:r>
    </w:p>
    <w:p>
      <w:pPr>
        <w:spacing w:after="0" w:line="191" w:lineRule="exact"/>
        <w:rPr>
          <w:sz w:val="20"/>
          <w:szCs w:val="20"/>
          <w:color w:val="auto"/>
        </w:rPr>
      </w:pPr>
    </w:p>
    <w:p>
      <w:pPr>
        <w:ind w:right="100" w:firstLine="488"/>
        <w:spacing w:after="0" w:line="239" w:lineRule="auto"/>
        <w:rPr>
          <w:sz w:val="20"/>
          <w:szCs w:val="20"/>
          <w:color w:val="auto"/>
        </w:rPr>
      </w:pPr>
      <w:r>
        <w:rPr>
          <w:rFonts w:ascii="Arial" w:cs="Arial" w:eastAsia="Arial" w:hAnsi="Arial"/>
          <w:sz w:val="18"/>
          <w:szCs w:val="18"/>
          <w:i w:val="1"/>
          <w:iCs w:val="1"/>
          <w:color w:val="auto"/>
        </w:rPr>
        <w:t xml:space="preserve">Malware-focused Machine Learning Products. </w:t>
      </w:r>
      <w:r>
        <w:rPr>
          <w:rFonts w:ascii="Arial" w:cs="Arial" w:eastAsia="Arial" w:hAnsi="Arial"/>
          <w:sz w:val="18"/>
          <w:szCs w:val="18"/>
          <w:color w:val="auto"/>
        </w:rPr>
        <w:t>Traditionally, organizations have focused on protecting their networks and endpoints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malware-based attacks. These attacks involve malware built for the specific purpose of performing malicious activities, stealing data, or destroying systems. A malware-centric defensive approach will leave the organization vulnerable to attacks that do not leverage malware. According to data from our customer base indexed by Threat Graph, 40% of detections in the second quarter of fiscal 2018 were not malware-based, but instead leveraged legitimate tools built into modern operating systems enabling attackers to accomplish their objectives without writing files to the endpoint, making them more difficult for a traditional antivirus product to detect.</w:t>
      </w:r>
    </w:p>
    <w:p>
      <w:pPr>
        <w:spacing w:after="0" w:line="194" w:lineRule="exact"/>
        <w:rPr>
          <w:sz w:val="20"/>
          <w:szCs w:val="20"/>
          <w:color w:val="auto"/>
        </w:rPr>
      </w:pPr>
    </w:p>
    <w:p>
      <w:pPr>
        <w:ind w:right="60" w:firstLine="481"/>
        <w:spacing w:after="0" w:line="241" w:lineRule="auto"/>
        <w:rPr>
          <w:sz w:val="20"/>
          <w:szCs w:val="20"/>
          <w:color w:val="auto"/>
        </w:rPr>
      </w:pPr>
      <w:r>
        <w:rPr>
          <w:rFonts w:ascii="Arial" w:cs="Arial" w:eastAsia="Arial" w:hAnsi="Arial"/>
          <w:sz w:val="18"/>
          <w:szCs w:val="18"/>
          <w:i w:val="1"/>
          <w:iCs w:val="1"/>
          <w:color w:val="auto"/>
        </w:rPr>
        <w:t xml:space="preserve">Application Whitelisting Products. </w:t>
      </w:r>
      <w:r>
        <w:rPr>
          <w:rFonts w:ascii="Arial" w:cs="Arial" w:eastAsia="Arial" w:hAnsi="Arial"/>
          <w:sz w:val="18"/>
          <w:szCs w:val="18"/>
          <w:color w:val="auto"/>
        </w:rPr>
        <w:t>Application whitelisting products resort to an "always allow" or "always block" policy on an endpoint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allow or prevent processes from executing. Whitelisting relies in part on manually creating and maintaining a complex list of rules, burdening end users and IT organizations. In order to avoid these management challenges, IT organizations often create special exceptions to the whitelist that attackers leverage to compromise endpoints. Furthermore, fileless attacks can exploit legitimate whitelisted applications, compromising the integrity of the whitelisting product.</w:t>
      </w:r>
    </w:p>
    <w:p>
      <w:pPr>
        <w:spacing w:after="0" w:line="189" w:lineRule="exact"/>
        <w:rPr>
          <w:sz w:val="20"/>
          <w:szCs w:val="20"/>
          <w:color w:val="auto"/>
        </w:rPr>
      </w:pPr>
    </w:p>
    <w:p>
      <w:pPr>
        <w:ind w:right="40" w:firstLine="488"/>
        <w:spacing w:after="0" w:line="241" w:lineRule="auto"/>
        <w:rPr>
          <w:sz w:val="20"/>
          <w:szCs w:val="20"/>
          <w:color w:val="auto"/>
        </w:rPr>
      </w:pPr>
      <w:r>
        <w:rPr>
          <w:rFonts w:ascii="Arial" w:cs="Arial" w:eastAsia="Arial" w:hAnsi="Arial"/>
          <w:sz w:val="18"/>
          <w:szCs w:val="18"/>
          <w:i w:val="1"/>
          <w:iCs w:val="1"/>
          <w:color w:val="auto"/>
        </w:rPr>
        <w:t xml:space="preserve">Network-centric Security Products. </w:t>
      </w:r>
      <w:r>
        <w:rPr>
          <w:rFonts w:ascii="Arial" w:cs="Arial" w:eastAsia="Arial" w:hAnsi="Arial"/>
          <w:sz w:val="18"/>
          <w:szCs w:val="18"/>
          <w:color w:val="auto"/>
        </w:rPr>
        <w:t>Traditional network security vendors have focused their products on perimeter-based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these approaches have decreased in relevance and effectiveness as employees and workplace devices have expanded beyond the firewall and the use of encrypted traffic has increased creating blind spots and vulnerabilities that attackers are able to exploit. As the number of endpoints proliferates, this layer of defense cannot adequately protect information-rich endpoints and workloads that are outside the corporate perimeter.</w:t>
      </w:r>
    </w:p>
    <w:p>
      <w:pPr>
        <w:spacing w:after="0" w:line="189" w:lineRule="exact"/>
        <w:rPr>
          <w:sz w:val="20"/>
          <w:szCs w:val="20"/>
          <w:color w:val="auto"/>
        </w:rPr>
      </w:pPr>
    </w:p>
    <w:p>
      <w:pPr>
        <w:ind w:right="100" w:firstLine="488"/>
        <w:spacing w:after="0" w:line="243" w:lineRule="auto"/>
        <w:rPr>
          <w:sz w:val="20"/>
          <w:szCs w:val="20"/>
          <w:color w:val="auto"/>
        </w:rPr>
      </w:pPr>
      <w:r>
        <w:rPr>
          <w:rFonts w:ascii="Arial" w:cs="Arial" w:eastAsia="Arial" w:hAnsi="Arial"/>
          <w:sz w:val="18"/>
          <w:szCs w:val="18"/>
          <w:i w:val="1"/>
          <w:iCs w:val="1"/>
          <w:color w:val="auto"/>
        </w:rPr>
        <w:t xml:space="preserve">Bolt-on Cloud Products. </w:t>
      </w:r>
      <w:r>
        <w:rPr>
          <w:rFonts w:ascii="Arial" w:cs="Arial" w:eastAsia="Arial" w:hAnsi="Arial"/>
          <w:sz w:val="18"/>
          <w:szCs w:val="18"/>
          <w:color w:val="auto"/>
        </w:rPr>
        <w:t>Many on-premise vendors have introduced cloud offerings by putting their on-premise products in the cloud.</w:t>
      </w:r>
      <w:r>
        <w:rPr>
          <w:rFonts w:ascii="Arial" w:cs="Arial" w:eastAsia="Arial" w:hAnsi="Arial"/>
          <w:sz w:val="18"/>
          <w:szCs w:val="18"/>
          <w:i w:val="1"/>
          <w:iCs w:val="1"/>
          <w:color w:val="auto"/>
        </w:rPr>
        <w:t xml:space="preserve"> </w:t>
      </w:r>
      <w:r>
        <w:rPr>
          <w:rFonts w:ascii="Arial" w:cs="Arial" w:eastAsia="Arial" w:hAnsi="Arial"/>
          <w:sz w:val="18"/>
          <w:szCs w:val="18"/>
          <w:color w:val="auto"/>
        </w:rPr>
        <w:t>Such single-tenant products were not designed to run in the cloud and therefore continue to be siloed, lack integration, and possess limited scalability to identify threats across their customer base in real time. In addition, such products are complex to deploy, difficult to scale, brittle to maintain, costly to own, and can be ineffective in stopping breaches. Any</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product that was originally designed for on-premise deployments and migrated to the cloud cannot by definition be a cloud native solution.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Creation of the Security Cloud</w:t>
      </w:r>
    </w:p>
    <w:p>
      <w:pPr>
        <w:spacing w:after="0" w:line="232" w:lineRule="exact"/>
        <w:rPr>
          <w:sz w:val="20"/>
          <w:szCs w:val="20"/>
          <w:color w:val="auto"/>
        </w:rPr>
      </w:pPr>
    </w:p>
    <w:p>
      <w:pPr>
        <w:ind w:right="160" w:firstLine="488"/>
        <w:spacing w:after="0" w:line="272" w:lineRule="auto"/>
        <w:rPr>
          <w:sz w:val="20"/>
          <w:szCs w:val="20"/>
          <w:color w:val="auto"/>
        </w:rPr>
      </w:pPr>
      <w:r>
        <w:rPr>
          <w:rFonts w:ascii="Arial" w:cs="Arial" w:eastAsia="Arial" w:hAnsi="Arial"/>
          <w:sz w:val="16"/>
          <w:szCs w:val="16"/>
          <w:color w:val="auto"/>
        </w:rPr>
        <w:t>Over the last 15 years, cloud computing has revolutionized many industries in enterprise software and created significant shifts in market share away from incumbents with on-premise or single instance cloud offerings. The cloud has enabled organizations to cost-efficiently scale their compute and storage resources, accelerate innovation, eliminate ongoing maintenance and administrative costs, and consolidate previously disparate and siloed products. During this period, new data technologies also emerged leveraging the cloud to enable more data collection, improve data analysis, and share key insights to drive better business outcomes and make more informed decisions.</w:t>
      </w:r>
    </w:p>
    <w:p>
      <w:pPr>
        <w:spacing w:after="0" w:line="186" w:lineRule="exact"/>
        <w:rPr>
          <w:sz w:val="20"/>
          <w:szCs w:val="20"/>
          <w:color w:val="auto"/>
        </w:rPr>
      </w:pPr>
    </w:p>
    <w:p>
      <w:pPr>
        <w:ind w:right="280" w:firstLine="484"/>
        <w:spacing w:after="0" w:line="238" w:lineRule="auto"/>
        <w:rPr>
          <w:sz w:val="20"/>
          <w:szCs w:val="20"/>
          <w:color w:val="auto"/>
        </w:rPr>
      </w:pPr>
      <w:r>
        <w:rPr>
          <w:rFonts w:ascii="Arial" w:cs="Arial" w:eastAsia="Arial" w:hAnsi="Arial"/>
          <w:sz w:val="18"/>
          <w:szCs w:val="18"/>
          <w:color w:val="auto"/>
        </w:rPr>
        <w:t>The purpose-built, cloud native leaders that began from scratch with multi-tenant architectures, single data models, and SaaS business models have defined entirely new categories such as CRM Cloud, HR Cloud, and Service Management Cloud. We believe we are doing the same for security.</w:t>
      </w:r>
    </w:p>
    <w:p>
      <w:pPr>
        <w:spacing w:after="0" w:line="208"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An effective solution to address the modern cybersecurity threat landscape should combine multiple methods into an integrated, data-driven, and automated cloud-based platform in order to provide comprehensive breach protection across the entire threat lifecycle. Such a platform requires collecting, processing, analyzing, and correlating vast amounts of high fidelity endpoint events in the cloud. This platform needs to operate at web-scale, process events in real time, and benefit from the network effects of crowdsourced data to understand attacks that happen across millions of endpoints. We believe only a cloud native approach can address today's threat landscape.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we are defining a new category called the Security Cloud.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Solution</w:t>
      </w:r>
    </w:p>
    <w:p>
      <w:pPr>
        <w:spacing w:after="0" w:line="234" w:lineRule="exact"/>
        <w:rPr>
          <w:sz w:val="20"/>
          <w:szCs w:val="20"/>
          <w:color w:val="auto"/>
        </w:rPr>
      </w:pPr>
    </w:p>
    <w:p>
      <w:pPr>
        <w:ind w:right="40" w:firstLine="488"/>
        <w:spacing w:after="0" w:line="235" w:lineRule="auto"/>
        <w:rPr>
          <w:sz w:val="20"/>
          <w:szCs w:val="20"/>
          <w:color w:val="auto"/>
        </w:rPr>
      </w:pPr>
      <w:r>
        <w:rPr>
          <w:rFonts w:ascii="Arial" w:cs="Arial" w:eastAsia="Arial" w:hAnsi="Arial"/>
          <w:sz w:val="18"/>
          <w:szCs w:val="18"/>
          <w:color w:val="auto"/>
        </w:rPr>
        <w:t>With our Falcon platform, we created the first multi-tenant, cloud native, open, intelligent security solution capable of protecting workloads across on-premise, virtualized, and cloud-based environments running on a variety of endpoints such as laptops, desktops, servers, virtual machines, and IoT devices. Our solution consists of our single intelligent lightweight agent and our powerful and dynamic cloud-based database Threat Graph. These two tightly integrated proprietary technologies continually collect, process, analyze and correlate vast amounts of high fidelity data across the entire threat lifecycle using a combination of AI and behavioral pattern-matching techniques to stop breaches. We implement this approach by crowdsourcing data across our entire customer base and taking advantage of economies of scale, which we believe enables our AI algorithms to be uniquely effective. Our cloud-based AI is also automatically shared with every customer in our community in real time. We combine multiple methods of detection, prevention, and response to known and unknown threats as well as malware and malware-free techniques across the threat lifecycle.</w:t>
      </w:r>
    </w:p>
    <w:p>
      <w:pPr>
        <w:spacing w:after="0" w:line="214"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Our Falcon platform integrates 10 cloud modules via a SaaS subscription-based model that spans multiple large security markets, including endpoint security, security and IT operations (including vulnerability management), and threat intelligence to deliver comprehensive breach protection even against today's most sophisticated attacks. Our single data model and open cloud architecture enables us and third-party partners to rapidly innovate, build, and deploy new cloud modules to provide our customers with additional functionality across a myriad of use cases.</w:t>
      </w:r>
    </w:p>
    <w:p>
      <w:pPr>
        <w:spacing w:after="0" w:line="211" w:lineRule="exact"/>
        <w:rPr>
          <w:sz w:val="20"/>
          <w:szCs w:val="20"/>
          <w:color w:val="auto"/>
        </w:rPr>
      </w:pPr>
    </w:p>
    <w:p>
      <w:pPr>
        <w:ind w:right="120" w:firstLine="488"/>
        <w:spacing w:after="0" w:line="299" w:lineRule="auto"/>
        <w:rPr>
          <w:sz w:val="20"/>
          <w:szCs w:val="20"/>
          <w:color w:val="auto"/>
        </w:rPr>
      </w:pPr>
      <w:r>
        <w:rPr>
          <w:rFonts w:ascii="Arial" w:cs="Arial" w:eastAsia="Arial" w:hAnsi="Arial"/>
          <w:sz w:val="16"/>
          <w:szCs w:val="16"/>
          <w:color w:val="auto"/>
        </w:rPr>
        <w:t>We designed our platform to be rapidly deployable, easy to use, and extensible, with the ability to consolidate point security products that have historically led to data siloes and agent sprawl, into one comprehensive and integrated solution. Our platform allows our customers' thinly-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staffed security organizations to spend less time and fewer resources provisioning hardware, configuring supporting software systems, and performing ongoing maintenance work, freeing them to focus on their most important objectives. We aim to transform how organizations combat threats from slow, manual, and reactionary to fast, automated, and predictive.</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cloud modules currently span the following categories:</w:t>
      </w:r>
    </w:p>
    <w:p>
      <w:pPr>
        <w:spacing w:after="0" w:line="190" w:lineRule="exact"/>
        <w:rPr>
          <w:sz w:val="20"/>
          <w:szCs w:val="20"/>
          <w:color w:val="auto"/>
        </w:rPr>
      </w:pPr>
    </w:p>
    <w:p>
      <w:pPr>
        <w:ind w:left="1080" w:right="60" w:hanging="532"/>
        <w:spacing w:after="0" w:line="296"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Endpoint Security: </w:t>
      </w:r>
      <w:r>
        <w:rPr>
          <w:rFonts w:ascii="Arial" w:cs="Arial" w:eastAsia="Arial" w:hAnsi="Arial"/>
          <w:sz w:val="16"/>
          <w:szCs w:val="16"/>
          <w:color w:val="auto"/>
        </w:rPr>
        <w:t>Our next-generation antivirus, EDR, and device control modules combine machine learning and advanced</w:t>
      </w:r>
      <w:r>
        <w:rPr>
          <w:rFonts w:ascii="Arial" w:cs="Arial" w:eastAsia="Arial" w:hAnsi="Arial"/>
          <w:sz w:val="16"/>
          <w:szCs w:val="16"/>
          <w:b w:val="1"/>
          <w:bCs w:val="1"/>
          <w:color w:val="auto"/>
        </w:rPr>
        <w:t xml:space="preserve"> </w:t>
      </w:r>
      <w:r>
        <w:rPr>
          <w:rFonts w:ascii="Arial" w:cs="Arial" w:eastAsia="Arial" w:hAnsi="Arial"/>
          <w:sz w:val="16"/>
          <w:szCs w:val="16"/>
          <w:color w:val="auto"/>
        </w:rPr>
        <w:t>behavioral techniques to defend against malware and malware-free attacks, allow for continuous and comprehensive visibility and analysis of endpoint activity, and provide administrators with visibility and granular control across USB peripheral devices.</w:t>
      </w:r>
    </w:p>
    <w:p>
      <w:pPr>
        <w:spacing w:after="0" w:line="142" w:lineRule="exact"/>
        <w:rPr>
          <w:rFonts w:ascii="Arial" w:cs="Arial" w:eastAsia="Arial" w:hAnsi="Arial"/>
          <w:sz w:val="16"/>
          <w:szCs w:val="16"/>
          <w:color w:val="auto"/>
        </w:rPr>
      </w:pPr>
    </w:p>
    <w:p>
      <w:pPr>
        <w:ind w:left="1080" w:hanging="532"/>
        <w:spacing w:after="0" w:line="24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Security and IT Operations: </w:t>
      </w:r>
      <w:r>
        <w:rPr>
          <w:rFonts w:ascii="Arial" w:cs="Arial" w:eastAsia="Arial" w:hAnsi="Arial"/>
          <w:sz w:val="18"/>
          <w:szCs w:val="18"/>
          <w:color w:val="auto"/>
        </w:rPr>
        <w:t>We offer modules addressing IT hygiene, scan-less vulnerability management, a turnkey 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and remediation solution, as well as a threat hunting solution that is powered by a team of elite security experts leveraging Threat Graph.</w:t>
      </w:r>
    </w:p>
    <w:p>
      <w:pPr>
        <w:spacing w:after="0" w:line="165" w:lineRule="exact"/>
        <w:rPr>
          <w:rFonts w:ascii="Arial" w:cs="Arial" w:eastAsia="Arial" w:hAnsi="Arial"/>
          <w:sz w:val="18"/>
          <w:szCs w:val="18"/>
          <w:color w:val="auto"/>
        </w:rPr>
      </w:pPr>
    </w:p>
    <w:p>
      <w:pPr>
        <w:ind w:left="1080" w:hanging="532"/>
        <w:spacing w:after="0" w:line="264"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Threat Intelligence: </w:t>
      </w:r>
      <w:r>
        <w:rPr>
          <w:rFonts w:ascii="Arial" w:cs="Arial" w:eastAsia="Arial" w:hAnsi="Arial"/>
          <w:sz w:val="18"/>
          <w:szCs w:val="18"/>
          <w:color w:val="auto"/>
        </w:rPr>
        <w:t>Our threat research, malware search engine, and malware analysis modules provide automated assistance</w:t>
      </w:r>
      <w:r>
        <w:rPr>
          <w:rFonts w:ascii="Arial" w:cs="Arial" w:eastAsia="Arial" w:hAnsi="Arial"/>
          <w:sz w:val="18"/>
          <w:szCs w:val="18"/>
          <w:b w:val="1"/>
          <w:bCs w:val="1"/>
          <w:color w:val="auto"/>
        </w:rPr>
        <w:t xml:space="preserve"> </w:t>
      </w:r>
      <w:r>
        <w:rPr>
          <w:rFonts w:ascii="Arial" w:cs="Arial" w:eastAsia="Arial" w:hAnsi="Arial"/>
          <w:sz w:val="18"/>
          <w:szCs w:val="18"/>
          <w:color w:val="auto"/>
        </w:rPr>
        <w:t>to review detected threats, conduct malware research and detonate suspicious files securely.</w:t>
      </w:r>
    </w:p>
    <w:p>
      <w:pPr>
        <w:spacing w:after="0" w:line="188" w:lineRule="exact"/>
        <w:rPr>
          <w:sz w:val="20"/>
          <w:szCs w:val="20"/>
          <w:color w:val="auto"/>
        </w:rPr>
      </w:pPr>
    </w:p>
    <w:p>
      <w:pPr>
        <w:ind w:right="100" w:firstLine="488"/>
        <w:spacing w:after="0" w:line="269" w:lineRule="auto"/>
        <w:rPr>
          <w:sz w:val="20"/>
          <w:szCs w:val="20"/>
          <w:color w:val="auto"/>
        </w:rPr>
      </w:pPr>
      <w:r>
        <w:rPr>
          <w:rFonts w:ascii="Arial" w:cs="Arial" w:eastAsia="Arial" w:hAnsi="Arial"/>
          <w:sz w:val="16"/>
          <w:szCs w:val="16"/>
          <w:color w:val="auto"/>
        </w:rPr>
        <w:t>We recently launched the CrowdStrike Store, which is the first open cloud-based application Platform as a Service, or PaaS, for cybersecurity. The CrowdStrike Store introduces a unified Security Cloud ecosystem of trusted partners and applications to our customers. The CrowdStrike Store allows customers to rapidly and easily discover, try, and purchase applications from both trusted partners and CrowdStrike without needing to deploy and manage additional agents and infrastructures or go through lengthy sales, integration, or implementation processes. The CrowdStrike Store allows partners to bring new security applications to the market and efficiently target our customer base. Leveraging our Falcon platform, partners can develop applications that address our customers' needs without having to develop and support their own agents, invest in underlying infrastructure, or hire additional sales personnel. We believe the CrowdStrike Store will cultivate a rich, innovative, and trusted ecosystem between our partners and customers, increasing the overall value of our Falcon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Benefits of Our Solution</w:t>
      </w:r>
    </w:p>
    <w:p>
      <w:pPr>
        <w:spacing w:after="0" w:line="212" w:lineRule="exact"/>
        <w:rPr>
          <w:sz w:val="20"/>
          <w:szCs w:val="20"/>
          <w:color w:val="auto"/>
        </w:rPr>
      </w:pPr>
    </w:p>
    <w:p>
      <w:pPr>
        <w:ind w:left="1080" w:right="40" w:hanging="532"/>
        <w:spacing w:after="0" w:line="276"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Power of the Crowd. </w:t>
      </w:r>
      <w:r>
        <w:rPr>
          <w:rFonts w:ascii="Arial" w:cs="Arial" w:eastAsia="Arial" w:hAnsi="Arial"/>
          <w:sz w:val="16"/>
          <w:szCs w:val="16"/>
          <w:color w:val="auto"/>
        </w:rPr>
        <w:t>Our crowdsourced data enables all of our customers to benefit from contributing to Threat Graph.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high fidelity data is fed into our Falcon platform, there is more data to train our AI models with, increasing the overall efficacy of our Falcon platform. This benefits our customers and supports our efforts to gain more customers, creating a powerful network effect. Threat Graph can then learn and identify warning signs once and rapidly deliver protection to every customer in our community. Further, our AI algorithms are more effective because they are trained on such a broad and representative set of data that captures information about potential attacks throughout the entire threat lifecycle across our customer base.</w:t>
      </w:r>
    </w:p>
    <w:p>
      <w:pPr>
        <w:spacing w:after="0" w:line="161" w:lineRule="exact"/>
        <w:rPr>
          <w:rFonts w:ascii="Arial" w:cs="Arial" w:eastAsia="Arial" w:hAnsi="Arial"/>
          <w:sz w:val="16"/>
          <w:szCs w:val="16"/>
          <w:color w:val="auto"/>
        </w:rPr>
      </w:pPr>
    </w:p>
    <w:p>
      <w:pPr>
        <w:jc w:val="both"/>
        <w:ind w:left="1080" w:hanging="532"/>
        <w:spacing w:after="0" w:line="24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Efficacy with Low False Positives. </w:t>
      </w:r>
      <w:r>
        <w:rPr>
          <w:rFonts w:ascii="Arial" w:cs="Arial" w:eastAsia="Arial" w:hAnsi="Arial"/>
          <w:sz w:val="18"/>
          <w:szCs w:val="18"/>
          <w:color w:val="auto"/>
        </w:rPr>
        <w:t>Our Falcon platform collects, processes, correlates, and analyzes high fidelity data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real-world attacks and benign behavioral patterns to continually train and enhance our algorithms resulting in industry-leading threat detection and low false positive rates.</w:t>
      </w:r>
    </w:p>
    <w:p>
      <w:pPr>
        <w:spacing w:after="0" w:line="168" w:lineRule="exact"/>
        <w:rPr>
          <w:rFonts w:ascii="Arial" w:cs="Arial" w:eastAsia="Arial" w:hAnsi="Arial"/>
          <w:sz w:val="18"/>
          <w:szCs w:val="18"/>
          <w:color w:val="auto"/>
        </w:rPr>
      </w:pPr>
    </w:p>
    <w:p>
      <w:pPr>
        <w:ind w:left="1080" w:hanging="532"/>
        <w:spacing w:after="0" w:line="24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Consolidation of Siloed Products. </w:t>
      </w:r>
      <w:r>
        <w:rPr>
          <w:rFonts w:ascii="Arial" w:cs="Arial" w:eastAsia="Arial" w:hAnsi="Arial"/>
          <w:sz w:val="18"/>
          <w:szCs w:val="18"/>
          <w:color w:val="auto"/>
        </w:rPr>
        <w:t>Integrating and maintaining numerous products, data and infrastructures across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distributed enterprise environments leaves blind spots that hackers can exploit and is a costly and resource-intensive process. Our integrated platform unifies cloud modules addressing next-generation antivirus, EDR, device control,</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1080" w:right="240"/>
        <w:spacing w:after="0" w:line="299" w:lineRule="auto"/>
        <w:rPr>
          <w:sz w:val="20"/>
          <w:szCs w:val="20"/>
          <w:color w:val="auto"/>
        </w:rPr>
      </w:pPr>
      <w:r>
        <w:rPr>
          <w:rFonts w:ascii="Arial" w:cs="Arial" w:eastAsia="Arial" w:hAnsi="Arial"/>
          <w:sz w:val="16"/>
          <w:szCs w:val="16"/>
          <w:color w:val="auto"/>
        </w:rPr>
        <w:t>vulnerability management, IT hygiene, threat hunting, and automated threat intelligence. Our platform enables our customers to reduce or streamline their siloed and layered security products, simplifying operations while providing a comprehensive solution.</w:t>
      </w:r>
    </w:p>
    <w:p>
      <w:pPr>
        <w:spacing w:after="0" w:line="143" w:lineRule="exact"/>
        <w:rPr>
          <w:sz w:val="20"/>
          <w:szCs w:val="20"/>
          <w:color w:val="auto"/>
        </w:rPr>
      </w:pPr>
    </w:p>
    <w:p>
      <w:pPr>
        <w:ind w:left="1080" w:hanging="532"/>
        <w:spacing w:after="0" w:line="23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Consolidation of Agents. </w:t>
      </w:r>
      <w:r>
        <w:rPr>
          <w:rFonts w:ascii="Arial" w:cs="Arial" w:eastAsia="Arial" w:hAnsi="Arial"/>
          <w:sz w:val="18"/>
          <w:szCs w:val="18"/>
          <w:color w:val="auto"/>
        </w:rPr>
        <w:t>We provide robust and diverse functionality through a single intelligent lightweight agent.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vendors' agents were designed to be single purpose, thus they often deploy multiple agents to the endpoint as they layer additional point product capabilities on top of their initial offering. This legacy approach burdens endpoints by consuming additional storage space, memory, and processor capacity, degrading the end user experience. All of our cloud modules are powered by a single intelligent agent, allowing customers to consolidate and remove numerous agents from their infrastructure and restore endpoint performance. Because we collect data once from our agent and use it across multiple use cases, the Falcon platform can offer a wide range of functionality without burdening the endpoint.</w:t>
      </w:r>
    </w:p>
    <w:p>
      <w:pPr>
        <w:spacing w:after="0" w:line="190" w:lineRule="exact"/>
        <w:rPr>
          <w:rFonts w:ascii="Arial" w:cs="Arial" w:eastAsia="Arial" w:hAnsi="Arial"/>
          <w:sz w:val="18"/>
          <w:szCs w:val="18"/>
          <w:color w:val="auto"/>
        </w:rPr>
      </w:pPr>
    </w:p>
    <w:p>
      <w:pPr>
        <w:ind w:left="1080" w:right="420" w:hanging="532"/>
        <w:spacing w:after="0" w:line="24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Time to Value. </w:t>
      </w:r>
      <w:r>
        <w:rPr>
          <w:rFonts w:ascii="Arial" w:cs="Arial" w:eastAsia="Arial" w:hAnsi="Arial"/>
          <w:sz w:val="18"/>
          <w:szCs w:val="18"/>
          <w:color w:val="auto"/>
        </w:rPr>
        <w:t>On-premise security solutions take time to install, configure, deploy, and maintain. We streamline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 process by providing cloud-delivered security with protection policies that work from day one, eliminating lengthy implementation periods and professional services engagements. For example, an enterprise customer recently deployed our Falcon platform to over 100,000 endpoints globally in as little as 24 hours. Moreover, once a customer deploys our lightweight agent on their endpoints, we can activate additional cloud modules in real time.</w:t>
      </w:r>
    </w:p>
    <w:p>
      <w:pPr>
        <w:spacing w:after="0" w:line="175" w:lineRule="exact"/>
        <w:rPr>
          <w:rFonts w:ascii="Arial" w:cs="Arial" w:eastAsia="Arial" w:hAnsi="Arial"/>
          <w:sz w:val="18"/>
          <w:szCs w:val="18"/>
          <w:color w:val="auto"/>
        </w:rPr>
      </w:pPr>
    </w:p>
    <w:p>
      <w:pPr>
        <w:ind w:left="1080" w:right="80" w:hanging="532"/>
        <w:spacing w:after="0" w:line="24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Protection Anywhere. </w:t>
      </w:r>
      <w:r>
        <w:rPr>
          <w:rFonts w:ascii="Arial" w:cs="Arial" w:eastAsia="Arial" w:hAnsi="Arial"/>
          <w:sz w:val="18"/>
          <w:szCs w:val="18"/>
          <w:color w:val="auto"/>
        </w:rPr>
        <w:t>Our cloud-based model allows us to secure any type of workload across a variety of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endpoints such as laptops, desktops, servers, virtual machines, and IoT devices. In addition, once our agent is deployed on an endpoint it continues to protect the endpoint and track activity even when offline.</w:t>
      </w:r>
    </w:p>
    <w:p>
      <w:pPr>
        <w:spacing w:after="0" w:line="168" w:lineRule="exact"/>
        <w:rPr>
          <w:rFonts w:ascii="Arial" w:cs="Arial" w:eastAsia="Arial" w:hAnsi="Arial"/>
          <w:sz w:val="18"/>
          <w:szCs w:val="18"/>
          <w:color w:val="auto"/>
        </w:rPr>
      </w:pPr>
    </w:p>
    <w:p>
      <w:pPr>
        <w:ind w:left="1080" w:right="120" w:hanging="532"/>
        <w:spacing w:after="0" w:line="24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Elite Security Team as a Force Multiplier. </w:t>
      </w:r>
      <w:r>
        <w:rPr>
          <w:rFonts w:ascii="Arial" w:cs="Arial" w:eastAsia="Arial" w:hAnsi="Arial"/>
          <w:sz w:val="18"/>
          <w:szCs w:val="18"/>
          <w:color w:val="auto"/>
        </w:rPr>
        <w:t>Our OverWatch threat hunting cloud module combines world class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from our elite security experts with the power of Threat Graph. OverWatch is a force multiplier that extends the capabilities and improves the productivity of our customers' security teams. Because our world class team can see attacks across our entire customer base, their expertise is enhanced by their constant visibility into the threat landscape.</w:t>
      </w:r>
    </w:p>
    <w:p>
      <w:pPr>
        <w:spacing w:after="0" w:line="184" w:lineRule="exact"/>
        <w:rPr>
          <w:rFonts w:ascii="Arial" w:cs="Arial" w:eastAsia="Arial" w:hAnsi="Arial"/>
          <w:sz w:val="18"/>
          <w:szCs w:val="18"/>
          <w:color w:val="auto"/>
        </w:rPr>
      </w:pPr>
    </w:p>
    <w:p>
      <w:pPr>
        <w:jc w:val="both"/>
        <w:ind w:left="1080" w:right="320" w:hanging="532"/>
        <w:spacing w:after="0" w:line="24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Bridging the Security Skills Gap through Automation. </w:t>
      </w:r>
      <w:r>
        <w:rPr>
          <w:rFonts w:ascii="Arial" w:cs="Arial" w:eastAsia="Arial" w:hAnsi="Arial"/>
          <w:sz w:val="18"/>
          <w:szCs w:val="18"/>
          <w:color w:val="auto"/>
        </w:rPr>
        <w:t>Our solution automates certain previously manual tasks, freeing 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 to focus on their most important objectives. Our Falcon Complete module provides a turnkey solution that combines endpoint security with remediation and response capabilities.</w:t>
      </w:r>
    </w:p>
    <w:p>
      <w:pPr>
        <w:spacing w:after="0" w:line="168" w:lineRule="exact"/>
        <w:rPr>
          <w:rFonts w:ascii="Arial" w:cs="Arial" w:eastAsia="Arial" w:hAnsi="Arial"/>
          <w:sz w:val="18"/>
          <w:szCs w:val="18"/>
          <w:color w:val="auto"/>
        </w:rPr>
      </w:pPr>
    </w:p>
    <w:p>
      <w:pPr>
        <w:ind w:left="1080" w:right="160" w:hanging="532"/>
        <w:spacing w:after="0" w:line="24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Lowering Total Cost of Ownership. </w:t>
      </w:r>
      <w:r>
        <w:rPr>
          <w:rFonts w:ascii="Arial" w:cs="Arial" w:eastAsia="Arial" w:hAnsi="Arial"/>
          <w:sz w:val="18"/>
          <w:szCs w:val="18"/>
          <w:color w:val="auto"/>
        </w:rPr>
        <w:t>Our cloud-based platform eliminates our customers' need for initial or ongoing purchases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hardware and does not require their personnel to configure, implement or integrate disparate point products. Additionally, our comprehensive platform reduces overall personnel costs associated with ongoing maintenance, as well as the need for software patches and upgrades for separate products.</w:t>
      </w:r>
    </w:p>
    <w:p>
      <w:pPr>
        <w:spacing w:after="0" w:line="204"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color w:val="auto"/>
        </w:rPr>
        <w:t>In addition to developing the first multi-tenant, cloud native security platform protecting workloads running on any endpoint, our leadership position has been recognized by multiple third-party industry analysts:</w:t>
      </w:r>
    </w:p>
    <w:p>
      <w:pPr>
        <w:spacing w:after="0" w:line="209" w:lineRule="exact"/>
        <w:rPr>
          <w:sz w:val="20"/>
          <w:szCs w:val="20"/>
          <w:color w:val="auto"/>
        </w:rPr>
      </w:pPr>
    </w:p>
    <w:p>
      <w:pPr>
        <w:ind w:left="1080" w:right="280" w:hanging="532"/>
        <w:spacing w:after="0" w:line="23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Highest overall score among Customers' Choice vendors in Gartner Peer Insights Customers' Choice for Endpoint Security and Endpoint Protection Platforms (2018).</w:t>
      </w:r>
    </w:p>
    <w:p>
      <w:pPr>
        <w:spacing w:after="0" w:line="208" w:lineRule="exact"/>
        <w:rPr>
          <w:rFonts w:ascii="Arial" w:cs="Arial" w:eastAsia="Arial" w:hAnsi="Arial"/>
          <w:sz w:val="18"/>
          <w:szCs w:val="18"/>
          <w:color w:val="auto"/>
        </w:rPr>
      </w:pPr>
    </w:p>
    <w:p>
      <w:pPr>
        <w:ind w:left="1080" w:right="140" w:hanging="532"/>
        <w:spacing w:after="0" w:line="23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1 overall in Gartner's Critical Capabilities report for Endpoint Detection and Response solutions for Type A ("forward leaning") organizations (2018).</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Visionary in Gartner's Magic Quadrant for Endpoint Protection Platforms, positioned highest among Visionaries (2018).</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Leader in Forrester's Wave for Endpoint Detection and Response and Endpoint Security Suites (2018).</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MarketScape leader in IDC's 2018 report for U.S. Incident Readiness, Response and Resiliency Services (2018).</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MarketScape leader in IDC's 2017 report for Worldwide Endpoint Specialized Threat Analysis and Protection (2017).</w:t>
      </w:r>
    </w:p>
    <w:p>
      <w:pPr>
        <w:spacing w:after="0" w:line="189" w:lineRule="exact"/>
        <w:rPr>
          <w:rFonts w:ascii="Arial" w:cs="Arial" w:eastAsia="Arial" w:hAnsi="Arial"/>
          <w:sz w:val="18"/>
          <w:szCs w:val="18"/>
          <w:color w:val="auto"/>
        </w:rPr>
      </w:pPr>
    </w:p>
    <w:p>
      <w:pPr>
        <w:ind w:left="4940"/>
        <w:spacing w:after="0"/>
        <w:rPr>
          <w:rFonts w:ascii="Arial" w:cs="Arial" w:eastAsia="Arial" w:hAnsi="Arial"/>
          <w:sz w:val="18"/>
          <w:szCs w:val="18"/>
          <w:color w:val="auto"/>
        </w:rPr>
      </w:pPr>
      <w:r>
        <w:rPr>
          <w:rFonts w:ascii="Arial" w:cs="Arial" w:eastAsia="Arial" w:hAnsi="Arial"/>
          <w:sz w:val="18"/>
          <w:szCs w:val="18"/>
          <w:b w:val="1"/>
          <w:bCs w:val="1"/>
          <w:color w:val="auto"/>
        </w:rPr>
        <w:t>Our Opportunity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Our customers utilize our Falcon platform and cloud modules across a wide variety of use cases. Our total addressable market initially began as a replacement opportunity in the corporate endpoint security market, but has significantly expanded due to rapid innovation and adoption of our cloud modules across additional security and non-security markets. In addition, our increasing market opportunity is driven by the proliferation of enterprise mobility, adoption of cloud computing, the benefits of big data, and an increasingly dynamic and intensifying threat landscape.</w:t>
      </w:r>
    </w:p>
    <w:p>
      <w:pPr>
        <w:spacing w:after="0" w:line="211" w:lineRule="exact"/>
        <w:rPr>
          <w:sz w:val="20"/>
          <w:szCs w:val="20"/>
          <w:color w:val="auto"/>
        </w:rPr>
      </w:pPr>
    </w:p>
    <w:p>
      <w:pPr>
        <w:jc w:val="both"/>
        <w:ind w:right="80" w:firstLine="488"/>
        <w:spacing w:after="0" w:line="238" w:lineRule="auto"/>
        <w:rPr>
          <w:sz w:val="20"/>
          <w:szCs w:val="20"/>
          <w:color w:val="auto"/>
        </w:rPr>
      </w:pPr>
      <w:r>
        <w:rPr>
          <w:rFonts w:ascii="Arial" w:cs="Arial" w:eastAsia="Arial" w:hAnsi="Arial"/>
          <w:sz w:val="18"/>
          <w:szCs w:val="18"/>
          <w:color w:val="auto"/>
        </w:rPr>
        <w:t>Our approach to protecting workloads running on the endpoint is unique and innovative. Because of our architecture, our Falcon platform is the first solution to natively address multiple security markets, including markets not typically associated with endpoint security. Today, the five markets we address are comprised of:</w:t>
      </w:r>
    </w:p>
    <w:p>
      <w:pPr>
        <w:spacing w:after="0" w:line="186" w:lineRule="exact"/>
        <w:rPr>
          <w:sz w:val="20"/>
          <w:szCs w:val="20"/>
          <w:color w:val="auto"/>
        </w:rPr>
      </w:pPr>
    </w:p>
    <w:p>
      <w:pPr>
        <w:ind w:right="100" w:firstLine="488"/>
        <w:spacing w:after="0" w:line="249" w:lineRule="auto"/>
        <w:rPr>
          <w:sz w:val="20"/>
          <w:szCs w:val="20"/>
          <w:color w:val="auto"/>
        </w:rPr>
      </w:pPr>
      <w:r>
        <w:rPr>
          <w:rFonts w:ascii="Arial" w:cs="Arial" w:eastAsia="Arial" w:hAnsi="Arial"/>
          <w:sz w:val="18"/>
          <w:szCs w:val="18"/>
          <w:b w:val="1"/>
          <w:bCs w:val="1"/>
          <w:color w:val="auto"/>
        </w:rPr>
        <w:t xml:space="preserve">Corporate Endpoint Security. </w:t>
      </w:r>
      <w:r>
        <w:rPr>
          <w:rFonts w:ascii="Arial" w:cs="Arial" w:eastAsia="Arial" w:hAnsi="Arial"/>
          <w:sz w:val="18"/>
          <w:szCs w:val="18"/>
          <w:color w:val="auto"/>
        </w:rPr>
        <w:t>In 2013, we launched what is now Falcon OverWatch and our Falcon Insight cloud module, and in 2017</w:t>
      </w:r>
      <w:r>
        <w:rPr>
          <w:rFonts w:ascii="Arial" w:cs="Arial" w:eastAsia="Arial" w:hAnsi="Arial"/>
          <w:sz w:val="18"/>
          <w:szCs w:val="18"/>
          <w:b w:val="1"/>
          <w:bCs w:val="1"/>
          <w:color w:val="auto"/>
        </w:rPr>
        <w:t xml:space="preserve"> </w:t>
      </w:r>
      <w:r>
        <w:rPr>
          <w:rFonts w:ascii="Arial" w:cs="Arial" w:eastAsia="Arial" w:hAnsi="Arial"/>
          <w:sz w:val="18"/>
          <w:szCs w:val="18"/>
          <w:color w:val="auto"/>
        </w:rPr>
        <w:t>we launched Falcon Prevent, to disrupt the EDR and next-generation antivirus markets, respectively. IDC estimates that the global market for these segments will be $7.6 billion in 2019 and is expected to reach $8.7 billion in 2021.</w:t>
      </w:r>
    </w:p>
    <w:p>
      <w:pPr>
        <w:spacing w:after="0" w:line="179" w:lineRule="exact"/>
        <w:rPr>
          <w:sz w:val="20"/>
          <w:szCs w:val="20"/>
          <w:color w:val="auto"/>
        </w:rPr>
      </w:pPr>
    </w:p>
    <w:p>
      <w:pPr>
        <w:ind w:right="640" w:firstLine="488"/>
        <w:spacing w:after="0" w:line="264" w:lineRule="auto"/>
        <w:rPr>
          <w:sz w:val="20"/>
          <w:szCs w:val="20"/>
          <w:color w:val="auto"/>
        </w:rPr>
      </w:pPr>
      <w:r>
        <w:rPr>
          <w:rFonts w:ascii="Arial" w:cs="Arial" w:eastAsia="Arial" w:hAnsi="Arial"/>
          <w:sz w:val="18"/>
          <w:szCs w:val="18"/>
          <w:b w:val="1"/>
          <w:bCs w:val="1"/>
          <w:color w:val="auto"/>
        </w:rPr>
        <w:t xml:space="preserve">Threat Intelligence. </w:t>
      </w:r>
      <w:r>
        <w:rPr>
          <w:rFonts w:ascii="Arial" w:cs="Arial" w:eastAsia="Arial" w:hAnsi="Arial"/>
          <w:sz w:val="18"/>
          <w:szCs w:val="18"/>
          <w:color w:val="auto"/>
        </w:rPr>
        <w:t>In 2012, we released what is now our Falcon X cloud module to address the threat intelligence market. IDC</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that the global market for this segment will be $1.6 billion in 2019 and is expected to reach $2.0 billion in 2021.</w:t>
      </w:r>
    </w:p>
    <w:p>
      <w:pPr>
        <w:spacing w:after="0" w:line="166" w:lineRule="exact"/>
        <w:rPr>
          <w:sz w:val="20"/>
          <w:szCs w:val="20"/>
          <w:color w:val="auto"/>
        </w:rPr>
      </w:pPr>
    </w:p>
    <w:p>
      <w:pPr>
        <w:ind w:right="200" w:firstLine="488"/>
        <w:spacing w:after="0" w:line="249" w:lineRule="auto"/>
        <w:rPr>
          <w:sz w:val="20"/>
          <w:szCs w:val="20"/>
          <w:color w:val="auto"/>
        </w:rPr>
      </w:pPr>
      <w:r>
        <w:rPr>
          <w:rFonts w:ascii="Arial" w:cs="Arial" w:eastAsia="Arial" w:hAnsi="Arial"/>
          <w:sz w:val="18"/>
          <w:szCs w:val="18"/>
          <w:b w:val="1"/>
          <w:bCs w:val="1"/>
          <w:color w:val="auto"/>
        </w:rPr>
        <w:t xml:space="preserve">Security and Vulnerability Management. </w:t>
      </w:r>
      <w:r>
        <w:rPr>
          <w:rFonts w:ascii="Arial" w:cs="Arial" w:eastAsia="Arial" w:hAnsi="Arial"/>
          <w:sz w:val="18"/>
          <w:szCs w:val="18"/>
          <w:color w:val="auto"/>
        </w:rPr>
        <w:t>In 2017, we released our Falcon Spotlight cloud module to address the vulnerability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market. IDC estimates that the global market for this segment will be $8.4 billion in 2019 and is expected to reach $10.4 billion in 2021.</w:t>
      </w:r>
    </w:p>
    <w:p>
      <w:pPr>
        <w:spacing w:after="0" w:line="179" w:lineRule="exact"/>
        <w:rPr>
          <w:sz w:val="20"/>
          <w:szCs w:val="20"/>
          <w:color w:val="auto"/>
        </w:rPr>
      </w:pPr>
    </w:p>
    <w:p>
      <w:pPr>
        <w:jc w:val="both"/>
        <w:ind w:right="480" w:firstLine="488"/>
        <w:spacing w:after="0" w:line="249" w:lineRule="auto"/>
        <w:rPr>
          <w:sz w:val="20"/>
          <w:szCs w:val="20"/>
          <w:color w:val="auto"/>
        </w:rPr>
      </w:pPr>
      <w:r>
        <w:rPr>
          <w:rFonts w:ascii="Arial" w:cs="Arial" w:eastAsia="Arial" w:hAnsi="Arial"/>
          <w:sz w:val="18"/>
          <w:szCs w:val="18"/>
          <w:b w:val="1"/>
          <w:bCs w:val="1"/>
          <w:color w:val="auto"/>
        </w:rPr>
        <w:t xml:space="preserve">IT Systems and Services Management. </w:t>
      </w:r>
      <w:r>
        <w:rPr>
          <w:rFonts w:ascii="Arial" w:cs="Arial" w:eastAsia="Arial" w:hAnsi="Arial"/>
          <w:sz w:val="18"/>
          <w:szCs w:val="18"/>
          <w:color w:val="auto"/>
        </w:rPr>
        <w:t>In 2017, we released our Falcon Discover cloud module to address our first non-security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of IT Asset Management. IDC estimates that the global market for this segment will be $2.6 billion in 2019 and is expected to reach $3.1 billion in 2021.</w:t>
      </w:r>
    </w:p>
    <w:p>
      <w:pPr>
        <w:spacing w:after="0" w:line="179" w:lineRule="exact"/>
        <w:rPr>
          <w:sz w:val="20"/>
          <w:szCs w:val="20"/>
          <w:color w:val="auto"/>
        </w:rPr>
      </w:pPr>
    </w:p>
    <w:p>
      <w:pPr>
        <w:ind w:right="280" w:firstLine="488"/>
        <w:spacing w:after="0" w:line="242" w:lineRule="auto"/>
        <w:rPr>
          <w:sz w:val="20"/>
          <w:szCs w:val="20"/>
          <w:color w:val="auto"/>
        </w:rPr>
      </w:pPr>
      <w:r>
        <w:rPr>
          <w:rFonts w:ascii="Arial" w:cs="Arial" w:eastAsia="Arial" w:hAnsi="Arial"/>
          <w:sz w:val="18"/>
          <w:szCs w:val="18"/>
          <w:b w:val="1"/>
          <w:bCs w:val="1"/>
          <w:color w:val="auto"/>
        </w:rPr>
        <w:t xml:space="preserve">Managed Security Services. </w:t>
      </w:r>
      <w:r>
        <w:rPr>
          <w:rFonts w:ascii="Arial" w:cs="Arial" w:eastAsia="Arial" w:hAnsi="Arial"/>
          <w:sz w:val="18"/>
          <w:szCs w:val="18"/>
          <w:color w:val="auto"/>
        </w:rPr>
        <w:t>In 2018, we released our Falcon Complete cloud module to address the managed security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market. While our initial goal was to target smaller organizations that lacked security staff resources, this solution has also benefitted larger enterprises with thinly-staffed security teams. IDC estimates the global market for this segment will be $24.8 billion in 2019 and is expected to reach $29.6 billion in 2021. Based on our internal estimates, we believe our directly addressable opportunity in this segment is approximately $4.4 billion in 2019 and is expected to reach $5.1 billion in 2021.</w:t>
      </w: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Combining these segments, our global opportunity is estimated to be $24.6 billion in 2019 and is expected to reach $29.2 billion in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firstLine="488"/>
        <w:spacing w:after="0" w:line="236" w:lineRule="auto"/>
        <w:rPr>
          <w:sz w:val="20"/>
          <w:szCs w:val="20"/>
          <w:color w:val="auto"/>
        </w:rPr>
      </w:pPr>
      <w:r>
        <w:rPr>
          <w:rFonts w:ascii="Arial" w:cs="Arial" w:eastAsia="Arial" w:hAnsi="Arial"/>
          <w:sz w:val="18"/>
          <w:szCs w:val="18"/>
          <w:color w:val="auto"/>
        </w:rPr>
        <w:t>We believe our Falcon platform provides broad applicability and functionality across the security and IT operations markets. We plan on continuing to leverage our endpoint data sets to rapidly innovate and create new cloud modules that we believe will significantly expand our market opportunity over time. In addition, we believe more workloads will be run on endpoints such as mobile and IoT devices, generating and storing increasing amounts of sensitive, mission critical data. We believe our Falcon platform will be best suited to address such workloads that often reside outside of the corporate perimeter and require a cloud native solution for pervasive protection.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elements of our growth strategy include:</w:t>
      </w:r>
    </w:p>
    <w:p>
      <w:pPr>
        <w:spacing w:after="0" w:line="192" w:lineRule="exact"/>
        <w:rPr>
          <w:sz w:val="20"/>
          <w:szCs w:val="20"/>
          <w:color w:val="auto"/>
        </w:rPr>
      </w:pPr>
    </w:p>
    <w:p>
      <w:pPr>
        <w:ind w:left="1080" w:right="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Customer Base by Replacing Legacy and Other Endpoint Security Products. </w:t>
      </w:r>
      <w:r>
        <w:rPr>
          <w:rFonts w:ascii="Arial" w:cs="Arial" w:eastAsia="Arial" w:hAnsi="Arial"/>
          <w:sz w:val="18"/>
          <w:szCs w:val="18"/>
          <w:color w:val="auto"/>
        </w:rPr>
        <w:t>Given the limitations of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legacy and other endpoint security products, many organizations are replacing their existing legacy and other endpoint security products with our Falcon platform. We grew our subscription customer base by 1,304 customers from 843 at October 31, 2017, to 2,147 at October 31, 2018, representing a 155% increase. We will continue to invest in customer acquisition programs, including our channel partnerships and new programs, like our recently launched free trial program of Falcon Prevent that is easily downloaded from our website and AWS Marketplace.</w:t>
      </w:r>
    </w:p>
    <w:p>
      <w:pPr>
        <w:spacing w:after="0" w:line="189" w:lineRule="exact"/>
        <w:rPr>
          <w:rFonts w:ascii="Arial" w:cs="Arial" w:eastAsia="Arial" w:hAnsi="Arial"/>
          <w:sz w:val="18"/>
          <w:szCs w:val="18"/>
          <w:color w:val="auto"/>
        </w:rPr>
      </w:pPr>
    </w:p>
    <w:p>
      <w:pPr>
        <w:ind w:left="1080" w:right="220" w:hanging="532"/>
        <w:spacing w:after="0" w:line="274"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Penetrate Existing Customers. </w:t>
      </w:r>
      <w:r>
        <w:rPr>
          <w:rFonts w:ascii="Arial" w:cs="Arial" w:eastAsia="Arial" w:hAnsi="Arial"/>
          <w:sz w:val="16"/>
          <w:szCs w:val="16"/>
          <w:color w:val="auto"/>
        </w:rPr>
        <w:t>Our growth will depend in part on our ability to continue to expand our relationships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our customers by deploying on additional endpoints in their environment and cross selling more cloud modules. When customers deploy our lightweight agent, they can easily add additional cloud modules. We also offer in-application trial usage of additional modules to cross-sell to existing customers. While some new customers initially deploy our Falcon platform broadly across the organization, others elect to deploy only in selected business units and later deploy on additional endpoints and subscribe to additional modules. Over time, we seek to deploy our solution enterprise wide for all customers. The power of our land-and-expand strategy is evidenced by our 127% dollar-based net retention rate as of October 31, 2018.</w:t>
      </w:r>
    </w:p>
    <w:p>
      <w:pPr>
        <w:spacing w:after="0" w:line="149" w:lineRule="exact"/>
        <w:rPr>
          <w:rFonts w:ascii="Arial" w:cs="Arial" w:eastAsia="Arial" w:hAnsi="Arial"/>
          <w:sz w:val="16"/>
          <w:szCs w:val="16"/>
          <w:color w:val="auto"/>
        </w:rPr>
      </w:pPr>
    </w:p>
    <w:p>
      <w:pPr>
        <w:ind w:left="1080" w:right="40" w:hanging="532"/>
        <w:spacing w:after="0" w:line="23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Falcon Platform to Enter New Markets. </w:t>
      </w:r>
      <w:r>
        <w:rPr>
          <w:rFonts w:ascii="Arial" w:cs="Arial" w:eastAsia="Arial" w:hAnsi="Arial"/>
          <w:sz w:val="18"/>
          <w:szCs w:val="18"/>
          <w:color w:val="auto"/>
        </w:rPr>
        <w:t>Because we leverage a single data model and open cloud architecture,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uniquely positioned to continue innovating and rapidly deploying new cloud modules on our platform. For example, since 2016, we have launched seven new cloud modules on our platform. One of these new cloud modules is Falcon Discover, which includes use cases outside of security, such as application license management, AWS spend analysis, and asset inventory. We continue to innovate and are developing additional offerings for mobile and IoT devices. Because our lightweight agent collects diverse endpoint data once for repeated use, we can expand our addressable market by rapidly adding new cloud modules that leverage this data. We intend to continue to develop new cloud modules for broader endpoint use cases such as IT configuration management, performance monitoring, and IT operations that leverage this data as well as new classes of endpoints such as those created by IoT.</w:t>
      </w:r>
    </w:p>
    <w:p>
      <w:pPr>
        <w:spacing w:after="0" w:line="177"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Broaden Reach into New Customer Segments. </w:t>
      </w:r>
      <w:r>
        <w:rPr>
          <w:rFonts w:ascii="Arial" w:cs="Arial" w:eastAsia="Arial" w:hAnsi="Arial"/>
          <w:sz w:val="16"/>
          <w:szCs w:val="16"/>
          <w:color w:val="auto"/>
        </w:rPr>
        <w:t>While we initially targeted large sophisticated enterprises, we have expanded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go-to-market efforts to include customers of all sizes with a dedicated inside sales team focused on smaller organizations. We also released Falcon Complete in 2018, our turnkey solution that combines the most popular cloud modules of our Falcon platform with our remediation and response capabilities, to create a solution for customers with limited or no internal security expertise. As a result, we can now sell our Falcon platform to the largest enterprises or smallest businesses with any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level of security sophistication and budget. We continue to look for new ways to broaden our reach into new customer segments.</w:t>
      </w:r>
    </w:p>
    <w:p>
      <w:pPr>
        <w:spacing w:after="0" w:line="215" w:lineRule="exact"/>
        <w:rPr>
          <w:sz w:val="20"/>
          <w:szCs w:val="20"/>
          <w:color w:val="auto"/>
        </w:rPr>
      </w:pPr>
    </w:p>
    <w:p>
      <w:pPr>
        <w:ind w:left="1080" w:right="120" w:hanging="532"/>
        <w:spacing w:after="0" w:line="271"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Extend our Falcon Platform and Ecosystem. </w:t>
      </w:r>
      <w:r>
        <w:rPr>
          <w:rFonts w:ascii="Arial" w:cs="Arial" w:eastAsia="Arial" w:hAnsi="Arial"/>
          <w:sz w:val="16"/>
          <w:szCs w:val="16"/>
          <w:color w:val="auto"/>
        </w:rPr>
        <w:t>We designed our architecture to be open, interoperable, and highly extensible.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recently launched the CrowdStrike Store, the first open cloud-based application PaaS for cybersecurity, which provides an ecosystem of trusted partners and applications for our customers. In the future we plan to continue investing in the CrowdStrike Store to empower our partners by making it easier to build applications and to enable our customers to more easily discover, try, and purchase additional cloud modules from both trusted partners and us. In addition, we recently announced a strategic technology and go-to-market partnership with Dell Inc. that will enable Dell's business customers to seamlessly add the Falcon platform to their purchase of Dell hardware. Dell and SecureWorks Corp. have also agreed to take our Falcon platform to market as their preferred endpoint security offering through their global sales organizations. We believe these new innovations and partnerships will significantly enhance the distribution of our platform and may represent future revenue sources for our business.</w:t>
      </w:r>
    </w:p>
    <w:p>
      <w:pPr>
        <w:spacing w:after="0" w:line="168" w:lineRule="exact"/>
        <w:rPr>
          <w:rFonts w:ascii="Arial" w:cs="Arial" w:eastAsia="Arial" w:hAnsi="Arial"/>
          <w:sz w:val="16"/>
          <w:szCs w:val="16"/>
          <w:color w:val="auto"/>
        </w:rPr>
      </w:pPr>
    </w:p>
    <w:p>
      <w:pPr>
        <w:ind w:left="1080" w:right="100" w:hanging="532"/>
        <w:spacing w:after="0" w:line="241"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Reach into the U.S. Federal Government Vertical. </w:t>
      </w:r>
      <w:r>
        <w:rPr>
          <w:rFonts w:ascii="Arial" w:cs="Arial" w:eastAsia="Arial" w:hAnsi="Arial"/>
          <w:sz w:val="18"/>
          <w:szCs w:val="18"/>
          <w:color w:val="auto"/>
        </w:rPr>
        <w:t>We are investing in the acquisition of customers in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government vertical. Our platform recently received Federal Risk and Authorization Management Program, or FedRAMP, compliance certification and has been added to the Department of Homeland Security's Continuous Diagnostics and Mitigation Approved Products List to provide federal agencies with innovative security tools. In addition, our platform is deployed in the AWS GovCloud.</w:t>
      </w:r>
    </w:p>
    <w:p>
      <w:pPr>
        <w:spacing w:after="0" w:line="175" w:lineRule="exact"/>
        <w:rPr>
          <w:rFonts w:ascii="Arial" w:cs="Arial" w:eastAsia="Arial" w:hAnsi="Arial"/>
          <w:sz w:val="18"/>
          <w:szCs w:val="18"/>
          <w:color w:val="auto"/>
        </w:rPr>
      </w:pPr>
    </w:p>
    <w:p>
      <w:pPr>
        <w:ind w:left="1080" w:right="100" w:hanging="532"/>
        <w:spacing w:after="0" w:line="241"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International Footprint. </w:t>
      </w:r>
      <w:r>
        <w:rPr>
          <w:rFonts w:ascii="Arial" w:cs="Arial" w:eastAsia="Arial" w:hAnsi="Arial"/>
          <w:sz w:val="18"/>
          <w:szCs w:val="18"/>
          <w:color w:val="auto"/>
        </w:rPr>
        <w:t>We are expanding our international operations and intend to invest globally to broaden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international footprint. We grew our international revenue from $10.7 million for the nine months ended October 31, 2017, to $38.3 million for the nine months ended October 31, 2018, representing an increase of 258%. We intend to grow our international customer base by increasing our investments in our overseas operations, including adding headcount in Europe, the Middle East, Asia-Pacific, and Japan and establishing overseas data centers.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Falcon Platform</w:t>
      </w:r>
    </w:p>
    <w:p>
      <w:pPr>
        <w:spacing w:after="0" w:line="234" w:lineRule="exact"/>
        <w:rPr>
          <w:sz w:val="20"/>
          <w:szCs w:val="20"/>
          <w:color w:val="auto"/>
        </w:rPr>
      </w:pPr>
    </w:p>
    <w:p>
      <w:pPr>
        <w:ind w:firstLine="488"/>
        <w:spacing w:after="0" w:line="271" w:lineRule="auto"/>
        <w:rPr>
          <w:sz w:val="20"/>
          <w:szCs w:val="20"/>
          <w:color w:val="auto"/>
        </w:rPr>
      </w:pPr>
      <w:r>
        <w:rPr>
          <w:rFonts w:ascii="Arial" w:cs="Arial" w:eastAsia="Arial" w:hAnsi="Arial"/>
          <w:sz w:val="16"/>
          <w:szCs w:val="16"/>
          <w:color w:val="auto"/>
        </w:rPr>
        <w:t>Our Falcon platform is composed of two tightly integrated proprietary technologies: our lightweight agent and Threat Graph. The Falcon platform offers a unified set of cloud-delivered technologies that power a wide range of products including next-generation antivirus, EDR, device control, managed threat hunting, IT hygiene, vulnerability management, and threat intelligence. We can rapidly and cost effectively develop and deliver additional cloud modules on our Falcon platform, and are expanding options for our new customers to test modules on a trial basis and in-application trials for existing customers. Our expanding set of open APIs allows customers and partners to build their own capabilities on top of the Falcon platform. With our Falcon platform, we can crowdsource data and deliver a variety of cloud modules to detect and stop breaches.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Cloud Modules</w:t>
      </w:r>
    </w:p>
    <w:p>
      <w:pPr>
        <w:spacing w:after="0" w:line="234" w:lineRule="exact"/>
        <w:rPr>
          <w:sz w:val="20"/>
          <w:szCs w:val="20"/>
          <w:color w:val="auto"/>
        </w:rPr>
      </w:pPr>
    </w:p>
    <w:p>
      <w:pPr>
        <w:ind w:right="800" w:firstLine="488"/>
        <w:spacing w:after="0" w:line="239" w:lineRule="auto"/>
        <w:rPr>
          <w:sz w:val="20"/>
          <w:szCs w:val="20"/>
          <w:color w:val="auto"/>
        </w:rPr>
      </w:pPr>
      <w:r>
        <w:rPr>
          <w:rFonts w:ascii="Arial" w:cs="Arial" w:eastAsia="Arial" w:hAnsi="Arial"/>
          <w:sz w:val="18"/>
          <w:szCs w:val="18"/>
          <w:color w:val="auto"/>
        </w:rPr>
        <w:t>Our cloud modules integrate seamlessly with the Falcon platform to provide functionality in the endpoint security, security and IT operations (including vulnerability management), and threat intelligence markets. Today, our cloud modules include: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Endpoint Security</w:t>
      </w:r>
    </w:p>
    <w:p>
      <w:pPr>
        <w:spacing w:after="0" w:line="214" w:lineRule="exact"/>
        <w:rPr>
          <w:sz w:val="20"/>
          <w:szCs w:val="20"/>
          <w:color w:val="auto"/>
        </w:rPr>
      </w:pPr>
    </w:p>
    <w:p>
      <w:pPr>
        <w:ind w:right="440" w:firstLine="488"/>
        <w:spacing w:after="0" w:line="260" w:lineRule="auto"/>
        <w:rPr>
          <w:sz w:val="20"/>
          <w:szCs w:val="20"/>
          <w:color w:val="auto"/>
        </w:rPr>
      </w:pPr>
      <w:r>
        <w:rPr>
          <w:rFonts w:ascii="Arial" w:cs="Arial" w:eastAsia="Arial" w:hAnsi="Arial"/>
          <w:sz w:val="18"/>
          <w:szCs w:val="18"/>
          <w:i w:val="1"/>
          <w:iCs w:val="1"/>
          <w:color w:val="auto"/>
        </w:rPr>
        <w:t>Falcon Prevent—Next-Generation Antivirus</w:t>
      </w:r>
      <w:r>
        <w:rPr>
          <w:rFonts w:ascii="Arial" w:cs="Arial" w:eastAsia="Arial" w:hAnsi="Arial"/>
          <w:sz w:val="18"/>
          <w:szCs w:val="18"/>
          <w:color w:val="auto"/>
        </w:rPr>
        <w:t>. Falcon Prevent provides next-generation antivirus capabilities to customers,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protection to defend customers against both</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malware and fileless attacks. Falcon Prevent incorporates identification of known malware, machine learning for unknown malware, exploit blocking and advanced behavioral techniques to allow organizations to replace their existing legacy antivirus products.</w:t>
      </w:r>
    </w:p>
    <w:p>
      <w:pPr>
        <w:spacing w:after="0" w:line="191" w:lineRule="exact"/>
        <w:rPr>
          <w:sz w:val="20"/>
          <w:szCs w:val="20"/>
          <w:color w:val="auto"/>
        </w:rPr>
      </w:pPr>
    </w:p>
    <w:p>
      <w:pPr>
        <w:ind w:right="20" w:firstLine="488"/>
        <w:spacing w:after="0" w:line="243" w:lineRule="auto"/>
        <w:rPr>
          <w:sz w:val="20"/>
          <w:szCs w:val="20"/>
          <w:color w:val="auto"/>
        </w:rPr>
      </w:pPr>
      <w:r>
        <w:rPr>
          <w:rFonts w:ascii="Arial" w:cs="Arial" w:eastAsia="Arial" w:hAnsi="Arial"/>
          <w:sz w:val="18"/>
          <w:szCs w:val="18"/>
          <w:i w:val="1"/>
          <w:iCs w:val="1"/>
          <w:color w:val="auto"/>
        </w:rPr>
        <w:t xml:space="preserve">Falcon Insight—Endpoint Detection and Response. </w:t>
      </w:r>
      <w:r>
        <w:rPr>
          <w:rFonts w:ascii="Arial" w:cs="Arial" w:eastAsia="Arial" w:hAnsi="Arial"/>
          <w:sz w:val="18"/>
          <w:szCs w:val="18"/>
          <w:color w:val="auto"/>
        </w:rPr>
        <w:t>Falcon Insight provides EDR capabilities to customers, allowing for continuous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visibility to notify our customers what is happening on their endpoints in real time. Falcon Insight records and automatically analyzes activity on the endpoint to provide deep visibility, fast and powerful search capabilities, and comprehensive context and data needed to enable proactive threat hunting and forensic analysis.</w:t>
      </w:r>
    </w:p>
    <w:p>
      <w:pPr>
        <w:spacing w:after="0" w:line="188" w:lineRule="exact"/>
        <w:rPr>
          <w:sz w:val="20"/>
          <w:szCs w:val="20"/>
          <w:color w:val="auto"/>
        </w:rPr>
      </w:pPr>
    </w:p>
    <w:p>
      <w:pPr>
        <w:ind w:right="600" w:firstLine="488"/>
        <w:spacing w:after="0" w:line="260" w:lineRule="auto"/>
        <w:rPr>
          <w:sz w:val="20"/>
          <w:szCs w:val="20"/>
          <w:color w:val="auto"/>
        </w:rPr>
      </w:pPr>
      <w:r>
        <w:rPr>
          <w:rFonts w:ascii="Arial" w:cs="Arial" w:eastAsia="Arial" w:hAnsi="Arial"/>
          <w:sz w:val="18"/>
          <w:szCs w:val="18"/>
          <w:i w:val="1"/>
          <w:iCs w:val="1"/>
          <w:color w:val="auto"/>
        </w:rPr>
        <w:t xml:space="preserve">Falcon Device Control. </w:t>
      </w:r>
      <w:r>
        <w:rPr>
          <w:rFonts w:ascii="Arial" w:cs="Arial" w:eastAsia="Arial" w:hAnsi="Arial"/>
          <w:sz w:val="18"/>
          <w:szCs w:val="18"/>
          <w:color w:val="auto"/>
        </w:rPr>
        <w:t>Falcon Device Control provides administrators with a high degree of visibility and granular control of USB</w:t>
      </w:r>
      <w:r>
        <w:rPr>
          <w:rFonts w:ascii="Arial" w:cs="Arial" w:eastAsia="Arial" w:hAnsi="Arial"/>
          <w:sz w:val="18"/>
          <w:szCs w:val="18"/>
          <w:i w:val="1"/>
          <w:iCs w:val="1"/>
          <w:color w:val="auto"/>
        </w:rPr>
        <w:t xml:space="preserve"> </w:t>
      </w:r>
      <w:r>
        <w:rPr>
          <w:rFonts w:ascii="Arial" w:cs="Arial" w:eastAsia="Arial" w:hAnsi="Arial"/>
          <w:sz w:val="18"/>
          <w:szCs w:val="18"/>
          <w:color w:val="auto"/>
        </w:rPr>
        <w:t>peripheral devices.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IT Operations</w:t>
      </w:r>
    </w:p>
    <w:p>
      <w:pPr>
        <w:spacing w:after="0" w:line="214" w:lineRule="exact"/>
        <w:rPr>
          <w:sz w:val="20"/>
          <w:szCs w:val="20"/>
          <w:color w:val="auto"/>
        </w:rPr>
      </w:pPr>
    </w:p>
    <w:p>
      <w:pPr>
        <w:ind w:right="200" w:firstLine="488"/>
        <w:spacing w:after="0" w:line="247" w:lineRule="auto"/>
        <w:rPr>
          <w:sz w:val="20"/>
          <w:szCs w:val="20"/>
          <w:color w:val="auto"/>
        </w:rPr>
      </w:pPr>
      <w:r>
        <w:rPr>
          <w:rFonts w:ascii="Arial" w:cs="Arial" w:eastAsia="Arial" w:hAnsi="Arial"/>
          <w:sz w:val="18"/>
          <w:szCs w:val="18"/>
          <w:i w:val="1"/>
          <w:iCs w:val="1"/>
          <w:color w:val="auto"/>
        </w:rPr>
        <w:t xml:space="preserve">Falcon OverWatch—Threat Hunting. </w:t>
      </w:r>
      <w:r>
        <w:rPr>
          <w:rFonts w:ascii="Arial" w:cs="Arial" w:eastAsia="Arial" w:hAnsi="Arial"/>
          <w:sz w:val="18"/>
          <w:szCs w:val="18"/>
          <w:color w:val="auto"/>
        </w:rPr>
        <w:t>Falcon OverWatch is a threat hunting solution that consists of an elite team of dedicated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experts who work with the power of Threat Graph to proactively identify threats for our customers. The global Falcon OverWatch team seamlessly augments customers' in-house security resources to identify and investigate suspicious and malicious activities.</w:t>
      </w:r>
    </w:p>
    <w:p>
      <w:pPr>
        <w:spacing w:after="0" w:line="184" w:lineRule="exact"/>
        <w:rPr>
          <w:sz w:val="20"/>
          <w:szCs w:val="20"/>
          <w:color w:val="auto"/>
        </w:rPr>
      </w:pPr>
    </w:p>
    <w:p>
      <w:pPr>
        <w:ind w:right="140" w:firstLine="488"/>
        <w:spacing w:after="0" w:line="247" w:lineRule="auto"/>
        <w:rPr>
          <w:sz w:val="20"/>
          <w:szCs w:val="20"/>
          <w:color w:val="auto"/>
        </w:rPr>
      </w:pPr>
      <w:r>
        <w:rPr>
          <w:rFonts w:ascii="Arial" w:cs="Arial" w:eastAsia="Arial" w:hAnsi="Arial"/>
          <w:sz w:val="18"/>
          <w:szCs w:val="18"/>
          <w:i w:val="1"/>
          <w:iCs w:val="1"/>
          <w:color w:val="auto"/>
        </w:rPr>
        <w:t xml:space="preserve">Falcon Discover—IT Hygiene. </w:t>
      </w:r>
      <w:r>
        <w:rPr>
          <w:rFonts w:ascii="Arial" w:cs="Arial" w:eastAsia="Arial" w:hAnsi="Arial"/>
          <w:sz w:val="18"/>
          <w:szCs w:val="18"/>
          <w:color w:val="auto"/>
        </w:rPr>
        <w:t>Falcon Discover identifies rogue systems and applications in our customers' networks, and monitors the</w:t>
      </w:r>
      <w:r>
        <w:rPr>
          <w:rFonts w:ascii="Arial" w:cs="Arial" w:eastAsia="Arial" w:hAnsi="Arial"/>
          <w:sz w:val="18"/>
          <w:szCs w:val="18"/>
          <w:i w:val="1"/>
          <w:iCs w:val="1"/>
          <w:color w:val="auto"/>
        </w:rPr>
        <w:t xml:space="preserve"> </w:t>
      </w:r>
      <w:r>
        <w:rPr>
          <w:rFonts w:ascii="Arial" w:cs="Arial" w:eastAsia="Arial" w:hAnsi="Arial"/>
          <w:sz w:val="18"/>
          <w:szCs w:val="18"/>
          <w:color w:val="auto"/>
        </w:rPr>
        <w:t>use of privileged user accounts anywhere in a customer's environments. The module also enables use cases outside of security, such as application license management, AWS spend analysis, and asset inventory.</w:t>
      </w:r>
    </w:p>
    <w:p>
      <w:pPr>
        <w:spacing w:after="0" w:line="184" w:lineRule="exact"/>
        <w:rPr>
          <w:sz w:val="20"/>
          <w:szCs w:val="20"/>
          <w:color w:val="auto"/>
        </w:rPr>
      </w:pPr>
    </w:p>
    <w:p>
      <w:pPr>
        <w:ind w:firstLine="488"/>
        <w:spacing w:after="0" w:line="247" w:lineRule="auto"/>
        <w:rPr>
          <w:sz w:val="20"/>
          <w:szCs w:val="20"/>
          <w:color w:val="auto"/>
        </w:rPr>
      </w:pPr>
      <w:r>
        <w:rPr>
          <w:rFonts w:ascii="Arial" w:cs="Arial" w:eastAsia="Arial" w:hAnsi="Arial"/>
          <w:sz w:val="18"/>
          <w:szCs w:val="18"/>
          <w:i w:val="1"/>
          <w:iCs w:val="1"/>
          <w:color w:val="auto"/>
        </w:rPr>
        <w:t xml:space="preserve">Falcon Complete—Turnkey Security Solution. </w:t>
      </w:r>
      <w:r>
        <w:rPr>
          <w:rFonts w:ascii="Arial" w:cs="Arial" w:eastAsia="Arial" w:hAnsi="Arial"/>
          <w:sz w:val="18"/>
          <w:szCs w:val="18"/>
          <w:color w:val="auto"/>
        </w:rPr>
        <w:t>Falcon Complete provides comprehensive monitoring, management, response, and</w:t>
      </w:r>
      <w:r>
        <w:rPr>
          <w:rFonts w:ascii="Arial" w:cs="Arial" w:eastAsia="Arial" w:hAnsi="Arial"/>
          <w:sz w:val="18"/>
          <w:szCs w:val="18"/>
          <w:i w:val="1"/>
          <w:iCs w:val="1"/>
          <w:color w:val="auto"/>
        </w:rPr>
        <w:t xml:space="preserve"> </w:t>
      </w:r>
      <w:r>
        <w:rPr>
          <w:rFonts w:ascii="Arial" w:cs="Arial" w:eastAsia="Arial" w:hAnsi="Arial"/>
          <w:sz w:val="18"/>
          <w:szCs w:val="18"/>
          <w:color w:val="auto"/>
        </w:rPr>
        <w:t>remediation solution to our customers. It is backed by an underwritten limited warranty policy for breaches. Falcon Complete is designed to bring enterprise level security to companies that may lack enterprise level resources.</w:t>
      </w:r>
    </w:p>
    <w:p>
      <w:pPr>
        <w:spacing w:after="0" w:line="184" w:lineRule="exact"/>
        <w:rPr>
          <w:sz w:val="20"/>
          <w:szCs w:val="20"/>
          <w:color w:val="auto"/>
        </w:rPr>
      </w:pPr>
    </w:p>
    <w:p>
      <w:pPr>
        <w:ind w:right="100" w:firstLine="488"/>
        <w:spacing w:after="0" w:line="243" w:lineRule="auto"/>
        <w:rPr>
          <w:sz w:val="20"/>
          <w:szCs w:val="20"/>
          <w:color w:val="auto"/>
        </w:rPr>
      </w:pPr>
      <w:r>
        <w:rPr>
          <w:rFonts w:ascii="Arial" w:cs="Arial" w:eastAsia="Arial" w:hAnsi="Arial"/>
          <w:sz w:val="18"/>
          <w:szCs w:val="18"/>
          <w:i w:val="1"/>
          <w:iCs w:val="1"/>
          <w:color w:val="auto"/>
        </w:rPr>
        <w:t xml:space="preserve">Falcon Spotlight—Vulnerability Management. </w:t>
      </w:r>
      <w:r>
        <w:rPr>
          <w:rFonts w:ascii="Arial" w:cs="Arial" w:eastAsia="Arial" w:hAnsi="Arial"/>
          <w:sz w:val="18"/>
          <w:szCs w:val="18"/>
          <w:color w:val="auto"/>
        </w:rPr>
        <w:t>Falcon Spotlight identifies vulnerabilities in real time that exist across our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endpoints. The module does not depend on scanning systems for vulnerabilities, a process that can often take days or weeks for an enterprise, and instead leverages data already collected by our agent to provide instant and accurate real-time visibility into an enterprise's vulnerability exposure.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Threat Intelligence</w:t>
      </w:r>
    </w:p>
    <w:p>
      <w:pPr>
        <w:spacing w:after="0" w:line="214" w:lineRule="exact"/>
        <w:rPr>
          <w:sz w:val="20"/>
          <w:szCs w:val="20"/>
          <w:color w:val="auto"/>
        </w:rPr>
      </w:pPr>
    </w:p>
    <w:p>
      <w:pPr>
        <w:ind w:right="180" w:firstLine="488"/>
        <w:spacing w:after="0" w:line="241" w:lineRule="auto"/>
        <w:rPr>
          <w:sz w:val="20"/>
          <w:szCs w:val="20"/>
          <w:color w:val="auto"/>
        </w:rPr>
      </w:pPr>
      <w:r>
        <w:rPr>
          <w:rFonts w:ascii="Arial" w:cs="Arial" w:eastAsia="Arial" w:hAnsi="Arial"/>
          <w:sz w:val="18"/>
          <w:szCs w:val="18"/>
          <w:i w:val="1"/>
          <w:iCs w:val="1"/>
          <w:color w:val="auto"/>
        </w:rPr>
        <w:t xml:space="preserve">Falcon X—Threat Intelligence. </w:t>
      </w:r>
      <w:r>
        <w:rPr>
          <w:rFonts w:ascii="Arial" w:cs="Arial" w:eastAsia="Arial" w:hAnsi="Arial"/>
          <w:sz w:val="18"/>
          <w:szCs w:val="18"/>
          <w:color w:val="auto"/>
        </w:rPr>
        <w:t>Falcon X integrates threat intelligence into endpoint protection. It provides automated analysis of</w:t>
      </w:r>
      <w:r>
        <w:rPr>
          <w:rFonts w:ascii="Arial" w:cs="Arial" w:eastAsia="Arial" w:hAnsi="Arial"/>
          <w:sz w:val="18"/>
          <w:szCs w:val="18"/>
          <w:i w:val="1"/>
          <w:iCs w:val="1"/>
          <w:color w:val="auto"/>
        </w:rPr>
        <w:t xml:space="preserve"> </w:t>
      </w:r>
      <w:r>
        <w:rPr>
          <w:rFonts w:ascii="Arial" w:cs="Arial" w:eastAsia="Arial" w:hAnsi="Arial"/>
          <w:sz w:val="18"/>
          <w:szCs w:val="18"/>
          <w:color w:val="auto"/>
        </w:rPr>
        <w:t>detected threats to provide insight into the capabilities, motivation and attribution of attacks. It also extends protection against detected threats and their variants into other security solutions deployed within the organization for defense-in-depth coverage by delivering actionable intelligence and custom IOCs. In addition to the standard Falcon X offering, we also offer premium options that include global threat research and reporting from our team of intelligence analysts.</w:t>
      </w:r>
    </w:p>
    <w:p>
      <w:pPr>
        <w:spacing w:after="0" w:line="189" w:lineRule="exact"/>
        <w:rPr>
          <w:sz w:val="20"/>
          <w:szCs w:val="20"/>
          <w:color w:val="auto"/>
        </w:rPr>
      </w:pPr>
    </w:p>
    <w:p>
      <w:pPr>
        <w:ind w:firstLine="488"/>
        <w:spacing w:after="0" w:line="293" w:lineRule="auto"/>
        <w:rPr>
          <w:sz w:val="20"/>
          <w:szCs w:val="20"/>
          <w:color w:val="auto"/>
        </w:rPr>
      </w:pPr>
      <w:r>
        <w:rPr>
          <w:rFonts w:ascii="Arial" w:cs="Arial" w:eastAsia="Arial" w:hAnsi="Arial"/>
          <w:sz w:val="16"/>
          <w:szCs w:val="16"/>
          <w:i w:val="1"/>
          <w:iCs w:val="1"/>
          <w:color w:val="auto"/>
        </w:rPr>
        <w:t xml:space="preserve">Falcon Search Engine—Malware Search. </w:t>
      </w:r>
      <w:r>
        <w:rPr>
          <w:rFonts w:ascii="Arial" w:cs="Arial" w:eastAsia="Arial" w:hAnsi="Arial"/>
          <w:sz w:val="16"/>
          <w:szCs w:val="16"/>
          <w:color w:val="auto"/>
        </w:rPr>
        <w:t>Falcon Search Engine enables customers to search in real time across 300 terabytes of</w:t>
      </w:r>
      <w:r>
        <w:rPr>
          <w:rFonts w:ascii="Arial" w:cs="Arial" w:eastAsia="Arial" w:hAnsi="Arial"/>
          <w:sz w:val="16"/>
          <w:szCs w:val="16"/>
          <w:i w:val="1"/>
          <w:iCs w:val="1"/>
          <w:color w:val="auto"/>
        </w:rPr>
        <w:t xml:space="preserve"> </w:t>
      </w:r>
      <w:r>
        <w:rPr>
          <w:rFonts w:ascii="Arial" w:cs="Arial" w:eastAsia="Arial" w:hAnsi="Arial"/>
          <w:sz w:val="16"/>
          <w:szCs w:val="16"/>
          <w:color w:val="auto"/>
        </w:rPr>
        <w:t>malware collected in our Falcon platform and indexed by our proprietary binary data indexing technology. Results are enriched with threat intelligence, enabling rapid analysis and giving security analysts and threat researchers the advantage they need to stay ahead of the adversary.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right="180" w:firstLine="488"/>
        <w:spacing w:after="0" w:line="247" w:lineRule="auto"/>
        <w:rPr>
          <w:sz w:val="20"/>
          <w:szCs w:val="20"/>
          <w:color w:val="auto"/>
        </w:rPr>
      </w:pPr>
      <w:r>
        <w:rPr>
          <w:rFonts w:ascii="Arial" w:cs="Arial" w:eastAsia="Arial" w:hAnsi="Arial"/>
          <w:sz w:val="18"/>
          <w:szCs w:val="18"/>
          <w:i w:val="1"/>
          <w:iCs w:val="1"/>
          <w:color w:val="auto"/>
        </w:rPr>
        <w:t xml:space="preserve">Falcon Sandbox—Malware Analysis. </w:t>
      </w:r>
      <w:r>
        <w:rPr>
          <w:rFonts w:ascii="Arial" w:cs="Arial" w:eastAsia="Arial" w:hAnsi="Arial"/>
          <w:sz w:val="18"/>
          <w:szCs w:val="18"/>
          <w:color w:val="auto"/>
        </w:rPr>
        <w:t>Falcon Sandbox allows our customers to analyze unknown files for malicious behavior by</w:t>
      </w:r>
      <w:r>
        <w:rPr>
          <w:rFonts w:ascii="Arial" w:cs="Arial" w:eastAsia="Arial" w:hAnsi="Arial"/>
          <w:sz w:val="18"/>
          <w:szCs w:val="18"/>
          <w:i w:val="1"/>
          <w:iCs w:val="1"/>
          <w:color w:val="auto"/>
        </w:rPr>
        <w:t xml:space="preserve"> </w:t>
      </w:r>
      <w:r>
        <w:rPr>
          <w:rFonts w:ascii="Arial" w:cs="Arial" w:eastAsia="Arial" w:hAnsi="Arial"/>
          <w:sz w:val="18"/>
          <w:szCs w:val="18"/>
          <w:color w:val="auto"/>
        </w:rPr>
        <w:t>detonating them safely in virtual machines. Sandbox provides visibility into malware behavior, automating in-depth file and memory analysis for faster threat protection and response.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34" w:lineRule="exact"/>
        <w:rPr>
          <w:sz w:val="20"/>
          <w:szCs w:val="20"/>
          <w:color w:val="auto"/>
        </w:rPr>
      </w:pPr>
    </w:p>
    <w:p>
      <w:pPr>
        <w:ind w:right="460" w:firstLine="488"/>
        <w:spacing w:after="0" w:line="239" w:lineRule="auto"/>
        <w:rPr>
          <w:sz w:val="20"/>
          <w:szCs w:val="20"/>
          <w:color w:val="auto"/>
        </w:rPr>
      </w:pPr>
      <w:r>
        <w:rPr>
          <w:rFonts w:ascii="Arial" w:cs="Arial" w:eastAsia="Arial" w:hAnsi="Arial"/>
          <w:sz w:val="18"/>
          <w:szCs w:val="18"/>
          <w:color w:val="auto"/>
        </w:rPr>
        <w:t>We have designed an innovative architecture from the ground up to overcome the limitations of existing security products and deliver cloud-based solutions. The key design principles of our Falcon platform include:</w:t>
      </w:r>
    </w:p>
    <w:p>
      <w:pPr>
        <w:spacing w:after="0" w:line="191" w:lineRule="exact"/>
        <w:rPr>
          <w:sz w:val="20"/>
          <w:szCs w:val="20"/>
          <w:color w:val="auto"/>
        </w:rPr>
      </w:pPr>
    </w:p>
    <w:p>
      <w:pPr>
        <w:ind w:right="100" w:firstLine="488"/>
        <w:spacing w:after="0" w:line="241" w:lineRule="auto"/>
        <w:rPr>
          <w:sz w:val="20"/>
          <w:szCs w:val="20"/>
          <w:color w:val="auto"/>
        </w:rPr>
      </w:pPr>
      <w:r>
        <w:rPr>
          <w:rFonts w:ascii="Arial" w:cs="Arial" w:eastAsia="Arial" w:hAnsi="Arial"/>
          <w:sz w:val="18"/>
          <w:szCs w:val="18"/>
          <w:i w:val="1"/>
          <w:iCs w:val="1"/>
          <w:color w:val="auto"/>
        </w:rPr>
        <w:t xml:space="preserve">Cloud Native Architecture. </w:t>
      </w:r>
      <w:r>
        <w:rPr>
          <w:rFonts w:ascii="Arial" w:cs="Arial" w:eastAsia="Arial" w:hAnsi="Arial"/>
          <w:sz w:val="18"/>
          <w:szCs w:val="18"/>
          <w:color w:val="auto"/>
        </w:rPr>
        <w:t>We built the Falcon platform entirely in and for the cloud, enabling collection and analysis of a massive,</w:t>
      </w:r>
      <w:r>
        <w:rPr>
          <w:rFonts w:ascii="Arial" w:cs="Arial" w:eastAsia="Arial" w:hAnsi="Arial"/>
          <w:sz w:val="18"/>
          <w:szCs w:val="18"/>
          <w:i w:val="1"/>
          <w:iCs w:val="1"/>
          <w:color w:val="auto"/>
        </w:rPr>
        <w:t xml:space="preserve"> </w:t>
      </w:r>
      <w:r>
        <w:rPr>
          <w:rFonts w:ascii="Arial" w:cs="Arial" w:eastAsia="Arial" w:hAnsi="Arial"/>
          <w:sz w:val="18"/>
          <w:szCs w:val="18"/>
          <w:color w:val="auto"/>
        </w:rPr>
        <w:t>crowdsourced dataset from all of our customers to stop breaches. Our platform is designed to be redundant, resilient, and high performing. Delivering security from the cloud enables agility, ease of use, and protection for workloads on a variety of endpoints wherever they are located. As customer adoption grows, the network effect of each additional endpoint added to the Falcon platform will amplify the breadth and depth of our dataset and intelligence.</w:t>
      </w:r>
    </w:p>
    <w:p>
      <w:pPr>
        <w:spacing w:after="0" w:line="189"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i w:val="1"/>
          <w:iCs w:val="1"/>
          <w:color w:val="auto"/>
        </w:rPr>
        <w:t xml:space="preserve">Falcon Agent. </w:t>
      </w:r>
      <w:r>
        <w:rPr>
          <w:rFonts w:ascii="Arial" w:cs="Arial" w:eastAsia="Arial" w:hAnsi="Arial"/>
          <w:sz w:val="18"/>
          <w:szCs w:val="18"/>
          <w:color w:val="auto"/>
        </w:rPr>
        <w:t>We designed an intelligent lightweight agent that is installed on each endpoint. These agents incorporate identification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prevention of known malware, machine learning for unknown malware, exploit blocking and advanced behavioral techniques, to protect workloads across all endpoints while capturing and recording high fidelity endpoint data. Our agents continue to protect workloads running on endpoints even when offline. The agent recommences transmitting data to our Falcon platform when the connection to the cloud has been re-established. Our lightweight agent occupies less than 35 megabytes of storage space on the endpoint and is built to support Windows, Mac and Linux operating systems. The agent is hardened against attacks and uses a combination of kernel and user-mode modules to collect high fidelity endpoint events as they take place on a system. It correlates these events with a local situational model on the endpoint, analyzes via agent-based machine learning models and is capable of taking a variety of preventative and responsive actions on the endpoint, either automatically or via human control. Events are streamed by the agent to the cloud in real time in order to be further analyzed in the Threat Graph, where additional correlation and AI algorithms can be applied. The agent is also capable of being remotely reconfigured in real time based on analytics in our cloud platform in order to collect and analyze different events or take other actions.</w:t>
      </w:r>
    </w:p>
    <w:p>
      <w:pPr>
        <w:spacing w:after="0" w:line="195"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i w:val="1"/>
          <w:iCs w:val="1"/>
          <w:color w:val="auto"/>
        </w:rPr>
        <w:t xml:space="preserve">Threat Graph. </w:t>
      </w:r>
      <w:r>
        <w:rPr>
          <w:rFonts w:ascii="Arial" w:cs="Arial" w:eastAsia="Arial" w:hAnsi="Arial"/>
          <w:sz w:val="18"/>
          <w:szCs w:val="18"/>
          <w:color w:val="auto"/>
        </w:rPr>
        <w:t>Threat Graph is a proprietary, powerful, and dynamic graph database. Threat Graph continually looks for malicious activity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by combining AI with behavioral pattern-matching techniques to look beyond file features and track the behaviors of every software program executed on an endpoint in a customer's network environment. By applying powerful graph analytics and AI algorithms to cybersecurity, we enrich the data collected with our proprietary and third-party threat intelligence, such as adversary capabilities, motivations, attributions, and threat indicators. Threat Graph processes, correlates, and analyzes over one trillion endpoint-related events across our global customer community per week in real time, making 91 million indicator of attack decisions per minute, and indexing petabytes of historical data for exploration and search. The graph data model allows the AI algorithms to identify relationships between events that are not directly related but which could indicate an attack that would otherwise remain undetected. We believe that our AI algorithms are advantaged by the rich dataset that we have to train them with. Threat Graph provides customers with complete real time and historical visibility and insight into events occurring on their endpoints for hunting and searching.</w:t>
      </w:r>
    </w:p>
    <w:p>
      <w:pPr>
        <w:spacing w:after="0" w:line="215" w:lineRule="exact"/>
        <w:rPr>
          <w:sz w:val="20"/>
          <w:szCs w:val="20"/>
          <w:color w:val="auto"/>
        </w:rPr>
      </w:pPr>
    </w:p>
    <w:p>
      <w:pPr>
        <w:ind w:right="40" w:firstLine="484"/>
        <w:spacing w:after="0" w:line="239" w:lineRule="auto"/>
        <w:rPr>
          <w:sz w:val="20"/>
          <w:szCs w:val="20"/>
          <w:color w:val="auto"/>
        </w:rPr>
      </w:pPr>
      <w:r>
        <w:rPr>
          <w:rFonts w:ascii="Arial" w:cs="Arial" w:eastAsia="Arial" w:hAnsi="Arial"/>
          <w:sz w:val="18"/>
          <w:szCs w:val="18"/>
          <w:color w:val="auto"/>
        </w:rPr>
        <w:t>Threat Graph also provides query and hunting capability over the full set of high fidelity events collected in the graph. This correlated data, natively represented in a graph structure, enables new</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products and cloud modules to be created rapidly since the platform provides the visibility, collection, correlation and actions over data as reusable building blocks. This collect-once, use repeatedly approach is the reason why we have been able to deliver new cloud modules covering IT hygiene and vulnerability management quickly and enables us to continue expanding the Falcon platform rapidly in the future. Our design approach incorporates the MITRE Adversarial Tactics, Techniques and Common Knowledge, or ATT&amp;CK, Framework, which is an independent industry standard and model for describing the actions an adversary might take to compromise, and operate within, an enterprise network, which accelerates alert triage and shortens incident analysis time. Our Threat Graph has also been validated for its successful completion of an evaluation by MITRE's Leveraging External Transformational Solutions, or LETS, program.</w:t>
      </w:r>
    </w:p>
    <w:p>
      <w:pPr>
        <w:spacing w:after="0" w:line="191"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i w:val="1"/>
          <w:iCs w:val="1"/>
          <w:color w:val="auto"/>
        </w:rPr>
        <w:t xml:space="preserve">High Fidelity Data and Smart Filtering. </w:t>
      </w:r>
      <w:r>
        <w:rPr>
          <w:rFonts w:ascii="Arial" w:cs="Arial" w:eastAsia="Arial" w:hAnsi="Arial"/>
          <w:sz w:val="18"/>
          <w:szCs w:val="18"/>
          <w:color w:val="auto"/>
        </w:rPr>
        <w:t>Absent an intelligent agent, a typical endpoint generates approximately 100 gigabytes of</w:t>
      </w:r>
      <w:r>
        <w:rPr>
          <w:rFonts w:ascii="Arial" w:cs="Arial" w:eastAsia="Arial" w:hAnsi="Arial"/>
          <w:sz w:val="18"/>
          <w:szCs w:val="18"/>
          <w:i w:val="1"/>
          <w:iCs w:val="1"/>
          <w:color w:val="auto"/>
        </w:rPr>
        <w:t xml:space="preserve"> </w:t>
      </w:r>
      <w:r>
        <w:rPr>
          <w:rFonts w:ascii="Arial" w:cs="Arial" w:eastAsia="Arial" w:hAnsi="Arial"/>
          <w:sz w:val="18"/>
          <w:szCs w:val="18"/>
          <w:color w:val="auto"/>
        </w:rPr>
        <w:t>unfiltered system event data per day. After this data is compressed, or data shaped, a typical enterprise organization with 100,000 endpoints would generate over one petabyte of endpoint events daily. The presence of a local graph model in our agent enables it to track the state of the machine in real time, perform rapid machine learning and behavioral analysis, and provide efficient event streaming to the cloud. We call this "smart filtering." This allows us to keep overhead on the endpoint to a minimum, dramatically reduce the bandwidth required for agent-cloud communication, efficiently process large volumes of data, and separate the signal from the noise. The Falcon agent collects and analyzes unfiltered data with local machine learning and behavioral algorithms on the endpoint but only streams high fidelity endpoint events to the cloud to only send what is necessary for detection, prevention and investigation of attacks. This smart filtering architecture allows us to reduce network load for customers to approximately five megabytes per endpoint per day. The Falcon platform collects an array of high fidelity endpoint events, such as code execution, network, file system and user activity. This information can be used for a variety of use cases beyond security, such as IT operations and vulnerability management.</w:t>
      </w:r>
    </w:p>
    <w:p>
      <w:pPr>
        <w:spacing w:after="0" w:line="195" w:lineRule="exact"/>
        <w:rPr>
          <w:sz w:val="20"/>
          <w:szCs w:val="20"/>
          <w:color w:val="auto"/>
        </w:rPr>
      </w:pPr>
    </w:p>
    <w:p>
      <w:pPr>
        <w:ind w:right="100" w:firstLine="488"/>
        <w:spacing w:after="0" w:line="243" w:lineRule="auto"/>
        <w:rPr>
          <w:sz w:val="20"/>
          <w:szCs w:val="20"/>
          <w:color w:val="auto"/>
        </w:rPr>
      </w:pPr>
      <w:r>
        <w:rPr>
          <w:rFonts w:ascii="Arial" w:cs="Arial" w:eastAsia="Arial" w:hAnsi="Arial"/>
          <w:sz w:val="18"/>
          <w:szCs w:val="18"/>
          <w:i w:val="1"/>
          <w:iCs w:val="1"/>
          <w:color w:val="auto"/>
        </w:rPr>
        <w:t xml:space="preserve">Management Interface. </w:t>
      </w:r>
      <w:r>
        <w:rPr>
          <w:rFonts w:ascii="Arial" w:cs="Arial" w:eastAsia="Arial" w:hAnsi="Arial"/>
          <w:sz w:val="18"/>
          <w:szCs w:val="18"/>
          <w:color w:val="auto"/>
        </w:rPr>
        <w:t>The Falcon platform management interface gives customers an intuitive and informative view of their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with timely alerts and detailed search capabilities. We provide real-time endpoint visibility to allow customers to review details and respond to threats instantly and effectively, from anywhere, and maintain an index of these events for future use. We also provide access to Falcon X, streamlining and simplifying the forensics analysis process.</w:t>
      </w:r>
    </w:p>
    <w:p>
      <w:pPr>
        <w:spacing w:after="0" w:line="188" w:lineRule="exact"/>
        <w:rPr>
          <w:sz w:val="20"/>
          <w:szCs w:val="20"/>
          <w:color w:val="auto"/>
        </w:rPr>
      </w:pPr>
    </w:p>
    <w:p>
      <w:pPr>
        <w:ind w:right="20" w:firstLine="481"/>
        <w:spacing w:after="0" w:line="238" w:lineRule="auto"/>
        <w:rPr>
          <w:sz w:val="20"/>
          <w:szCs w:val="20"/>
          <w:color w:val="auto"/>
        </w:rPr>
      </w:pPr>
      <w:r>
        <w:rPr>
          <w:rFonts w:ascii="Arial" w:cs="Arial" w:eastAsia="Arial" w:hAnsi="Arial"/>
          <w:sz w:val="18"/>
          <w:szCs w:val="18"/>
          <w:i w:val="1"/>
          <w:iCs w:val="1"/>
          <w:color w:val="auto"/>
        </w:rPr>
        <w:t xml:space="preserve">APIs and Integrations. </w:t>
      </w:r>
      <w:r>
        <w:rPr>
          <w:rFonts w:ascii="Arial" w:cs="Arial" w:eastAsia="Arial" w:hAnsi="Arial"/>
          <w:sz w:val="18"/>
          <w:szCs w:val="18"/>
          <w:color w:val="auto"/>
        </w:rPr>
        <w:t>Our Falcon platform and architecture is built around a rich set of APIs that efficiently and effectively complement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expand a customer's existing security infrastructure, such as security information event management, or SIEMs, and intrusion prevention systems and intrusion detection systems. The platform includes streaming, query and batch APIs allowing customers and partners to integrate a variety of solutions seamlessly. It also includes rich management and control APIs. The platform allows third parties to develop additional cloud modules and features, furthering the power of the Falcon platform. By connecting existing security systems to the Falcon platform, we allow our customers to further leverage their security investments. For example, ForeScout used our APIs to develop a joint solution that allows our common customers to leverage our threat intelligence to proactively combat threats across endpoints and orchestrate workflows to isolate and remediate compromised devices.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Center Operations</w:t>
      </w:r>
    </w:p>
    <w:p>
      <w:pPr>
        <w:spacing w:after="0" w:line="234" w:lineRule="exact"/>
        <w:rPr>
          <w:sz w:val="20"/>
          <w:szCs w:val="20"/>
          <w:color w:val="auto"/>
        </w:rPr>
      </w:pPr>
    </w:p>
    <w:p>
      <w:pPr>
        <w:jc w:val="both"/>
        <w:ind w:right="100" w:firstLine="488"/>
        <w:spacing w:after="0" w:line="238" w:lineRule="auto"/>
        <w:rPr>
          <w:sz w:val="20"/>
          <w:szCs w:val="20"/>
          <w:color w:val="auto"/>
        </w:rPr>
      </w:pPr>
      <w:r>
        <w:rPr>
          <w:rFonts w:ascii="Arial" w:cs="Arial" w:eastAsia="Arial" w:hAnsi="Arial"/>
          <w:sz w:val="18"/>
          <w:szCs w:val="18"/>
          <w:color w:val="auto"/>
        </w:rPr>
        <w:t>We have data center co-location facilities in Sacramento and San Jose, California and Las Vegas, Nevada, and we also utilize AWS data centers located in the United States for our storage needs and to help deliver our solution. Our technology infrastructure, combined with select use of AWS resources, provides us with a distributed and scalable architecture on a global scale.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34"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In addition to our Falcon platform and cloud modules, we also offer incident response services and proactive services to organizations that have experienced a breach or are assessing their security posture.</w:t>
      </w:r>
    </w:p>
    <w:p>
      <w:pPr>
        <w:spacing w:after="0" w:line="191" w:lineRule="exact"/>
        <w:rPr>
          <w:sz w:val="20"/>
          <w:szCs w:val="20"/>
          <w:color w:val="auto"/>
        </w:rPr>
      </w:pPr>
    </w:p>
    <w:p>
      <w:pPr>
        <w:ind w:left="1080" w:right="120" w:hanging="532"/>
        <w:spacing w:after="0" w:line="271"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Incident Response Services. </w:t>
      </w:r>
      <w:r>
        <w:rPr>
          <w:rFonts w:ascii="Arial" w:cs="Arial" w:eastAsia="Arial" w:hAnsi="Arial"/>
          <w:sz w:val="16"/>
          <w:szCs w:val="16"/>
          <w:color w:val="auto"/>
        </w:rPr>
        <w:t>Our incident response services typically begin by deploying our lightweight agents to a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endpoints to provide comprehensive visibility and determine if an attacker is currently in the environment, what assets have been compromised, and how much damage has been done. We also provide customized remediation planning by providing a strategy to eject attackers out of the network, lock down credentials from further use, and ensure adversaries stay out. In addition to providing valuable breach remediation to our customers, our incident response services also act as a strong lead generation engine for our Falcon platform and cloud modules. After experiencing the benefits of our platform firsthand, many of our incident response customers become subscription customers. Among organizations who first became a customer after February 1, 2017, for each $1.00 spent by those customers on their initial engagement for our incident response or proactive services, as of October 31, 2018, we derived an average of $2.83 in ARR from those subscription contracts.</w:t>
      </w:r>
    </w:p>
    <w:p>
      <w:pPr>
        <w:spacing w:after="0" w:line="168" w:lineRule="exact"/>
        <w:rPr>
          <w:rFonts w:ascii="Arial" w:cs="Arial" w:eastAsia="Arial" w:hAnsi="Arial"/>
          <w:sz w:val="16"/>
          <w:szCs w:val="16"/>
          <w:color w:val="auto"/>
        </w:rPr>
      </w:pPr>
    </w:p>
    <w:p>
      <w:pPr>
        <w:ind w:left="1080" w:right="320" w:hanging="532"/>
        <w:spacing w:after="0" w:line="24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Proactive Services. </w:t>
      </w:r>
      <w:r>
        <w:rPr>
          <w:rFonts w:ascii="Arial" w:cs="Arial" w:eastAsia="Arial" w:hAnsi="Arial"/>
          <w:sz w:val="18"/>
          <w:szCs w:val="18"/>
          <w:color w:val="auto"/>
        </w:rPr>
        <w:t>Our proactive security services include cybersecurity maturity assessment, penetration testing,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customized offerings that leverage our Falcon platform and cloud modules. These services are designed to evaluate our customers' security profile so they can identify areas of vulnerability, secure their network and improve their response if their defenses are breached.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Customers</w:t>
      </w:r>
    </w:p>
    <w:p>
      <w:pPr>
        <w:spacing w:after="0" w:line="234" w:lineRule="exact"/>
        <w:rPr>
          <w:sz w:val="20"/>
          <w:szCs w:val="20"/>
          <w:color w:val="auto"/>
        </w:rPr>
      </w:pPr>
    </w:p>
    <w:p>
      <w:pPr>
        <w:ind w:right="140" w:firstLine="488"/>
        <w:spacing w:after="0" w:line="269" w:lineRule="auto"/>
        <w:rPr>
          <w:sz w:val="20"/>
          <w:szCs w:val="20"/>
          <w:color w:val="auto"/>
        </w:rPr>
      </w:pPr>
      <w:r>
        <w:rPr>
          <w:rFonts w:ascii="Arial" w:cs="Arial" w:eastAsia="Arial" w:hAnsi="Arial"/>
          <w:sz w:val="16"/>
          <w:szCs w:val="16"/>
          <w:color w:val="auto"/>
        </w:rPr>
        <w:t>Some of the world's largest enterprises, government organizations, and high profile brands trust us to protect their business. As of October 31, 2018, we had 2,147 subscription customers worldwide, including 38 of the Fortune 100, 32 of the top 100 global companies, and eight of the top 20 major banks. Historically, we and our channel partners have primarily sold to large organizations, but have increasingly focused on selling to small and medium-sized businesses, particularly through our trial-to-pay model. We engage our customers through our global customer and technical advisory boards in which we solicit feedback from our customers on a regular basis allowing us to understand their evolving needs. We have used this feedback to develop new cloud modules, such as Falcon Insight, and we intend to continue to develop new cloud modules based on our customer's feedback. We also have a CrowdStrike Champion Program with over 180 customers participating who have agreed to be references for our products and solutions. Our business is not dependent on any particular end customer.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Case Studies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customer examples below illustrate how customers from different industries benefit from our Falcon platform.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ADP, LLC</w:t>
      </w:r>
    </w:p>
    <w:p>
      <w:pPr>
        <w:spacing w:after="0" w:line="214" w:lineRule="exact"/>
        <w:rPr>
          <w:sz w:val="20"/>
          <w:szCs w:val="20"/>
          <w:color w:val="auto"/>
        </w:rPr>
      </w:pPr>
    </w:p>
    <w:p>
      <w:pPr>
        <w:ind w:right="120" w:firstLine="488"/>
        <w:spacing w:after="0" w:line="293" w:lineRule="auto"/>
        <w:rPr>
          <w:sz w:val="20"/>
          <w:szCs w:val="20"/>
          <w:color w:val="auto"/>
        </w:rPr>
      </w:pPr>
      <w:r>
        <w:rPr>
          <w:rFonts w:ascii="Arial" w:cs="Arial" w:eastAsia="Arial" w:hAnsi="Arial"/>
          <w:sz w:val="16"/>
          <w:szCs w:val="16"/>
          <w:i w:val="1"/>
          <w:iCs w:val="1"/>
          <w:color w:val="auto"/>
        </w:rPr>
        <w:t xml:space="preserve">Situation: </w:t>
      </w:r>
      <w:r>
        <w:rPr>
          <w:rFonts w:ascii="Arial" w:cs="Arial" w:eastAsia="Arial" w:hAnsi="Arial"/>
          <w:sz w:val="16"/>
          <w:szCs w:val="16"/>
          <w:color w:val="auto"/>
        </w:rPr>
        <w:t>As a Fortune 300 provider of cloud-based human capital management solutions, ADP handles a significant amount of highly</w:t>
      </w:r>
      <w:r>
        <w:rPr>
          <w:rFonts w:ascii="Arial" w:cs="Arial" w:eastAsia="Arial" w:hAnsi="Arial"/>
          <w:sz w:val="16"/>
          <w:szCs w:val="16"/>
          <w:i w:val="1"/>
          <w:iCs w:val="1"/>
          <w:color w:val="auto"/>
        </w:rPr>
        <w:t xml:space="preserve"> </w:t>
      </w:r>
      <w:r>
        <w:rPr>
          <w:rFonts w:ascii="Arial" w:cs="Arial" w:eastAsia="Arial" w:hAnsi="Arial"/>
          <w:sz w:val="16"/>
          <w:szCs w:val="16"/>
          <w:color w:val="auto"/>
        </w:rPr>
        <w:t>sensitive information including personal finance and health data for its 740,000 clients. An internal security team identified a gap in its global server infrastructure, which comprises some 20 data centers, both on-premise and in the cloud, forcing ADP to reevaluate alternative solutions.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right="200" w:firstLine="488"/>
        <w:spacing w:after="0" w:line="243"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In 2016 ADP deployed our Falcon platform with Falcon Insight and Falcon OverWatch as the first two modules rolled out</w:t>
      </w:r>
      <w:r>
        <w:rPr>
          <w:rFonts w:ascii="Arial" w:cs="Arial" w:eastAsia="Arial" w:hAnsi="Arial"/>
          <w:sz w:val="18"/>
          <w:szCs w:val="18"/>
          <w:i w:val="1"/>
          <w:iCs w:val="1"/>
          <w:color w:val="auto"/>
        </w:rPr>
        <w:t xml:space="preserve"> </w:t>
      </w:r>
      <w:r>
        <w:rPr>
          <w:rFonts w:ascii="Arial" w:cs="Arial" w:eastAsia="Arial" w:hAnsi="Arial"/>
          <w:sz w:val="18"/>
          <w:szCs w:val="18"/>
          <w:color w:val="auto"/>
        </w:rPr>
        <w:t>across 85,000 servers in only three months, with no disruption for any of its employees or clients. The high fidelity data collected and analyzed by our Falcon platform provided ADP with unprecedented visibility across its environment and a more effective way of detecting threats and stopping breaches.</w:t>
      </w:r>
    </w:p>
    <w:p>
      <w:pPr>
        <w:spacing w:after="0" w:line="206" w:lineRule="exact"/>
        <w:rPr>
          <w:sz w:val="20"/>
          <w:szCs w:val="20"/>
          <w:color w:val="auto"/>
        </w:rPr>
      </w:pPr>
    </w:p>
    <w:p>
      <w:pPr>
        <w:ind w:right="220" w:firstLine="484"/>
        <w:spacing w:after="0" w:line="275" w:lineRule="auto"/>
        <w:rPr>
          <w:sz w:val="20"/>
          <w:szCs w:val="20"/>
          <w:color w:val="auto"/>
        </w:rPr>
      </w:pPr>
      <w:r>
        <w:rPr>
          <w:rFonts w:ascii="Arial" w:cs="Arial" w:eastAsia="Arial" w:hAnsi="Arial"/>
          <w:sz w:val="16"/>
          <w:szCs w:val="16"/>
          <w:color w:val="auto"/>
        </w:rPr>
        <w:t>The deployment went so smoothly that in 2017, ADP deployed Falcon Insight and Falcon OverWatch as the primary endpoint protection technology for all of the firm's desktops, some 100,000 PCs, and added additional modules: Falcon Prevent, Falcon Discover and Falcon Intelligence (which we now offer as Falcon X). Working closely with CrowdStrike during these multiple deployments, ADP came to value CrowdStrike's innovative ethos and extraordinary ability to turn ideas into tangible security and peace of mind for its customers.</w:t>
      </w:r>
    </w:p>
    <w:p>
      <w:pPr>
        <w:spacing w:after="0" w:line="165" w:lineRule="exact"/>
        <w:rPr>
          <w:sz w:val="20"/>
          <w:szCs w:val="20"/>
          <w:color w:val="auto"/>
        </w:rPr>
      </w:pPr>
    </w:p>
    <w:p>
      <w:pPr>
        <w:ind w:right="80" w:firstLine="487"/>
        <w:spacing w:after="0" w:line="247" w:lineRule="auto"/>
        <w:rPr>
          <w:sz w:val="20"/>
          <w:szCs w:val="20"/>
          <w:color w:val="auto"/>
        </w:rPr>
      </w:pPr>
      <w:r>
        <w:rPr>
          <w:rFonts w:ascii="Arial" w:cs="Arial" w:eastAsia="Arial" w:hAnsi="Arial"/>
          <w:sz w:val="18"/>
          <w:szCs w:val="18"/>
          <w:i w:val="1"/>
          <w:iCs w:val="1"/>
          <w:color w:val="auto"/>
        </w:rPr>
        <w:t>"In my career, the deployment of the CrowdStrike Falcon platform was perhaps the easiest global security technology rollout I've seen. By leveraging the technology's cloud architecture and CrowdStrike's expertise, we were able to deploy with incredible speed and efficacy. We realized the value immediately."</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Security Officer, ADP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Pokémon Company International</w:t>
      </w:r>
    </w:p>
    <w:p>
      <w:pPr>
        <w:spacing w:after="0" w:line="214" w:lineRule="exact"/>
        <w:rPr>
          <w:sz w:val="20"/>
          <w:szCs w:val="20"/>
          <w:color w:val="auto"/>
        </w:rPr>
      </w:pPr>
    </w:p>
    <w:p>
      <w:pPr>
        <w:ind w:right="20" w:firstLine="488"/>
        <w:spacing w:after="0" w:line="239" w:lineRule="auto"/>
        <w:rPr>
          <w:sz w:val="20"/>
          <w:szCs w:val="20"/>
          <w:color w:val="auto"/>
        </w:rPr>
      </w:pPr>
      <w:r>
        <w:rPr>
          <w:rFonts w:ascii="Arial" w:cs="Arial" w:eastAsia="Arial" w:hAnsi="Arial"/>
          <w:sz w:val="18"/>
          <w:szCs w:val="18"/>
          <w:i w:val="1"/>
          <w:iCs w:val="1"/>
          <w:color w:val="auto"/>
        </w:rPr>
        <w:t xml:space="preserve">Situation: </w:t>
      </w:r>
      <w:r>
        <w:rPr>
          <w:rFonts w:ascii="Arial" w:cs="Arial" w:eastAsia="Arial" w:hAnsi="Arial"/>
          <w:sz w:val="18"/>
          <w:szCs w:val="18"/>
          <w:color w:val="auto"/>
        </w:rPr>
        <w:t>The Pokémon Company International is responsible for the brand management, licensing and marketing of Pokémon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globally. In 2017, the company introduced the smash hit product, PokémonGo, which saw its online business rapidly expand to hundreds of millions of users worldwide. That success also drew the attention of cybercriminals, many seeking to capitalize on the game's popularity with a variety of malicious activities. Management hoped to solve a range of issues by implementing a new security platform that could scale alongside Pokémon's rapidly growing hybrid IT environment, protecting both on-premise and cloud systems with a high degree of elasticity to seamlessly support spikes in usage among its global use base.</w:t>
      </w:r>
    </w:p>
    <w:p>
      <w:pPr>
        <w:spacing w:after="0" w:line="194" w:lineRule="exact"/>
        <w:rPr>
          <w:sz w:val="20"/>
          <w:szCs w:val="20"/>
          <w:color w:val="auto"/>
        </w:rPr>
      </w:pPr>
    </w:p>
    <w:p>
      <w:pPr>
        <w:ind w:right="60" w:firstLine="488"/>
        <w:spacing w:after="0" w:line="275" w:lineRule="auto"/>
        <w:rPr>
          <w:sz w:val="20"/>
          <w:szCs w:val="20"/>
          <w:color w:val="auto"/>
        </w:rPr>
      </w:pPr>
      <w:r>
        <w:rPr>
          <w:rFonts w:ascii="Arial" w:cs="Arial" w:eastAsia="Arial" w:hAnsi="Arial"/>
          <w:sz w:val="16"/>
          <w:szCs w:val="16"/>
          <w:i w:val="1"/>
          <w:iCs w:val="1"/>
          <w:color w:val="auto"/>
        </w:rPr>
        <w:t xml:space="preserve">Solution: </w:t>
      </w:r>
      <w:r>
        <w:rPr>
          <w:rFonts w:ascii="Arial" w:cs="Arial" w:eastAsia="Arial" w:hAnsi="Arial"/>
          <w:sz w:val="16"/>
          <w:szCs w:val="16"/>
          <w:color w:val="auto"/>
        </w:rPr>
        <w:t>To achieve security, visibility and IT hygiene, Pokémon deployed our Falcon platform, including Falcon Prevent, Falcon Insight,</w:t>
      </w:r>
      <w:r>
        <w:rPr>
          <w:rFonts w:ascii="Arial" w:cs="Arial" w:eastAsia="Arial" w:hAnsi="Arial"/>
          <w:sz w:val="16"/>
          <w:szCs w:val="16"/>
          <w:i w:val="1"/>
          <w:iCs w:val="1"/>
          <w:color w:val="auto"/>
        </w:rPr>
        <w:t xml:space="preserve"> </w:t>
      </w:r>
      <w:r>
        <w:rPr>
          <w:rFonts w:ascii="Arial" w:cs="Arial" w:eastAsia="Arial" w:hAnsi="Arial"/>
          <w:sz w:val="16"/>
          <w:szCs w:val="16"/>
          <w:color w:val="auto"/>
        </w:rPr>
        <w:t>and Falcon OverWatch modules across its environment in 2018. Based on the initial success of this install, Pokémon gained further visibility into its cloud infrastructure by subsequently deploying our Falcon Discover module on AWS to identify all Amazon EC2 instances that did not have the Falcon platform installed, as well as provide granular details about each Falcon equipped endpoints. The security and deep visibility our platform offered across Pokémon's entire environment not only provided value to their security organization, but to its developers and engineers by allowing them to improve their ability to track and manage different software tools to build and deploy applications.</w:t>
      </w:r>
    </w:p>
    <w:p>
      <w:pPr>
        <w:spacing w:after="0" w:line="166" w:lineRule="exact"/>
        <w:rPr>
          <w:sz w:val="20"/>
          <w:szCs w:val="20"/>
          <w:color w:val="auto"/>
        </w:rPr>
      </w:pPr>
    </w:p>
    <w:p>
      <w:pPr>
        <w:ind w:right="80" w:firstLine="487"/>
        <w:spacing w:after="0" w:line="243" w:lineRule="auto"/>
        <w:rPr>
          <w:sz w:val="20"/>
          <w:szCs w:val="20"/>
          <w:color w:val="auto"/>
        </w:rPr>
      </w:pPr>
      <w:r>
        <w:rPr>
          <w:rFonts w:ascii="Arial" w:cs="Arial" w:eastAsia="Arial" w:hAnsi="Arial"/>
          <w:sz w:val="18"/>
          <w:szCs w:val="18"/>
          <w:i w:val="1"/>
          <w:iCs w:val="1"/>
          <w:color w:val="auto"/>
        </w:rPr>
        <w:t>"CrowdStrike allows our security team to move faster than ever before. One of our challenges at the forefront was finding a platform that could allow our analysts to pivot seamlessly from one system to the other. CrowdStrike gives us this capability. One of the reasons we went with CrowdStrike versus competitors was the level of integration that the platform had, with a whole range of security capabilities. That's been extremely helpful so far, and we are excited about the future and continued partnership with CrowdStrike."</w:t>
      </w:r>
    </w:p>
    <w:p>
      <w:pPr>
        <w:spacing w:after="0" w:line="206"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—CISO, Pokémon Company International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Hyatt Hotels Corporation</w:t>
      </w:r>
    </w:p>
    <w:p>
      <w:pPr>
        <w:spacing w:after="0" w:line="214" w:lineRule="exact"/>
        <w:rPr>
          <w:sz w:val="20"/>
          <w:szCs w:val="20"/>
          <w:color w:val="auto"/>
        </w:rPr>
      </w:pPr>
    </w:p>
    <w:p>
      <w:pPr>
        <w:ind w:right="180" w:firstLine="488"/>
        <w:spacing w:after="0" w:line="322" w:lineRule="auto"/>
        <w:rPr>
          <w:sz w:val="20"/>
          <w:szCs w:val="20"/>
          <w:color w:val="auto"/>
        </w:rPr>
      </w:pPr>
      <w:r>
        <w:rPr>
          <w:rFonts w:ascii="Arial" w:cs="Arial" w:eastAsia="Arial" w:hAnsi="Arial"/>
          <w:sz w:val="16"/>
          <w:szCs w:val="16"/>
          <w:i w:val="1"/>
          <w:iCs w:val="1"/>
          <w:color w:val="auto"/>
        </w:rPr>
        <w:t xml:space="preserve">Situation: </w:t>
      </w:r>
      <w:r>
        <w:rPr>
          <w:rFonts w:ascii="Arial" w:cs="Arial" w:eastAsia="Arial" w:hAnsi="Arial"/>
          <w:sz w:val="16"/>
          <w:szCs w:val="16"/>
          <w:color w:val="auto"/>
        </w:rPr>
        <w:t>Hyatt is a global hospitality company with a portfolio of more than 750 properties in over 55 countries. As Hyatt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looked to evolve its security posture, they began looking for a new antivirus and endpoint detection and response (EDR) solution.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right="100" w:firstLine="488"/>
        <w:spacing w:after="0" w:line="243" w:lineRule="auto"/>
        <w:rPr>
          <w:sz w:val="20"/>
          <w:szCs w:val="20"/>
          <w:color w:val="auto"/>
        </w:rPr>
      </w:pPr>
      <w:r>
        <w:rPr>
          <w:rFonts w:ascii="Arial" w:cs="Arial" w:eastAsia="Arial" w:hAnsi="Arial"/>
          <w:sz w:val="18"/>
          <w:szCs w:val="18"/>
          <w:i w:val="1"/>
          <w:iCs w:val="1"/>
          <w:color w:val="auto"/>
        </w:rPr>
        <w:t xml:space="preserve">Solution: </w:t>
      </w:r>
      <w:r>
        <w:rPr>
          <w:rFonts w:ascii="Arial" w:cs="Arial" w:eastAsia="Arial" w:hAnsi="Arial"/>
          <w:sz w:val="18"/>
          <w:szCs w:val="18"/>
          <w:color w:val="auto"/>
        </w:rPr>
        <w:t>In 2017, Hyatt began using a broad spectrum of our platform, including deploying modules across 40,000 endpoints in just</w:t>
      </w:r>
      <w:r>
        <w:rPr>
          <w:rFonts w:ascii="Arial" w:cs="Arial" w:eastAsia="Arial" w:hAnsi="Arial"/>
          <w:sz w:val="18"/>
          <w:szCs w:val="18"/>
          <w:i w:val="1"/>
          <w:iCs w:val="1"/>
          <w:color w:val="auto"/>
        </w:rPr>
        <w:t xml:space="preserve"> </w:t>
      </w:r>
      <w:r>
        <w:rPr>
          <w:rFonts w:ascii="Arial" w:cs="Arial" w:eastAsia="Arial" w:hAnsi="Arial"/>
          <w:sz w:val="18"/>
          <w:szCs w:val="18"/>
          <w:color w:val="auto"/>
        </w:rPr>
        <w:t>days, including threat intelligence, threat monitoring and malware analysis. Since then, Hyatt has experienced significantly higher efficacy in protecting against breaches and reduced its number of false positives. This includes the ability to alert Hyatt of attempted intrusions in real time, providing the Hyatt organization with peace of mind and empowering them to focus on protecting against breaches.</w:t>
      </w:r>
    </w:p>
    <w:p>
      <w:pPr>
        <w:spacing w:after="0" w:line="188" w:lineRule="exact"/>
        <w:rPr>
          <w:sz w:val="20"/>
          <w:szCs w:val="20"/>
          <w:color w:val="auto"/>
        </w:rPr>
      </w:pPr>
    </w:p>
    <w:p>
      <w:pPr>
        <w:ind w:right="200" w:firstLine="487"/>
        <w:spacing w:after="0" w:line="247" w:lineRule="auto"/>
        <w:rPr>
          <w:sz w:val="20"/>
          <w:szCs w:val="20"/>
          <w:color w:val="auto"/>
        </w:rPr>
      </w:pPr>
      <w:r>
        <w:rPr>
          <w:rFonts w:ascii="Arial" w:cs="Arial" w:eastAsia="Arial" w:hAnsi="Arial"/>
          <w:sz w:val="18"/>
          <w:szCs w:val="18"/>
          <w:i w:val="1"/>
          <w:iCs w:val="1"/>
          <w:color w:val="auto"/>
        </w:rPr>
        <w:t>"CrowdStrike products are a key part of Hyatt's cybersecurity ecosystem. Our security has improved measurably since implementing the platform last year. The unique combination of best-in-class antivirus, endpoint detection and response, as well as the threat intelligence and dedicated support team far surpasses our expectations."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CISO, Hyatt Hotels Corporation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ind w:right="640" w:firstLine="488"/>
        <w:spacing w:after="0" w:line="239" w:lineRule="auto"/>
        <w:rPr>
          <w:sz w:val="20"/>
          <w:szCs w:val="20"/>
          <w:color w:val="auto"/>
        </w:rPr>
      </w:pPr>
      <w:r>
        <w:rPr>
          <w:rFonts w:ascii="Arial" w:cs="Arial" w:eastAsia="Arial" w:hAnsi="Arial"/>
          <w:sz w:val="18"/>
          <w:szCs w:val="18"/>
          <w:color w:val="auto"/>
        </w:rPr>
        <w:t>Our sales and marketing organizations work together closely to drive market awareness, build a strong sales pipeline and cultivate customer relationships to drive revenue growth.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3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We primarily sell subscriptions to our Falcon platform and cloud modules through our direct sales team, which is comprised of field sales and inside sales professionals who are segmented by a customer's number of endpoints. Our sales team also leverages our network of channel partners. We also use our sales team to identify current customers who may be interested in free trials of additional cloud modules, which serves as a powerful driver of our land and expand model. By segmenting our sales teams, we can deploy a low-touch sales model that efficiently identifies prospective customers.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3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Our marketing organization is focused on building our brand reputation, increasing the awareness and reputation of our platform, and driving customer demand. As part of these efforts, we deliver targeted content to demonstrate thought leadership in the security industry, including speaking engagements with the security industry's foremost organizations to provide expert advice, issuing regular reports on the state of the industry, educating the public about the cybersecurity threats, and identifying and naming adversary groups. We also engage in paid media, web marketing, industry and trade conferences, including our annual Fal.Con conference, analyst engagements, producing whitepapers, demand generation via digital and web, and targeted displacement campaigns. We employ a wide range of digital programs, including search engine marketing, online and social media initiatives, and content syndication to increase traffic to our website and encourage new customers to sign up for a 15-day free trial of the Falcon platform. Additionally, we engage in joint marketing activities with our channel and technology alliance partners. In December 2017, we began to employ a trial-to-pay model in which we offer free trial access to our Falcon Prevent to prospective customers directly from our website or the AWS Marketplace.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Partnership Ecosystem</w:t>
      </w:r>
    </w:p>
    <w:p>
      <w:pPr>
        <w:spacing w:after="0" w:line="234" w:lineRule="exact"/>
        <w:rPr>
          <w:sz w:val="20"/>
          <w:szCs w:val="20"/>
          <w:color w:val="auto"/>
        </w:rPr>
      </w:pPr>
    </w:p>
    <w:p>
      <w:pPr>
        <w:jc w:val="both"/>
        <w:ind w:right="540" w:firstLine="488"/>
        <w:spacing w:after="0" w:line="237" w:lineRule="auto"/>
        <w:rPr>
          <w:sz w:val="20"/>
          <w:szCs w:val="20"/>
          <w:color w:val="auto"/>
        </w:rPr>
      </w:pPr>
      <w:r>
        <w:rPr>
          <w:rFonts w:ascii="Arial" w:cs="Arial" w:eastAsia="Arial" w:hAnsi="Arial"/>
          <w:sz w:val="18"/>
          <w:szCs w:val="18"/>
          <w:color w:val="auto"/>
        </w:rPr>
        <w:t>We work with a number of technology alliance partners to design go-to-market strategies that combine our platform with products or services provided by our technology alliance partners. These partner integrations deliver more secure solutions and an improved end user experience to their customers. Our technology alliance partnerships focus on security analytics, network and infrastructure security, threat platforms and orchestration, and automation. We recently launched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CrowdStrike Store, the first open cloud-based application PaaS for cybersecurity and the industry's first unified security cloud ecosystem of trusted third-party applications. In addition, we recently announced a strategic technology and go-to-market partnership with Dell Inc. that will enable Dell's business customers to seamlessly add the Falcon platform to their purchase of Dell hardware. Dell and SecureWorks Corp. have also agreed to take our Falcon platform to market as their preferred endpoint security offering through their global sales organizations.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jc w:val="both"/>
        <w:ind w:right="180" w:firstLine="488"/>
        <w:spacing w:after="0" w:line="238" w:lineRule="auto"/>
        <w:rPr>
          <w:sz w:val="20"/>
          <w:szCs w:val="20"/>
          <w:color w:val="auto"/>
        </w:rPr>
      </w:pPr>
      <w:r>
        <w:rPr>
          <w:rFonts w:ascii="Arial" w:cs="Arial" w:eastAsia="Arial" w:hAnsi="Arial"/>
          <w:sz w:val="18"/>
          <w:szCs w:val="18"/>
          <w:color w:val="auto"/>
        </w:rPr>
        <w:t>Our research and development organization is responsible for the design, architecture, operation and quality of our cloud native Falcon platform. In addition to improving on our features, functionality and scalability, this organization works closely with our cloud operations team to ensure that our platform is available, reliable, and stable.</w:t>
      </w:r>
    </w:p>
    <w:p>
      <w:pPr>
        <w:spacing w:after="0" w:line="208"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Our success is a result of our continuous drive for innovation. Our internal team of security experts, researchers, intelligence analysts, and threat hunters continuously analyzes the evolving global threat landscape to develop products that defend against today's most sophisticated and stealthy attacks and reports on emerging security issues. We invest substantial resources in research and development to enhance our Falcon platform, and develop new cloud modules, features and functionality. We believe timely development of new, and enhancement of our, products, services, and features is essential to maintaining our competitive position. We work closely with our customers and channel partners to gain valuable insight into their security management practices to assist us in designing new cloud modules and features that extend the capability of our platform. Our technical staff monitors and tests our software on a regular basis, and we also make our Falcon platform available for third-party validation. We also maintain a regular release process to update and enhance our existing solutions. In addition, we engage security consulting firms to perform periodic vulnerability analysis of our solutions. Our research and development expenses were $39.1 million, $58.9 million, $43.0 million, and $62.5 million for fiscal 2017 and fiscal 2018 and the nine months ended October 31, 2017 and 2018, respectively.</w:t>
      </w:r>
    </w:p>
    <w:p>
      <w:pPr>
        <w:spacing w:after="0" w:line="214" w:lineRule="exact"/>
        <w:rPr>
          <w:sz w:val="20"/>
          <w:szCs w:val="20"/>
          <w:color w:val="auto"/>
        </w:rPr>
      </w:pPr>
    </w:p>
    <w:p>
      <w:pPr>
        <w:ind w:right="200" w:firstLine="488"/>
        <w:spacing w:after="0" w:line="299" w:lineRule="auto"/>
        <w:rPr>
          <w:sz w:val="20"/>
          <w:szCs w:val="20"/>
          <w:color w:val="auto"/>
        </w:rPr>
      </w:pPr>
      <w:r>
        <w:rPr>
          <w:rFonts w:ascii="Arial" w:cs="Arial" w:eastAsia="Arial" w:hAnsi="Arial"/>
          <w:sz w:val="16"/>
          <w:szCs w:val="16"/>
          <w:color w:val="auto"/>
        </w:rPr>
        <w:t>Our research and development leadership team is located in Seattle, Washington, Washington, D.C., and Sunnyvale, California, and we also maintain research and development centers in Irvine, California. We plan to dedicate significant resources to research and development.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right="180" w:firstLine="484"/>
        <w:spacing w:after="0" w:line="272" w:lineRule="auto"/>
        <w:rPr>
          <w:sz w:val="20"/>
          <w:szCs w:val="20"/>
          <w:color w:val="auto"/>
        </w:rPr>
      </w:pPr>
      <w:r>
        <w:rPr>
          <w:rFonts w:ascii="Arial" w:cs="Arial" w:eastAsia="Arial" w:hAnsi="Arial"/>
          <w:sz w:val="16"/>
          <w:szCs w:val="16"/>
          <w:color w:val="auto"/>
        </w:rPr>
        <w:t>The market for our services is intensely competitive and characterized by rapid changes in technology, customer requirements, and industry standards and by frequent new product and service offerings and improvements. We compete with an array of established and emerging security solution vendors. Conditions in our market could change rapidly and significantly as a result of technological advancements, partnerships, or acquisitions by our competitors or continuing market consolidation. With the introduction of new technologies and market entrants, we expect the competitive environment to remain intense. Our competitors include the following by general category:</w:t>
      </w:r>
    </w:p>
    <w:p>
      <w:pPr>
        <w:spacing w:after="0" w:line="186" w:lineRule="exact"/>
        <w:rPr>
          <w:sz w:val="20"/>
          <w:szCs w:val="20"/>
          <w:color w:val="auto"/>
        </w:rPr>
      </w:pPr>
    </w:p>
    <w:p>
      <w:pPr>
        <w:ind w:left="1080" w:right="200" w:hanging="532"/>
        <w:spacing w:after="0" w:line="23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legacy antivirus product providers, such as McAfee, Inc. and Symantec Corporation, who offer a broad range of approaches and solutions with traditional antivirus and signature-based protection;</w:t>
      </w:r>
    </w:p>
    <w:p>
      <w:pPr>
        <w:spacing w:after="0" w:line="208" w:lineRule="exact"/>
        <w:rPr>
          <w:rFonts w:ascii="Arial" w:cs="Arial" w:eastAsia="Arial" w:hAnsi="Arial"/>
          <w:sz w:val="18"/>
          <w:szCs w:val="18"/>
          <w:color w:val="auto"/>
        </w:rPr>
      </w:pPr>
    </w:p>
    <w:p>
      <w:pPr>
        <w:ind w:left="1080" w:right="80" w:hanging="532"/>
        <w:spacing w:after="0" w:line="23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alternative endpoint security providers, such as Cylance, Inc. and Carbon Black, Inc., who offer point products based on malware-only or application whitelisting techniques; and</w:t>
      </w:r>
    </w:p>
    <w:p>
      <w:pPr>
        <w:spacing w:after="0" w:line="195" w:lineRule="exact"/>
        <w:rPr>
          <w:rFonts w:ascii="Arial" w:cs="Arial" w:eastAsia="Arial" w:hAnsi="Arial"/>
          <w:sz w:val="18"/>
          <w:szCs w:val="18"/>
          <w:color w:val="auto"/>
        </w:rPr>
      </w:pPr>
    </w:p>
    <w:p>
      <w:pPr>
        <w:ind w:left="1080" w:right="180" w:hanging="532"/>
        <w:spacing w:after="0" w:line="23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and FireEye, Inc., who are supplementing their core perimeter-based offerings with endpoint security solutions.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the basis of a number of factors, including but not limited to our:</w:t>
      </w:r>
    </w:p>
    <w:p>
      <w:pPr>
        <w:spacing w:after="0" w:line="212"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ability to identify security threats and prevent security breaches;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ability to integrate with other participants in the security ecosystem;</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time to value, price, and total cost of ownership;</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brand awareness, reputation, and trust in the provider's services;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strength of sales, marketing, and channel partner relationships;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customer support, incident response, and proactive services.</w:t>
      </w:r>
    </w:p>
    <w:p>
      <w:pPr>
        <w:spacing w:after="0" w:line="212" w:lineRule="exact"/>
        <w:rPr>
          <w:sz w:val="20"/>
          <w:szCs w:val="20"/>
          <w:color w:val="auto"/>
        </w:rPr>
      </w:pPr>
    </w:p>
    <w:p>
      <w:pPr>
        <w:ind w:firstLine="478"/>
        <w:spacing w:after="0" w:line="238" w:lineRule="auto"/>
        <w:rPr>
          <w:sz w:val="20"/>
          <w:szCs w:val="20"/>
          <w:color w:val="auto"/>
        </w:rPr>
      </w:pPr>
      <w:r>
        <w:rPr>
          <w:rFonts w:ascii="Arial" w:cs="Arial" w:eastAsia="Arial" w:hAnsi="Arial"/>
          <w:sz w:val="18"/>
          <w:szCs w:val="18"/>
          <w:color w:val="auto"/>
        </w:rPr>
        <w:t>Although certain of our competitors enjoy greater resources, recognition, deeper customer relationships, larger existing customer bases, or more mature intellectual property portfolios, we believe that we compete favorably with respect to these factors and that we are well positioned as a leading provider of endpoint security solutions.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ind w:right="340" w:firstLine="488"/>
        <w:spacing w:after="0" w:line="236"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211" w:lineRule="exact"/>
        <w:rPr>
          <w:sz w:val="20"/>
          <w:szCs w:val="20"/>
          <w:color w:val="auto"/>
        </w:rPr>
      </w:pPr>
    </w:p>
    <w:p>
      <w:pPr>
        <w:ind w:firstLine="478"/>
        <w:spacing w:after="0" w:line="266" w:lineRule="auto"/>
        <w:rPr>
          <w:sz w:val="20"/>
          <w:szCs w:val="20"/>
          <w:color w:val="auto"/>
        </w:rPr>
      </w:pPr>
      <w:r>
        <w:rPr>
          <w:rFonts w:ascii="Arial" w:cs="Arial" w:eastAsia="Arial" w:hAnsi="Arial"/>
          <w:sz w:val="16"/>
          <w:szCs w:val="16"/>
          <w:color w:val="auto"/>
        </w:rPr>
        <w:t>As of December 31, 2018, we had 13 issued patents in the United States, eight issued patents in a number of international jurisdictions, 45 patent applications (including seven provisional applications) pending in the United States and 45 patent applications (including one Patent Cooperation Treaty application) pending internationally. Our issued patents expire between 2032 and 2037. These patents and patent applications seek to protect our proprietary inventions relevant to our business. 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or other third-parties may also claim that our security platform and other solutions infringe their intellectual property rights. In particular, some companies in our industry have extensive patent portfolios. From time to time, third parties have in the past and may in the future assert claims of infringement, misappropriation and other violations of intellectual property rights against us or our customers, with whom our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 Factors—Risks Related to Our Business—The success of our business depends in part on our ability to protect and enforce our intellectual property rights."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firstLine="478"/>
        <w:spacing w:after="0" w:line="272" w:lineRule="auto"/>
        <w:rPr>
          <w:sz w:val="20"/>
          <w:szCs w:val="20"/>
          <w:color w:val="auto"/>
        </w:rPr>
      </w:pPr>
      <w:r>
        <w:rPr>
          <w:rFonts w:ascii="Arial" w:cs="Arial" w:eastAsia="Arial" w:hAnsi="Arial"/>
          <w:sz w:val="16"/>
          <w:szCs w:val="16"/>
          <w:color w:val="auto"/>
        </w:rPr>
        <w:t>As of December 31, 2018, we had 1,348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Foundation</w:t>
      </w:r>
    </w:p>
    <w:p>
      <w:pPr>
        <w:spacing w:after="0" w:line="234"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have a history of providing pro bono service and giving back to the cybersecurity community. In 2017 we established the CrowdStrike Foundation, a tax-exempt 501(c)(3) nonprofit, to nurture and develop the next generation of talent and research in cybersecurity and AI. The CrowdStrike Foundation funds scholarships and research in cybersecurity and AI and provides pro-bono security software to non-profit organizations, journalists and activists facing sophisticated intrusions. The CrowdStrike Foundation also supports communities across the globe through philanthropy, volunteer work, and other activities.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ind w:right="180" w:firstLine="488"/>
        <w:spacing w:after="0" w:line="238" w:lineRule="auto"/>
        <w:rPr>
          <w:sz w:val="20"/>
          <w:szCs w:val="20"/>
          <w:color w:val="auto"/>
        </w:rPr>
      </w:pPr>
      <w:r>
        <w:rPr>
          <w:rFonts w:ascii="Arial" w:cs="Arial" w:eastAsia="Arial" w:hAnsi="Arial"/>
          <w:sz w:val="18"/>
          <w:szCs w:val="18"/>
          <w:color w:val="auto"/>
        </w:rPr>
        <w:t>Our corporate headquarters occupies approximately 30,331 square feet in Sunnyvale, California under leases that expire between 2020 and 2023. We also lease offices in California, Maryland, Missouri, Minnesota, Texas, Virginia, and Washington, as well as locations internationally, including in Australia, Germany, India, Romania, and the United Kingdom.</w:t>
      </w:r>
    </w:p>
    <w:p>
      <w:pPr>
        <w:spacing w:after="0" w:line="208" w:lineRule="exact"/>
        <w:rPr>
          <w:sz w:val="20"/>
          <w:szCs w:val="20"/>
          <w:color w:val="auto"/>
        </w:rPr>
      </w:pPr>
    </w:p>
    <w:p>
      <w:pPr>
        <w:ind w:right="140" w:firstLine="488"/>
        <w:spacing w:after="0" w:line="238" w:lineRule="auto"/>
        <w:rPr>
          <w:sz w:val="20"/>
          <w:szCs w:val="20"/>
          <w:color w:val="auto"/>
        </w:rPr>
      </w:pPr>
      <w:r>
        <w:rPr>
          <w:rFonts w:ascii="Arial" w:cs="Arial" w:eastAsia="Arial" w:hAnsi="Arial"/>
          <w:sz w:val="18"/>
          <w:szCs w:val="18"/>
          <w:color w:val="auto"/>
        </w:rPr>
        <w:t>We believe that our existing facilities are sufficient for our current needs. In the future, we may need to add new facilities and expand our existing facilities as we add employees, grow our infrastructure and evolve our business, and we believe that suitable additional or substitute space will be available on commercially reasonable terms to meet our future needs.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We are currently involved in proceedings before the Trademark Trial and Appeal Board at the U.S. Patent and Trademark Office, or USPTO, regarding our U.S. trademark registrations for "CrowdStrike Falcon" and our U.S. application to register our "Falcon OverWatch" trademark. On November 23, 2016, Fair Isaac Corporation, or FICO, filed a Petition for Cancellation of our "CrowdStrike Falcon" trademark registrations and a Notice of Opposition against our "Falcon OverWatch" trademark application before the U.S. Patent and Trademark Office, Trademark Trial and Appeal Board, or TTAB. On January 3, 2017, we filed answers to both the cancellation and opposition proceedings, and the proceedings thereafter were consolidated. The trial phase in the consolidated proceedings commences on March 11, 2019. On November 21, 2018, we filed a Petition for Partial Cancellation or Amendment of one of FICO's "Falcon" trademark registrations, and FICO moved to dismiss that petition on January 16, 2019. Together with FICO, we jointly requested that the TTAB consolidate this proceeding with the proceedings initiated by FICO, including a continuance of the pre-trial and trial schedule for the proceedings initiated by FICO, and that motion is pending. On January 28, 2019, the parties jointly requested a suspension of the pre-trial and trial schedule in the consolidated proceedings filed by FICO pending resolution of FICO's motion to dismiss and the parties' request to consolidate the proceedings. If we do not ultimately prevail in these proceedings and in any subsequent appeal or civil action, we could ultimately be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required to change the names of our solutions, which may entail significant expense and adversely affect our brand recognition.</w:t>
      </w:r>
    </w:p>
    <w:p>
      <w:pPr>
        <w:spacing w:after="0" w:line="212" w:lineRule="exact"/>
        <w:rPr>
          <w:sz w:val="20"/>
          <w:szCs w:val="20"/>
          <w:color w:val="auto"/>
        </w:rPr>
      </w:pPr>
    </w:p>
    <w:p>
      <w:pPr>
        <w:jc w:val="both"/>
        <w:ind w:firstLine="488"/>
        <w:spacing w:after="0" w:line="275" w:lineRule="auto"/>
        <w:rPr>
          <w:sz w:val="20"/>
          <w:szCs w:val="20"/>
          <w:color w:val="auto"/>
        </w:rPr>
      </w:pPr>
      <w:r>
        <w:rPr>
          <w:rFonts w:ascii="Arial" w:cs="Arial" w:eastAsia="Arial" w:hAnsi="Arial"/>
          <w:sz w:val="16"/>
          <w:szCs w:val="16"/>
          <w:color w:val="auto"/>
        </w:rPr>
        <w:t>From time to time, we may be subject to legal proceedings arising in the ordinary course of business. In addition, from time to time, third parties may assert intellectual property infringement claims against us in the form of letters and other forms of communication. As of the date of this prospectus, we are not a party to any litigation the outcome of which, if determined adversely to us, would individually or in the aggregate be reasonably expected to have a material adverse effect on our results of operations, prospects, cash flows, financial position, or brand.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January 31, 2019:</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36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Age</w:t>
            </w:r>
          </w:p>
        </w:tc>
        <w:tc>
          <w:tcPr>
            <w:tcW w:w="474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203"/>
        </w:trPr>
        <w:tc>
          <w:tcPr>
            <w:tcW w:w="360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i w:val="1"/>
                <w:iCs w:val="1"/>
                <w:color w:val="auto"/>
              </w:rPr>
              <w:t>Executive Officers:</w:t>
            </w:r>
          </w:p>
        </w:tc>
        <w:tc>
          <w:tcPr>
            <w:tcW w:w="1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740" w:type="dxa"/>
            <w:vAlign w:val="bottom"/>
            <w:tcBorders>
              <w:top w:val="single" w:sz="8" w:color="auto"/>
            </w:tcBorders>
            <w:shd w:val="clear" w:color="auto" w:fill="CCEEFF"/>
          </w:tcPr>
          <w:p>
            <w:pPr>
              <w:spacing w:after="0"/>
              <w:rPr>
                <w:sz w:val="17"/>
                <w:szCs w:val="17"/>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George Kurtz</w:t>
            </w: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48</w:t>
            </w: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Burt W. Podbere</w:t>
            </w:r>
          </w:p>
        </w:tc>
        <w:tc>
          <w:tcPr>
            <w:tcW w:w="7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w:t>
            </w: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Colin Black</w:t>
            </w: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Chief Operating Officer and Chief Information Officer</w:t>
            </w:r>
          </w:p>
        </w:tc>
      </w:tr>
      <w:tr>
        <w:trPr>
          <w:trHeight w:val="44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Key Employees:</w:t>
            </w: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Dmitri Alperovitch</w:t>
            </w: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Chief Technology Officer</w:t>
            </w: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Michael Carpenter</w:t>
            </w:r>
          </w:p>
        </w:tc>
        <w:tc>
          <w:tcPr>
            <w:tcW w:w="7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w:t>
            </w: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President, Global Sales and Field Operations</w:t>
            </w: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Johanna Flower</w:t>
            </w: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Chief Marketing Officer</w:t>
            </w: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Shawn Henry</w:t>
            </w:r>
          </w:p>
        </w:tc>
        <w:tc>
          <w:tcPr>
            <w:tcW w:w="7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w:t>
            </w: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7"/>
              </w:rPr>
              <w:t>President of CrowdStrike Services and Chief Security Officer</w:t>
            </w: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Amol S. Kulkarni, Ph.D.</w:t>
            </w: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48</w:t>
            </w: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Chief Product Officer</w:t>
            </w: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Adam Meyers</w:t>
            </w:r>
          </w:p>
        </w:tc>
        <w:tc>
          <w:tcPr>
            <w:tcW w:w="7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w:t>
            </w: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President, Intelligence</w:t>
            </w:r>
          </w:p>
        </w:tc>
      </w:tr>
      <w:tr>
        <w:trPr>
          <w:trHeight w:val="446"/>
        </w:trPr>
        <w:tc>
          <w:tcPr>
            <w:tcW w:w="3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Roxanne S. Austin</w:t>
            </w:r>
          </w:p>
        </w:tc>
        <w:tc>
          <w:tcPr>
            <w:tcW w:w="7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w:t>
            </w: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Cary J. Davis</w:t>
            </w: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52</w:t>
            </w: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Sameer K. Gandhi</w:t>
            </w:r>
          </w:p>
        </w:tc>
        <w:tc>
          <w:tcPr>
            <w:tcW w:w="7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Joseph P. Landy</w:t>
            </w: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57</w:t>
            </w: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Denis J. O'Leary</w:t>
            </w:r>
          </w:p>
        </w:tc>
        <w:tc>
          <w:tcPr>
            <w:tcW w:w="7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w:t>
            </w: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Joseph E. Sexton</w:t>
            </w: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Godfrey R. Sullivan</w:t>
            </w:r>
          </w:p>
        </w:tc>
        <w:tc>
          <w:tcPr>
            <w:tcW w:w="7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w:t>
            </w: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14"/>
        </w:trPr>
        <w:tc>
          <w:tcPr>
            <w:tcW w:w="3600" w:type="dxa"/>
            <w:vAlign w:val="bottom"/>
          </w:tcPr>
          <w:p>
            <w:pPr>
              <w:ind w:left="20"/>
              <w:spacing w:after="0"/>
              <w:rPr>
                <w:sz w:val="20"/>
                <w:szCs w:val="20"/>
                <w:color w:val="auto"/>
              </w:rPr>
            </w:pPr>
            <w:r>
              <w:rPr>
                <w:rFonts w:ascii="Arial" w:cs="Arial" w:eastAsia="Arial" w:hAnsi="Arial"/>
                <w:sz w:val="18"/>
                <w:szCs w:val="18"/>
                <w:color w:val="auto"/>
              </w:rPr>
              <w:t>Gerhard Watzinger</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58</w:t>
            </w:r>
          </w:p>
        </w:tc>
        <w:tc>
          <w:tcPr>
            <w:tcW w:w="474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bl>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w:t>
      </w:r>
    </w:p>
    <w:p>
      <w:pPr>
        <w:spacing w:after="0" w:line="216" w:lineRule="exact"/>
        <w:rPr>
          <w:sz w:val="20"/>
          <w:szCs w:val="20"/>
          <w:color w:val="auto"/>
        </w:rPr>
      </w:pPr>
    </w:p>
    <w:p>
      <w:pPr>
        <w:ind w:firstLine="488"/>
        <w:spacing w:after="0" w:line="278" w:lineRule="auto"/>
        <w:rPr>
          <w:sz w:val="20"/>
          <w:szCs w:val="20"/>
          <w:color w:val="auto"/>
        </w:rPr>
      </w:pPr>
      <w:r>
        <w:rPr>
          <w:rFonts w:ascii="Arial" w:cs="Arial" w:eastAsia="Arial" w:hAnsi="Arial"/>
          <w:sz w:val="16"/>
          <w:szCs w:val="16"/>
          <w:i w:val="1"/>
          <w:iCs w:val="1"/>
          <w:color w:val="auto"/>
        </w:rPr>
        <w:t xml:space="preserve">George Kurtz. </w:t>
      </w:r>
      <w:r>
        <w:rPr>
          <w:rFonts w:ascii="Arial" w:cs="Arial" w:eastAsia="Arial" w:hAnsi="Arial"/>
          <w:sz w:val="16"/>
          <w:szCs w:val="16"/>
          <w:color w:val="auto"/>
        </w:rPr>
        <w:t>Mr. Kurtz is one of our co-founders and has served as our President, Chief Executive Officer, and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November 2011. From October 2004 to October 2011, Mr. Kurtz served in executive roles at McAfee, Inc., a security technology company, including as Executive Vice President and Worldwide Chief Technology Officer from October 2009 to October 2011. In October 1999, Mr. Kurtz founded Foundstone, Inc., a security technology company, where he served as its Chief Executive Officer until it was acquired by McAfee, Inc. in October 2004. Mr. Kurtz holds a B.S. in Business Administration, with a focus in Accounting from Seton Hall University.</w:t>
      </w:r>
    </w:p>
    <w:p>
      <w:pPr>
        <w:spacing w:after="0" w:line="181"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We believe Mr. Kurtz is qualified to serve on our board of directors because he is a security industry pioneer with more than 23 years of experience in the security space and an accomplished entrepreneur. Furthermore, Mr. Kurtz has accumulated extensive perspective, operational insight, and expertise as our co-founder and our Chief Executive Officer.</w:t>
      </w:r>
    </w:p>
    <w:p>
      <w:pPr>
        <w:spacing w:after="0" w:line="190" w:lineRule="exact"/>
        <w:rPr>
          <w:sz w:val="20"/>
          <w:szCs w:val="20"/>
          <w:color w:val="auto"/>
        </w:rPr>
      </w:pPr>
    </w:p>
    <w:p>
      <w:pPr>
        <w:ind w:right="260" w:firstLine="488"/>
        <w:spacing w:after="0" w:line="271" w:lineRule="auto"/>
        <w:rPr>
          <w:sz w:val="20"/>
          <w:szCs w:val="20"/>
          <w:color w:val="auto"/>
        </w:rPr>
      </w:pPr>
      <w:r>
        <w:rPr>
          <w:rFonts w:ascii="Arial" w:cs="Arial" w:eastAsia="Arial" w:hAnsi="Arial"/>
          <w:sz w:val="16"/>
          <w:szCs w:val="16"/>
          <w:i w:val="1"/>
          <w:iCs w:val="1"/>
          <w:color w:val="auto"/>
        </w:rPr>
        <w:t xml:space="preserve">Burt W. Podbere. </w:t>
      </w:r>
      <w:r>
        <w:rPr>
          <w:rFonts w:ascii="Arial" w:cs="Arial" w:eastAsia="Arial" w:hAnsi="Arial"/>
          <w:sz w:val="16"/>
          <w:szCs w:val="16"/>
          <w:color w:val="auto"/>
        </w:rPr>
        <w:t>Mr. Podbere has served as our Chief Financial Officer since September 2015. Since November 2017, he has also</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Treasurer and as a board member for the CrowdStrike Foundation, our affiliated nonprofit organization that funds scholarships and research, provides pro bono security software protection, and supports communities across the globe. From May 2014 to August 2015,</w:t>
      </w:r>
    </w:p>
    <w:p>
      <w:pPr>
        <w:spacing w:after="0" w:line="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Mr. Podbere served as Chief Financial Officer for OpenDNS, Inc., a cloud-delivered network security company, where he oversaw the finance team. From October 2011 to April 2014, he served as Chief Financial Officer for Net Optics, Inc., a manufacturer of network</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monitoring and intelligent access solutions for physical and virtual networks. Mr. Podbere is a Chartered Accountant and holds a B.A. from McGill University.</w:t>
      </w:r>
    </w:p>
    <w:p>
      <w:pPr>
        <w:spacing w:after="0" w:line="191" w:lineRule="exact"/>
        <w:rPr>
          <w:sz w:val="20"/>
          <w:szCs w:val="20"/>
          <w:color w:val="auto"/>
        </w:rPr>
      </w:pPr>
    </w:p>
    <w:p>
      <w:pPr>
        <w:ind w:right="60" w:firstLine="488"/>
        <w:spacing w:after="0" w:line="243" w:lineRule="auto"/>
        <w:rPr>
          <w:sz w:val="20"/>
          <w:szCs w:val="20"/>
          <w:color w:val="auto"/>
        </w:rPr>
      </w:pPr>
      <w:r>
        <w:rPr>
          <w:rFonts w:ascii="Arial" w:cs="Arial" w:eastAsia="Arial" w:hAnsi="Arial"/>
          <w:sz w:val="18"/>
          <w:szCs w:val="18"/>
          <w:i w:val="1"/>
          <w:iCs w:val="1"/>
          <w:color w:val="auto"/>
        </w:rPr>
        <w:t xml:space="preserve">Colin Black. </w:t>
      </w:r>
      <w:r>
        <w:rPr>
          <w:rFonts w:ascii="Arial" w:cs="Arial" w:eastAsia="Arial" w:hAnsi="Arial"/>
          <w:sz w:val="18"/>
          <w:szCs w:val="18"/>
          <w:color w:val="auto"/>
        </w:rPr>
        <w:t>Mr. Black has served as our Chief Operating Officer and our Chief Information Officer since January 2017 and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2015, respectively. From May 2012 to November 2015, he served as Chief Information Officer for Kratos Defense and Security Solutions, Inc., a provider of advanced engineering, security, surveillance, and information technology services. Mr. Black holds a B.S. in Electronic Engineering from the University of Glasgow.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Employees</w:t>
      </w:r>
    </w:p>
    <w:p>
      <w:pPr>
        <w:spacing w:after="0" w:line="216" w:lineRule="exact"/>
        <w:rPr>
          <w:sz w:val="20"/>
          <w:szCs w:val="20"/>
          <w:color w:val="auto"/>
        </w:rPr>
      </w:pPr>
    </w:p>
    <w:p>
      <w:pPr>
        <w:ind w:firstLine="488"/>
        <w:spacing w:after="0" w:line="241" w:lineRule="auto"/>
        <w:rPr>
          <w:sz w:val="20"/>
          <w:szCs w:val="20"/>
          <w:color w:val="auto"/>
        </w:rPr>
      </w:pPr>
      <w:r>
        <w:rPr>
          <w:rFonts w:ascii="Arial" w:cs="Arial" w:eastAsia="Arial" w:hAnsi="Arial"/>
          <w:sz w:val="18"/>
          <w:szCs w:val="18"/>
          <w:i w:val="1"/>
          <w:iCs w:val="1"/>
          <w:color w:val="auto"/>
        </w:rPr>
        <w:t xml:space="preserve">Dmitri Alperovitch. </w:t>
      </w:r>
      <w:r>
        <w:rPr>
          <w:rFonts w:ascii="Arial" w:cs="Arial" w:eastAsia="Arial" w:hAnsi="Arial"/>
          <w:sz w:val="18"/>
          <w:szCs w:val="18"/>
          <w:color w:val="auto"/>
        </w:rPr>
        <w:t>Mr. Alperovitch is one of our co-founders and has served as our Chief Technology Officer since November 2011.</w:t>
      </w:r>
      <w:r>
        <w:rPr>
          <w:rFonts w:ascii="Arial" w:cs="Arial" w:eastAsia="Arial" w:hAnsi="Arial"/>
          <w:sz w:val="18"/>
          <w:szCs w:val="18"/>
          <w:i w:val="1"/>
          <w:iCs w:val="1"/>
          <w:color w:val="auto"/>
        </w:rPr>
        <w:t xml:space="preserve"> </w:t>
      </w:r>
      <w:r>
        <w:rPr>
          <w:rFonts w:ascii="Arial" w:cs="Arial" w:eastAsia="Arial" w:hAnsi="Arial"/>
          <w:sz w:val="18"/>
          <w:szCs w:val="18"/>
          <w:color w:val="auto"/>
        </w:rPr>
        <w:t>Since November 2017, he has also served as President of the CrowdStrike Foundation, our affiliated nonprofit organization that funds scholarships and research, provides pro bono security software protection, and supports communities across the globe. From November 2008 to September 2011, Mr. Alperovitch served as Vice President, Threat Research for McAfee. Mr. Alperovitch holds a B.S. in Computer Science and an M.S. in Information Security from the Georgia Institute of Technology.</w:t>
      </w:r>
    </w:p>
    <w:p>
      <w:pPr>
        <w:spacing w:after="0" w:line="189" w:lineRule="exact"/>
        <w:rPr>
          <w:sz w:val="20"/>
          <w:szCs w:val="20"/>
          <w:color w:val="auto"/>
        </w:rPr>
      </w:pPr>
    </w:p>
    <w:p>
      <w:pPr>
        <w:ind w:right="240" w:firstLine="488"/>
        <w:spacing w:after="0" w:line="283" w:lineRule="auto"/>
        <w:rPr>
          <w:sz w:val="20"/>
          <w:szCs w:val="20"/>
          <w:color w:val="auto"/>
        </w:rPr>
      </w:pPr>
      <w:r>
        <w:rPr>
          <w:rFonts w:ascii="Arial" w:cs="Arial" w:eastAsia="Arial" w:hAnsi="Arial"/>
          <w:sz w:val="16"/>
          <w:szCs w:val="16"/>
          <w:i w:val="1"/>
          <w:iCs w:val="1"/>
          <w:color w:val="auto"/>
        </w:rPr>
        <w:t xml:space="preserve">Michael Carpenter. </w:t>
      </w:r>
      <w:r>
        <w:rPr>
          <w:rFonts w:ascii="Arial" w:cs="Arial" w:eastAsia="Arial" w:hAnsi="Arial"/>
          <w:sz w:val="16"/>
          <w:szCs w:val="16"/>
          <w:color w:val="auto"/>
        </w:rPr>
        <w:t>Mr. Carpenter has served as our President, Global Sales and Field Operations since November 2016. From</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2014 to September 2016, he served as President of Global Sales and Field Operations for Tanium Inc., an endpoint security and systems management company. From December 2012 to January 2014, Mr. Carpenter served as President, Americas Sales for Intel Security Group, a global computer security software company. Mr. Carpenter holds a B.A. in Accounting from the University of Massachusetts Lowell.</w:t>
      </w:r>
    </w:p>
    <w:p>
      <w:pPr>
        <w:spacing w:after="0" w:line="158" w:lineRule="exact"/>
        <w:rPr>
          <w:sz w:val="20"/>
          <w:szCs w:val="20"/>
          <w:color w:val="auto"/>
        </w:rPr>
      </w:pPr>
    </w:p>
    <w:p>
      <w:pPr>
        <w:ind w:right="120" w:firstLine="488"/>
        <w:spacing w:after="0" w:line="293" w:lineRule="auto"/>
        <w:rPr>
          <w:sz w:val="20"/>
          <w:szCs w:val="20"/>
          <w:color w:val="auto"/>
        </w:rPr>
      </w:pPr>
      <w:r>
        <w:rPr>
          <w:rFonts w:ascii="Arial" w:cs="Arial" w:eastAsia="Arial" w:hAnsi="Arial"/>
          <w:sz w:val="16"/>
          <w:szCs w:val="16"/>
          <w:i w:val="1"/>
          <w:iCs w:val="1"/>
          <w:color w:val="auto"/>
        </w:rPr>
        <w:t xml:space="preserve">Johanna Flower. </w:t>
      </w:r>
      <w:r>
        <w:rPr>
          <w:rFonts w:ascii="Arial" w:cs="Arial" w:eastAsia="Arial" w:hAnsi="Arial"/>
          <w:sz w:val="16"/>
          <w:szCs w:val="16"/>
          <w:color w:val="auto"/>
        </w:rPr>
        <w:t>Ms. Flower has served as our Chief Marketing Officer since November 2014. From June 2000 to June 2014, she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in various executive roles at Websense Inc., a cybersecurity software company now known as Forcepoint, LLC, most recently as Senior Vice President and Chief Marketing Officer. Ms. Flower holds a B.A. in Business Administration from Brighton University, United Kingdom.</w:t>
      </w:r>
    </w:p>
    <w:p>
      <w:pPr>
        <w:spacing w:after="0" w:line="150" w:lineRule="exact"/>
        <w:rPr>
          <w:sz w:val="20"/>
          <w:szCs w:val="20"/>
          <w:color w:val="auto"/>
        </w:rPr>
      </w:pPr>
    </w:p>
    <w:p>
      <w:pPr>
        <w:ind w:right="20" w:firstLine="488"/>
        <w:spacing w:after="0" w:line="239" w:lineRule="auto"/>
        <w:rPr>
          <w:sz w:val="20"/>
          <w:szCs w:val="20"/>
          <w:color w:val="auto"/>
        </w:rPr>
      </w:pPr>
      <w:r>
        <w:rPr>
          <w:rFonts w:ascii="Arial" w:cs="Arial" w:eastAsia="Arial" w:hAnsi="Arial"/>
          <w:sz w:val="18"/>
          <w:szCs w:val="18"/>
          <w:i w:val="1"/>
          <w:iCs w:val="1"/>
          <w:color w:val="auto"/>
        </w:rPr>
        <w:t xml:space="preserve">Shawn Henry. </w:t>
      </w:r>
      <w:r>
        <w:rPr>
          <w:rFonts w:ascii="Arial" w:cs="Arial" w:eastAsia="Arial" w:hAnsi="Arial"/>
          <w:sz w:val="18"/>
          <w:szCs w:val="18"/>
          <w:color w:val="auto"/>
        </w:rPr>
        <w:t>Mr. Henry has served as President of CrowdStrike Services and our Chief Security Officer since March 2012.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2016, Mr. Henry has served as a faculty member specializing in cybersecurity for the National Association of Corporate Directors, an organization providing training and education on various topics for private and public company directors. Since June 2015, Mr. Henry has served as a cybersecurity and national security analyst for NBC News, a broadcast television network. Mr. Henry previously worked for the FBI from 1987 through March 2012, including most recently as Executive Assistant Director of the FBI's Criminal, Cyber, Response and Services Branch. Mr. Henry holds a B.B.A. from Hofstra University and an M.S. in Criminal Justice from Virginia Commonwealth University.</w:t>
      </w:r>
    </w:p>
    <w:p>
      <w:pPr>
        <w:spacing w:after="0" w:line="194" w:lineRule="exact"/>
        <w:rPr>
          <w:sz w:val="20"/>
          <w:szCs w:val="20"/>
          <w:color w:val="auto"/>
        </w:rPr>
      </w:pPr>
    </w:p>
    <w:p>
      <w:pPr>
        <w:ind w:right="140" w:firstLine="481"/>
        <w:spacing w:after="0" w:line="241" w:lineRule="auto"/>
        <w:rPr>
          <w:sz w:val="20"/>
          <w:szCs w:val="20"/>
          <w:color w:val="auto"/>
        </w:rPr>
      </w:pPr>
      <w:r>
        <w:rPr>
          <w:rFonts w:ascii="Arial" w:cs="Arial" w:eastAsia="Arial" w:hAnsi="Arial"/>
          <w:sz w:val="18"/>
          <w:szCs w:val="18"/>
          <w:i w:val="1"/>
          <w:iCs w:val="1"/>
          <w:color w:val="auto"/>
        </w:rPr>
        <w:t xml:space="preserve">Amol S. Kulkarni, Ph.D. </w:t>
      </w:r>
      <w:r>
        <w:rPr>
          <w:rFonts w:ascii="Arial" w:cs="Arial" w:eastAsia="Arial" w:hAnsi="Arial"/>
          <w:sz w:val="18"/>
          <w:szCs w:val="18"/>
          <w:color w:val="auto"/>
        </w:rPr>
        <w:t>Dr. Kulkarni has served as our Chief Product Officer since July 2018, and previously served as our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Engineering from July 2017 to June 2018 and as our Vice President of Engineering from December 2014 to June 2017. From October 2000 to November 2014, he served in various executive roles at Microsoft Corporation, a software provider, most recently as Principal Engineering Manager, where he oversaw engineering projects. Dr. Kulkarni holds an M. Tech in Energy Systems Engineering from the Indian Institute of Technology, Bombay and a Ph.D. in Electrical Engineering from the University of Washington.</w:t>
      </w:r>
    </w:p>
    <w:p>
      <w:pPr>
        <w:spacing w:after="0" w:line="189" w:lineRule="exact"/>
        <w:rPr>
          <w:sz w:val="20"/>
          <w:szCs w:val="20"/>
          <w:color w:val="auto"/>
        </w:rPr>
      </w:pPr>
    </w:p>
    <w:p>
      <w:pPr>
        <w:ind w:right="460" w:firstLine="481"/>
        <w:spacing w:after="0" w:line="260" w:lineRule="auto"/>
        <w:rPr>
          <w:sz w:val="20"/>
          <w:szCs w:val="20"/>
          <w:color w:val="auto"/>
        </w:rPr>
      </w:pPr>
      <w:r>
        <w:rPr>
          <w:rFonts w:ascii="Arial" w:cs="Arial" w:eastAsia="Arial" w:hAnsi="Arial"/>
          <w:sz w:val="18"/>
          <w:szCs w:val="18"/>
          <w:i w:val="1"/>
          <w:iCs w:val="1"/>
          <w:color w:val="auto"/>
        </w:rPr>
        <w:t xml:space="preserve">Adam Meyers. </w:t>
      </w:r>
      <w:r>
        <w:rPr>
          <w:rFonts w:ascii="Arial" w:cs="Arial" w:eastAsia="Arial" w:hAnsi="Arial"/>
          <w:sz w:val="18"/>
          <w:szCs w:val="18"/>
          <w:color w:val="auto"/>
        </w:rPr>
        <w:t>Mr. Meyers has served as our Vice President, Intelligence since June 2013 and previously served as our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from September 2011 to June 2013. Mr. Meyers holds a B.A. in Political Science from George Washington University.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Non-Employee Directors</w:t>
      </w:r>
    </w:p>
    <w:p>
      <w:pPr>
        <w:spacing w:after="0" w:line="216"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i w:val="1"/>
          <w:iCs w:val="1"/>
          <w:color w:val="auto"/>
        </w:rPr>
        <w:t xml:space="preserve">Roxanne S. Austin. </w:t>
      </w:r>
      <w:r>
        <w:rPr>
          <w:rFonts w:ascii="Arial" w:cs="Arial" w:eastAsia="Arial" w:hAnsi="Arial"/>
          <w:sz w:val="18"/>
          <w:szCs w:val="18"/>
          <w:color w:val="auto"/>
        </w:rPr>
        <w:t>Ms. Austin has served on our board of directors since September 2018. Ms. Austin has served as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Austin Investment Advisors, a private investment and consulting firm, since January 2004, and has also served as chair of the U.S. Mid-Market Investment Advisory Committee of EQT Partners, a private equity group. Ms. Austin currently serves on the boards of directors of Abbott Laboratories, a provider of pharmaceutical, medical devices, and nutritional products, Target Corporation, a department store retailer, Teledyne Technologies Incorporated, an industrial conglomerate, and AbbVie Inc., a biopharmaceutical company. She previously served as on the board of directors of LM Ericsson Telephone Company, a networking and telecommunications company. Ms. Austin is a member of the California State Society of Certified Public Accountants and the American Institute of Certified Public Accountants. Ms. Austin holds a B.B.A. in Accounting from the University of Texas at San Antonio.</w:t>
      </w:r>
    </w:p>
    <w:p>
      <w:pPr>
        <w:spacing w:after="0" w:line="212" w:lineRule="exact"/>
        <w:rPr>
          <w:sz w:val="20"/>
          <w:szCs w:val="20"/>
          <w:color w:val="auto"/>
        </w:rPr>
      </w:pPr>
    </w:p>
    <w:p>
      <w:pPr>
        <w:ind w:right="320" w:firstLine="488"/>
        <w:spacing w:after="0" w:line="239" w:lineRule="auto"/>
        <w:rPr>
          <w:sz w:val="20"/>
          <w:szCs w:val="20"/>
          <w:color w:val="auto"/>
        </w:rPr>
      </w:pPr>
      <w:r>
        <w:rPr>
          <w:rFonts w:ascii="Arial" w:cs="Arial" w:eastAsia="Arial" w:hAnsi="Arial"/>
          <w:sz w:val="18"/>
          <w:szCs w:val="18"/>
          <w:color w:val="auto"/>
        </w:rPr>
        <w:t>We believe Ms. Austin is qualified to serve on our board of directors because of her extensive management and operating experience, financial expertise, and knowledge of financial statements, corporate finance and accounting matters.</w:t>
      </w:r>
    </w:p>
    <w:p>
      <w:pPr>
        <w:spacing w:after="0" w:line="191"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i w:val="1"/>
          <w:iCs w:val="1"/>
          <w:color w:val="auto"/>
        </w:rPr>
        <w:t xml:space="preserve">Cary J. Davis. </w:t>
      </w:r>
      <w:r>
        <w:rPr>
          <w:rFonts w:ascii="Arial" w:cs="Arial" w:eastAsia="Arial" w:hAnsi="Arial"/>
          <w:sz w:val="18"/>
          <w:szCs w:val="18"/>
          <w:color w:val="auto"/>
        </w:rPr>
        <w:t>Mr. Davis has served on our board of directors since July 2013. Mr. Davis is a Managing Director at Warburg Pincus,</w:t>
      </w:r>
      <w:r>
        <w:rPr>
          <w:rFonts w:ascii="Arial" w:cs="Arial" w:eastAsia="Arial" w:hAnsi="Arial"/>
          <w:sz w:val="18"/>
          <w:szCs w:val="18"/>
          <w:i w:val="1"/>
          <w:iCs w:val="1"/>
          <w:color w:val="auto"/>
        </w:rPr>
        <w:t xml:space="preserve"> </w:t>
      </w:r>
      <w:r>
        <w:rPr>
          <w:rFonts w:ascii="Arial" w:cs="Arial" w:eastAsia="Arial" w:hAnsi="Arial"/>
          <w:sz w:val="18"/>
          <w:szCs w:val="18"/>
          <w:color w:val="auto"/>
        </w:rPr>
        <w:t>which he joined in October 1994, where he focuses on investments in the software and financial technology sectors. Prior to joining Warburg Pincus, he was Executive Assistant to Michael Dell at Dell Inc., a multinational computer technology company, and a consultant at McKinsey &amp; Company, a worldwide management consulting firm. Mr. Davis currently serves on the boards of directors of Cyren Ltd., a cloud-based, internet security technology company, and several privately-held companies. Mr. Davis holds a B.A. in Economics from Yale University and an M.B.A. from Harvard Business School.</w:t>
      </w:r>
    </w:p>
    <w:p>
      <w:pPr>
        <w:spacing w:after="0" w:line="212" w:lineRule="exact"/>
        <w:rPr>
          <w:sz w:val="20"/>
          <w:szCs w:val="20"/>
          <w:color w:val="auto"/>
        </w:rPr>
      </w:pPr>
    </w:p>
    <w:p>
      <w:pPr>
        <w:ind w:right="360" w:firstLine="488"/>
        <w:spacing w:after="0" w:line="239" w:lineRule="auto"/>
        <w:rPr>
          <w:sz w:val="20"/>
          <w:szCs w:val="20"/>
          <w:color w:val="auto"/>
        </w:rPr>
      </w:pPr>
      <w:r>
        <w:rPr>
          <w:rFonts w:ascii="Arial" w:cs="Arial" w:eastAsia="Arial" w:hAnsi="Arial"/>
          <w:sz w:val="18"/>
          <w:szCs w:val="18"/>
          <w:color w:val="auto"/>
        </w:rPr>
        <w:t>We believe Mr. Davis is qualified to serve on our board of directors based on his extensive business and investment expertise and his knowledge of our company and our industry.</w:t>
      </w:r>
    </w:p>
    <w:p>
      <w:pPr>
        <w:spacing w:after="0" w:line="191" w:lineRule="exact"/>
        <w:rPr>
          <w:sz w:val="20"/>
          <w:szCs w:val="20"/>
          <w:color w:val="auto"/>
        </w:rPr>
      </w:pPr>
    </w:p>
    <w:p>
      <w:pPr>
        <w:ind w:right="40" w:firstLine="488"/>
        <w:spacing w:after="0" w:line="243" w:lineRule="auto"/>
        <w:rPr>
          <w:sz w:val="20"/>
          <w:szCs w:val="20"/>
          <w:color w:val="auto"/>
        </w:rPr>
      </w:pPr>
      <w:r>
        <w:rPr>
          <w:rFonts w:ascii="Arial" w:cs="Arial" w:eastAsia="Arial" w:hAnsi="Arial"/>
          <w:sz w:val="18"/>
          <w:szCs w:val="18"/>
          <w:i w:val="1"/>
          <w:iCs w:val="1"/>
          <w:color w:val="auto"/>
        </w:rPr>
        <w:t xml:space="preserve">Sameer K. Gandhi. </w:t>
      </w:r>
      <w:r>
        <w:rPr>
          <w:rFonts w:ascii="Arial" w:cs="Arial" w:eastAsia="Arial" w:hAnsi="Arial"/>
          <w:sz w:val="18"/>
          <w:szCs w:val="18"/>
          <w:color w:val="auto"/>
        </w:rPr>
        <w:t>Mr. Gandhi has served on our board of directors since August 2013. Mr. Gandhi is currently a partner for Accel, a</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capital firm which he joined in June 2008, where he focuses on consumer, software and services companies. He currently serves on the boards of directors of several privately-held companies. Mr. Gandhi holds a B.S. and an M.S. in Electrical Engineering and an M.S. in Computer Science from the Massachusetts Institute of Technology and an M.B.A. from the Stanford Graduate School of Business.</w:t>
      </w:r>
    </w:p>
    <w:p>
      <w:pPr>
        <w:spacing w:after="0" w:line="206" w:lineRule="exact"/>
        <w:rPr>
          <w:sz w:val="20"/>
          <w:szCs w:val="20"/>
          <w:color w:val="auto"/>
        </w:rPr>
      </w:pPr>
    </w:p>
    <w:p>
      <w:pPr>
        <w:ind w:right="620" w:firstLine="488"/>
        <w:spacing w:after="0" w:line="239" w:lineRule="auto"/>
        <w:rPr>
          <w:sz w:val="20"/>
          <w:szCs w:val="20"/>
          <w:color w:val="auto"/>
        </w:rPr>
      </w:pPr>
      <w:r>
        <w:rPr>
          <w:rFonts w:ascii="Arial" w:cs="Arial" w:eastAsia="Arial" w:hAnsi="Arial"/>
          <w:sz w:val="18"/>
          <w:szCs w:val="18"/>
          <w:color w:val="auto"/>
        </w:rPr>
        <w:t>We believe Mr. Gandhi is qualified to serve on our board of directors based on his extensive knowledge of our company and as an investor in multiple technology companies.</w:t>
      </w:r>
    </w:p>
    <w:p>
      <w:pPr>
        <w:spacing w:after="0" w:line="191"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i w:val="1"/>
          <w:iCs w:val="1"/>
          <w:color w:val="auto"/>
        </w:rPr>
        <w:t xml:space="preserve">Joseph P. Landy. </w:t>
      </w:r>
      <w:r>
        <w:rPr>
          <w:rFonts w:ascii="Arial" w:cs="Arial" w:eastAsia="Arial" w:hAnsi="Arial"/>
          <w:sz w:val="18"/>
          <w:szCs w:val="18"/>
          <w:color w:val="auto"/>
        </w:rPr>
        <w:t>Mr. Landy has served on our board of directors since August 2013. Mr. Landy is Co-Chief Executive Officer of Warburg</w:t>
      </w:r>
      <w:r>
        <w:rPr>
          <w:rFonts w:ascii="Arial" w:cs="Arial" w:eastAsia="Arial" w:hAnsi="Arial"/>
          <w:sz w:val="18"/>
          <w:szCs w:val="18"/>
          <w:i w:val="1"/>
          <w:iCs w:val="1"/>
          <w:color w:val="auto"/>
        </w:rPr>
        <w:t xml:space="preserve"> </w:t>
      </w:r>
      <w:r>
        <w:rPr>
          <w:rFonts w:ascii="Arial" w:cs="Arial" w:eastAsia="Arial" w:hAnsi="Arial"/>
          <w:sz w:val="18"/>
          <w:szCs w:val="18"/>
          <w:color w:val="auto"/>
        </w:rPr>
        <w:t>Pincus and has been engaged in all aspects of private equity investing since March 1985. He has been jointly responsible for the management of the firm since 2000, including the formulation of strategy, oversight of investment policy and decisions, and leadership of the firm's Executive Management Group. Mr. Landy currently serves as a trustee of New York University. He previously served on the board of directors of Kosmos Energy Ltd., an international oil company. Mr. Landy holds a B.S. in Economics from The Wharton School at the University of Pennsylvania and a M.B.A. from The Leonard N. Stern School of Business at New York University.</w:t>
      </w:r>
    </w:p>
    <w:p>
      <w:pPr>
        <w:spacing w:after="0" w:line="212" w:lineRule="exact"/>
        <w:rPr>
          <w:sz w:val="20"/>
          <w:szCs w:val="20"/>
          <w:color w:val="auto"/>
        </w:rPr>
      </w:pPr>
    </w:p>
    <w:p>
      <w:pPr>
        <w:ind w:right="140" w:firstLine="488"/>
        <w:spacing w:after="0" w:line="239" w:lineRule="auto"/>
        <w:rPr>
          <w:sz w:val="20"/>
          <w:szCs w:val="20"/>
          <w:color w:val="auto"/>
        </w:rPr>
      </w:pPr>
      <w:r>
        <w:rPr>
          <w:rFonts w:ascii="Arial" w:cs="Arial" w:eastAsia="Arial" w:hAnsi="Arial"/>
          <w:sz w:val="18"/>
          <w:szCs w:val="18"/>
          <w:color w:val="auto"/>
        </w:rPr>
        <w:t>We believe Mr. Landy is qualified to serve on our board of directors based on his extensive investment experience and knowledge of our company.</w:t>
      </w:r>
    </w:p>
    <w:p>
      <w:pPr>
        <w:spacing w:after="0" w:line="191" w:lineRule="exact"/>
        <w:rPr>
          <w:sz w:val="20"/>
          <w:szCs w:val="20"/>
          <w:color w:val="auto"/>
        </w:rPr>
      </w:pPr>
    </w:p>
    <w:p>
      <w:pPr>
        <w:ind w:right="40" w:firstLine="488"/>
        <w:spacing w:after="0" w:line="260" w:lineRule="auto"/>
        <w:rPr>
          <w:sz w:val="20"/>
          <w:szCs w:val="20"/>
          <w:color w:val="auto"/>
        </w:rPr>
      </w:pPr>
      <w:r>
        <w:rPr>
          <w:rFonts w:ascii="Arial" w:cs="Arial" w:eastAsia="Arial" w:hAnsi="Arial"/>
          <w:sz w:val="18"/>
          <w:szCs w:val="18"/>
          <w:i w:val="1"/>
          <w:iCs w:val="1"/>
          <w:color w:val="auto"/>
        </w:rPr>
        <w:t xml:space="preserve">Denis J. O'Leary. </w:t>
      </w:r>
      <w:r>
        <w:rPr>
          <w:rFonts w:ascii="Arial" w:cs="Arial" w:eastAsia="Arial" w:hAnsi="Arial"/>
          <w:sz w:val="18"/>
          <w:szCs w:val="18"/>
          <w:color w:val="auto"/>
        </w:rPr>
        <w:t>Mr. O'Leary has served on our board of directors since December 2011. Mr. O'Leary has been a private investor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2016. From September 2009 to February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2016, he served as co-managing partner of Encore Financial Partners, Inc., a company focused on the acquisition and management of banking organizations. From June 1978 to April 2003, Mr. O'Leary was with JPM Chase &amp; Co, an investment bank and financial services company, where he served in various executive roles. Mr. O'Leary currently serves on the board of directors of Fiserv, Inc., a provider of financial services technology, and several privately-held companies. Mr. O'Leary holds a B.A. in Economics from the University of Rochester and an M.B.A. from New York University.</w:t>
      </w:r>
    </w:p>
    <w:p>
      <w:pPr>
        <w:spacing w:after="0" w:line="211" w:lineRule="exact"/>
        <w:rPr>
          <w:sz w:val="20"/>
          <w:szCs w:val="20"/>
          <w:color w:val="auto"/>
        </w:rPr>
      </w:pPr>
    </w:p>
    <w:p>
      <w:pPr>
        <w:ind w:right="180" w:firstLine="488"/>
        <w:spacing w:after="0" w:line="239" w:lineRule="auto"/>
        <w:rPr>
          <w:sz w:val="20"/>
          <w:szCs w:val="20"/>
          <w:color w:val="auto"/>
        </w:rPr>
      </w:pPr>
      <w:r>
        <w:rPr>
          <w:rFonts w:ascii="Arial" w:cs="Arial" w:eastAsia="Arial" w:hAnsi="Arial"/>
          <w:sz w:val="18"/>
          <w:szCs w:val="18"/>
          <w:color w:val="auto"/>
        </w:rPr>
        <w:t>We believe Mr. O'Leary is qualified to serve on our board of directors because of his extensive investment experience and knowledge of our company.</w:t>
      </w:r>
    </w:p>
    <w:p>
      <w:pPr>
        <w:spacing w:after="0" w:line="191" w:lineRule="exact"/>
        <w:rPr>
          <w:sz w:val="20"/>
          <w:szCs w:val="20"/>
          <w:color w:val="auto"/>
        </w:rPr>
      </w:pPr>
    </w:p>
    <w:p>
      <w:pPr>
        <w:ind w:right="20" w:firstLine="488"/>
        <w:spacing w:after="0" w:line="278" w:lineRule="auto"/>
        <w:rPr>
          <w:sz w:val="20"/>
          <w:szCs w:val="20"/>
          <w:color w:val="auto"/>
        </w:rPr>
      </w:pPr>
      <w:r>
        <w:rPr>
          <w:rFonts w:ascii="Arial" w:cs="Arial" w:eastAsia="Arial" w:hAnsi="Arial"/>
          <w:sz w:val="16"/>
          <w:szCs w:val="16"/>
          <w:i w:val="1"/>
          <w:iCs w:val="1"/>
          <w:color w:val="auto"/>
        </w:rPr>
        <w:t xml:space="preserve">Joseph E. Sexton. </w:t>
      </w:r>
      <w:r>
        <w:rPr>
          <w:rFonts w:ascii="Arial" w:cs="Arial" w:eastAsia="Arial" w:hAnsi="Arial"/>
          <w:sz w:val="16"/>
          <w:szCs w:val="16"/>
          <w:color w:val="auto"/>
        </w:rPr>
        <w:t>Mr. Sexton has served on our board of directors since March 2015. He has been a private investor since June 2017.</w:t>
      </w:r>
      <w:r>
        <w:rPr>
          <w:rFonts w:ascii="Arial" w:cs="Arial" w:eastAsia="Arial" w:hAnsi="Arial"/>
          <w:sz w:val="16"/>
          <w:szCs w:val="16"/>
          <w:i w:val="1"/>
          <w:iCs w:val="1"/>
          <w:color w:val="auto"/>
        </w:rPr>
        <w:t xml:space="preserve"> </w:t>
      </w:r>
      <w:r>
        <w:rPr>
          <w:rFonts w:ascii="Arial" w:cs="Arial" w:eastAsia="Arial" w:hAnsi="Arial"/>
          <w:sz w:val="16"/>
          <w:szCs w:val="16"/>
          <w:color w:val="auto"/>
        </w:rPr>
        <w:t>From September 2016 to May 2017, he served as an Executive in Residence for the venture capital firms of Lightspeed Venture Partners and Greylock Partners, where he advised portfolio companies on sales strategy and execution. From December 2012 to April 2017, he served as President of Worldwide Field Operations of AppDynamics, Inc., an application intelligence software company. Mr. Sexton currently serves on the board of directors of a privately-held company. Mr. Sexton holds a B.B.A. in Marketing from the University of Kentucky.</w:t>
      </w:r>
    </w:p>
    <w:p>
      <w:pPr>
        <w:spacing w:after="0" w:line="181" w:lineRule="exact"/>
        <w:rPr>
          <w:sz w:val="20"/>
          <w:szCs w:val="20"/>
          <w:color w:val="auto"/>
        </w:rPr>
      </w:pPr>
    </w:p>
    <w:p>
      <w:pPr>
        <w:ind w:right="840" w:firstLine="488"/>
        <w:spacing w:after="0" w:line="239" w:lineRule="auto"/>
        <w:rPr>
          <w:sz w:val="20"/>
          <w:szCs w:val="20"/>
          <w:color w:val="auto"/>
        </w:rPr>
      </w:pPr>
      <w:r>
        <w:rPr>
          <w:rFonts w:ascii="Arial" w:cs="Arial" w:eastAsia="Arial" w:hAnsi="Arial"/>
          <w:sz w:val="18"/>
          <w:szCs w:val="18"/>
          <w:color w:val="auto"/>
        </w:rPr>
        <w:t>We believe Mr. Sexton is qualified to serve on our board of directors based on his extensive knowledge of our company and his experience advising technology companies.</w:t>
      </w:r>
    </w:p>
    <w:p>
      <w:pPr>
        <w:spacing w:after="0" w:line="191" w:lineRule="exact"/>
        <w:rPr>
          <w:sz w:val="20"/>
          <w:szCs w:val="20"/>
          <w:color w:val="auto"/>
        </w:rPr>
      </w:pPr>
    </w:p>
    <w:p>
      <w:pPr>
        <w:ind w:right="20" w:firstLine="488"/>
        <w:spacing w:after="0" w:line="241" w:lineRule="auto"/>
        <w:rPr>
          <w:sz w:val="20"/>
          <w:szCs w:val="20"/>
          <w:color w:val="auto"/>
        </w:rPr>
      </w:pPr>
      <w:r>
        <w:rPr>
          <w:rFonts w:ascii="Arial" w:cs="Arial" w:eastAsia="Arial" w:hAnsi="Arial"/>
          <w:sz w:val="18"/>
          <w:szCs w:val="18"/>
          <w:i w:val="1"/>
          <w:iCs w:val="1"/>
          <w:color w:val="auto"/>
        </w:rPr>
        <w:t xml:space="preserve">Godfrey R. Sullivan. </w:t>
      </w:r>
      <w:r>
        <w:rPr>
          <w:rFonts w:ascii="Arial" w:cs="Arial" w:eastAsia="Arial" w:hAnsi="Arial"/>
          <w:sz w:val="18"/>
          <w:szCs w:val="18"/>
          <w:color w:val="auto"/>
        </w:rPr>
        <w:t>Mr. Sullivan has served on our board of directors since November 2017. From September 2008 to November 2015,</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as President and Chief Executive Officer of Splunk, Inc. a provider of machine data analytics software. He has served on the board of directors of Splunk since September 2008 and as its Chairman since December 2011. He previously served on the board of directors of Citrix Systems, Inc., an enterprise software company, and Informatica Corporation, an enterprise data management company. Mr. Sullivan holds a B.B.A. from Baylor University.</w:t>
      </w:r>
    </w:p>
    <w:p>
      <w:pPr>
        <w:spacing w:after="0" w:line="207"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We believe Mr. Sullivan is qualified to serve on our board of directors based on his perspective and experience he brings as a former chief executive officer of other publicly traded companies and his experience as an executive and as a member of the board of directors of other companies in the enterprise software industry.</w:t>
      </w:r>
    </w:p>
    <w:p>
      <w:pPr>
        <w:spacing w:after="0" w:line="190" w:lineRule="exact"/>
        <w:rPr>
          <w:sz w:val="20"/>
          <w:szCs w:val="20"/>
          <w:color w:val="auto"/>
        </w:rPr>
      </w:pPr>
    </w:p>
    <w:p>
      <w:pPr>
        <w:ind w:right="300" w:firstLine="488"/>
        <w:spacing w:after="0" w:line="272" w:lineRule="auto"/>
        <w:rPr>
          <w:sz w:val="20"/>
          <w:szCs w:val="20"/>
          <w:color w:val="auto"/>
        </w:rPr>
      </w:pPr>
      <w:r>
        <w:rPr>
          <w:rFonts w:ascii="Arial" w:cs="Arial" w:eastAsia="Arial" w:hAnsi="Arial"/>
          <w:sz w:val="16"/>
          <w:szCs w:val="16"/>
          <w:i w:val="1"/>
          <w:iCs w:val="1"/>
          <w:color w:val="auto"/>
        </w:rPr>
        <w:t xml:space="preserve">Gerhard Watzinger. </w:t>
      </w:r>
      <w:r>
        <w:rPr>
          <w:rFonts w:ascii="Arial" w:cs="Arial" w:eastAsia="Arial" w:hAnsi="Arial"/>
          <w:sz w:val="16"/>
          <w:szCs w:val="16"/>
          <w:color w:val="auto"/>
        </w:rPr>
        <w:t>Mr. Watzinger has served as Chairman of our board of directors since April 2012. From April 2013 to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2013, he served as the Chief Executive Officer for IGATE Corporation, an IT services company. Mr. Watzinger served as the Executive Vice President for Corporate Strategy and Mergers &amp; Acquisitions of the McAfee business unit of Intel Corporation, or Intel, a designer and manufacturer of digital technology platforms, until his resignation in March 2012. Mr. Watzinger joined Intel in February 2011 upon Intel's acquisition of McAfee. Mr. Watzinger joined McAfee in November 2007 upon McAfee's acquisition of SafeBoot Corp., a global leader in data protection software, where he served as Chief Executive Officer from February 2004 to November 2007. He currently serves on the board of directors of Mastech Digital, Inc., a digital transformation and information technology services company and Absolute Software, a persistent software company. Mr. Watzinger holds an advanced degree in Computer Science from the University of Applied Sciences in Munich.</w:t>
      </w:r>
    </w:p>
    <w:p>
      <w:pPr>
        <w:spacing w:after="0" w:line="186"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We believe Mr. Watzinger is qualified to serve on our board of directors because of his expertise within the IT industry, his experience as a chief executive officer of several information technology companies, and his extensive perspective and operational insight as our current Chairman.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40" w:firstLine="488"/>
        <w:spacing w:after="0" w:line="299" w:lineRule="auto"/>
        <w:rPr>
          <w:sz w:val="20"/>
          <w:szCs w:val="20"/>
          <w:color w:val="auto"/>
        </w:rPr>
      </w:pPr>
      <w:r>
        <w:rPr>
          <w:rFonts w:ascii="Arial" w:cs="Arial" w:eastAsia="Arial" w:hAnsi="Arial"/>
          <w:sz w:val="16"/>
          <w:szCs w:val="16"/>
          <w:color w:val="auto"/>
        </w:rPr>
        <w:t>Our executive officers are appointed by our board of directors and serve until their successors have been duly elected and qualified or until his or her earlier resignation or removal. There are no family relationships among any of our directors or executive officers.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Prior to the completion of this offering, we will adopt a code of business conduct and ethics that will apply to all of our employees, officers, and directors, including our chief executive officer, chief financial officer, and other executive and senior financial officers. Upon the completion of this offering, the full text of our code of business conduct and ethics will be available on the investor relations page on our website. We intend to post any amendment to our code of business conduct and ethics, and any waivers of its requirements, on our website or in filings under the Exchange Act to the extent required by applicable rules or exchange requirements. Information on or that can be accessed through our website is not part of this prospectus.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w:t>
      </w:r>
    </w:p>
    <w:p>
      <w:pPr>
        <w:spacing w:after="0" w:line="234"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 prior to the completion of this offering. Our board of directors currently consists of nine members. Each of our current directors will continue to serve as directors until the election and qualification of his or her successor or until his or her earlier death, resignation, or removal.</w:t>
      </w:r>
    </w:p>
    <w:p>
      <w:pPr>
        <w:spacing w:after="0" w:line="211" w:lineRule="exact"/>
        <w:rPr>
          <w:sz w:val="20"/>
          <w:szCs w:val="20"/>
          <w:color w:val="auto"/>
        </w:rPr>
      </w:pPr>
    </w:p>
    <w:p>
      <w:pPr>
        <w:ind w:right="20" w:firstLine="488"/>
        <w:spacing w:after="0" w:line="235" w:lineRule="auto"/>
        <w:rPr>
          <w:sz w:val="20"/>
          <w:szCs w:val="20"/>
          <w:color w:val="auto"/>
        </w:rPr>
      </w:pPr>
      <w:r>
        <w:rPr>
          <w:rFonts w:ascii="Arial" w:cs="Arial" w:eastAsia="Arial" w:hAnsi="Arial"/>
          <w:sz w:val="18"/>
          <w:szCs w:val="18"/>
          <w:color w:val="auto"/>
        </w:rPr>
        <w:t>Certain members of our board of directors were elected pursuant to the provisions of the stockholders agreement among us and certain of our stockholders, or the stockholders agreement, described in the section titled "Certain Relationships and Related Party Transactions." Pursuant to the stockholders agreement, from the date of the completion of this offering, so long as Warburg Pincus (together with any successors and affiliated funds) holds at least 5% of the issued and outstanding shares of our common stock, (i) we will nominate and use our commercially reasonable efforts to have such number of individuals designated by Warburg Pincus elected to our board of directors so that the number of individuals designated by Warburg Pincus for election to our board of directors as compared to the size of our board of directors is proportionate to the number of shares of common stock held by Warburg Pincus as compared to the number of shares of our common stock that is issued and outstanding, (ii) Warburg Pincus shall have the right to designate for election to our board of directors at least the same number of directors as it had the right to designate prior to the completion of this offering, and (iii) Warburg Pincus shall have the right to designate at least one individual for election to our board of directors.</w:t>
      </w:r>
    </w:p>
    <w:p>
      <w:pPr>
        <w:spacing w:after="0" w:line="214"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Warburg Pincus' designees to our board of directors, currently Cary Davis and Joseph Landy, will each serve until the annual meeting of stockholders in the year in which their respective board term expires. If Warburg Pincus meets the applicable beneficial ownership threshold as of 120 days prior to such annual meeting, the Warburg Pincus designee or designees, as applicable, will be nominated by our board of directors for election by the stockholders at such annual meeting. The Warburg Pincus nominees or designees, as applicable, must comply with applicable law and stock exchange rules.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32"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Following the completion of this offering, our amended and restated certificate of incorporation and amended and restated bylaws will provide for a classified board of directors, with each director serving a staggered, three-year term. The terms of the directors will expire upon the election and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qualification of successor directors at the annual meeting of stockholders to be held during 2020 for the Class I directors, 2021 for the Class II directors, and 2022 for the Class III directors.</w:t>
      </w: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160" w:type="dxa"/>
            <w:vAlign w:val="bottom"/>
          </w:tcPr>
          <w:p>
            <w:pPr>
              <w:ind w:left="240"/>
              <w:spacing w:after="0"/>
              <w:rPr>
                <w:sz w:val="20"/>
                <w:szCs w:val="20"/>
                <w:color w:val="auto"/>
              </w:rPr>
            </w:pPr>
            <w:r>
              <w:rPr>
                <w:rFonts w:ascii="Arial" w:cs="Arial" w:eastAsia="Arial" w:hAnsi="Arial"/>
                <w:sz w:val="18"/>
                <w:szCs w:val="18"/>
                <w:color w:val="auto"/>
              </w:rPr>
              <w:t>Our Class I directors will be</w:t>
            </w:r>
          </w:p>
        </w:tc>
        <w:tc>
          <w:tcPr>
            <w:tcW w:w="6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200" w:type="dxa"/>
            <w:vAlign w:val="bottom"/>
          </w:tcPr>
          <w:p>
            <w:pPr>
              <w:ind w:left="420"/>
              <w:spacing w:after="0"/>
              <w:rPr>
                <w:sz w:val="20"/>
                <w:szCs w:val="20"/>
                <w:color w:val="auto"/>
              </w:rPr>
            </w:pPr>
            <w:r>
              <w:rPr>
                <w:rFonts w:ascii="Arial" w:cs="Arial" w:eastAsia="Arial" w:hAnsi="Arial"/>
                <w:sz w:val="18"/>
                <w:szCs w:val="18"/>
                <w:color w:val="auto"/>
              </w:rPr>
              <w:t>and</w:t>
            </w:r>
          </w:p>
        </w:tc>
        <w:tc>
          <w:tcPr>
            <w:tcW w:w="4500" w:type="dxa"/>
            <w:vAlign w:val="bottom"/>
          </w:tcPr>
          <w:p>
            <w:pPr>
              <w:ind w:left="380"/>
              <w:spacing w:after="0"/>
              <w:rPr>
                <w:sz w:val="20"/>
                <w:szCs w:val="20"/>
                <w:color w:val="auto"/>
              </w:rPr>
            </w:pPr>
            <w:r>
              <w:rPr>
                <w:rFonts w:ascii="Arial" w:cs="Arial" w:eastAsia="Arial" w:hAnsi="Arial"/>
                <w:sz w:val="18"/>
                <w:szCs w:val="18"/>
                <w:color w:val="auto"/>
                <w:w w:val="99"/>
              </w:rPr>
              <w:t>, and their terms will expire at the annual meeting of</w:t>
            </w:r>
          </w:p>
        </w:tc>
      </w:tr>
      <w:tr>
        <w:trPr>
          <w:trHeight w:val="211"/>
        </w:trPr>
        <w:tc>
          <w:tcPr>
            <w:tcW w:w="300" w:type="dxa"/>
            <w:vAlign w:val="bottom"/>
          </w:tcPr>
          <w:p>
            <w:pPr>
              <w:spacing w:after="0"/>
              <w:rPr>
                <w:sz w:val="18"/>
                <w:szCs w:val="18"/>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stockholders to be held in 2020;</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41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160" w:type="dxa"/>
            <w:vAlign w:val="bottom"/>
          </w:tcPr>
          <w:p>
            <w:pPr>
              <w:ind w:left="240"/>
              <w:spacing w:after="0"/>
              <w:rPr>
                <w:sz w:val="20"/>
                <w:szCs w:val="20"/>
                <w:color w:val="auto"/>
              </w:rPr>
            </w:pPr>
            <w:r>
              <w:rPr>
                <w:rFonts w:ascii="Arial" w:cs="Arial" w:eastAsia="Arial" w:hAnsi="Arial"/>
                <w:sz w:val="18"/>
                <w:szCs w:val="18"/>
                <w:color w:val="auto"/>
              </w:rPr>
              <w:t>Our Class II directors will be</w:t>
            </w:r>
          </w:p>
        </w:tc>
        <w:tc>
          <w:tcPr>
            <w:tcW w:w="6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1200" w:type="dxa"/>
            <w:vAlign w:val="bottom"/>
          </w:tcPr>
          <w:p>
            <w:pPr>
              <w:ind w:left="460"/>
              <w:spacing w:after="0"/>
              <w:rPr>
                <w:sz w:val="20"/>
                <w:szCs w:val="20"/>
                <w:color w:val="auto"/>
              </w:rPr>
            </w:pPr>
            <w:r>
              <w:rPr>
                <w:rFonts w:ascii="Arial" w:cs="Arial" w:eastAsia="Arial" w:hAnsi="Arial"/>
                <w:sz w:val="18"/>
                <w:szCs w:val="18"/>
                <w:color w:val="auto"/>
              </w:rPr>
              <w:t>and</w:t>
            </w:r>
          </w:p>
        </w:tc>
        <w:tc>
          <w:tcPr>
            <w:tcW w:w="4500" w:type="dxa"/>
            <w:vAlign w:val="bottom"/>
          </w:tcPr>
          <w:p>
            <w:pPr>
              <w:ind w:left="440"/>
              <w:spacing w:after="0"/>
              <w:rPr>
                <w:sz w:val="20"/>
                <w:szCs w:val="20"/>
                <w:color w:val="auto"/>
              </w:rPr>
            </w:pPr>
            <w:r>
              <w:rPr>
                <w:rFonts w:ascii="Arial" w:cs="Arial" w:eastAsia="Arial" w:hAnsi="Arial"/>
                <w:sz w:val="18"/>
                <w:szCs w:val="18"/>
                <w:color w:val="auto"/>
                <w:w w:val="98"/>
              </w:rPr>
              <w:t>, and their terms will expire at the annual meeting of</w:t>
            </w:r>
          </w:p>
        </w:tc>
      </w:tr>
      <w:tr>
        <w:trPr>
          <w:trHeight w:val="211"/>
        </w:trPr>
        <w:tc>
          <w:tcPr>
            <w:tcW w:w="300" w:type="dxa"/>
            <w:vAlign w:val="bottom"/>
          </w:tcPr>
          <w:p>
            <w:pPr>
              <w:spacing w:after="0"/>
              <w:rPr>
                <w:sz w:val="18"/>
                <w:szCs w:val="18"/>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stockholders to be held in 2021; and</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397"/>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160" w:type="dxa"/>
            <w:vAlign w:val="bottom"/>
          </w:tcPr>
          <w:p>
            <w:pPr>
              <w:ind w:left="240"/>
              <w:spacing w:after="0"/>
              <w:rPr>
                <w:sz w:val="20"/>
                <w:szCs w:val="20"/>
                <w:color w:val="auto"/>
              </w:rPr>
            </w:pPr>
            <w:r>
              <w:rPr>
                <w:rFonts w:ascii="Arial" w:cs="Arial" w:eastAsia="Arial" w:hAnsi="Arial"/>
                <w:sz w:val="18"/>
                <w:szCs w:val="18"/>
                <w:color w:val="auto"/>
              </w:rPr>
              <w:t>Our Class III directors will be</w:t>
            </w:r>
          </w:p>
        </w:tc>
        <w:tc>
          <w:tcPr>
            <w:tcW w:w="66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200" w:type="dxa"/>
            <w:vAlign w:val="bottom"/>
          </w:tcPr>
          <w:p>
            <w:pPr>
              <w:ind w:left="520"/>
              <w:spacing w:after="0"/>
              <w:rPr>
                <w:sz w:val="20"/>
                <w:szCs w:val="20"/>
                <w:color w:val="auto"/>
              </w:rPr>
            </w:pPr>
            <w:r>
              <w:rPr>
                <w:rFonts w:ascii="Arial" w:cs="Arial" w:eastAsia="Arial" w:hAnsi="Arial"/>
                <w:sz w:val="18"/>
                <w:szCs w:val="18"/>
                <w:color w:val="auto"/>
              </w:rPr>
              <w:t>and</w:t>
            </w:r>
          </w:p>
        </w:tc>
        <w:tc>
          <w:tcPr>
            <w:tcW w:w="4500" w:type="dxa"/>
            <w:vAlign w:val="bottom"/>
          </w:tcPr>
          <w:p>
            <w:pPr>
              <w:ind w:left="480"/>
              <w:spacing w:after="0"/>
              <w:rPr>
                <w:sz w:val="20"/>
                <w:szCs w:val="20"/>
                <w:color w:val="auto"/>
              </w:rPr>
            </w:pPr>
            <w:r>
              <w:rPr>
                <w:rFonts w:ascii="Arial" w:cs="Arial" w:eastAsia="Arial" w:hAnsi="Arial"/>
                <w:sz w:val="18"/>
                <w:szCs w:val="18"/>
                <w:color w:val="auto"/>
                <w:w w:val="97"/>
              </w:rPr>
              <w:t>, and their terms will expire at the annual meeting of</w:t>
            </w:r>
          </w:p>
        </w:tc>
      </w:tr>
      <w:tr>
        <w:trPr>
          <w:trHeight w:val="211"/>
        </w:trPr>
        <w:tc>
          <w:tcPr>
            <w:tcW w:w="300" w:type="dxa"/>
            <w:vAlign w:val="bottom"/>
          </w:tcPr>
          <w:p>
            <w:pPr>
              <w:spacing w:after="0"/>
              <w:rPr>
                <w:sz w:val="18"/>
                <w:szCs w:val="18"/>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stockholders to be held in 2022.</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00" w:type="dxa"/>
            <w:vAlign w:val="bottom"/>
          </w:tcPr>
          <w:p>
            <w:pPr>
              <w:spacing w:after="0"/>
              <w:rPr>
                <w:sz w:val="18"/>
                <w:szCs w:val="18"/>
                <w:color w:val="auto"/>
              </w:rPr>
            </w:pPr>
          </w:p>
        </w:tc>
      </w:tr>
    </w:tbl>
    <w:p>
      <w:pPr>
        <w:spacing w:after="0" w:line="208" w:lineRule="exact"/>
        <w:rPr>
          <w:sz w:val="20"/>
          <w:szCs w:val="20"/>
          <w:color w:val="auto"/>
        </w:rPr>
      </w:pPr>
    </w:p>
    <w:p>
      <w:pPr>
        <w:ind w:firstLine="488"/>
        <w:spacing w:after="0" w:line="275" w:lineRule="auto"/>
        <w:rPr>
          <w:sz w:val="20"/>
          <w:szCs w:val="20"/>
          <w:color w:val="auto"/>
        </w:rPr>
      </w:pPr>
      <w:r>
        <w:rPr>
          <w:rFonts w:ascii="Arial" w:cs="Arial" w:eastAsia="Arial" w:hAnsi="Arial"/>
          <w:sz w:val="16"/>
          <w:szCs w:val="16"/>
          <w:color w:val="auto"/>
        </w:rPr>
        <w:t>Upon expiration of the term of a class of directors, directors for that class will be elected for three-year terms at the annual meeting of stockholders in the year in which their term expires. Each director's term shall continue until the election and qualification of his or her successor, or his or her earlier death, resignation, or removal. Any additional directorships resulting from an increase in the number of authorized directors will be distributed among the three classes so that, as nearly as possible, each class will consist of one-third of the directors.</w:t>
      </w:r>
    </w:p>
    <w:p>
      <w:pPr>
        <w:spacing w:after="0" w:line="183" w:lineRule="exact"/>
        <w:rPr>
          <w:sz w:val="20"/>
          <w:szCs w:val="20"/>
          <w:color w:val="auto"/>
        </w:rPr>
      </w:pPr>
    </w:p>
    <w:p>
      <w:pPr>
        <w:ind w:right="360" w:firstLine="484"/>
        <w:spacing w:after="0" w:line="23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 Under Delaware law, our directors may be removed for cause by the affirmative vote of the holders of a majority of our voting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32" w:lineRule="exact"/>
        <w:rPr>
          <w:sz w:val="20"/>
          <w:szCs w:val="20"/>
          <w:color w:val="auto"/>
        </w:rPr>
      </w:pPr>
    </w:p>
    <w:p>
      <w:pPr>
        <w:ind w:firstLine="488"/>
        <w:spacing w:after="0" w:line="234" w:lineRule="auto"/>
        <w:rPr>
          <w:sz w:val="20"/>
          <w:szCs w:val="20"/>
          <w:color w:val="auto"/>
        </w:rPr>
      </w:pPr>
      <w:r>
        <w:rPr>
          <w:rFonts w:ascii="Arial" w:cs="Arial" w:eastAsia="Arial" w:hAnsi="Arial"/>
          <w:sz w:val="18"/>
          <w:szCs w:val="18"/>
          <w:color w:val="auto"/>
        </w:rPr>
        <w:t>Under the rules of , independent directors must comprise a majority of a listed company's board of directors within a specified period of the completion of this offering. In addition, the rules of require that, subject to specified exceptions, each member of a listed company's audit, compensation and nominating and corporate governance committees be independent. Under the rules of , a director</w:t>
      </w:r>
    </w:p>
    <w:p>
      <w:pPr>
        <w:spacing w:after="0" w:line="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w:t>
      </w:r>
    </w:p>
    <w:p>
      <w:pPr>
        <w:spacing w:after="0" w:line="211" w:lineRule="exact"/>
        <w:rPr>
          <w:sz w:val="20"/>
          <w:szCs w:val="20"/>
          <w:color w:val="auto"/>
        </w:rPr>
      </w:pPr>
    </w:p>
    <w:p>
      <w:pPr>
        <w:ind w:right="200" w:firstLine="488"/>
        <w:spacing w:after="0" w:line="237" w:lineRule="auto"/>
        <w:rPr>
          <w:sz w:val="20"/>
          <w:szCs w:val="20"/>
          <w:color w:val="auto"/>
        </w:rPr>
      </w:pPr>
      <w:r>
        <w:rPr>
          <w:rFonts w:ascii="Arial" w:cs="Arial" w:eastAsia="Arial" w:hAnsi="Arial"/>
          <w:sz w:val="18"/>
          <w:szCs w:val="18"/>
          <w:color w:val="auto"/>
        </w:rPr>
        <w:t>In order to be considered independent for purposes of Rule 10A-3, a member of an audit committee of a listed company may not, other than in his or her capacity as a member of the board of directors or a committee of the board, accept, directly or indirectly, any consulting, advisory or other compensatory fee from the listed company or any of its subsidiaries or be an affiliated person of the listed company or any of its subsidiaries.</w:t>
      </w:r>
    </w:p>
    <w:p>
      <w:pPr>
        <w:spacing w:after="0" w:line="208" w:lineRule="exact"/>
        <w:rPr>
          <w:sz w:val="20"/>
          <w:szCs w:val="20"/>
          <w:color w:val="auto"/>
        </w:rPr>
      </w:pPr>
    </w:p>
    <w:p>
      <w:pPr>
        <w:ind w:right="20" w:firstLine="488"/>
        <w:spacing w:after="0" w:line="264" w:lineRule="auto"/>
        <w:rPr>
          <w:sz w:val="20"/>
          <w:szCs w:val="20"/>
          <w:color w:val="auto"/>
        </w:rPr>
      </w:pPr>
      <w:r>
        <w:rPr>
          <w:rFonts w:ascii="Arial" w:cs="Arial" w:eastAsia="Arial" w:hAnsi="Arial"/>
          <w:sz w:val="16"/>
          <w:szCs w:val="16"/>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and as a result of this review, our board of directors determined that each of Roxanne Austin, Cary Davis, Sameer Gandhi, Joseph Landy, Denis O'Leary, Joseph Sexton, Godfrey Sullivan and Gerhard Watzinger, representing eight of our nine directors, does not have a relationship that would interfere with the exercise of independent judgment in carrying out the responsibilities of a director and was an "independent director" as defined under the applicable rules and regulations of the SEC and the listing requirements and rules of</w:t>
      </w:r>
    </w:p>
    <w:p>
      <w:pPr>
        <w:spacing w:after="0" w:line="1" w:lineRule="exact"/>
        <w:rPr>
          <w:sz w:val="20"/>
          <w:szCs w:val="20"/>
          <w:color w:val="auto"/>
        </w:rPr>
      </w:pPr>
    </w:p>
    <w:p>
      <w:pPr>
        <w:ind w:left="5480" w:right="4100" w:hanging="4203"/>
        <w:spacing w:after="0" w:line="489" w:lineRule="auto"/>
        <w:tabs>
          <w:tab w:leader="none" w:pos="137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making this determination, our board of directors considered the current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440"/>
        <w:spacing w:after="0" w:line="299" w:lineRule="auto"/>
        <w:rPr>
          <w:sz w:val="20"/>
          <w:szCs w:val="20"/>
          <w:color w:val="auto"/>
        </w:rPr>
      </w:pPr>
      <w:r>
        <w:rPr>
          <w:rFonts w:ascii="Arial" w:cs="Arial" w:eastAsia="Arial" w:hAnsi="Arial"/>
          <w:sz w:val="16"/>
          <w:szCs w:val="16"/>
          <w:color w:val="auto"/>
        </w:rPr>
        <w:t>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34"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upon completion of this offering. Members serve on these committees until their resignation or until otherwise determined by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32" w:lineRule="exact"/>
        <w:rPr>
          <w:sz w:val="20"/>
          <w:szCs w:val="20"/>
          <w:color w:val="auto"/>
        </w:rPr>
      </w:pPr>
    </w:p>
    <w:p>
      <w:pPr>
        <w:ind w:right="180" w:firstLine="488"/>
        <w:spacing w:after="0" w:line="234" w:lineRule="auto"/>
        <w:rPr>
          <w:sz w:val="20"/>
          <w:szCs w:val="20"/>
          <w:color w:val="auto"/>
        </w:rPr>
      </w:pPr>
      <w:r>
        <w:rPr>
          <w:rFonts w:ascii="Arial" w:cs="Arial" w:eastAsia="Arial" w:hAnsi="Arial"/>
          <w:sz w:val="18"/>
          <w:szCs w:val="18"/>
          <w:color w:val="auto"/>
        </w:rPr>
        <w:t>Our audit committee is comprised of , and , each of whom is a non-employee member of our board of directors. is the chairman of our audit committee. Our board of directors has determined that each of the members of our audit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satisfies the requirements for independence and financial literacy under the rules and regulations of and the SEC. Our board of</w:t>
      </w:r>
    </w:p>
    <w:p>
      <w:pPr>
        <w:spacing w:after="0" w:line="200" w:lineRule="exact"/>
        <w:rPr>
          <w:sz w:val="20"/>
          <w:szCs w:val="20"/>
          <w:color w:val="auto"/>
        </w:rPr>
      </w:pP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directors has also determined that qualifies as an "audit committee financial expert" as defined in the SEC rules and satisfies the financial sophistication requirements of . The audit committee is responsible for, among other things:</w:t>
      </w:r>
    </w:p>
    <w:p>
      <w:pPr>
        <w:spacing w:after="0" w:line="20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selecting and hiring our registered public accounting firm;</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evaluating the performance and independence of our registered public accounting firm;</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approving the audit and pre-approving any non-audit services to be performed by our registered public accounting firm;</w:t>
      </w:r>
    </w:p>
    <w:p>
      <w:pPr>
        <w:spacing w:after="0" w:line="198" w:lineRule="exact"/>
        <w:rPr>
          <w:rFonts w:ascii="Arial" w:cs="Arial" w:eastAsia="Arial" w:hAnsi="Arial"/>
          <w:sz w:val="18"/>
          <w:szCs w:val="18"/>
          <w:color w:val="auto"/>
        </w:rPr>
      </w:pPr>
    </w:p>
    <w:p>
      <w:pPr>
        <w:ind w:left="1080" w:right="600" w:hanging="532"/>
        <w:spacing w:after="0" w:line="23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the integrity of our financial statements and related disclosures and reviewing our critical accounting policies and practices;</w:t>
      </w:r>
    </w:p>
    <w:p>
      <w:pPr>
        <w:spacing w:after="0" w:line="208" w:lineRule="exact"/>
        <w:rPr>
          <w:rFonts w:ascii="Arial" w:cs="Arial" w:eastAsia="Arial" w:hAnsi="Arial"/>
          <w:sz w:val="18"/>
          <w:szCs w:val="18"/>
          <w:color w:val="auto"/>
        </w:rPr>
      </w:pPr>
    </w:p>
    <w:p>
      <w:pPr>
        <w:ind w:left="1080" w:right="740" w:hanging="532"/>
        <w:spacing w:after="0" w:line="23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 and our disclosure controls and procedures;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procedures for the treatment of complaints on accounting, internal accounting controls or audit matters;</w:t>
      </w:r>
    </w:p>
    <w:p>
      <w:pPr>
        <w:spacing w:after="0" w:line="198" w:lineRule="exact"/>
        <w:rPr>
          <w:rFonts w:ascii="Arial" w:cs="Arial" w:eastAsia="Arial" w:hAnsi="Arial"/>
          <w:sz w:val="18"/>
          <w:szCs w:val="18"/>
          <w:color w:val="auto"/>
        </w:rPr>
      </w:pPr>
    </w:p>
    <w:p>
      <w:pPr>
        <w:ind w:left="1080" w:right="80" w:hanging="532"/>
        <w:spacing w:after="0" w:line="23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our annual audit, our quarterly financial statements and our publicly filed reports;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related-person transactions;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32" w:lineRule="exact"/>
        <w:rPr>
          <w:sz w:val="20"/>
          <w:szCs w:val="20"/>
          <w:color w:val="auto"/>
        </w:rPr>
      </w:pPr>
    </w:p>
    <w:p>
      <w:pPr>
        <w:ind w:right="80" w:firstLine="488"/>
        <w:spacing w:after="0" w:line="234" w:lineRule="auto"/>
        <w:rPr>
          <w:sz w:val="20"/>
          <w:szCs w:val="20"/>
          <w:color w:val="auto"/>
        </w:rPr>
      </w:pPr>
      <w:r>
        <w:rPr>
          <w:rFonts w:ascii="Arial" w:cs="Arial" w:eastAsia="Arial" w:hAnsi="Arial"/>
          <w:sz w:val="18"/>
          <w:szCs w:val="18"/>
          <w:color w:val="auto"/>
        </w:rPr>
        <w:t>Our compensation committee is comprised of , and , each of whom is a non-employee member of our board of directors. is the chairman of our compensation committee. Our board of directors has determined that each member of our compensation committee meets the requirements for independence under the rules of the and the SEC, and is a "non-employee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director" within the meaning of Rule 16b-3 under the Exchange Act. The compensation committee is responsible for, among other things:</w:t>
      </w:r>
    </w:p>
    <w:p>
      <w:pPr>
        <w:spacing w:after="0" w:line="212" w:lineRule="exact"/>
        <w:rPr>
          <w:sz w:val="20"/>
          <w:szCs w:val="20"/>
          <w:color w:val="auto"/>
        </w:rPr>
      </w:pPr>
    </w:p>
    <w:p>
      <w:pPr>
        <w:ind w:left="1080" w:right="220" w:hanging="532"/>
        <w:spacing w:after="0" w:line="238"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and approving our chief executive officer's and other executive officers' annual base salaries, incentive compensation plans, including the specific goals and amounts, equity compensation, employment agreements, severance arrangements and change in control agreements and any other benefits, compensation or arrangements;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overseeing our overall compensation philosophy, compensation plans and benefits programs;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preparing the compensation committee report that the SEC will require in our annual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32" w:lineRule="exact"/>
        <w:rPr>
          <w:sz w:val="20"/>
          <w:szCs w:val="20"/>
          <w:color w:val="auto"/>
        </w:rPr>
      </w:pPr>
    </w:p>
    <w:p>
      <w:pPr>
        <w:ind w:right="280" w:firstLine="488"/>
        <w:spacing w:after="0" w:line="237" w:lineRule="auto"/>
        <w:rPr>
          <w:sz w:val="20"/>
          <w:szCs w:val="20"/>
          <w:color w:val="auto"/>
        </w:rPr>
      </w:pPr>
      <w:r>
        <w:rPr>
          <w:rFonts w:ascii="Arial" w:cs="Arial" w:eastAsia="Arial" w:hAnsi="Arial"/>
          <w:sz w:val="18"/>
          <w:szCs w:val="18"/>
          <w:color w:val="auto"/>
        </w:rPr>
        <w:t>Our nominating and corporate governance committee is comprised of , and , each of whom is a non-employee member of our board of directors. serves as the chairman of the committee. Our board of directors has determined that each member of our nominating and corporate governance committee meets the requirements for independence under the rules of . The nominating and corporate governance committee will be responsible for, among other things:</w:t>
      </w:r>
    </w:p>
    <w:p>
      <w:pPr>
        <w:spacing w:after="0" w:line="208" w:lineRule="exact"/>
        <w:rPr>
          <w:sz w:val="20"/>
          <w:szCs w:val="20"/>
          <w:color w:val="auto"/>
        </w:rPr>
      </w:pPr>
    </w:p>
    <w:p>
      <w:pPr>
        <w:ind w:left="1080" w:hanging="532"/>
        <w:spacing w:after="0" w:line="23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composition, organization and governance of our board of directors and its committees;</w:t>
      </w:r>
    </w:p>
    <w:p>
      <w:pPr>
        <w:spacing w:after="0" w:line="208" w:lineRule="exact"/>
        <w:rPr>
          <w:rFonts w:ascii="Arial" w:cs="Arial" w:eastAsia="Arial" w:hAnsi="Arial"/>
          <w:sz w:val="18"/>
          <w:szCs w:val="18"/>
          <w:color w:val="auto"/>
        </w:rPr>
      </w:pPr>
    </w:p>
    <w:p>
      <w:pPr>
        <w:ind w:left="1080" w:right="100" w:hanging="532"/>
        <w:spacing w:after="0" w:line="23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creation of additional committees or the change in mandate or dissolution of committees;</w:t>
      </w:r>
    </w:p>
    <w:p>
      <w:pPr>
        <w:spacing w:after="0" w:line="195" w:lineRule="exact"/>
        <w:rPr>
          <w:rFonts w:ascii="Arial" w:cs="Arial" w:eastAsia="Arial" w:hAnsi="Arial"/>
          <w:sz w:val="18"/>
          <w:szCs w:val="18"/>
          <w:color w:val="auto"/>
        </w:rPr>
      </w:pPr>
    </w:p>
    <w:p>
      <w:pPr>
        <w:ind w:left="1080" w:right="580" w:hanging="532"/>
        <w:spacing w:after="0" w:line="23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making recommendations with regard to our corporate governance guidelines and compliance with laws and regulations;</w:t>
      </w:r>
    </w:p>
    <w:p>
      <w:pPr>
        <w:spacing w:after="0" w:line="195"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approving conflicts of interest of our directors and corporate officers, other than related person transactions reviewed by the audit committee; and</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audit, compensation, and nominating and corporate governance committees will each operate under a written charter to be effective</w:t>
      </w:r>
    </w:p>
    <w:p>
      <w:pPr>
        <w:spacing w:after="0" w:line="19"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prior to the completion of this offering that satisfies the applicable rules and regulations of the SEC and the listing standards of the</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right="120" w:firstLine="488"/>
        <w:spacing w:after="0" w:line="238" w:lineRule="auto"/>
        <w:rPr>
          <w:sz w:val="20"/>
          <w:szCs w:val="20"/>
          <w:color w:val="auto"/>
        </w:rPr>
      </w:pPr>
      <w:r>
        <w:rPr>
          <w:rFonts w:ascii="Arial" w:cs="Arial" w:eastAsia="Arial" w:hAnsi="Arial"/>
          <w:sz w:val="18"/>
          <w:szCs w:val="18"/>
          <w:color w:val="auto"/>
        </w:rPr>
        <w:t>We intend to post the charters of our audit, compensation, and nominating and corporate governance committees, and any amendments thereto that may be adopted from time to time, on our website. Information on or that can be accessed through our website is not part of this prospectus. Our board of directors may from time to time establish other committees.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Mr. Kurtz was our President and Chief Executive Officer during fiscal 2019 and was appointed to the compensation committee in August</w:t>
      </w:r>
    </w:p>
    <w:p>
      <w:pPr>
        <w:spacing w:after="0" w:line="1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2016. Mr. Kurtz resigned from the compensation committee in 2019. Mr. Kurtz did not participate in committee meetings or discussions related to his compensation and the compensation committee did not have the authority to approve Mr. Kurtz's compensation while Mr. Kurtz was a member. No other members of our compensation committee is, or was during fiscal 2019, an officer or employee of our company. None of our executive officers currently serves or served during fiscal 2019 as a director or member of the compensation committee (or other board committee performing equivalent functions) of any entity that has or had, at the relevant time, one or more executive officers serving on our compensation committee or our board of directors.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Compensation</w:t>
      </w:r>
    </w:p>
    <w:p>
      <w:pPr>
        <w:spacing w:after="0" w:line="234" w:lineRule="exact"/>
        <w:rPr>
          <w:sz w:val="20"/>
          <w:szCs w:val="20"/>
          <w:color w:val="auto"/>
        </w:rPr>
      </w:pPr>
    </w:p>
    <w:p>
      <w:pPr>
        <w:ind w:right="40" w:firstLine="488"/>
        <w:spacing w:after="0" w:line="239" w:lineRule="auto"/>
        <w:rPr>
          <w:sz w:val="20"/>
          <w:szCs w:val="20"/>
          <w:color w:val="auto"/>
        </w:rPr>
      </w:pPr>
      <w:r>
        <w:rPr>
          <w:rFonts w:ascii="Arial" w:cs="Arial" w:eastAsia="Arial" w:hAnsi="Arial"/>
          <w:sz w:val="18"/>
          <w:szCs w:val="18"/>
          <w:color w:val="auto"/>
        </w:rPr>
        <w:t>We do not currently have a formal policy with respect to compensation payable to our non-employee directors for service as directors. The table below shows the equity and other compensation granted to our non-employee directors during fiscal 2019:</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75"/>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Fees Earned</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2"/>
        </w:trPr>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or Paid in</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Awards</w:t>
            </w: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9"/>
        </w:trPr>
        <w:tc>
          <w:tcPr>
            <w:tcW w:w="302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Cash ($)</w:t>
            </w:r>
          </w:p>
        </w:tc>
        <w:tc>
          <w:tcPr>
            <w:tcW w:w="90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(1)(2)</w:t>
            </w:r>
          </w:p>
        </w:tc>
        <w:tc>
          <w:tcPr>
            <w:tcW w:w="160" w:type="dxa"/>
            <w:vAlign w:val="bottom"/>
          </w:tcPr>
          <w:p>
            <w:pPr>
              <w:spacing w:after="0"/>
              <w:rPr>
                <w:sz w:val="16"/>
                <w:szCs w:val="16"/>
                <w:color w:val="auto"/>
              </w:rPr>
            </w:pPr>
          </w:p>
        </w:tc>
        <w:tc>
          <w:tcPr>
            <w:tcW w:w="880" w:type="dxa"/>
            <w:vAlign w:val="bottom"/>
          </w:tcPr>
          <w:p>
            <w:pPr>
              <w:ind w:left="220"/>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9"/>
                <w:szCs w:val="9"/>
                <w:b w:val="1"/>
                <w:bCs w:val="1"/>
                <w:color w:val="auto"/>
              </w:rPr>
              <w:t>(1)(2)</w:t>
            </w:r>
          </w:p>
        </w:tc>
        <w:tc>
          <w:tcPr>
            <w:tcW w:w="160" w:type="dxa"/>
            <w:vAlign w:val="bottom"/>
          </w:tcPr>
          <w:p>
            <w:pPr>
              <w:spacing w:after="0"/>
              <w:rPr>
                <w:sz w:val="16"/>
                <w:szCs w:val="16"/>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 ($)</w:t>
            </w:r>
          </w:p>
        </w:tc>
      </w:tr>
      <w:tr>
        <w:trPr>
          <w:trHeight w:val="27"/>
        </w:trPr>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302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Roxanne S. Austin</w:t>
            </w:r>
            <w:r>
              <w:rPr>
                <w:rFonts w:ascii="Arial" w:cs="Arial" w:eastAsia="Arial" w:hAnsi="Arial"/>
                <w:sz w:val="28"/>
                <w:szCs w:val="28"/>
                <w:color w:val="auto"/>
                <w:vertAlign w:val="superscript"/>
              </w:rPr>
              <w:t>(3)</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1,166,425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1,612,989</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2,779,414</w:t>
            </w:r>
          </w:p>
        </w:tc>
      </w:tr>
      <w:tr>
        <w:trPr>
          <w:trHeight w:val="203"/>
        </w:trPr>
        <w:tc>
          <w:tcPr>
            <w:tcW w:w="3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Cary J. Davis</w:t>
            </w:r>
          </w:p>
        </w:tc>
        <w:tc>
          <w:tcPr>
            <w:tcW w:w="11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0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Sameer K. Gandhi</w:t>
            </w:r>
          </w:p>
        </w:tc>
        <w:tc>
          <w:tcPr>
            <w:tcW w:w="112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Joseph P. Landy</w:t>
            </w:r>
          </w:p>
        </w:tc>
        <w:tc>
          <w:tcPr>
            <w:tcW w:w="11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0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Denis J. O'Leary</w:t>
            </w:r>
          </w:p>
        </w:tc>
        <w:tc>
          <w:tcPr>
            <w:tcW w:w="112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2"/>
        </w:trPr>
        <w:tc>
          <w:tcPr>
            <w:tcW w:w="30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Joseph E. Sexton</w:t>
            </w:r>
          </w:p>
        </w:tc>
        <w:tc>
          <w:tcPr>
            <w:tcW w:w="112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0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Godfrey R. Sullivan</w:t>
            </w:r>
          </w:p>
        </w:tc>
        <w:tc>
          <w:tcPr>
            <w:tcW w:w="112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311"/>
        </w:trPr>
        <w:tc>
          <w:tcPr>
            <w:tcW w:w="3020" w:type="dxa"/>
            <w:vAlign w:val="bottom"/>
            <w:gridSpan w:val="3"/>
          </w:tcPr>
          <w:p>
            <w:pPr>
              <w:ind w:left="20"/>
              <w:spacing w:after="0"/>
              <w:rPr>
                <w:sz w:val="20"/>
                <w:szCs w:val="20"/>
                <w:color w:val="auto"/>
              </w:rPr>
            </w:pPr>
            <w:r>
              <w:rPr>
                <w:rFonts w:ascii="Arial" w:cs="Arial" w:eastAsia="Arial" w:hAnsi="Arial"/>
                <w:sz w:val="18"/>
                <w:szCs w:val="18"/>
                <w:color w:val="auto"/>
              </w:rPr>
              <w:t>Gerhard Watzinger</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line="310" w:lineRule="exact"/>
              <w:rPr>
                <w:sz w:val="20"/>
                <w:szCs w:val="20"/>
                <w:color w:val="auto"/>
              </w:rPr>
            </w:pPr>
            <w:r>
              <w:rPr>
                <w:rFonts w:ascii="Arial" w:cs="Arial" w:eastAsia="Arial" w:hAnsi="Arial"/>
                <w:sz w:val="18"/>
                <w:szCs w:val="18"/>
                <w:color w:val="auto"/>
              </w:rPr>
              <w:t>3,360</w:t>
            </w:r>
            <w:r>
              <w:rPr>
                <w:rFonts w:ascii="Arial" w:cs="Arial" w:eastAsia="Arial" w:hAnsi="Arial"/>
                <w:sz w:val="29"/>
                <w:szCs w:val="29"/>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3,360</w:t>
            </w:r>
          </w:p>
        </w:tc>
      </w:tr>
      <w:tr>
        <w:trPr>
          <w:trHeight w:val="20"/>
        </w:trPr>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680" w:hanging="549"/>
        <w:spacing w:after="0" w:line="241" w:lineRule="auto"/>
        <w:tabs>
          <w:tab w:leader="none" w:pos="16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in these columns represent the aggregate grant date fair value of restricted stock units and stock option awards granted in fiscal 2019 computed in accordance with Financial Accounting Standard Board Accounting Standards Codification Topic 718, or FASB ASC Topic 718. The assumptions used in calculating the grant date fair value of the awards reported in the Option Awards column are set forth in our consolidated financial statements included elsewhere in this prospectus.</w:t>
      </w:r>
    </w:p>
    <w:p>
      <w:pPr>
        <w:spacing w:after="0" w:line="1" w:lineRule="exact"/>
        <w:rPr>
          <w:rFonts w:ascii="Arial" w:cs="Arial" w:eastAsia="Arial" w:hAnsi="Arial"/>
          <w:sz w:val="14"/>
          <w:szCs w:val="14"/>
          <w:color w:val="auto"/>
        </w:rPr>
      </w:pPr>
    </w:p>
    <w:p>
      <w:pPr>
        <w:ind w:left="1680" w:right="580" w:hanging="549"/>
        <w:spacing w:after="0" w:line="258" w:lineRule="auto"/>
        <w:tabs>
          <w:tab w:leader="none" w:pos="16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following table sets forth the aggregate number of shares underlying outstanding stock awards and options for each current director as of January 31, 2019:</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Underlying</w:t>
            </w: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0"/>
        </w:trPr>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Outstanding Stock</w:t>
            </w: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Underlying</w:t>
            </w:r>
          </w:p>
        </w:tc>
      </w:tr>
      <w:tr>
        <w:trPr>
          <w:trHeight w:val="204"/>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center"/>
              <w:ind w:right="160"/>
              <w:spacing w:after="0" w:line="204" w:lineRule="exact"/>
              <w:rPr>
                <w:sz w:val="20"/>
                <w:szCs w:val="20"/>
                <w:color w:val="auto"/>
              </w:rPr>
            </w:pPr>
            <w:r>
              <w:rPr>
                <w:rFonts w:ascii="Arial" w:cs="Arial" w:eastAsia="Arial" w:hAnsi="Arial"/>
                <w:sz w:val="14"/>
                <w:szCs w:val="14"/>
                <w:b w:val="1"/>
                <w:bCs w:val="1"/>
                <w:color w:val="auto"/>
                <w:w w:val="97"/>
              </w:rPr>
              <w:t>Awards</w:t>
            </w:r>
            <w:r>
              <w:rPr>
                <w:rFonts w:ascii="Arial" w:cs="Arial" w:eastAsia="Arial" w:hAnsi="Arial"/>
                <w:sz w:val="21"/>
                <w:szCs w:val="21"/>
                <w:b w:val="1"/>
                <w:bCs w:val="1"/>
                <w:color w:val="auto"/>
                <w:w w:val="97"/>
                <w:vertAlign w:val="superscript"/>
              </w:rPr>
              <w:t>(a)</w:t>
            </w:r>
          </w:p>
        </w:tc>
        <w:tc>
          <w:tcPr>
            <w:tcW w:w="1860" w:type="dxa"/>
            <w:vAlign w:val="bottom"/>
            <w:gridSpan w:val="2"/>
          </w:tcPr>
          <w:p>
            <w:pPr>
              <w:jc w:val="center"/>
              <w:ind w:right="160"/>
              <w:spacing w:after="0" w:line="204" w:lineRule="exact"/>
              <w:rPr>
                <w:sz w:val="20"/>
                <w:szCs w:val="20"/>
                <w:color w:val="auto"/>
              </w:rPr>
            </w:pPr>
            <w:r>
              <w:rPr>
                <w:rFonts w:ascii="Arial" w:cs="Arial" w:eastAsia="Arial" w:hAnsi="Arial"/>
                <w:sz w:val="14"/>
                <w:szCs w:val="14"/>
                <w:b w:val="1"/>
                <w:bCs w:val="1"/>
                <w:color w:val="auto"/>
              </w:rPr>
              <w:t>Outstanding Options</w:t>
            </w:r>
            <w:r>
              <w:rPr>
                <w:rFonts w:ascii="Arial" w:cs="Arial" w:eastAsia="Arial" w:hAnsi="Arial"/>
                <w:sz w:val="21"/>
                <w:szCs w:val="21"/>
                <w:b w:val="1"/>
                <w:bCs w:val="1"/>
                <w:color w:val="auto"/>
                <w:vertAlign w:val="superscript"/>
              </w:rPr>
              <w:t>(b)</w:t>
            </w:r>
          </w:p>
        </w:tc>
      </w:tr>
      <w:tr>
        <w:trPr>
          <w:trHeight w:val="27"/>
        </w:trPr>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62"/>
        </w:trPr>
        <w:tc>
          <w:tcPr>
            <w:tcW w:w="4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Roxanne S. Austin</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92,500</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277,500</w:t>
            </w:r>
          </w:p>
        </w:tc>
        <w:tc>
          <w:tcPr>
            <w:tcW w:w="160" w:type="dxa"/>
            <w:vAlign w:val="bottom"/>
            <w:shd w:val="clear" w:color="auto" w:fill="CCEEFF"/>
          </w:tcPr>
          <w:p>
            <w:pPr>
              <w:spacing w:after="0"/>
              <w:rPr>
                <w:sz w:val="14"/>
                <w:szCs w:val="14"/>
                <w:color w:val="auto"/>
              </w:rPr>
            </w:pPr>
          </w:p>
        </w:tc>
      </w:tr>
      <w:tr>
        <w:trPr>
          <w:trHeight w:val="162"/>
        </w:trPr>
        <w:tc>
          <w:tcPr>
            <w:tcW w:w="4500" w:type="dxa"/>
            <w:vAlign w:val="bottom"/>
            <w:gridSpan w:val="3"/>
          </w:tcPr>
          <w:p>
            <w:pPr>
              <w:spacing w:after="0"/>
              <w:rPr>
                <w:sz w:val="20"/>
                <w:szCs w:val="20"/>
                <w:color w:val="auto"/>
              </w:rPr>
            </w:pPr>
            <w:r>
              <w:rPr>
                <w:rFonts w:ascii="Arial" w:cs="Arial" w:eastAsia="Arial" w:hAnsi="Arial"/>
                <w:sz w:val="14"/>
                <w:szCs w:val="14"/>
                <w:color w:val="auto"/>
              </w:rPr>
              <w:t>Cary J. Davis</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4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Sameer K. Gandhi</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4500" w:type="dxa"/>
            <w:vAlign w:val="bottom"/>
            <w:gridSpan w:val="3"/>
          </w:tcPr>
          <w:p>
            <w:pPr>
              <w:spacing w:after="0"/>
              <w:rPr>
                <w:sz w:val="20"/>
                <w:szCs w:val="20"/>
                <w:color w:val="auto"/>
              </w:rPr>
            </w:pPr>
            <w:r>
              <w:rPr>
                <w:rFonts w:ascii="Arial" w:cs="Arial" w:eastAsia="Arial" w:hAnsi="Arial"/>
                <w:sz w:val="14"/>
                <w:szCs w:val="14"/>
                <w:color w:val="auto"/>
              </w:rPr>
              <w:t>Joseph P. Landy</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4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Denis J. O'Leary</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106,250</w:t>
            </w:r>
          </w:p>
        </w:tc>
        <w:tc>
          <w:tcPr>
            <w:tcW w:w="160" w:type="dxa"/>
            <w:vAlign w:val="bottom"/>
            <w:shd w:val="clear" w:color="auto" w:fill="CCEEFF"/>
          </w:tcPr>
          <w:p>
            <w:pPr>
              <w:spacing w:after="0"/>
              <w:rPr>
                <w:sz w:val="14"/>
                <w:szCs w:val="14"/>
                <w:color w:val="auto"/>
              </w:rPr>
            </w:pPr>
          </w:p>
        </w:tc>
      </w:tr>
      <w:tr>
        <w:trPr>
          <w:trHeight w:val="162"/>
        </w:trPr>
        <w:tc>
          <w:tcPr>
            <w:tcW w:w="4500" w:type="dxa"/>
            <w:vAlign w:val="bottom"/>
            <w:gridSpan w:val="3"/>
          </w:tcPr>
          <w:p>
            <w:pPr>
              <w:spacing w:after="0"/>
              <w:rPr>
                <w:sz w:val="20"/>
                <w:szCs w:val="20"/>
                <w:color w:val="auto"/>
              </w:rPr>
            </w:pPr>
            <w:r>
              <w:rPr>
                <w:rFonts w:ascii="Arial" w:cs="Arial" w:eastAsia="Arial" w:hAnsi="Arial"/>
                <w:sz w:val="14"/>
                <w:szCs w:val="14"/>
                <w:color w:val="auto"/>
              </w:rPr>
              <w:t>Joseph E. Sexton</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62,293</w:t>
            </w:r>
          </w:p>
        </w:tc>
        <w:tc>
          <w:tcPr>
            <w:tcW w:w="160" w:type="dxa"/>
            <w:vAlign w:val="bottom"/>
          </w:tcPr>
          <w:p>
            <w:pPr>
              <w:spacing w:after="0"/>
              <w:rPr>
                <w:sz w:val="14"/>
                <w:szCs w:val="14"/>
                <w:color w:val="auto"/>
              </w:rPr>
            </w:pPr>
          </w:p>
        </w:tc>
      </w:tr>
      <w:tr>
        <w:trPr>
          <w:trHeight w:val="162"/>
        </w:trPr>
        <w:tc>
          <w:tcPr>
            <w:tcW w:w="4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Godfrey R. Sullivan</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269,792</w:t>
            </w:r>
          </w:p>
        </w:tc>
        <w:tc>
          <w:tcPr>
            <w:tcW w:w="160" w:type="dxa"/>
            <w:vAlign w:val="bottom"/>
            <w:shd w:val="clear" w:color="auto" w:fill="CCEEFF"/>
          </w:tcPr>
          <w:p>
            <w:pPr>
              <w:spacing w:after="0"/>
              <w:rPr>
                <w:sz w:val="14"/>
                <w:szCs w:val="14"/>
                <w:color w:val="auto"/>
              </w:rPr>
            </w:pPr>
          </w:p>
        </w:tc>
      </w:tr>
      <w:tr>
        <w:trPr>
          <w:trHeight w:val="177"/>
        </w:trPr>
        <w:tc>
          <w:tcPr>
            <w:tcW w:w="4500" w:type="dxa"/>
            <w:vAlign w:val="bottom"/>
            <w:gridSpan w:val="3"/>
          </w:tcPr>
          <w:p>
            <w:pPr>
              <w:spacing w:after="0"/>
              <w:rPr>
                <w:sz w:val="20"/>
                <w:szCs w:val="20"/>
                <w:color w:val="auto"/>
              </w:rPr>
            </w:pPr>
            <w:r>
              <w:rPr>
                <w:rFonts w:ascii="Arial" w:cs="Arial" w:eastAsia="Arial" w:hAnsi="Arial"/>
                <w:sz w:val="14"/>
                <w:szCs w:val="14"/>
                <w:color w:val="auto"/>
              </w:rPr>
              <w:t>Gerhard Watzinger</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83,543</w:t>
            </w:r>
          </w:p>
        </w:tc>
        <w:tc>
          <w:tcPr>
            <w:tcW w:w="160" w:type="dxa"/>
            <w:vAlign w:val="bottom"/>
          </w:tcPr>
          <w:p>
            <w:pPr>
              <w:spacing w:after="0"/>
              <w:rPr>
                <w:sz w:val="15"/>
                <w:szCs w:val="15"/>
                <w:color w:val="auto"/>
              </w:rPr>
            </w:pPr>
          </w:p>
        </w:tc>
      </w:tr>
      <w:tr>
        <w:trPr>
          <w:trHeight w:val="93"/>
        </w:trPr>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240" w:hanging="547"/>
        <w:spacing w:after="0"/>
        <w:tabs>
          <w:tab w:leader="none" w:pos="2240" w:val="left"/>
        </w:tabs>
        <w:numPr>
          <w:ilvl w:val="1"/>
          <w:numId w:val="72"/>
        </w:numPr>
        <w:rPr>
          <w:rFonts w:ascii="Arial" w:cs="Arial" w:eastAsia="Arial" w:hAnsi="Arial"/>
          <w:sz w:val="14"/>
          <w:szCs w:val="14"/>
          <w:color w:val="auto"/>
        </w:rPr>
      </w:pPr>
      <w:r>
        <w:rPr>
          <w:rFonts w:ascii="Arial" w:cs="Arial" w:eastAsia="Arial" w:hAnsi="Arial"/>
          <w:sz w:val="14"/>
          <w:szCs w:val="14"/>
          <w:color w:val="auto"/>
        </w:rPr>
        <w:t>Each entry represents the number of shares underlying any outstanding unvested restricted stock unit awards.</w:t>
      </w:r>
    </w:p>
    <w:p>
      <w:pPr>
        <w:spacing w:after="0" w:line="1" w:lineRule="exact"/>
        <w:rPr>
          <w:rFonts w:ascii="Arial" w:cs="Arial" w:eastAsia="Arial" w:hAnsi="Arial"/>
          <w:sz w:val="14"/>
          <w:szCs w:val="14"/>
          <w:color w:val="auto"/>
        </w:rPr>
      </w:pPr>
    </w:p>
    <w:p>
      <w:pPr>
        <w:ind w:left="2240" w:right="60" w:hanging="547"/>
        <w:spacing w:after="0" w:line="258" w:lineRule="auto"/>
        <w:tabs>
          <w:tab w:leader="none" w:pos="2240" w:val="left"/>
        </w:tabs>
        <w:numPr>
          <w:ilvl w:val="1"/>
          <w:numId w:val="72"/>
        </w:numPr>
        <w:rPr>
          <w:rFonts w:ascii="Arial" w:cs="Arial" w:eastAsia="Arial" w:hAnsi="Arial"/>
          <w:sz w:val="14"/>
          <w:szCs w:val="14"/>
          <w:color w:val="auto"/>
        </w:rPr>
      </w:pPr>
      <w:r>
        <w:rPr>
          <w:rFonts w:ascii="Arial" w:cs="Arial" w:eastAsia="Arial" w:hAnsi="Arial"/>
          <w:sz w:val="14"/>
          <w:szCs w:val="14"/>
          <w:color w:val="auto"/>
        </w:rPr>
        <w:t>Each entry represents the aggregate of any shares underlying unexercised options and any unvested shares acquired upon early exercise of options.</w:t>
      </w:r>
    </w:p>
    <w:p>
      <w:pPr>
        <w:spacing w:after="0" w:line="193" w:lineRule="exact"/>
        <w:rPr>
          <w:rFonts w:ascii="Arial" w:cs="Arial" w:eastAsia="Arial" w:hAnsi="Arial"/>
          <w:sz w:val="14"/>
          <w:szCs w:val="14"/>
          <w:color w:val="auto"/>
        </w:rPr>
      </w:pPr>
    </w:p>
    <w:p>
      <w:pPr>
        <w:ind w:left="1680" w:hanging="549"/>
        <w:spacing w:after="0"/>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Ms. Austin became a member of our board of directors in September 2018.</w:t>
      </w:r>
    </w:p>
    <w:p>
      <w:pPr>
        <w:spacing w:after="0" w:line="1" w:lineRule="exact"/>
        <w:rPr>
          <w:rFonts w:ascii="Arial" w:cs="Arial" w:eastAsia="Arial" w:hAnsi="Arial"/>
          <w:sz w:val="14"/>
          <w:szCs w:val="14"/>
          <w:color w:val="auto"/>
        </w:rPr>
      </w:pPr>
    </w:p>
    <w:p>
      <w:pPr>
        <w:ind w:left="1680" w:hanging="549"/>
        <w:spacing w:after="0"/>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This amount reflects health insurance benefits provided to Mr. Watzinger.</w:t>
      </w:r>
    </w:p>
    <w:p>
      <w:pPr>
        <w:spacing w:after="0" w:line="215" w:lineRule="exact"/>
        <w:rPr>
          <w:sz w:val="20"/>
          <w:szCs w:val="20"/>
          <w:color w:val="auto"/>
        </w:rPr>
      </w:pPr>
    </w:p>
    <w:p>
      <w:pPr>
        <w:jc w:val="both"/>
        <w:ind w:right="20" w:firstLine="488"/>
        <w:spacing w:after="0" w:line="238" w:lineRule="auto"/>
        <w:rPr>
          <w:sz w:val="20"/>
          <w:szCs w:val="20"/>
          <w:color w:val="auto"/>
        </w:rPr>
      </w:pPr>
      <w:r>
        <w:rPr>
          <w:rFonts w:ascii="Arial" w:cs="Arial" w:eastAsia="Arial" w:hAnsi="Arial"/>
          <w:sz w:val="18"/>
          <w:szCs w:val="18"/>
          <w:color w:val="auto"/>
        </w:rPr>
        <w:t>We entered into offer letters with each of Ms. Austin and Messrs. O'Leary, Sexton, Sullivan, and Watzinger in connection with each of their appointments to our board of directors. The offer letters with Ms. Austin and Messrs. Sexton and Sullivan provide that the relevant director will be reimbursed for reasonable expenses he or she incurs in connection with his or her service on our board of directors.</w:t>
      </w:r>
    </w:p>
    <w:p>
      <w:pPr>
        <w:spacing w:after="0" w:line="208" w:lineRule="exact"/>
        <w:rPr>
          <w:sz w:val="20"/>
          <w:szCs w:val="20"/>
          <w:color w:val="auto"/>
        </w:rPr>
      </w:pPr>
    </w:p>
    <w:p>
      <w:pPr>
        <w:jc w:val="both"/>
        <w:ind w:right="260" w:firstLine="488"/>
        <w:spacing w:after="0" w:line="238" w:lineRule="auto"/>
        <w:rPr>
          <w:sz w:val="20"/>
          <w:szCs w:val="20"/>
          <w:color w:val="auto"/>
        </w:rPr>
      </w:pPr>
      <w:r>
        <w:rPr>
          <w:rFonts w:ascii="Arial" w:cs="Arial" w:eastAsia="Arial" w:hAnsi="Arial"/>
          <w:sz w:val="18"/>
          <w:szCs w:val="18"/>
          <w:color w:val="auto"/>
        </w:rPr>
        <w:t>Ms. Austin's offer letter provides for the grant of an option to purchase 277,500 shares of our common stock and RSUs covering 92,500 shares of our common stock, which we granted to her in October 2018. Each of Ms. Austin's awards will become fully vested in the event of a change of control (as defined in her offer letter) that occurs after the one-year anniversary of her start date.</w:t>
      </w:r>
    </w:p>
    <w:p>
      <w:pPr>
        <w:spacing w:after="0" w:line="208"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Mr. O'Leary's offer letter provides for annual compensation of $12,500, the grant of an option to purchase 400,000 shares of our common stock, which we granted to him in December 2011,</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and the right to purchase up to an aggregate of $300,000 of our redeemable convertible preferred stock. Mr. O'Leary exercised his right to purchase up to an aggregate of $300,000 of our redeemable convertible preferred stock in connection with our Series A-1 financing in December 2011. For fiscal 2019, Mr. O'Leary declined to receive the full amount of compensation provided for in his offer letter.</w:t>
      </w:r>
    </w:p>
    <w:p>
      <w:pPr>
        <w:spacing w:after="0" w:line="208" w:lineRule="exact"/>
        <w:rPr>
          <w:sz w:val="20"/>
          <w:szCs w:val="20"/>
          <w:color w:val="auto"/>
        </w:rPr>
      </w:pPr>
    </w:p>
    <w:p>
      <w:pPr>
        <w:ind w:right="500" w:firstLine="488"/>
        <w:spacing w:after="0" w:line="238" w:lineRule="auto"/>
        <w:rPr>
          <w:sz w:val="20"/>
          <w:szCs w:val="20"/>
          <w:color w:val="auto"/>
        </w:rPr>
      </w:pPr>
      <w:r>
        <w:rPr>
          <w:rFonts w:ascii="Arial" w:cs="Arial" w:eastAsia="Arial" w:hAnsi="Arial"/>
          <w:sz w:val="18"/>
          <w:szCs w:val="18"/>
          <w:color w:val="auto"/>
        </w:rPr>
        <w:t>Mr. Sexton's offer letter provides for compensation of $10,000 per year and the grant of an option to purchase 220,000 shares of our common stock, which we granted to him in March 2015. For fiscal 2019, Mr. Sexton declined to receive the full amount of compensation provided for in his offer letter.</w:t>
      </w:r>
    </w:p>
    <w:p>
      <w:pPr>
        <w:spacing w:after="0" w:line="208" w:lineRule="exact"/>
        <w:rPr>
          <w:sz w:val="20"/>
          <w:szCs w:val="20"/>
          <w:color w:val="auto"/>
        </w:rPr>
      </w:pPr>
    </w:p>
    <w:p>
      <w:pPr>
        <w:ind w:right="660" w:firstLine="488"/>
        <w:spacing w:after="0" w:line="239" w:lineRule="auto"/>
        <w:rPr>
          <w:sz w:val="20"/>
          <w:szCs w:val="20"/>
          <w:color w:val="auto"/>
        </w:rPr>
      </w:pPr>
      <w:r>
        <w:rPr>
          <w:rFonts w:ascii="Arial" w:cs="Arial" w:eastAsia="Arial" w:hAnsi="Arial"/>
          <w:sz w:val="18"/>
          <w:szCs w:val="18"/>
          <w:color w:val="auto"/>
        </w:rPr>
        <w:t>Mr. Sullivan's offer letter provides for the grant of an option to purchase 370,000 shares of our common stock, which we granted in December 2017. Mr. Sullivan's option award will become fully vested in the event we are sold.</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Mr. Watzinger's offer letter provides for the grant of an option to purchase 450,000 shares of our common stock, which we granted to him in April 2012, the grant on the three-year anniversary of his start date of an additional option to purchase 100,000 shares of our common stock, which we granted to him in March 2015, and the right to purchase up to an aggregate of $300,000 of our redeemable convertible preferred stock. Mr. Watzinger exercised his right to purchase up to an aggregate of $300,000 of our redeemable convertible preferred stock through an affiliated entity in connection with our Series A-1 financing in April 2012.</w:t>
      </w:r>
    </w:p>
    <w:p>
      <w:pPr>
        <w:spacing w:after="0" w:line="211" w:lineRule="exact"/>
        <w:rPr>
          <w:sz w:val="20"/>
          <w:szCs w:val="20"/>
          <w:color w:val="auto"/>
        </w:rPr>
      </w:pPr>
    </w:p>
    <w:p>
      <w:pPr>
        <w:ind w:right="160" w:firstLine="488"/>
        <w:spacing w:after="0" w:line="239" w:lineRule="auto"/>
        <w:rPr>
          <w:sz w:val="20"/>
          <w:szCs w:val="20"/>
          <w:color w:val="auto"/>
        </w:rPr>
      </w:pPr>
      <w:r>
        <w:rPr>
          <w:rFonts w:ascii="Arial" w:cs="Arial" w:eastAsia="Arial" w:hAnsi="Arial"/>
          <w:sz w:val="18"/>
          <w:szCs w:val="18"/>
          <w:color w:val="auto"/>
        </w:rPr>
        <w:t>During fiscal 2019, Mr. Kurtz was our President and Chief Executive Officer and received no additional compensation for his service as a director. See the section titled "Executive Compensation" for additional information about compensation to Mr. Kurtz.</w:t>
      </w:r>
    </w:p>
    <w:p>
      <w:pPr>
        <w:spacing w:after="0" w:line="209" w:lineRule="exact"/>
        <w:rPr>
          <w:sz w:val="20"/>
          <w:szCs w:val="20"/>
          <w:color w:val="auto"/>
        </w:rPr>
      </w:pPr>
    </w:p>
    <w:p>
      <w:pPr>
        <w:ind w:right="40" w:firstLine="478"/>
        <w:spacing w:after="0" w:line="236" w:lineRule="auto"/>
        <w:rPr>
          <w:sz w:val="20"/>
          <w:szCs w:val="20"/>
          <w:color w:val="auto"/>
        </w:rPr>
      </w:pPr>
      <w:r>
        <w:rPr>
          <w:rFonts w:ascii="Arial" w:cs="Arial" w:eastAsia="Arial" w:hAnsi="Arial"/>
          <w:sz w:val="18"/>
          <w:szCs w:val="18"/>
          <w:color w:val="auto"/>
        </w:rPr>
        <w:t>Although compensation has been paid to our non-employee directors prior to the completion of this offering, we do not currently have a general policy or plan to make equity award grants or pay cash retainers to our non-employee directors at a particular time, of a particular value or of a particular amount. As described in its summary below, our 2019 Plan contains maximum limits, which will be approved by our stockholders prior to our 2019 Plan becoming effective, on the size of the equity awards that can be granted to each of our non-employee directors in any fiscal year, but those maximum limits do not reflect the intended size of any potential grants or a commitment to make any equity award grants to our non-employee directors in the future.</w:t>
      </w:r>
    </w:p>
    <w:p>
      <w:pPr>
        <w:spacing w:after="0" w:line="210" w:lineRule="exact"/>
        <w:rPr>
          <w:sz w:val="20"/>
          <w:szCs w:val="20"/>
          <w:color w:val="auto"/>
        </w:rPr>
      </w:pPr>
    </w:p>
    <w:p>
      <w:pPr>
        <w:ind w:right="400" w:firstLine="488"/>
        <w:spacing w:after="0" w:line="238" w:lineRule="auto"/>
        <w:rPr>
          <w:sz w:val="20"/>
          <w:szCs w:val="20"/>
          <w:color w:val="auto"/>
        </w:rPr>
      </w:pPr>
      <w:r>
        <w:rPr>
          <w:rFonts w:ascii="Arial" w:cs="Arial" w:eastAsia="Arial" w:hAnsi="Arial"/>
          <w:sz w:val="18"/>
          <w:szCs w:val="18"/>
          <w:color w:val="auto"/>
        </w:rPr>
        <w:t>Prior to the completion of this offering, we intend to implement a formal policy pursuant to which our non-employee directors would be eligible to receive equity awards and cash retainers as compensation for service on our board of directors and committees of our board of directors beginning as of the effective date of the registration statement of which this prospectus forms a part.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2019 Summary Compensation Table</w:t>
      </w:r>
    </w:p>
    <w:p>
      <w:pPr>
        <w:spacing w:after="0" w:line="234" w:lineRule="exact"/>
        <w:rPr>
          <w:sz w:val="20"/>
          <w:szCs w:val="20"/>
          <w:color w:val="auto"/>
        </w:rPr>
      </w:pPr>
    </w:p>
    <w:p>
      <w:pPr>
        <w:ind w:right="260" w:firstLine="484"/>
        <w:spacing w:after="0" w:line="239"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named executive officers during the fiscal year ended January 31, 2019:</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540" w:type="dxa"/>
            <w:vAlign w:val="bottom"/>
          </w:tcPr>
          <w:p>
            <w:pPr>
              <w:spacing w:after="0"/>
              <w:rPr>
                <w:sz w:val="14"/>
                <w:szCs w:val="14"/>
                <w:color w:val="auto"/>
              </w:rPr>
            </w:pPr>
          </w:p>
        </w:tc>
      </w:tr>
      <w:tr>
        <w:trPr>
          <w:trHeight w:val="17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Fiscal</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Salary</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Bonus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Compensation</w:t>
            </w: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r>
      <w:tr>
        <w:trPr>
          <w:trHeight w:val="192"/>
        </w:trPr>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Year</w:t>
            </w:r>
          </w:p>
        </w:tc>
        <w:tc>
          <w:tcPr>
            <w:tcW w:w="72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20" w:type="dxa"/>
            <w:vAlign w:val="bottom"/>
          </w:tcPr>
          <w:p>
            <w:pPr>
              <w:jc w:val="center"/>
              <w:ind w:right="40"/>
              <w:spacing w:after="0" w:line="19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(3)</w:t>
            </w:r>
          </w:p>
        </w:tc>
        <w:tc>
          <w:tcPr>
            <w:tcW w:w="180" w:type="dxa"/>
            <w:vAlign w:val="bottom"/>
          </w:tcPr>
          <w:p>
            <w:pPr>
              <w:spacing w:after="0"/>
              <w:rPr>
                <w:sz w:val="16"/>
                <w:szCs w:val="16"/>
                <w:color w:val="auto"/>
              </w:rPr>
            </w:pPr>
          </w:p>
        </w:tc>
        <w:tc>
          <w:tcPr>
            <w:tcW w:w="9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160" w:type="dxa"/>
            <w:vAlign w:val="bottom"/>
          </w:tcPr>
          <w:p>
            <w:pPr>
              <w:spacing w:after="0"/>
              <w:rPr>
                <w:sz w:val="16"/>
                <w:szCs w:val="16"/>
                <w:color w:val="auto"/>
              </w:rPr>
            </w:pPr>
          </w:p>
        </w:tc>
        <w:tc>
          <w:tcPr>
            <w:tcW w:w="8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(1)</w:t>
            </w:r>
          </w:p>
        </w:tc>
        <w:tc>
          <w:tcPr>
            <w:tcW w:w="160" w:type="dxa"/>
            <w:vAlign w:val="bottom"/>
          </w:tcPr>
          <w:p>
            <w:pPr>
              <w:spacing w:after="0"/>
              <w:rPr>
                <w:sz w:val="16"/>
                <w:szCs w:val="16"/>
                <w:color w:val="auto"/>
              </w:rPr>
            </w:pPr>
          </w:p>
        </w:tc>
        <w:tc>
          <w:tcPr>
            <w:tcW w:w="102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1160" w:type="dxa"/>
            <w:vAlign w:val="bottom"/>
            <w:gridSpan w:val="2"/>
          </w:tcPr>
          <w:p>
            <w:pPr>
              <w:jc w:val="center"/>
              <w:ind w:left="76"/>
              <w:spacing w:after="0" w:line="193"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21"/>
                <w:szCs w:val="21"/>
                <w:b w:val="1"/>
                <w:bCs w:val="1"/>
                <w:color w:val="auto"/>
                <w:w w:val="93"/>
                <w:vertAlign w:val="superscript"/>
              </w:rPr>
              <w:t>(2)</w:t>
            </w:r>
          </w:p>
        </w:tc>
        <w:tc>
          <w:tcPr>
            <w:tcW w:w="160" w:type="dxa"/>
            <w:vAlign w:val="bottom"/>
          </w:tcPr>
          <w:p>
            <w:pPr>
              <w:spacing w:after="0"/>
              <w:rPr>
                <w:sz w:val="16"/>
                <w:szCs w:val="16"/>
                <w:color w:val="auto"/>
              </w:rPr>
            </w:pPr>
          </w:p>
        </w:tc>
        <w:tc>
          <w:tcPr>
            <w:tcW w:w="540" w:type="dxa"/>
            <w:vAlign w:val="bottom"/>
          </w:tcPr>
          <w:p>
            <w:pPr>
              <w:ind w:left="120"/>
              <w:spacing w:after="0" w:line="19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(3)</w:t>
            </w:r>
          </w:p>
        </w:tc>
      </w:tr>
      <w:tr>
        <w:trPr>
          <w:trHeight w:val="27"/>
        </w:trPr>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r>
      <w:tr>
        <w:trPr>
          <w:trHeight w:val="203"/>
        </w:trPr>
        <w:tc>
          <w:tcPr>
            <w:tcW w:w="15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George Kurtz</w:t>
            </w:r>
          </w:p>
        </w:tc>
        <w:tc>
          <w:tcPr>
            <w:tcW w:w="8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2019</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394,039</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35,508,650</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8,415,367</w:t>
            </w:r>
          </w:p>
        </w:tc>
        <w:tc>
          <w:tcPr>
            <w:tcW w:w="10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11,774</w:t>
            </w:r>
          </w:p>
        </w:tc>
        <w:tc>
          <w:tcPr>
            <w:tcW w:w="540" w:type="dxa"/>
            <w:vAlign w:val="bottom"/>
            <w:shd w:val="clear" w:color="auto" w:fill="CCEEFF"/>
          </w:tcPr>
          <w:p>
            <w:pPr>
              <w:spacing w:after="0"/>
              <w:rPr>
                <w:sz w:val="17"/>
                <w:szCs w:val="17"/>
                <w:color w:val="auto"/>
              </w:rPr>
            </w:pPr>
          </w:p>
        </w:tc>
      </w:tr>
      <w:tr>
        <w:trPr>
          <w:trHeight w:val="188"/>
        </w:trPr>
        <w:tc>
          <w:tcPr>
            <w:tcW w:w="1500" w:type="dxa"/>
            <w:vAlign w:val="bottom"/>
            <w:gridSpan w:val="3"/>
            <w:shd w:val="clear" w:color="auto" w:fill="CCEEFF"/>
          </w:tcPr>
          <w:p>
            <w:pPr>
              <w:ind w:left="180"/>
              <w:spacing w:after="0" w:line="188" w:lineRule="exact"/>
              <w:rPr>
                <w:sz w:val="20"/>
                <w:szCs w:val="20"/>
                <w:color w:val="auto"/>
              </w:rPr>
            </w:pPr>
            <w:r>
              <w:rPr>
                <w:rFonts w:ascii="Arial" w:cs="Arial" w:eastAsia="Arial" w:hAnsi="Arial"/>
                <w:sz w:val="18"/>
                <w:szCs w:val="18"/>
                <w:i w:val="1"/>
                <w:iCs w:val="1"/>
                <w:color w:val="auto"/>
              </w:rPr>
              <w:t>President and</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03"/>
        </w:trPr>
        <w:tc>
          <w:tcPr>
            <w:tcW w:w="15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Chief Executive</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7"/>
        </w:trPr>
        <w:tc>
          <w:tcPr>
            <w:tcW w:w="15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Officer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88"/>
        </w:trPr>
        <w:tc>
          <w:tcPr>
            <w:tcW w:w="1500" w:type="dxa"/>
            <w:vAlign w:val="bottom"/>
            <w:gridSpan w:val="3"/>
          </w:tcPr>
          <w:p>
            <w:pPr>
              <w:ind w:left="20"/>
              <w:spacing w:after="0" w:line="188" w:lineRule="exact"/>
              <w:rPr>
                <w:sz w:val="20"/>
                <w:szCs w:val="20"/>
                <w:color w:val="auto"/>
              </w:rPr>
            </w:pPr>
            <w:r>
              <w:rPr>
                <w:rFonts w:ascii="Arial" w:cs="Arial" w:eastAsia="Arial" w:hAnsi="Arial"/>
                <w:sz w:val="18"/>
                <w:szCs w:val="18"/>
                <w:color w:val="auto"/>
              </w:rPr>
              <w:t>Burt W. Podbere</w:t>
            </w:r>
          </w:p>
        </w:tc>
        <w:tc>
          <w:tcPr>
            <w:tcW w:w="860" w:type="dxa"/>
            <w:vAlign w:val="bottom"/>
            <w:gridSpan w:val="3"/>
          </w:tcPr>
          <w:p>
            <w:pPr>
              <w:jc w:val="right"/>
              <w:ind w:right="160"/>
              <w:spacing w:after="0" w:line="188" w:lineRule="exact"/>
              <w:rPr>
                <w:sz w:val="20"/>
                <w:szCs w:val="20"/>
                <w:color w:val="auto"/>
              </w:rPr>
            </w:pPr>
            <w:r>
              <w:rPr>
                <w:rFonts w:ascii="Arial" w:cs="Arial" w:eastAsia="Arial" w:hAnsi="Arial"/>
                <w:sz w:val="18"/>
                <w:szCs w:val="18"/>
                <w:color w:val="auto"/>
              </w:rPr>
              <w:t>2019</w:t>
            </w:r>
          </w:p>
        </w:tc>
        <w:tc>
          <w:tcPr>
            <w:tcW w:w="88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347,467</w:t>
            </w:r>
          </w:p>
        </w:tc>
        <w:tc>
          <w:tcPr>
            <w:tcW w:w="800" w:type="dxa"/>
            <w:vAlign w:val="bottom"/>
            <w:gridSpan w:val="2"/>
          </w:tcPr>
          <w:p>
            <w:pPr>
              <w:ind w:left="460"/>
              <w:spacing w:after="0" w:line="188"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624,000</w:t>
            </w:r>
          </w:p>
        </w:tc>
        <w:tc>
          <w:tcPr>
            <w:tcW w:w="1040" w:type="dxa"/>
            <w:vAlign w:val="bottom"/>
            <w:gridSpan w:val="2"/>
          </w:tcPr>
          <w:p>
            <w:pPr>
              <w:jc w:val="right"/>
              <w:ind w:right="160"/>
              <w:spacing w:after="0" w:line="188" w:lineRule="exact"/>
              <w:rPr>
                <w:sz w:val="20"/>
                <w:szCs w:val="20"/>
                <w:color w:val="auto"/>
              </w:rPr>
            </w:pPr>
            <w:r>
              <w:rPr>
                <w:rFonts w:ascii="Arial" w:cs="Arial" w:eastAsia="Arial" w:hAnsi="Arial"/>
                <w:sz w:val="18"/>
                <w:szCs w:val="18"/>
                <w:color w:val="auto"/>
              </w:rPr>
              <w:t>284,268</w:t>
            </w:r>
          </w:p>
        </w:tc>
        <w:tc>
          <w:tcPr>
            <w:tcW w:w="1020" w:type="dxa"/>
            <w:vAlign w:val="bottom"/>
          </w:tcPr>
          <w:p>
            <w:pPr>
              <w:spacing w:after="0"/>
              <w:rPr>
                <w:sz w:val="16"/>
                <w:szCs w:val="16"/>
                <w:color w:val="auto"/>
              </w:rPr>
            </w:pPr>
          </w:p>
        </w:tc>
        <w:tc>
          <w:tcPr>
            <w:tcW w:w="1320" w:type="dxa"/>
            <w:vAlign w:val="bottom"/>
            <w:gridSpan w:val="3"/>
          </w:tcPr>
          <w:p>
            <w:pPr>
              <w:jc w:val="right"/>
              <w:ind w:right="160"/>
              <w:spacing w:after="0" w:line="188" w:lineRule="exact"/>
              <w:rPr>
                <w:sz w:val="20"/>
                <w:szCs w:val="20"/>
                <w:color w:val="auto"/>
              </w:rPr>
            </w:pPr>
            <w:r>
              <w:rPr>
                <w:rFonts w:ascii="Arial" w:cs="Arial" w:eastAsia="Arial" w:hAnsi="Arial"/>
                <w:sz w:val="18"/>
                <w:szCs w:val="18"/>
                <w:color w:val="auto"/>
              </w:rPr>
              <w:t>8,729</w:t>
            </w:r>
          </w:p>
        </w:tc>
        <w:tc>
          <w:tcPr>
            <w:tcW w:w="540" w:type="dxa"/>
            <w:vAlign w:val="bottom"/>
          </w:tcPr>
          <w:p>
            <w:pPr>
              <w:spacing w:after="0"/>
              <w:rPr>
                <w:sz w:val="16"/>
                <w:szCs w:val="16"/>
                <w:color w:val="auto"/>
              </w:rPr>
            </w:pPr>
          </w:p>
        </w:tc>
      </w:tr>
      <w:tr>
        <w:trPr>
          <w:trHeight w:val="203"/>
        </w:trPr>
        <w:tc>
          <w:tcPr>
            <w:tcW w:w="1500" w:type="dxa"/>
            <w:vAlign w:val="bottom"/>
            <w:gridSpan w:val="3"/>
          </w:tcPr>
          <w:p>
            <w:pPr>
              <w:ind w:left="180"/>
              <w:spacing w:after="0" w:line="202" w:lineRule="exact"/>
              <w:rPr>
                <w:sz w:val="20"/>
                <w:szCs w:val="20"/>
                <w:color w:val="auto"/>
              </w:rPr>
            </w:pPr>
            <w:r>
              <w:rPr>
                <w:rFonts w:ascii="Arial" w:cs="Arial" w:eastAsia="Arial" w:hAnsi="Arial"/>
                <w:sz w:val="18"/>
                <w:szCs w:val="18"/>
                <w:i w:val="1"/>
                <w:iCs w:val="1"/>
                <w:color w:val="auto"/>
              </w:rPr>
              <w:t>Chief Financial</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7"/>
        </w:trPr>
        <w:tc>
          <w:tcPr>
            <w:tcW w:w="1500" w:type="dxa"/>
            <w:vAlign w:val="bottom"/>
            <w:gridSpan w:val="3"/>
          </w:tcPr>
          <w:p>
            <w:pPr>
              <w:ind w:left="180"/>
              <w:spacing w:after="0"/>
              <w:rPr>
                <w:sz w:val="20"/>
                <w:szCs w:val="20"/>
                <w:color w:val="auto"/>
              </w:rPr>
            </w:pPr>
            <w:r>
              <w:rPr>
                <w:rFonts w:ascii="Arial" w:cs="Arial" w:eastAsia="Arial" w:hAnsi="Arial"/>
                <w:sz w:val="18"/>
                <w:szCs w:val="18"/>
                <w:i w:val="1"/>
                <w:iCs w:val="1"/>
                <w:color w:val="auto"/>
              </w:rPr>
              <w:t>Officer</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3"/>
        </w:trPr>
        <w:tc>
          <w:tcPr>
            <w:tcW w:w="15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Colin Black</w:t>
            </w:r>
          </w:p>
        </w:tc>
        <w:tc>
          <w:tcPr>
            <w:tcW w:w="8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2019</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377,359</w:t>
            </w:r>
          </w:p>
        </w:tc>
        <w:tc>
          <w:tcPr>
            <w:tcW w:w="80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624,000</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284,268</w:t>
            </w:r>
          </w:p>
        </w:tc>
        <w:tc>
          <w:tcPr>
            <w:tcW w:w="10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9,401</w:t>
            </w:r>
          </w:p>
        </w:tc>
        <w:tc>
          <w:tcPr>
            <w:tcW w:w="540" w:type="dxa"/>
            <w:vAlign w:val="bottom"/>
            <w:shd w:val="clear" w:color="auto" w:fill="CCEEFF"/>
          </w:tcPr>
          <w:p>
            <w:pPr>
              <w:spacing w:after="0"/>
              <w:rPr>
                <w:sz w:val="17"/>
                <w:szCs w:val="17"/>
                <w:color w:val="auto"/>
              </w:rPr>
            </w:pPr>
          </w:p>
        </w:tc>
      </w:tr>
      <w:tr>
        <w:trPr>
          <w:trHeight w:val="188"/>
        </w:trPr>
        <w:tc>
          <w:tcPr>
            <w:tcW w:w="1500" w:type="dxa"/>
            <w:vAlign w:val="bottom"/>
            <w:gridSpan w:val="3"/>
            <w:shd w:val="clear" w:color="auto" w:fill="CCEEFF"/>
          </w:tcPr>
          <w:p>
            <w:pPr>
              <w:ind w:left="180"/>
              <w:spacing w:after="0" w:line="188" w:lineRule="exact"/>
              <w:rPr>
                <w:sz w:val="20"/>
                <w:szCs w:val="20"/>
                <w:color w:val="auto"/>
              </w:rPr>
            </w:pPr>
            <w:r>
              <w:rPr>
                <w:rFonts w:ascii="Arial" w:cs="Arial" w:eastAsia="Arial" w:hAnsi="Arial"/>
                <w:sz w:val="18"/>
                <w:szCs w:val="18"/>
                <w:i w:val="1"/>
                <w:iCs w:val="1"/>
                <w:color w:val="auto"/>
              </w:rPr>
              <w:t>Chief Operating</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03"/>
        </w:trPr>
        <w:tc>
          <w:tcPr>
            <w:tcW w:w="15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w w:val="96"/>
              </w:rPr>
              <w:t>Officer and Chief</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150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Information</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7"/>
        </w:trPr>
        <w:tc>
          <w:tcPr>
            <w:tcW w:w="15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Officer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08"/>
        </w:trPr>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bl>
    <w:p>
      <w:pPr>
        <w:spacing w:after="0" w:line="221" w:lineRule="exact"/>
        <w:rPr>
          <w:sz w:val="20"/>
          <w:szCs w:val="20"/>
          <w:color w:val="auto"/>
        </w:rPr>
      </w:pPr>
    </w:p>
    <w:p>
      <w:pPr>
        <w:ind w:left="1680" w:right="100" w:hanging="549"/>
        <w:spacing w:after="0" w:line="241" w:lineRule="auto"/>
        <w:tabs>
          <w:tab w:leader="none" w:pos="16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disclosed represent the grant date fair value of the restricted stock units and stock options granted to the named executive officers during fiscal 2019 as computed in accordance with ASC Topic 718. The assumptions used in calculating the grant date fair value of the stock options reported in the Option Awards column are set forth in our audited consolidated financial statements included in this prospectus. Such grant date fair values do not take into account any estimated forfeitures related to service-vesting conditions. These amounts do not reflect the actual economic value that will be realized by the named executive officer upon the vesting of the restricted stock units or stock options, the exercise of the stock options, or the sale of the common stock acquired under such restricted stock units or stock options.</w:t>
      </w:r>
    </w:p>
    <w:p>
      <w:pPr>
        <w:spacing w:after="0" w:line="2" w:lineRule="exact"/>
        <w:rPr>
          <w:rFonts w:ascii="Arial" w:cs="Arial" w:eastAsia="Arial" w:hAnsi="Arial"/>
          <w:sz w:val="14"/>
          <w:szCs w:val="14"/>
          <w:color w:val="auto"/>
        </w:rPr>
      </w:pPr>
    </w:p>
    <w:p>
      <w:pPr>
        <w:ind w:left="1680" w:hanging="549"/>
        <w:spacing w:after="0"/>
        <w:tabs>
          <w:tab w:leader="none" w:pos="16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Kurtz serves on our board of directors but is not paid additional compensation for such service.</w:t>
      </w:r>
    </w:p>
    <w:p>
      <w:pPr>
        <w:spacing w:after="0" w:line="1" w:lineRule="exact"/>
        <w:rPr>
          <w:rFonts w:ascii="Arial" w:cs="Arial" w:eastAsia="Arial" w:hAnsi="Arial"/>
          <w:sz w:val="14"/>
          <w:szCs w:val="14"/>
          <w:color w:val="auto"/>
        </w:rPr>
      </w:pPr>
    </w:p>
    <w:p>
      <w:pPr>
        <w:ind w:left="1680" w:hanging="549"/>
        <w:spacing w:after="0"/>
        <w:tabs>
          <w:tab w:leader="none" w:pos="16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Amounts will be determined by the Board of Directors in March 2019.</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Named Executive Officer Employment Letters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George Kurtz</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entered into an employment agreement with Mr. Kurtz, our President and Chief Executive Officer, dated November 18, 2011, or the Kurtz Employment Agreement. The Kurtz Employment Agreement has no specified term and provides for at-will employment. Pursuant to the Kurtz Employment Agreement, Mr. Kurtz's annual base salary, now $450,000, is subject to increase by the compensation committee. Mr. Kurtz is eligible to participate in our annual bonus program, health plan, insurance plan, retirement plan, and other benefit plans as provided to our similarly situated executives.</w:t>
      </w:r>
    </w:p>
    <w:p>
      <w:pPr>
        <w:spacing w:after="0" w:line="211"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Pursuant to the Kurtz Employment Agreement, if Mr. Kurtz's employment is terminated (1) by us without "cause" (as defined in the Kurtz Employment Agreement), other than due to death or disability, or (2) by Mr. Kurtz for "good reason" (as defined in the Kurtz Employment Agreement), and Mr. Kurtz agrees to be bound by certain limitations on competitive activities set forth in a Non-Interference Agreement between Mr. Kurtz and us and executes a release of claims in the form attached to the Kurtz Employment Agreement that becomes effective and irrevocable within 60 days of his termination of employment, Mr. Kurtz shall be entitled to (i) continued payment of his base salary for 12 months following his termination, payable in accordance with our regular payroll practices, and (ii) subject to Mr. Kurtz's election of COBRA continuation coverage under our group health plan, we will pay Mr. Kurtz an additional monthly amount equal to (on an after tax basis) the "applicable percentage" of the monthly COBRA premium cost for the level of coverage that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Mr. Kurtz had as of the date of termination for up to 12 months following his termination. The "applicable percentage" shall be the percentage of Mr. Kurtz's health care premium costs covered by us as of the date of termination.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Burt W. Podbere</w:t>
      </w:r>
    </w:p>
    <w:p>
      <w:pPr>
        <w:spacing w:after="0" w:line="232" w:lineRule="exact"/>
        <w:rPr>
          <w:sz w:val="20"/>
          <w:szCs w:val="20"/>
          <w:color w:val="auto"/>
        </w:rPr>
      </w:pPr>
    </w:p>
    <w:p>
      <w:pPr>
        <w:ind w:right="180" w:firstLine="488"/>
        <w:spacing w:after="0" w:line="236" w:lineRule="auto"/>
        <w:rPr>
          <w:sz w:val="20"/>
          <w:szCs w:val="20"/>
          <w:color w:val="auto"/>
        </w:rPr>
      </w:pPr>
      <w:r>
        <w:rPr>
          <w:rFonts w:ascii="Arial" w:cs="Arial" w:eastAsia="Arial" w:hAnsi="Arial"/>
          <w:sz w:val="18"/>
          <w:szCs w:val="18"/>
          <w:color w:val="auto"/>
        </w:rPr>
        <w:t>We entered into an employment letter with Mr. Podbere dated as of August 10, 2015. Pursuant to this letter, we have agreed to provide Mr. Podbere with severance benefits in the event of a qualifying termination of employment. In the event that we terminate Mr. Podere's employment without cause or he terminates his employment for good reason, Mr. Podbere will receive three months base salary as severance and, if the termination occurs within 12 months after a change of control, Mr. Podbere will receive full vesting of his unvested options, in each case subject to his release of claims against us and our affiliates.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Colin Black</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entered into an employment letter with Mr. Black dated as of October 3, 2015. Pursuant to this letter, we have agreed to provide</w:t>
      </w:r>
    </w:p>
    <w:p>
      <w:pPr>
        <w:jc w:val="both"/>
        <w:ind w:right="100"/>
        <w:spacing w:after="0" w:line="281" w:lineRule="auto"/>
        <w:rPr>
          <w:sz w:val="20"/>
          <w:szCs w:val="20"/>
          <w:color w:val="auto"/>
        </w:rPr>
      </w:pPr>
      <w:r>
        <w:rPr>
          <w:rFonts w:ascii="Arial" w:cs="Arial" w:eastAsia="Arial" w:hAnsi="Arial"/>
          <w:sz w:val="16"/>
          <w:szCs w:val="16"/>
          <w:color w:val="auto"/>
        </w:rPr>
        <w:t>Mr. Black with severance benefits in the event of a qualifying termination of employment. In the event that we terminate Mr. Black's employment without cause or he terminates his employment for good reason within 12 months after a change of control, Mr. Black will receive three months base salary as severance and full vesting of his unvested options, in each case subject to his release of claims against us and our affiliates.</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234" w:lineRule="exact"/>
        <w:rPr>
          <w:sz w:val="20"/>
          <w:szCs w:val="20"/>
          <w:color w:val="auto"/>
        </w:rPr>
      </w:pPr>
    </w:p>
    <w:p>
      <w:pPr>
        <w:ind w:right="200" w:firstLine="488"/>
        <w:spacing w:after="0" w:line="239" w:lineRule="auto"/>
        <w:rPr>
          <w:sz w:val="20"/>
          <w:szCs w:val="20"/>
          <w:color w:val="auto"/>
        </w:rPr>
      </w:pPr>
      <w:r>
        <w:rPr>
          <w:rFonts w:ascii="Arial" w:cs="Arial" w:eastAsia="Arial" w:hAnsi="Arial"/>
          <w:sz w:val="18"/>
          <w:szCs w:val="18"/>
          <w:color w:val="auto"/>
        </w:rPr>
        <w:t>We provide each of our named executive officers an opportunity to receive formula-based incentive payments. The payments are based on a target incentive amount for each named executive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George Kurtz</w:t>
      </w:r>
    </w:p>
    <w:p>
      <w:pPr>
        <w:spacing w:after="0" w:line="232" w:lineRule="exact"/>
        <w:rPr>
          <w:sz w:val="20"/>
          <w:szCs w:val="20"/>
          <w:color w:val="auto"/>
        </w:rPr>
      </w:pPr>
    </w:p>
    <w:p>
      <w:pPr>
        <w:ind w:right="120" w:firstLine="488"/>
        <w:spacing w:after="0" w:line="238" w:lineRule="auto"/>
        <w:rPr>
          <w:sz w:val="20"/>
          <w:szCs w:val="20"/>
          <w:color w:val="auto"/>
        </w:rPr>
      </w:pPr>
      <w:r>
        <w:rPr>
          <w:rFonts w:ascii="Arial" w:cs="Arial" w:eastAsia="Arial" w:hAnsi="Arial"/>
          <w:sz w:val="18"/>
          <w:szCs w:val="18"/>
          <w:color w:val="auto"/>
        </w:rPr>
        <w:t>We established an individual bonus plan for George Kurtz during fiscal 2019, or the 2019 Kurtz Bonus Plan. Mr. Kurtz's annual target award under the 2019 Kurtz Bonus Plan was $450,000, and the actual amount of his bonus for fiscal 2019 will be determined in March 2019, at the discretion of the board of directors.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Kurtz Bonus Plan provides for non-equity incentive compensation based upon our achievement of performance goals for fiscal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Burt W. Podbere</w:t>
      </w:r>
    </w:p>
    <w:p>
      <w:pPr>
        <w:spacing w:after="0" w:line="232" w:lineRule="exact"/>
        <w:rPr>
          <w:sz w:val="20"/>
          <w:szCs w:val="20"/>
          <w:color w:val="auto"/>
        </w:rPr>
      </w:pPr>
    </w:p>
    <w:p>
      <w:pPr>
        <w:ind w:right="80" w:firstLine="488"/>
        <w:spacing w:after="0" w:line="264" w:lineRule="auto"/>
        <w:rPr>
          <w:sz w:val="20"/>
          <w:szCs w:val="20"/>
          <w:color w:val="auto"/>
        </w:rPr>
      </w:pPr>
      <w:r>
        <w:rPr>
          <w:rFonts w:ascii="Arial" w:cs="Arial" w:eastAsia="Arial" w:hAnsi="Arial"/>
          <w:sz w:val="16"/>
          <w:szCs w:val="16"/>
          <w:color w:val="auto"/>
        </w:rPr>
        <w:t>Pursuant to his employment letter with us, Mr. Podbere is entitled to a bonus to be paid out quarterly based on the achievement of certain performance objectives. Mr. Podbere was a participant in our 2019 Bonus Plan. Mr. Podbere's annual target award under the 2019 Bonus Plan</w:t>
      </w:r>
    </w:p>
    <w:p>
      <w:pPr>
        <w:jc w:val="both"/>
        <w:ind w:right="220"/>
        <w:spacing w:after="0" w:line="238" w:lineRule="auto"/>
        <w:rPr>
          <w:sz w:val="20"/>
          <w:szCs w:val="20"/>
          <w:color w:val="auto"/>
        </w:rPr>
      </w:pPr>
      <w:r>
        <w:rPr>
          <w:rFonts w:ascii="Arial" w:cs="Arial" w:eastAsia="Arial" w:hAnsi="Arial"/>
          <w:sz w:val="18"/>
          <w:szCs w:val="18"/>
          <w:color w:val="auto"/>
        </w:rPr>
        <w:t>was $184,000, and the actual amount of his bonus for fiscal 2019 was $ ; $28,250 of which was paid for the quarter ended April 30, 2018, $30,524 for the quarter ended July 31, 2018, and $46,920 for the quarter ended October 31, 2018. The actual amount of any bonus for Mr. Podbere for the quarter ended January 31, 2019 will be determined in March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Colin Black</w:t>
      </w:r>
    </w:p>
    <w:p>
      <w:pPr>
        <w:spacing w:after="0" w:line="232" w:lineRule="exact"/>
        <w:rPr>
          <w:sz w:val="20"/>
          <w:szCs w:val="20"/>
          <w:color w:val="auto"/>
        </w:rPr>
      </w:pPr>
    </w:p>
    <w:p>
      <w:pPr>
        <w:ind w:firstLine="488"/>
        <w:spacing w:after="0" w:line="299" w:lineRule="auto"/>
        <w:rPr>
          <w:sz w:val="20"/>
          <w:szCs w:val="20"/>
          <w:color w:val="auto"/>
        </w:rPr>
      </w:pPr>
      <w:r>
        <w:rPr>
          <w:rFonts w:ascii="Arial" w:cs="Arial" w:eastAsia="Arial" w:hAnsi="Arial"/>
          <w:sz w:val="16"/>
          <w:szCs w:val="16"/>
          <w:color w:val="auto"/>
        </w:rPr>
        <w:t>Pursuant to his employment letter with us, Mr. Black is entitled to a bonus to be paid out quarterly based on the achievement of certain performance objectives. Mr. Black's annual target award under the 2019 Bonus Plan was $228,000, and the actual amount of his bonus for fiscal</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2019 was $</w:t>
      </w:r>
      <w:r>
        <w:rPr>
          <w:sz w:val="20"/>
          <w:szCs w:val="20"/>
          <w:color w:val="auto"/>
        </w:rPr>
        <w:tab/>
      </w:r>
      <w:r>
        <w:rPr>
          <w:rFonts w:ascii="Arial" w:cs="Arial" w:eastAsia="Arial" w:hAnsi="Arial"/>
          <w:sz w:val="16"/>
          <w:szCs w:val="16"/>
          <w:color w:val="auto"/>
        </w:rPr>
        <w:t>; $56,500 of which was paid for the quarter ended April 30, 2018, $51,770 for the quarter ended July 31, 2018, and</w:t>
      </w:r>
    </w:p>
    <w:p>
      <w:pPr>
        <w:ind w:right="220"/>
        <w:spacing w:after="0" w:line="239" w:lineRule="auto"/>
        <w:rPr>
          <w:sz w:val="20"/>
          <w:szCs w:val="20"/>
          <w:color w:val="auto"/>
        </w:rPr>
      </w:pPr>
      <w:r>
        <w:rPr>
          <w:rFonts w:ascii="Arial" w:cs="Arial" w:eastAsia="Arial" w:hAnsi="Arial"/>
          <w:sz w:val="18"/>
          <w:szCs w:val="18"/>
          <w:color w:val="auto"/>
        </w:rPr>
        <w:t>$58,140 for the quarter ended October 31, 2018. The actual amount of any bonus for Mr. Black for the quarter ended January 31, 2019 will be determined in March 2019.</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2019 Year-End</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information regarding outstanding stock options and stock awards held by our named executive officers as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2019:</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4"/>
          </w:tcPr>
          <w:p>
            <w:pPr>
              <w:ind w:left="480"/>
              <w:spacing w:after="0"/>
              <w:rPr>
                <w:sz w:val="20"/>
                <w:szCs w:val="20"/>
                <w:color w:val="auto"/>
              </w:rPr>
            </w:pPr>
            <w:r>
              <w:rPr>
                <w:rFonts w:ascii="Arial" w:cs="Arial" w:eastAsia="Arial" w:hAnsi="Arial"/>
                <w:sz w:val="14"/>
                <w:szCs w:val="14"/>
                <w:b w:val="1"/>
                <w:bCs w:val="1"/>
                <w:color w:val="auto"/>
              </w:rPr>
              <w:t>Stock Awards</w:t>
            </w:r>
          </w:p>
        </w:tc>
      </w:tr>
      <w:tr>
        <w:trPr>
          <w:trHeight w:val="149"/>
        </w:trPr>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r>
      <w:tr>
        <w:trPr>
          <w:trHeight w:val="175"/>
        </w:trPr>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Incentive</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Plan</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Plan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Market</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 of</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Unearned</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 of</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Securities</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Securities</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Units or</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Other Rights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Other Rights</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Unexercised</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Unexercised</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That Have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That Have</w:t>
            </w:r>
          </w:p>
        </w:tc>
      </w:tr>
      <w:tr>
        <w:trPr>
          <w:trHeight w:val="162"/>
        </w:trPr>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Options (#)</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Options (#)</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Exercise</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Expiration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Not</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Not</w:t>
            </w:r>
          </w:p>
        </w:tc>
      </w:tr>
      <w:tr>
        <w:trPr>
          <w:trHeight w:val="189"/>
        </w:trPr>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4"/>
                <w:szCs w:val="14"/>
                <w:b w:val="1"/>
                <w:bCs w:val="1"/>
                <w:color w:val="auto"/>
              </w:rPr>
              <w:t>Grant Date</w:t>
            </w:r>
            <w:r>
              <w:rPr>
                <w:rFonts w:ascii="Arial" w:cs="Arial" w:eastAsia="Arial" w:hAnsi="Arial"/>
                <w:sz w:val="21"/>
                <w:szCs w:val="21"/>
                <w:b w:val="1"/>
                <w:bCs w:val="1"/>
                <w:color w:val="auto"/>
                <w:vertAlign w:val="superscript"/>
              </w:rPr>
              <w:t>(1)</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Exercisable</w:t>
            </w:r>
          </w:p>
        </w:tc>
        <w:tc>
          <w:tcPr>
            <w:tcW w:w="19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 xml:space="preserve">Unexercisable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Vested (#)</w:t>
            </w:r>
          </w:p>
        </w:tc>
        <w:tc>
          <w:tcPr>
            <w:tcW w:w="1040" w:type="dxa"/>
            <w:vAlign w:val="bottom"/>
            <w:gridSpan w:val="2"/>
          </w:tcPr>
          <w:p>
            <w:pPr>
              <w:jc w:val="center"/>
              <w:ind w:right="160"/>
              <w:spacing w:after="0" w:line="189" w:lineRule="exact"/>
              <w:rPr>
                <w:sz w:val="20"/>
                <w:szCs w:val="20"/>
                <w:color w:val="auto"/>
              </w:rPr>
            </w:pPr>
            <w:r>
              <w:rPr>
                <w:rFonts w:ascii="Arial" w:cs="Arial" w:eastAsia="Arial" w:hAnsi="Arial"/>
                <w:sz w:val="14"/>
                <w:szCs w:val="14"/>
                <w:b w:val="1"/>
                <w:bCs w:val="1"/>
                <w:color w:val="auto"/>
                <w:w w:val="95"/>
              </w:rPr>
              <w:t>Vested ($)</w:t>
            </w:r>
            <w:r>
              <w:rPr>
                <w:rFonts w:ascii="Arial" w:cs="Arial" w:eastAsia="Arial" w:hAnsi="Arial"/>
                <w:sz w:val="21"/>
                <w:szCs w:val="21"/>
                <w:b w:val="1"/>
                <w:bCs w:val="1"/>
                <w:color w:val="auto"/>
                <w:w w:val="95"/>
                <w:vertAlign w:val="superscript"/>
              </w:rPr>
              <w:t>(2)</w:t>
            </w:r>
          </w:p>
        </w:tc>
      </w:tr>
      <w:tr>
        <w:trPr>
          <w:trHeight w:val="27"/>
        </w:trPr>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62"/>
        </w:trPr>
        <w:tc>
          <w:tcPr>
            <w:tcW w:w="1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George Kurtz</w:t>
            </w:r>
          </w:p>
        </w:tc>
        <w:tc>
          <w:tcPr>
            <w:tcW w:w="156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3"/>
                <w:szCs w:val="13"/>
                <w:color w:val="auto"/>
              </w:rPr>
              <w:t>10/9/2018</w:t>
            </w:r>
            <w:r>
              <w:rPr>
                <w:rFonts w:ascii="Arial" w:cs="Arial" w:eastAsia="Arial" w:hAnsi="Arial"/>
                <w:sz w:val="18"/>
                <w:szCs w:val="18"/>
                <w:color w:val="auto"/>
                <w:vertAlign w:val="superscript"/>
              </w:rPr>
              <w:t>(3)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1,407,956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10/09/2028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16"/>
        </w:trPr>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40"/>
              <w:spacing w:after="0" w:line="216" w:lineRule="exact"/>
              <w:rPr>
                <w:sz w:val="20"/>
                <w:szCs w:val="20"/>
                <w:color w:val="auto"/>
              </w:rPr>
            </w:pPr>
            <w:r>
              <w:rPr>
                <w:rFonts w:ascii="Arial" w:cs="Arial" w:eastAsia="Arial" w:hAnsi="Arial"/>
                <w:sz w:val="14"/>
                <w:szCs w:val="14"/>
                <w:color w:val="auto"/>
              </w:rPr>
              <w:t>10/9/2018</w:t>
            </w:r>
            <w:r>
              <w:rPr>
                <w:rFonts w:ascii="Arial" w:cs="Arial" w:eastAsia="Arial" w:hAnsi="Arial"/>
                <w:sz w:val="21"/>
                <w:szCs w:val="21"/>
                <w:color w:val="auto"/>
                <w:vertAlign w:val="superscript"/>
              </w:rPr>
              <w:t>(4)</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2,815,912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36,099,992</w:t>
            </w:r>
          </w:p>
        </w:tc>
      </w:tr>
      <w:tr>
        <w:trPr>
          <w:trHeight w:val="186"/>
        </w:trPr>
        <w:tc>
          <w:tcPr>
            <w:tcW w:w="1400" w:type="dxa"/>
            <w:vAlign w:val="bottom"/>
            <w:gridSpan w:val="3"/>
          </w:tcPr>
          <w:p>
            <w:pPr>
              <w:ind w:left="20"/>
              <w:spacing w:after="0"/>
              <w:rPr>
                <w:sz w:val="20"/>
                <w:szCs w:val="20"/>
                <w:color w:val="auto"/>
              </w:rPr>
            </w:pPr>
            <w:r>
              <w:rPr>
                <w:rFonts w:ascii="Arial" w:cs="Arial" w:eastAsia="Arial" w:hAnsi="Arial"/>
                <w:sz w:val="14"/>
                <w:szCs w:val="14"/>
                <w:color w:val="auto"/>
              </w:rPr>
              <w:t>Burt W. Podbere</w:t>
            </w:r>
          </w:p>
        </w:tc>
        <w:tc>
          <w:tcPr>
            <w:tcW w:w="1560" w:type="dxa"/>
            <w:vAlign w:val="bottom"/>
            <w:gridSpan w:val="3"/>
          </w:tcPr>
          <w:p>
            <w:pPr>
              <w:jc w:val="right"/>
              <w:ind w:right="140"/>
              <w:spacing w:after="0" w:line="186" w:lineRule="exact"/>
              <w:rPr>
                <w:sz w:val="20"/>
                <w:szCs w:val="20"/>
                <w:color w:val="auto"/>
              </w:rPr>
            </w:pPr>
            <w:r>
              <w:rPr>
                <w:rFonts w:ascii="Arial" w:cs="Arial" w:eastAsia="Arial" w:hAnsi="Arial"/>
                <w:sz w:val="14"/>
                <w:szCs w:val="14"/>
                <w:color w:val="auto"/>
              </w:rPr>
              <w:t>11/19/2015</w:t>
            </w:r>
            <w:r>
              <w:rPr>
                <w:rFonts w:ascii="Arial" w:cs="Arial" w:eastAsia="Arial" w:hAnsi="Arial"/>
                <w:sz w:val="21"/>
                <w:szCs w:val="21"/>
                <w:color w:val="auto"/>
                <w:vertAlign w:val="superscript"/>
              </w:rPr>
              <w:t>(7)</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1,096,612</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53,388</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1.67</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11/19/2025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16"/>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3"/>
          </w:tcPr>
          <w:p>
            <w:pPr>
              <w:jc w:val="right"/>
              <w:ind w:right="140"/>
              <w:spacing w:after="0" w:line="216" w:lineRule="exact"/>
              <w:rPr>
                <w:sz w:val="20"/>
                <w:szCs w:val="20"/>
                <w:color w:val="auto"/>
              </w:rPr>
            </w:pPr>
            <w:r>
              <w:rPr>
                <w:rFonts w:ascii="Arial" w:cs="Arial" w:eastAsia="Arial" w:hAnsi="Arial"/>
                <w:sz w:val="14"/>
                <w:szCs w:val="14"/>
                <w:color w:val="auto"/>
              </w:rPr>
              <w:t>11/19/2015</w:t>
            </w:r>
            <w:r>
              <w:rPr>
                <w:rFonts w:ascii="Arial" w:cs="Arial" w:eastAsia="Arial" w:hAnsi="Arial"/>
                <w:sz w:val="21"/>
                <w:szCs w:val="21"/>
                <w:color w:val="auto"/>
                <w:vertAlign w:val="superscript"/>
              </w:rPr>
              <w:t>(8)</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162,500</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37,500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1.67</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11/19/2025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16"/>
        </w:trPr>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3"/>
          </w:tcPr>
          <w:p>
            <w:pPr>
              <w:jc w:val="right"/>
              <w:ind w:right="140"/>
              <w:spacing w:after="0" w:line="216" w:lineRule="exact"/>
              <w:rPr>
                <w:sz w:val="20"/>
                <w:szCs w:val="20"/>
                <w:color w:val="auto"/>
              </w:rPr>
            </w:pPr>
            <w:r>
              <w:rPr>
                <w:rFonts w:ascii="Arial" w:cs="Arial" w:eastAsia="Arial" w:hAnsi="Arial"/>
                <w:sz w:val="14"/>
                <w:szCs w:val="14"/>
                <w:color w:val="auto"/>
              </w:rPr>
              <w:t>9/25/2018</w:t>
            </w:r>
            <w:r>
              <w:rPr>
                <w:rFonts w:ascii="Arial" w:cs="Arial" w:eastAsia="Arial" w:hAnsi="Arial"/>
                <w:sz w:val="21"/>
                <w:szCs w:val="21"/>
                <w:color w:val="auto"/>
                <w:vertAlign w:val="superscript"/>
              </w:rPr>
              <w:t>(5)</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4,166</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45,834</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11.13</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9/25/2028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92"/>
        </w:trPr>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gridSpan w:val="3"/>
          </w:tcPr>
          <w:p>
            <w:pPr>
              <w:jc w:val="right"/>
              <w:ind w:right="140"/>
              <w:spacing w:after="0" w:line="193" w:lineRule="exact"/>
              <w:rPr>
                <w:sz w:val="20"/>
                <w:szCs w:val="20"/>
                <w:color w:val="auto"/>
              </w:rPr>
            </w:pPr>
            <w:r>
              <w:rPr>
                <w:rFonts w:ascii="Arial" w:cs="Arial" w:eastAsia="Arial" w:hAnsi="Arial"/>
                <w:sz w:val="14"/>
                <w:szCs w:val="14"/>
                <w:color w:val="auto"/>
              </w:rPr>
              <w:t>9/25/2018</w:t>
            </w:r>
            <w:r>
              <w:rPr>
                <w:rFonts w:ascii="Arial" w:cs="Arial" w:eastAsia="Arial" w:hAnsi="Arial"/>
                <w:sz w:val="21"/>
                <w:szCs w:val="21"/>
                <w:color w:val="auto"/>
                <w:vertAlign w:val="superscript"/>
              </w:rPr>
              <w:t>(6)</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50,000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641,000</w:t>
            </w:r>
          </w:p>
        </w:tc>
      </w:tr>
      <w:tr>
        <w:trPr>
          <w:trHeight w:val="162"/>
        </w:trPr>
        <w:tc>
          <w:tcPr>
            <w:tcW w:w="14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Colin Black</w:t>
            </w:r>
          </w:p>
        </w:tc>
        <w:tc>
          <w:tcPr>
            <w:tcW w:w="156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3"/>
                <w:szCs w:val="13"/>
                <w:color w:val="auto"/>
              </w:rPr>
              <w:t>11/19/2015</w:t>
            </w:r>
            <w:r>
              <w:rPr>
                <w:rFonts w:ascii="Arial" w:cs="Arial" w:eastAsia="Arial" w:hAnsi="Arial"/>
                <w:sz w:val="18"/>
                <w:szCs w:val="18"/>
                <w:color w:val="auto"/>
                <w:vertAlign w:val="superscript"/>
              </w:rPr>
              <w:t>(9)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282,708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83,334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11/19/2025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16"/>
        </w:trPr>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line="216" w:lineRule="exact"/>
              <w:rPr>
                <w:sz w:val="20"/>
                <w:szCs w:val="20"/>
                <w:color w:val="auto"/>
              </w:rPr>
            </w:pPr>
            <w:r>
              <w:rPr>
                <w:rFonts w:ascii="Arial" w:cs="Arial" w:eastAsia="Arial" w:hAnsi="Arial"/>
                <w:sz w:val="14"/>
                <w:szCs w:val="14"/>
                <w:color w:val="auto"/>
              </w:rPr>
              <w:t>2/4/2017</w:t>
            </w:r>
            <w:r>
              <w:rPr>
                <w:rFonts w:ascii="Arial" w:cs="Arial" w:eastAsia="Arial" w:hAnsi="Arial"/>
                <w:sz w:val="21"/>
                <w:szCs w:val="21"/>
                <w:color w:val="auto"/>
                <w:vertAlign w:val="superscript"/>
              </w:rPr>
              <w:t>(10)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2/4/2027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16"/>
        </w:trPr>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4"/>
                <w:szCs w:val="14"/>
                <w:color w:val="auto"/>
              </w:rPr>
              <w:t>9/25/2018</w:t>
            </w:r>
            <w:r>
              <w:rPr>
                <w:rFonts w:ascii="Arial" w:cs="Arial" w:eastAsia="Arial" w:hAnsi="Arial"/>
                <w:sz w:val="21"/>
                <w:szCs w:val="21"/>
                <w:color w:val="auto"/>
                <w:vertAlign w:val="superscript"/>
              </w:rPr>
              <w:t>(5)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4,166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45,834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9/25/2028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16"/>
        </w:trPr>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4"/>
                <w:szCs w:val="14"/>
                <w:color w:val="auto"/>
              </w:rPr>
              <w:t>9/25/2018</w:t>
            </w:r>
            <w:r>
              <w:rPr>
                <w:rFonts w:ascii="Arial" w:cs="Arial" w:eastAsia="Arial" w:hAnsi="Arial"/>
                <w:sz w:val="21"/>
                <w:szCs w:val="21"/>
                <w:color w:val="auto"/>
                <w:vertAlign w:val="superscript"/>
              </w:rPr>
              <w:t>(6)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641,000</w:t>
            </w:r>
          </w:p>
        </w:tc>
      </w:tr>
      <w:tr>
        <w:trPr>
          <w:trHeight w:val="108"/>
        </w:trPr>
        <w:tc>
          <w:tcPr>
            <w:tcW w:w="4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Each of the outstanding equity awards was granted pursuant to our 2011 Equity Incentive Plan.</w:t>
      </w:r>
    </w:p>
    <w:p>
      <w:pPr>
        <w:spacing w:after="0" w:line="163" w:lineRule="exact"/>
        <w:rPr>
          <w:rFonts w:ascii="Arial" w:cs="Arial" w:eastAsia="Arial" w:hAnsi="Arial"/>
          <w:sz w:val="14"/>
          <w:szCs w:val="14"/>
          <w:color w:val="auto"/>
        </w:rPr>
      </w:pPr>
    </w:p>
    <w:p>
      <w:pPr>
        <w:ind w:left="1680" w:hanging="549"/>
        <w:spacing w:after="0" w:line="258"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reflects the fair market value of our common stock of $12.82 as of January 10, 2019 (the determination of the fair market value by our board of directors as of the most proximate date) multiplied by the amount shown in the column for the number of shares or units that have not vested.</w:t>
      </w:r>
    </w:p>
    <w:p>
      <w:pPr>
        <w:spacing w:after="0" w:line="139" w:lineRule="exact"/>
        <w:rPr>
          <w:rFonts w:ascii="Arial" w:cs="Arial" w:eastAsia="Arial" w:hAnsi="Arial"/>
          <w:sz w:val="14"/>
          <w:szCs w:val="14"/>
          <w:color w:val="auto"/>
        </w:rPr>
      </w:pPr>
    </w:p>
    <w:p>
      <w:pPr>
        <w:jc w:val="both"/>
        <w:ind w:left="1680" w:right="120" w:hanging="549"/>
        <w:spacing w:after="0" w:line="247"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Shares subject to the option vest as follows: 1,055,967 shares of common stock vest in 48 equal monthly installments beginning on November 1, 2018 and 351,989 shares of common stock vest in 24 equal monthly installments beginning on November 1, 2022, in each case subject to continued service through the applicable vesting date. As of January 31, 2019, this award remains unvested as to 1,341,959 shares of common stock.</w:t>
      </w:r>
    </w:p>
    <w:p>
      <w:pPr>
        <w:spacing w:after="0" w:line="147" w:lineRule="exact"/>
        <w:rPr>
          <w:rFonts w:ascii="Arial" w:cs="Arial" w:eastAsia="Arial" w:hAnsi="Arial"/>
          <w:sz w:val="14"/>
          <w:szCs w:val="14"/>
          <w:color w:val="auto"/>
        </w:rPr>
      </w:pPr>
    </w:p>
    <w:p>
      <w:pPr>
        <w:ind w:left="1680" w:right="20" w:hanging="549"/>
        <w:spacing w:after="0" w:line="245"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RSUs vest pursuant to a time-based and performance-based vesting schedule as follows: 2,111,934 RSUs vest in 16 equal quarterly installments beginning on December 20, 2018 and 703,978 RSUs vest in eight equal quarterly installments beginning on December 20, 2022, in each case subject to continued service through the applicable vesting date, provided that none of the RSUs will vest before the earlier of (A) a change in control in which the consideration paid to holders of Company shares is either cash, publicly traded securities, or a combination thereof, or (B) the first Company vest date (as defined in the RSU agreement) following the expiration of the lock-up period established in connection with this offering.</w:t>
      </w:r>
    </w:p>
    <w:p>
      <w:pPr>
        <w:spacing w:after="0" w:line="150" w:lineRule="exact"/>
        <w:rPr>
          <w:rFonts w:ascii="Arial" w:cs="Arial" w:eastAsia="Arial" w:hAnsi="Arial"/>
          <w:sz w:val="14"/>
          <w:szCs w:val="14"/>
          <w:color w:val="auto"/>
        </w:rPr>
      </w:pPr>
    </w:p>
    <w:p>
      <w:pPr>
        <w:ind w:left="1680" w:right="80" w:hanging="549"/>
        <w:spacing w:after="0" w:line="258"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October 25, 2018 subject to continued service through the applicable vesting date.</w:t>
      </w:r>
    </w:p>
    <w:p>
      <w:pPr>
        <w:spacing w:after="0" w:line="139" w:lineRule="exact"/>
        <w:rPr>
          <w:rFonts w:ascii="Arial" w:cs="Arial" w:eastAsia="Arial" w:hAnsi="Arial"/>
          <w:sz w:val="14"/>
          <w:szCs w:val="14"/>
          <w:color w:val="auto"/>
        </w:rPr>
      </w:pPr>
    </w:p>
    <w:p>
      <w:pPr>
        <w:ind w:left="1680" w:right="140" w:hanging="549"/>
        <w:spacing w:after="0" w:line="247"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One-fourth of the RSUs vest on September 20, 2019, and 1/16 of the RSUs vest quarterly thereafter subject to continued service through the applicable vesting date, provided that none of the RSUs vest before the earlier of (i) a change in control in which the consideration paid to holders of Company shares is either cash, publicly traded securities, or a combination thereof, or (ii) the first Company vest date (as defined in the RSU agreement) following the expiration of the lock-up period established in connection with this offering.</w:t>
      </w:r>
    </w:p>
    <w:p>
      <w:pPr>
        <w:spacing w:after="0" w:line="147" w:lineRule="exact"/>
        <w:rPr>
          <w:rFonts w:ascii="Arial" w:cs="Arial" w:eastAsia="Arial" w:hAnsi="Arial"/>
          <w:sz w:val="14"/>
          <w:szCs w:val="14"/>
          <w:color w:val="auto"/>
        </w:rPr>
      </w:pPr>
    </w:p>
    <w:p>
      <w:pPr>
        <w:ind w:left="1680" w:hanging="549"/>
        <w:spacing w:after="0" w:line="247"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as to 1,059,760 of the underlying shares. Shares subject to the option vest as follows: as to 25% of the award, on the first anniversary of grant, and monthly thereafter for the following 36 months. The vesting of each of the options is subject to continued service through the applicable vesting date. As of January 31, 2019, this award remains unvested as to 163,280 shares of common stock that are subject to the option's early exercise provision.</w:t>
      </w:r>
    </w:p>
    <w:p>
      <w:pPr>
        <w:spacing w:after="0" w:line="147" w:lineRule="exact"/>
        <w:rPr>
          <w:rFonts w:ascii="Arial" w:cs="Arial" w:eastAsia="Arial" w:hAnsi="Arial"/>
          <w:sz w:val="14"/>
          <w:szCs w:val="14"/>
          <w:color w:val="auto"/>
        </w:rPr>
      </w:pPr>
    </w:p>
    <w:p>
      <w:pPr>
        <w:ind w:left="1680" w:hanging="549"/>
        <w:spacing w:after="0"/>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as to 162,500 of the underlying shares. Shares subject to the option vest monthly over the</w:t>
      </w:r>
    </w:p>
    <w:p>
      <w:pPr>
        <w:spacing w:after="0" w:line="1" w:lineRule="exact"/>
        <w:rPr>
          <w:rFonts w:ascii="Arial" w:cs="Arial" w:eastAsia="Arial" w:hAnsi="Arial"/>
          <w:sz w:val="14"/>
          <w:szCs w:val="14"/>
          <w:color w:val="auto"/>
        </w:rPr>
      </w:pPr>
    </w:p>
    <w:p>
      <w:pPr>
        <w:ind w:left="1680" w:right="120"/>
        <w:spacing w:after="0" w:line="258" w:lineRule="auto"/>
        <w:rPr>
          <w:rFonts w:ascii="Arial" w:cs="Arial" w:eastAsia="Arial" w:hAnsi="Arial"/>
          <w:sz w:val="14"/>
          <w:szCs w:val="14"/>
          <w:color w:val="auto"/>
        </w:rPr>
      </w:pPr>
      <w:r>
        <w:rPr>
          <w:rFonts w:ascii="Arial" w:cs="Arial" w:eastAsia="Arial" w:hAnsi="Arial"/>
          <w:sz w:val="14"/>
          <w:szCs w:val="14"/>
          <w:color w:val="auto"/>
        </w:rPr>
        <w:t>48 month period beginning October 16, 2016. The vesting of each of the options is subject to continued service through the applicable vesting date. As of January 31, 2019, this award remains unvested as to 45,834 shares of common stock that are subject to the option's early exercise provisions.</w:t>
      </w:r>
    </w:p>
    <w:p>
      <w:pPr>
        <w:spacing w:after="0" w:line="139" w:lineRule="exact"/>
        <w:rPr>
          <w:rFonts w:ascii="Arial" w:cs="Arial" w:eastAsia="Arial" w:hAnsi="Arial"/>
          <w:sz w:val="14"/>
          <w:szCs w:val="14"/>
          <w:color w:val="auto"/>
        </w:rPr>
      </w:pPr>
    </w:p>
    <w:p>
      <w:pPr>
        <w:ind w:left="1680" w:right="600" w:hanging="549"/>
        <w:spacing w:after="0" w:line="258"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Shares subject to the option vest as follows: as to 25% of the award, on the first anniversary of grant, and monthly thereafter for the following 36 months. The vesting of each of the options is subject to continued service through the applicable vesting date.</w:t>
      </w:r>
    </w:p>
    <w:p>
      <w:pPr>
        <w:spacing w:after="0" w:line="139" w:lineRule="exact"/>
        <w:rPr>
          <w:rFonts w:ascii="Arial" w:cs="Arial" w:eastAsia="Arial" w:hAnsi="Arial"/>
          <w:sz w:val="14"/>
          <w:szCs w:val="14"/>
          <w:color w:val="auto"/>
        </w:rPr>
      </w:pPr>
    </w:p>
    <w:p>
      <w:pPr>
        <w:ind w:left="1680" w:right="60" w:hanging="549"/>
        <w:spacing w:after="0" w:line="245" w:lineRule="auto"/>
        <w:tabs>
          <w:tab w:leader="none" w:pos="16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Shares subject to the option vest as follows: as to 25% of the award, on the first anniversary of grant, and monthly thereafter for the following 36 months. The vesting of each of the options is subject to continued service through the applicable vesting date. 50,000 of the shares subject to the option were subject to a performance condition regarding our platform adjusted gross margin percentage for the fiscal year ended January 31, 2018. As of January 31, 2019, this award remains unvested as to 119,793 shares of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Benefit and Stock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32" w:lineRule="exact"/>
        <w:rPr>
          <w:sz w:val="20"/>
          <w:szCs w:val="20"/>
          <w:color w:val="auto"/>
        </w:rPr>
      </w:pPr>
    </w:p>
    <w:p>
      <w:pPr>
        <w:ind w:right="420" w:firstLine="488"/>
        <w:spacing w:after="0" w:line="239" w:lineRule="auto"/>
        <w:rPr>
          <w:sz w:val="20"/>
          <w:szCs w:val="20"/>
          <w:color w:val="auto"/>
        </w:rPr>
      </w:pPr>
      <w:r>
        <w:rPr>
          <w:rFonts w:ascii="Arial" w:cs="Arial" w:eastAsia="Arial" w:hAnsi="Arial"/>
          <w:sz w:val="18"/>
          <w:szCs w:val="18"/>
          <w:color w:val="auto"/>
        </w:rPr>
        <w:t>Prior to the completion of this offering, our board of directors intends to adopt, and we expect our stockholders will approve, our 2019 Equity Incentive Plan, or our 2019 Plan. We expect that our</w:t>
      </w:r>
    </w:p>
    <w:p>
      <w:pPr>
        <w:sectPr>
          <w:pgSz w:w="11900" w:h="16838" w:orient="portrait"/>
          <w:cols w:equalWidth="0" w:num="1">
            <w:col w:w="11220"/>
          </w:cols>
          <w:pgMar w:left="320" w:top="143" w:right="359" w:bottom="462"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13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462"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2019 Plan will be effective on the business day immediately prior to the effective date of the registration statement of which this prospectus forms a part. Our 2019 Plan will provide for the grant of incentive stock options, within the meaning of Section 422 of the Internal Revenue Code of 1986, as amended, or the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193" w:lineRule="exact"/>
        <w:rPr>
          <w:sz w:val="20"/>
          <w:szCs w:val="20"/>
          <w:color w:val="auto"/>
        </w:rPr>
      </w:pPr>
    </w:p>
    <w:p>
      <w:pPr>
        <w:jc w:val="both"/>
        <w:ind w:right="120" w:firstLine="481"/>
        <w:spacing w:after="0" w:line="271"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A total of shares of our common stock will be reserved for issuance pursuant to our 2019 Plan.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shares reserved for issuance under our 2019 Plan also will include shares subject to awards under our Amended and Restated 2011 Stock Incentive Plan, or 2011 Plan, that, on or after the termination of the 2011 Plan, expire or terminate and shares previously issued pursuant to our</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2011 Plan, as applicable, that, on or after the termination of the 2011 Plan, are forfeited or repurchased by us (provided that the maximum number of shares that may be added to our 2019 Plan from the 2011 Plan is shares). The number of shares available for issuance under our 2019 Plan will also include an annual increase on the first day of each fiscal year beginning on , equal to the least of:</w:t>
      </w:r>
    </w:p>
    <w:p>
      <w:pPr>
        <w:spacing w:after="0" w:line="208" w:lineRule="exact"/>
        <w:rPr>
          <w:sz w:val="20"/>
          <w:szCs w:val="20"/>
          <w:color w:val="auto"/>
        </w:rPr>
      </w:pPr>
    </w:p>
    <w:p>
      <w:pPr>
        <w:ind w:left="1720" w:hanging="1172"/>
        <w:spacing w:after="0"/>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shares;</w:t>
      </w:r>
    </w:p>
    <w:p>
      <w:pPr>
        <w:spacing w:after="0" w:line="207" w:lineRule="exact"/>
        <w:rPr>
          <w:rFonts w:ascii="Arial" w:cs="Arial" w:eastAsia="Arial" w:hAnsi="Arial"/>
          <w:sz w:val="18"/>
          <w:szCs w:val="18"/>
          <w:color w:val="auto"/>
        </w:rPr>
      </w:pPr>
    </w:p>
    <w:p>
      <w:pPr>
        <w:ind w:left="1720" w:hanging="1172"/>
        <w:spacing w:after="0"/>
        <w:tabs>
          <w:tab w:leader="none" w:pos="1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percent (</w:t>
      </w:r>
      <w:r>
        <w:rPr>
          <w:rFonts w:ascii="Arial" w:cs="Arial" w:eastAsia="Arial" w:hAnsi="Arial"/>
          <w:sz w:val="16"/>
          <w:szCs w:val="16"/>
          <w:color w:val="auto"/>
        </w:rPr>
        <w:t>%) of the outstanding shares of our common stock as of the last day of the immediately preceding fiscal</w:t>
      </w:r>
    </w:p>
    <w:p>
      <w:pPr>
        <w:ind w:left="1080"/>
        <w:spacing w:after="0"/>
        <w:rPr>
          <w:rFonts w:ascii="Arial" w:cs="Arial" w:eastAsia="Arial" w:hAnsi="Arial"/>
          <w:sz w:val="18"/>
          <w:szCs w:val="18"/>
          <w:color w:val="auto"/>
        </w:rPr>
      </w:pPr>
      <w:r>
        <w:rPr>
          <w:rFonts w:ascii="Arial" w:cs="Arial" w:eastAsia="Arial" w:hAnsi="Arial"/>
          <w:sz w:val="18"/>
          <w:szCs w:val="18"/>
          <w:color w:val="auto"/>
        </w:rPr>
        <w:t>year;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If an award expires or becomes unexercisable without having been exercised in full, is surrendered pursuant to an exchange program, is forfeited to or repurchased due to failure to vest, the unpurchased shares (or the forfeited or repurchased shares) will become available for future grant or sale under the 2019 Plan. With respect to stock appreciation rights, only the net shares actually issued will cease to be available under the 2019 Plan and all remaining shares under stock appreciation rights will remain available for future grant or sale under the 2019 Plan. Shares that have actually been issued under the 2019 Plan under any award will not be returned to the 2019 Plan; provided, however, that if shares issued pursuant to awards under the 2019 plan are repurchased or forfeited due to a failure to vest, such shares will become available for future grant under the 2019 Plan. Shares used to pay the exercise price of an award or satisfy the tax withholding obligations related to an award will become available for future grant or sale under the 2019 Plan. To the extent an award is paid out in cash rather than shares, such cash payment will not result in a reduction in the number of shares available for issuance under the 2019 Plan.</w:t>
      </w:r>
    </w:p>
    <w:p>
      <w:pPr>
        <w:spacing w:after="0" w:line="196"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one or more committees appointed by our board of directors will administer our 2019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of our board of directors is expected to administer our 2019 Plan. In addition, if we determine it is desirable to qualify transactions under our 2019 Plan as exempt under Rule 16b-3 of the Exchange Act, such transactions will be structured to satisfy the requirements for exemption under Rule 16b-3. Subject to the provisions of our 2019 Plan, the administrator will have the power to administer our 2019 Plan and make all determinations deemed necessary or advisable for administering the 2019 Plan, such as the power to determine the fair market value of our common stock, select the service providers to whom awards may be granted, determine the number of shares covered by each award, approve forms of award agreements for use under the 2019 Plan, determine the terms and conditions of awards (such as the exercise price, the times or times at which the awards may be exercised, any vesting acceleration or waiver or forfeiture restrictions, and any restriction or limitation regarding any award or the shares relating thereto), construe and interpret the terms of our 2019 Plan and awards granted under it, to prescribe, amend, and rescind rules relating to our 2019 Plan, including creating sub-plans, and to modify or amend each award, such as the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discretionary authority to extent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will have the authority to institute an exchange program by which</w:t>
      </w:r>
    </w:p>
    <w:p>
      <w:pPr>
        <w:ind w:right="320" w:firstLine="8"/>
        <w:spacing w:after="0" w:line="237" w:lineRule="auto"/>
        <w:tabs>
          <w:tab w:leader="none" w:pos="2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outstanding awards may be surrendered or cancelled in exchange for awards of the same type which may have a higher or lower exercise price and/or different terms, awards of a different type and/or cash, (ii) participants have the opportunity to transfer outstanding awards to a financial institution or other person or entity selected by the administrator, or (iii) the exercise price of an outstanding award is increased or reduced. The administrator's decisions, interpretations, and other actions will be final and binding on all participants.</w:t>
      </w:r>
    </w:p>
    <w:p>
      <w:pPr>
        <w:spacing w:after="0" w:line="190"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We will be able to grant stock options under our 2019 Plan. The per share exercise price of options granted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2019 Plan must be at least equal to the fair market value of a share of our common stock on the date of grant. The term of an option does not exceed 10 years, except that with respect to any incentive stock option granted to any participant who owns more than 10% of the voting power of all classes of stock of ours or any parent or subsidiary corporations, the term must not exceed five years and the per share exercise price must equal at least 110% of the fair market value of a share of our common stock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 participant, he or she will be able to exercise his or her option for the period of time stated in his or her award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our 2019 Plan, the administrator determines the other terms of options.</w:t>
      </w:r>
    </w:p>
    <w:p>
      <w:pPr>
        <w:spacing w:after="0" w:line="374"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We will be able to grant appreciation rights under our 2019 Plan. Stock appreciation rights allow the recipient</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the appreciation in the fair market value of our common stock between the exercise date and the date of grant. Stock appreciation rights will not have a term exceeding 10 years. After the termination of service of a participant, he or she will be able to exercise his or her stock appreciation right for the period of time stated in his or her award agreement. In the absence of a specified time in the award agreement, if termination is due to death or disability, the stock appreciation rights will remain exercisable for 12 months. In all other cases, in the absence of a specified time in the award agreement, the stock appreciation rights will remain exercisable for three months following the termination of service. However, in no event may a stock appreciation right be exercised later than the expiration of its term. Subject to the provisions of our 2019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a stock appreciation right will be no less than 100% of the fair market value per share on the date of grant.</w:t>
      </w:r>
    </w:p>
    <w:p>
      <w:pPr>
        <w:spacing w:after="0" w:line="197" w:lineRule="exact"/>
        <w:rPr>
          <w:sz w:val="20"/>
          <w:szCs w:val="20"/>
          <w:color w:val="auto"/>
        </w:rPr>
      </w:pPr>
    </w:p>
    <w:p>
      <w:pPr>
        <w:ind w:right="60" w:firstLine="488"/>
        <w:spacing w:after="0" w:line="241"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We will be able to grant restricted stock under our 2019 Plan. Restricted stock awards are grants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vest in accordance with terms and conditions established by the administrator. The administrator will determine the number of shares of restricted stock granted to any employee, director or consultant and, subject to the provisions of our 2019 Plan, will determine the terms and conditions of such awards. The administrator will be able to impose whatever conditions to vesting it determines to be appropriate (for example, the administrator will be able to set restrictions based on the achievement of specific performance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goals or continued service to us); provided, however, that the administrator will have the discretion to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will be subject to our right of repurchase or forfeiture.</w:t>
      </w:r>
    </w:p>
    <w:p>
      <w:pPr>
        <w:spacing w:after="0" w:line="190"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i w:val="1"/>
          <w:iCs w:val="1"/>
          <w:color w:val="auto"/>
        </w:rPr>
        <w:t xml:space="preserve">RSUs. </w:t>
      </w:r>
      <w:r>
        <w:rPr>
          <w:rFonts w:ascii="Arial" w:cs="Arial" w:eastAsia="Arial" w:hAnsi="Arial"/>
          <w:sz w:val="18"/>
          <w:szCs w:val="18"/>
          <w:color w:val="auto"/>
        </w:rPr>
        <w:t>We will be able to grant RSUs under our 2019 Plan. Each RSU is a bookkeeping entry representing an amount equal to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one share of our common stock. Subject to the provisions of our 2019 Plan, the administrator determines the terms and conditions of RSUs, including the vesting criteria and the form and timing of payment. The administrator will be able to set vesting criteria based upon the achievement of company-wide, divisional, business unit, or individual goals (such as continued employment or service), applicable federal or state securities laws or any other basis determined by the administrator in its discretion. The administrator will have the discretion to pay earned restricted stock units in the form of cash, in shares or in some combination thereof. The administrator will also have the discretion to accelerate the time at which any restrictions will lapse or be removed.</w:t>
      </w:r>
    </w:p>
    <w:p>
      <w:pPr>
        <w:spacing w:after="0" w:line="191"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i w:val="1"/>
          <w:iCs w:val="1"/>
          <w:color w:val="auto"/>
        </w:rPr>
        <w:t xml:space="preserve">Performance Units and Performance Shares. </w:t>
      </w:r>
      <w:r>
        <w:rPr>
          <w:rFonts w:ascii="Arial" w:cs="Arial" w:eastAsia="Arial" w:hAnsi="Arial"/>
          <w:sz w:val="18"/>
          <w:szCs w:val="18"/>
          <w:color w:val="auto"/>
        </w:rPr>
        <w:t>We will be able to grant performance units and performance shares under our 2019 Plan.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will be able to set performance objectives based on the achievement of company-wide, divisional, business unit, or individual goals, applicable federal or state securities laws, or any other basis determined by the administrator in its discretion. After the grant of a performance unit or performance share, the administrator will have the discretion to reduce or waive any performance criteria or other vesting provisions for such performance units or performance shares. Performance units will have an initial dollar value established by the administrator on or prior to the grant date. Performance shares will have an initial value equal to the fair market value of our common stock on the grant date. The administrator will have the discretion to pay earned performance units or performance shares in the form of cash, in shares or in some combination thereof.</w:t>
      </w:r>
    </w:p>
    <w:p>
      <w:pPr>
        <w:spacing w:after="0" w:line="195" w:lineRule="exact"/>
        <w:rPr>
          <w:sz w:val="20"/>
          <w:szCs w:val="20"/>
          <w:color w:val="auto"/>
        </w:rPr>
      </w:pPr>
    </w:p>
    <w:p>
      <w:pPr>
        <w:ind w:right="40" w:firstLine="488"/>
        <w:spacing w:after="0" w:line="271" w:lineRule="auto"/>
        <w:rPr>
          <w:sz w:val="20"/>
          <w:szCs w:val="20"/>
          <w:color w:val="auto"/>
        </w:rPr>
      </w:pPr>
      <w:r>
        <w:rPr>
          <w:rFonts w:ascii="Arial" w:cs="Arial" w:eastAsia="Arial" w:hAnsi="Arial"/>
          <w:sz w:val="16"/>
          <w:szCs w:val="16"/>
          <w:i w:val="1"/>
          <w:iCs w:val="1"/>
          <w:color w:val="auto"/>
        </w:rPr>
        <w:t xml:space="preserve">Outside Directors. </w:t>
      </w:r>
      <w:r>
        <w:rPr>
          <w:rFonts w:ascii="Arial" w:cs="Arial" w:eastAsia="Arial" w:hAnsi="Arial"/>
          <w:sz w:val="16"/>
          <w:szCs w:val="16"/>
          <w:color w:val="auto"/>
        </w:rPr>
        <w:t>Our 2019 Plan will provide that all outside (non-employee) directors will be eligible to receive all types of awards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for incentive stock options) under our 2019 Plan. Prior to the completion of this offering, we intend to implement a formal policy pursuant to which our outside directors will be eligible to receive equity awards under our 2019 Plan. Our 2019 Plan includes a maximum annual limit of</w:t>
      </w:r>
    </w:p>
    <w:p>
      <w:pPr>
        <w:spacing w:after="0" w:line="2" w:lineRule="exact"/>
        <w:rPr>
          <w:sz w:val="20"/>
          <w:szCs w:val="20"/>
          <w:color w:val="auto"/>
        </w:rPr>
      </w:pPr>
    </w:p>
    <w:p>
      <w:pPr>
        <w:ind w:firstLine="8"/>
        <w:spacing w:after="0" w:line="236" w:lineRule="auto"/>
        <w:tabs>
          <w:tab w:leader="none" w:pos="732" w:val="left"/>
        </w:tabs>
        <w:numPr>
          <w:ilvl w:val="0"/>
          <w:numId w:val="78"/>
        </w:numPr>
        <w:rPr>
          <w:rFonts w:ascii="Arial" w:cs="Arial" w:eastAsia="Arial" w:hAnsi="Arial"/>
          <w:sz w:val="18"/>
          <w:szCs w:val="18"/>
          <w:color w:val="auto"/>
        </w:rPr>
      </w:pPr>
      <w:r>
        <w:rPr>
          <w:rFonts w:ascii="Arial" w:cs="Arial" w:eastAsia="Arial" w:hAnsi="Arial"/>
          <w:sz w:val="18"/>
          <w:szCs w:val="18"/>
          <w:color w:val="auto"/>
        </w:rPr>
        <w:t>of cash compensation and equity awards that may be paid, issued, or granted to an outside director in any fiscal year. For purposes of this limitation, the value of equity awards is based on the grant date fair value (determined in accordance with GAAP). Any cash compensation paid or equity awards granted to a person for his or her services as an employee, or for his or her services as a consultant (other than as an outside director), will not count for purposes of the limitation. The maximum limit does not reflect the intended size of any potential compensation or equity awards to our outside directors.</w:t>
      </w:r>
    </w:p>
    <w:p>
      <w:pPr>
        <w:spacing w:after="0" w:line="193" w:lineRule="exact"/>
        <w:rPr>
          <w:sz w:val="20"/>
          <w:szCs w:val="20"/>
          <w:color w:val="auto"/>
        </w:rPr>
      </w:pPr>
    </w:p>
    <w:p>
      <w:pPr>
        <w:ind w:right="400" w:firstLine="488"/>
        <w:spacing w:after="0" w:line="247"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Unless the administrator provides otherwise, our 2019 Plan generally will not allow for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only the recipient of an award will be able to exercise an award during his or her lifetime. If the administrator makes an award transferrable, such award will contain such additional terms and conditions as the administrator deems appropriate.</w:t>
      </w:r>
    </w:p>
    <w:p>
      <w:pPr>
        <w:spacing w:after="0" w:line="184" w:lineRule="exact"/>
        <w:rPr>
          <w:sz w:val="20"/>
          <w:szCs w:val="20"/>
          <w:color w:val="auto"/>
        </w:rPr>
      </w:pPr>
    </w:p>
    <w:p>
      <w:pPr>
        <w:ind w:right="620" w:firstLine="488"/>
        <w:spacing w:after="0" w:line="260"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In the event of certain changes in our capitalization, to prevent diminution or enlargement of the benefits or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benefits available under our 2019 Plan, the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administrator will adjust the number and class of shares that may be delivered under our 2019 Plan and/or the number, class and price of shares covered by each outstanding award, and the numerical share limits set forth in our 2019 Plan.</w:t>
      </w:r>
    </w:p>
    <w:p>
      <w:pPr>
        <w:spacing w:after="0" w:line="191" w:lineRule="exact"/>
        <w:rPr>
          <w:sz w:val="20"/>
          <w:szCs w:val="20"/>
          <w:color w:val="auto"/>
        </w:rPr>
      </w:pPr>
    </w:p>
    <w:p>
      <w:pPr>
        <w:ind w:right="420" w:firstLine="488"/>
        <w:spacing w:after="0" w:line="260"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In the event of our proposed liquidation or dissolution, the administrator will notify participants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and all awards will terminate immediately prior to the consummation of such proposed transaction.</w:t>
      </w:r>
    </w:p>
    <w:p>
      <w:pPr>
        <w:spacing w:after="0" w:line="173" w:lineRule="exact"/>
        <w:rPr>
          <w:sz w:val="20"/>
          <w:szCs w:val="20"/>
          <w:color w:val="auto"/>
        </w:rPr>
      </w:pPr>
    </w:p>
    <w:p>
      <w:pPr>
        <w:jc w:val="both"/>
        <w:ind w:firstLine="488"/>
        <w:spacing w:after="0" w:line="247" w:lineRule="auto"/>
        <w:rPr>
          <w:sz w:val="20"/>
          <w:szCs w:val="20"/>
          <w:color w:val="auto"/>
        </w:rPr>
      </w:pPr>
      <w:r>
        <w:rPr>
          <w:rFonts w:ascii="Arial" w:cs="Arial" w:eastAsia="Arial" w:hAnsi="Arial"/>
          <w:sz w:val="18"/>
          <w:szCs w:val="18"/>
          <w:i w:val="1"/>
          <w:iCs w:val="1"/>
          <w:color w:val="auto"/>
        </w:rPr>
        <w:t xml:space="preserve">Merger or Change in Control. </w:t>
      </w:r>
      <w:r>
        <w:rPr>
          <w:rFonts w:ascii="Arial" w:cs="Arial" w:eastAsia="Arial" w:hAnsi="Arial"/>
          <w:sz w:val="18"/>
          <w:szCs w:val="18"/>
          <w:color w:val="auto"/>
        </w:rPr>
        <w:t>Our 2019 Plan provides that in the event of a merger or change in control, as defined under our 2019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outstanding award will be treated as the administrator determines, without a participant's consent. The administrator is not required to treat all awards, all awards held by a participant, or all awards of the same type, similarly.</w:t>
      </w:r>
    </w:p>
    <w:p>
      <w:pPr>
        <w:spacing w:after="0" w:line="20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208"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In addition, in the event of a change in control, each outside director's options and stock appreciation rights, if any, will vest fully and become immediately exercisable, all restrictions on his or her restricted stock and restricted stock units will lapse and all performance goals or other vesting requirements for his or her performance shares and units will be deemed achieved at 100% of target levels, and all other terms and conditions met.</w:t>
      </w:r>
    </w:p>
    <w:p>
      <w:pPr>
        <w:spacing w:after="0" w:line="190" w:lineRule="exact"/>
        <w:rPr>
          <w:sz w:val="20"/>
          <w:szCs w:val="20"/>
          <w:color w:val="auto"/>
        </w:rPr>
      </w:pPr>
    </w:p>
    <w:p>
      <w:pPr>
        <w:ind w:right="200" w:firstLine="488"/>
        <w:spacing w:after="0" w:line="241" w:lineRule="auto"/>
        <w:rPr>
          <w:sz w:val="20"/>
          <w:szCs w:val="20"/>
          <w:color w:val="auto"/>
        </w:rPr>
      </w:pPr>
      <w:r>
        <w:rPr>
          <w:rFonts w:ascii="Arial" w:cs="Arial" w:eastAsia="Arial" w:hAnsi="Arial"/>
          <w:sz w:val="18"/>
          <w:szCs w:val="18"/>
          <w:i w:val="1"/>
          <w:iCs w:val="1"/>
          <w:color w:val="auto"/>
        </w:rPr>
        <w:t xml:space="preserve">Forfeiture and Clawback. </w:t>
      </w:r>
      <w:r>
        <w:rPr>
          <w:rFonts w:ascii="Arial" w:cs="Arial" w:eastAsia="Arial" w:hAnsi="Arial"/>
          <w:sz w:val="18"/>
          <w:szCs w:val="18"/>
          <w:color w:val="auto"/>
        </w:rPr>
        <w:t>All awards granted under our 2019 Plan will be subject to recoupment under any clawback policy that we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adopt under applicable law. In addition, the administrator will be able to provide in an award agreement that the recipient's rights, payments, and benefits with respect to such award will be subject to reduction, cancellation, forfeiture, or recoupment upon the occurrence of specified events. In the event of any accounting restatement, the recipient of an award will be required to repay a portion of the proceeds received in connection with the settlement of an award earned or accrued under certain circumstances.</w:t>
      </w:r>
    </w:p>
    <w:p>
      <w:pPr>
        <w:spacing w:after="0" w:line="189" w:lineRule="exact"/>
        <w:rPr>
          <w:sz w:val="20"/>
          <w:szCs w:val="20"/>
          <w:color w:val="auto"/>
        </w:rPr>
      </w:pPr>
    </w:p>
    <w:p>
      <w:pPr>
        <w:ind w:right="120" w:firstLine="481"/>
        <w:spacing w:after="0" w:line="322"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The administrator will have the authority to amend, suspend or terminate our 2019 Plan provided such action</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impair the existing rights of any participant. Our 2019 Plan will automatically terminate in 2029, unless we terminate it sooner.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32" w:lineRule="exact"/>
        <w:rPr>
          <w:sz w:val="20"/>
          <w:szCs w:val="20"/>
          <w:color w:val="auto"/>
        </w:rPr>
      </w:pPr>
    </w:p>
    <w:p>
      <w:pPr>
        <w:ind w:right="140" w:firstLine="488"/>
        <w:spacing w:after="0" w:line="237" w:lineRule="auto"/>
        <w:rPr>
          <w:sz w:val="20"/>
          <w:szCs w:val="20"/>
          <w:color w:val="auto"/>
        </w:rPr>
      </w:pPr>
      <w:r>
        <w:rPr>
          <w:rFonts w:ascii="Arial" w:cs="Arial" w:eastAsia="Arial" w:hAnsi="Arial"/>
          <w:sz w:val="18"/>
          <w:szCs w:val="18"/>
          <w:color w:val="auto"/>
        </w:rPr>
        <w:t>Prior to the effectiveness of this offering, our board of directors intends to adopt, and we expect our stockholders will approve, our 2019 Employee Stock Purchase Plan, or ESPP. We expect that our ESPP will be effective on the business day immediately prior to the effective date of the registration statement of which this prospectus forms a part. We believe that allowing our employees to participate in our ESPP provides them with a further incentive towards ensuring our success and accomplishing our corporate goals.</w:t>
      </w:r>
    </w:p>
    <w:p>
      <w:pPr>
        <w:spacing w:after="0" w:line="190" w:lineRule="exact"/>
        <w:rPr>
          <w:sz w:val="20"/>
          <w:szCs w:val="20"/>
          <w:color w:val="auto"/>
        </w:rPr>
      </w:pPr>
    </w:p>
    <w:p>
      <w:pPr>
        <w:ind w:right="40" w:firstLine="481"/>
        <w:spacing w:after="0" w:line="260"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A total of shares of our common stock will be available for sale under our ESPP. The number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will be available for sale under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tabs>
          <w:tab w:leader="none" w:pos="8340" w:val="left"/>
        </w:tabs>
        <w:rPr>
          <w:sz w:val="20"/>
          <w:szCs w:val="20"/>
          <w:color w:val="auto"/>
        </w:rPr>
      </w:pPr>
      <w:r>
        <w:rPr>
          <w:rFonts w:ascii="Arial" w:cs="Arial" w:eastAsia="Arial" w:hAnsi="Arial"/>
          <w:sz w:val="18"/>
          <w:szCs w:val="18"/>
          <w:color w:val="auto"/>
        </w:rPr>
        <w:t>our ESPP also includes an annual increase on the first day of each fiscal year beginning on</w:t>
      </w:r>
      <w:r>
        <w:rPr>
          <w:sz w:val="20"/>
          <w:szCs w:val="20"/>
          <w:color w:val="auto"/>
        </w:rPr>
        <w:tab/>
      </w:r>
      <w:r>
        <w:rPr>
          <w:rFonts w:ascii="Arial" w:cs="Arial" w:eastAsia="Arial" w:hAnsi="Arial"/>
          <w:sz w:val="16"/>
          <w:szCs w:val="16"/>
          <w:color w:val="auto"/>
        </w:rPr>
        <w:t>, equal to the least of:</w:t>
      </w:r>
    </w:p>
    <w:p>
      <w:pPr>
        <w:spacing w:after="0" w:line="212" w:lineRule="exact"/>
        <w:rPr>
          <w:sz w:val="20"/>
          <w:szCs w:val="20"/>
          <w:color w:val="auto"/>
        </w:rPr>
      </w:pPr>
    </w:p>
    <w:p>
      <w:pPr>
        <w:ind w:left="1720" w:hanging="1172"/>
        <w:spacing w:after="0"/>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shares;</w:t>
      </w:r>
    </w:p>
    <w:p>
      <w:pPr>
        <w:spacing w:after="0" w:line="211" w:lineRule="exact"/>
        <w:rPr>
          <w:rFonts w:ascii="Arial" w:cs="Arial" w:eastAsia="Arial" w:hAnsi="Arial"/>
          <w:sz w:val="18"/>
          <w:szCs w:val="18"/>
          <w:color w:val="auto"/>
        </w:rPr>
      </w:pPr>
    </w:p>
    <w:p>
      <w:pPr>
        <w:ind w:left="1720" w:hanging="1172"/>
        <w:spacing w:after="0"/>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of the outstanding shares of our common stock as of the last day of the immediately preceding fiscal year;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such other amount as the administrator may determine.</w:t>
      </w:r>
    </w:p>
    <w:p>
      <w:pPr>
        <w:spacing w:after="0" w:line="194"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will administer our ESPP, and have full</w:t>
      </w:r>
      <w:r>
        <w:rPr>
          <w:rFonts w:ascii="Arial" w:cs="Arial" w:eastAsia="Arial" w:hAnsi="Arial"/>
          <w:sz w:val="18"/>
          <w:szCs w:val="18"/>
          <w:i w:val="1"/>
          <w:iCs w:val="1"/>
          <w:color w:val="auto"/>
        </w:rPr>
        <w:t xml:space="preserve"> </w:t>
      </w:r>
      <w:r>
        <w:rPr>
          <w:rFonts w:ascii="Arial" w:cs="Arial" w:eastAsia="Arial" w:hAnsi="Arial"/>
          <w:sz w:val="18"/>
          <w:szCs w:val="18"/>
          <w:color w:val="auto"/>
        </w:rPr>
        <w:t>but non-exclusive authority to interpret the terms of our ESPP and determine eligibility to participate, subject to the conditions of our ESPP, as described below. We expect our compensation committee to administer our ESPP. The administrator will have full and exclusive discretionary authority to construe, interpret, and apply the terms of the ESPP, to delegate ministerial duties to any of our employees, to designate separate offerings under the ESPP, to designate our subsidiaries and affiliates as participating in the ESPP, to determine eligibility, to adjudicate all disputed claims filed under the ESPP and to establish procedures that it deems necessary or advisable for the administration of the ESPP, such as adopting such procedures, sub-plans, and appendices to the enrollment agreement as are necessary or appropriate to permit participation in the ESPP by employees who are foreign nationals or employed outside the U.S. The administrator's findings, decisions, and determinations will be final and binding on all participants to the full extent permitted by law.</w:t>
      </w:r>
    </w:p>
    <w:p>
      <w:pPr>
        <w:spacing w:after="0" w:line="191"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Generally, all of our employees will be eligible to participate if they are customarily employed by us, or any participating</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for at least 20 hours per week and more than five months in any calendar year. The administrator will have the discretion prior to an enrollment date for all options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414(v) of the Code or is an officer or subject to disclosure requirements under Section 16(a) of the Exchange Act, is or is not eligible to participate in such offering period.</w:t>
      </w:r>
    </w:p>
    <w:p>
      <w:pPr>
        <w:spacing w:after="0" w:line="212" w:lineRule="exact"/>
        <w:rPr>
          <w:sz w:val="20"/>
          <w:szCs w:val="20"/>
          <w:color w:val="auto"/>
        </w:rPr>
      </w:pPr>
    </w:p>
    <w:p>
      <w:pPr>
        <w:ind w:right="240" w:firstLine="478"/>
        <w:spacing w:after="0" w:line="239" w:lineRule="auto"/>
        <w:rPr>
          <w:sz w:val="20"/>
          <w:szCs w:val="20"/>
          <w:color w:val="auto"/>
        </w:rPr>
      </w:pPr>
      <w:r>
        <w:rPr>
          <w:rFonts w:ascii="Arial" w:cs="Arial" w:eastAsia="Arial" w:hAnsi="Arial"/>
          <w:sz w:val="18"/>
          <w:szCs w:val="18"/>
          <w:color w:val="auto"/>
        </w:rPr>
        <w:t>An employee may not be granted rights to purchase shares of our common stock under our ESPP if such employee would, immediately after the grant:</w:t>
      </w:r>
    </w:p>
    <w:p>
      <w:pPr>
        <w:spacing w:after="0" w:line="20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own capital stock possessing 5% or more of the total combined voting power or value of all classes of our capital stock; or</w:t>
      </w:r>
    </w:p>
    <w:p>
      <w:pPr>
        <w:spacing w:after="0" w:line="211" w:lineRule="exact"/>
        <w:rPr>
          <w:rFonts w:ascii="Arial" w:cs="Arial" w:eastAsia="Arial" w:hAnsi="Arial"/>
          <w:sz w:val="18"/>
          <w:szCs w:val="18"/>
          <w:color w:val="auto"/>
        </w:rPr>
      </w:pPr>
    </w:p>
    <w:p>
      <w:pPr>
        <w:ind w:left="1080" w:right="440" w:hanging="532"/>
        <w:spacing w:after="0" w:line="23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hold rights to purchase shares of our common stock under all of our employee stock purchase plans that accrue at a rate that exceeds $25,000 worth of shares of our common stock for each calendar year.</w:t>
      </w:r>
    </w:p>
    <w:p>
      <w:pPr>
        <w:spacing w:after="0" w:line="191" w:lineRule="exact"/>
        <w:rPr>
          <w:sz w:val="20"/>
          <w:szCs w:val="20"/>
          <w:color w:val="auto"/>
        </w:rPr>
      </w:pPr>
    </w:p>
    <w:p>
      <w:pPr>
        <w:ind w:right="60" w:firstLine="488"/>
        <w:spacing w:after="0" w:line="275" w:lineRule="auto"/>
        <w:rPr>
          <w:sz w:val="20"/>
          <w:szCs w:val="20"/>
          <w:color w:val="auto"/>
        </w:rPr>
      </w:pPr>
      <w:r>
        <w:rPr>
          <w:rFonts w:ascii="Arial" w:cs="Arial" w:eastAsia="Arial" w:hAnsi="Arial"/>
          <w:sz w:val="16"/>
          <w:szCs w:val="16"/>
          <w:i w:val="1"/>
          <w:iCs w:val="1"/>
          <w:color w:val="auto"/>
        </w:rPr>
        <w:t xml:space="preserve">Offering Periods. </w:t>
      </w:r>
      <w:r>
        <w:rPr>
          <w:rFonts w:ascii="Arial" w:cs="Arial" w:eastAsia="Arial" w:hAnsi="Arial"/>
          <w:sz w:val="16"/>
          <w:szCs w:val="16"/>
          <w:color w:val="auto"/>
        </w:rPr>
        <w:t>Our ESPP will include a component that allows us to make offerings intended to qualify under Section 423 of the Code</w:t>
      </w:r>
      <w:r>
        <w:rPr>
          <w:rFonts w:ascii="Arial" w:cs="Arial" w:eastAsia="Arial" w:hAnsi="Arial"/>
          <w:sz w:val="16"/>
          <w:szCs w:val="16"/>
          <w:i w:val="1"/>
          <w:iCs w:val="1"/>
          <w:color w:val="auto"/>
        </w:rPr>
        <w:t xml:space="preserve"> </w:t>
      </w:r>
      <w:r>
        <w:rPr>
          <w:rFonts w:ascii="Arial" w:cs="Arial" w:eastAsia="Arial" w:hAnsi="Arial"/>
          <w:sz w:val="16"/>
          <w:szCs w:val="16"/>
          <w:color w:val="auto"/>
        </w:rPr>
        <w:t>and a component that allows us to make offerings not intended to qualify under Section 423 of the Code to designated affiliates, as described in</w:t>
      </w:r>
    </w:p>
    <w:tbl>
      <w:tblPr>
        <w:tblLayout w:type="fixed"/>
        <w:tblInd w:w="0" w:type="dxa"/>
        <w:tblCellMar>
          <w:top w:w="0" w:type="dxa"/>
          <w:left w:w="0" w:type="dxa"/>
          <w:bottom w:w="0" w:type="dxa"/>
          <w:right w:w="0" w:type="dxa"/>
        </w:tblCellMar>
      </w:tblPr>
      <w:tr>
        <w:trPr>
          <w:trHeight w:val="204"/>
        </w:trPr>
        <w:tc>
          <w:tcPr>
            <w:tcW w:w="3180" w:type="dxa"/>
            <w:vAlign w:val="bottom"/>
            <w:gridSpan w:val="3"/>
          </w:tcPr>
          <w:p>
            <w:pPr>
              <w:spacing w:after="0" w:line="204" w:lineRule="exact"/>
              <w:rPr>
                <w:sz w:val="20"/>
                <w:szCs w:val="20"/>
                <w:color w:val="auto"/>
              </w:rPr>
            </w:pPr>
            <w:r>
              <w:rPr>
                <w:rFonts w:ascii="Arial" w:cs="Arial" w:eastAsia="Arial" w:hAnsi="Arial"/>
                <w:sz w:val="18"/>
                <w:szCs w:val="18"/>
                <w:color w:val="auto"/>
              </w:rPr>
              <w:t>our ESPP. Our ESPP will provide for</w:t>
            </w:r>
          </w:p>
        </w:tc>
        <w:tc>
          <w:tcPr>
            <w:tcW w:w="806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-month offering periods. The offering periods will be scheduled to start on the first trading day on or</w:t>
            </w: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after</w:t>
            </w:r>
          </w:p>
        </w:tc>
        <w:tc>
          <w:tcPr>
            <w:tcW w:w="840" w:type="dxa"/>
            <w:vAlign w:val="bottom"/>
          </w:tcPr>
          <w:p>
            <w:pPr>
              <w:ind w:left="320"/>
              <w:spacing w:after="0" w:line="202" w:lineRule="exact"/>
              <w:rPr>
                <w:sz w:val="20"/>
                <w:szCs w:val="20"/>
                <w:color w:val="auto"/>
              </w:rPr>
            </w:pPr>
            <w:r>
              <w:rPr>
                <w:rFonts w:ascii="Arial" w:cs="Arial" w:eastAsia="Arial" w:hAnsi="Arial"/>
                <w:sz w:val="18"/>
                <w:szCs w:val="18"/>
                <w:color w:val="auto"/>
              </w:rPr>
              <w:t>and</w:t>
            </w:r>
          </w:p>
        </w:tc>
        <w:tc>
          <w:tcPr>
            <w:tcW w:w="9720" w:type="dxa"/>
            <w:vAlign w:val="bottom"/>
            <w:gridSpan w:val="3"/>
          </w:tcPr>
          <w:p>
            <w:pPr>
              <w:jc w:val="right"/>
              <w:ind w:right="152"/>
              <w:spacing w:after="0" w:line="202" w:lineRule="exact"/>
              <w:rPr>
                <w:sz w:val="20"/>
                <w:szCs w:val="20"/>
                <w:color w:val="auto"/>
              </w:rPr>
            </w:pPr>
            <w:r>
              <w:rPr>
                <w:rFonts w:ascii="Arial" w:cs="Arial" w:eastAsia="Arial" w:hAnsi="Arial"/>
                <w:sz w:val="18"/>
                <w:szCs w:val="18"/>
                <w:color w:val="auto"/>
              </w:rPr>
              <w:t>of each year, except for the first offering period, which will commence on the first trading day on or after completion of</w:t>
            </w:r>
          </w:p>
        </w:tc>
      </w:tr>
      <w:tr>
        <w:trPr>
          <w:trHeight w:val="203"/>
        </w:trPr>
        <w:tc>
          <w:tcPr>
            <w:tcW w:w="5000" w:type="dxa"/>
            <w:vAlign w:val="bottom"/>
            <w:gridSpan w:val="4"/>
          </w:tcPr>
          <w:p>
            <w:pPr>
              <w:spacing w:after="0" w:line="202" w:lineRule="exact"/>
              <w:rPr>
                <w:sz w:val="20"/>
                <w:szCs w:val="20"/>
                <w:color w:val="auto"/>
              </w:rPr>
            </w:pPr>
            <w:r>
              <w:rPr>
                <w:rFonts w:ascii="Arial" w:cs="Arial" w:eastAsia="Arial" w:hAnsi="Arial"/>
                <w:sz w:val="18"/>
                <w:szCs w:val="18"/>
                <w:color w:val="auto"/>
              </w:rPr>
              <w:t>this offering and will end on the first trading day on or after</w:t>
            </w:r>
          </w:p>
        </w:tc>
        <w:tc>
          <w:tcPr>
            <w:tcW w:w="6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 Each offering period will include purchase periods, which will be the</w:t>
            </w:r>
          </w:p>
        </w:tc>
      </w:tr>
      <w:tr>
        <w:trPr>
          <w:trHeight w:val="211"/>
        </w:trPr>
        <w:tc>
          <w:tcPr>
            <w:tcW w:w="1520" w:type="dxa"/>
            <w:vAlign w:val="bottom"/>
            <w:gridSpan w:val="2"/>
          </w:tcPr>
          <w:p>
            <w:pPr>
              <w:spacing w:after="0"/>
              <w:rPr>
                <w:sz w:val="20"/>
                <w:szCs w:val="20"/>
                <w:color w:val="auto"/>
              </w:rPr>
            </w:pPr>
            <w:r>
              <w:rPr>
                <w:rFonts w:ascii="Arial" w:cs="Arial" w:eastAsia="Arial" w:hAnsi="Arial"/>
                <w:sz w:val="18"/>
                <w:szCs w:val="18"/>
                <w:color w:val="auto"/>
              </w:rPr>
              <w:t>approximately</w:t>
            </w:r>
          </w:p>
        </w:tc>
        <w:tc>
          <w:tcPr>
            <w:tcW w:w="9720" w:type="dxa"/>
            <w:vAlign w:val="bottom"/>
            <w:gridSpan w:val="3"/>
          </w:tcPr>
          <w:p>
            <w:pPr>
              <w:jc w:val="right"/>
              <w:ind w:right="2412"/>
              <w:spacing w:after="0"/>
              <w:rPr>
                <w:sz w:val="20"/>
                <w:szCs w:val="20"/>
                <w:color w:val="auto"/>
              </w:rPr>
            </w:pPr>
            <w:r>
              <w:rPr>
                <w:rFonts w:ascii="Arial" w:cs="Arial" w:eastAsia="Arial" w:hAnsi="Arial"/>
                <w:sz w:val="18"/>
                <w:szCs w:val="18"/>
                <w:color w:val="auto"/>
              </w:rPr>
              <w:t>-month period commencing with one exercise date and ending with the next exercise date.</w:t>
            </w:r>
          </w:p>
        </w:tc>
      </w:tr>
      <w:tr>
        <w:trPr>
          <w:trHeight w:val="418"/>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40" w:type="dxa"/>
            <w:vAlign w:val="bottom"/>
          </w:tcPr>
          <w:p>
            <w:pPr>
              <w:jc w:val="right"/>
              <w:ind w:right="5372"/>
              <w:spacing w:after="0"/>
              <w:rPr>
                <w:sz w:val="20"/>
                <w:szCs w:val="20"/>
                <w:color w:val="auto"/>
              </w:rPr>
            </w:pPr>
            <w:r>
              <w:rPr>
                <w:rFonts w:ascii="Arial" w:cs="Arial" w:eastAsia="Arial" w:hAnsi="Arial"/>
                <w:sz w:val="18"/>
                <w:szCs w:val="18"/>
                <w:color w:val="auto"/>
              </w:rPr>
              <w:t>146</w:t>
            </w:r>
          </w:p>
        </w:tc>
      </w:tr>
      <w:tr>
        <w:trPr>
          <w:trHeight w:val="215"/>
        </w:trPr>
        <w:tc>
          <w:tcPr>
            <w:tcW w:w="6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66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62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Table of Contents</w:t>
              </w:r>
            </w:hyperlink>
          </w:p>
        </w:tc>
        <w:tc>
          <w:tcPr>
            <w:tcW w:w="51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29"/>
        </w:trPr>
        <w:tc>
          <w:tcPr>
            <w:tcW w:w="10540" w:type="dxa"/>
            <w:vAlign w:val="bottom"/>
            <w:gridSpan w:val="3"/>
          </w:tcPr>
          <w:p>
            <w:pPr>
              <w:ind w:left="500"/>
              <w:spacing w:after="0"/>
              <w:rPr>
                <w:sz w:val="20"/>
                <w:szCs w:val="20"/>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Our ESPP will permit participants to purchase shares of our common stock through payroll deductions of up to</w:t>
            </w:r>
          </w:p>
        </w:tc>
        <w:tc>
          <w:tcPr>
            <w:tcW w:w="560" w:type="dxa"/>
            <w:vAlign w:val="bottom"/>
          </w:tcPr>
          <w:p>
            <w:pPr>
              <w:ind w:left="220"/>
              <w:spacing w:after="0"/>
              <w:rPr>
                <w:sz w:val="20"/>
                <w:szCs w:val="20"/>
                <w:color w:val="auto"/>
              </w:rPr>
            </w:pPr>
            <w:r>
              <w:rPr>
                <w:rFonts w:ascii="Arial" w:cs="Arial" w:eastAsia="Arial" w:hAnsi="Arial"/>
                <w:sz w:val="18"/>
                <w:szCs w:val="18"/>
                <w:color w:val="auto"/>
                <w:w w:val="88"/>
              </w:rPr>
              <w:t>% of</w:t>
            </w:r>
          </w:p>
        </w:tc>
      </w:tr>
      <w:tr>
        <w:trPr>
          <w:trHeight w:val="211"/>
        </w:trPr>
        <w:tc>
          <w:tcPr>
            <w:tcW w:w="6500" w:type="dxa"/>
            <w:vAlign w:val="bottom"/>
            <w:gridSpan w:val="2"/>
          </w:tcPr>
          <w:p>
            <w:pPr>
              <w:spacing w:after="0"/>
              <w:rPr>
                <w:sz w:val="20"/>
                <w:szCs w:val="20"/>
                <w:color w:val="auto"/>
              </w:rPr>
            </w:pPr>
            <w:r>
              <w:rPr>
                <w:rFonts w:ascii="Arial" w:cs="Arial" w:eastAsia="Arial" w:hAnsi="Arial"/>
                <w:sz w:val="18"/>
                <w:szCs w:val="18"/>
                <w:color w:val="auto"/>
              </w:rPr>
              <w:t>their eligible compensation. A participant will be able to purchase a maximum of</w:t>
            </w:r>
          </w:p>
        </w:tc>
        <w:tc>
          <w:tcPr>
            <w:tcW w:w="4600" w:type="dxa"/>
            <w:vAlign w:val="bottom"/>
            <w:gridSpan w:val="2"/>
          </w:tcPr>
          <w:p>
            <w:pPr>
              <w:ind w:left="320"/>
              <w:spacing w:after="0"/>
              <w:rPr>
                <w:sz w:val="20"/>
                <w:szCs w:val="20"/>
                <w:color w:val="auto"/>
              </w:rPr>
            </w:pPr>
            <w:r>
              <w:rPr>
                <w:rFonts w:ascii="Arial" w:cs="Arial" w:eastAsia="Arial" w:hAnsi="Arial"/>
                <w:sz w:val="18"/>
                <w:szCs w:val="18"/>
                <w:color w:val="auto"/>
                <w:w w:val="97"/>
              </w:rPr>
              <w:t>shares of our common stock during a purchase period.</w:t>
            </w:r>
          </w:p>
        </w:tc>
      </w:tr>
    </w:tbl>
    <w:p>
      <w:pPr>
        <w:spacing w:after="0" w:line="190" w:lineRule="exact"/>
        <w:rPr>
          <w:sz w:val="20"/>
          <w:szCs w:val="20"/>
          <w:color w:val="auto"/>
        </w:rPr>
      </w:pPr>
    </w:p>
    <w:p>
      <w:pPr>
        <w:ind w:left="500"/>
        <w:spacing w:after="0"/>
        <w:tabs>
          <w:tab w:leader="none" w:pos="2820" w:val="left"/>
        </w:tabs>
        <w:rPr>
          <w:sz w:val="20"/>
          <w:szCs w:val="20"/>
          <w:color w:val="auto"/>
        </w:rPr>
      </w:pPr>
      <w:r>
        <w:rPr>
          <w:rFonts w:ascii="Arial" w:cs="Arial" w:eastAsia="Arial" w:hAnsi="Arial"/>
          <w:sz w:val="18"/>
          <w:szCs w:val="18"/>
          <w:i w:val="1"/>
          <w:iCs w:val="1"/>
          <w:color w:val="auto"/>
        </w:rPr>
        <w:t>Exercise of Purchase Right.</w:t>
      </w:r>
      <w:r>
        <w:rPr>
          <w:sz w:val="20"/>
          <w:szCs w:val="20"/>
          <w:color w:val="auto"/>
        </w:rPr>
        <w:tab/>
      </w:r>
      <w:r>
        <w:rPr>
          <w:rFonts w:ascii="Arial" w:cs="Arial" w:eastAsia="Arial" w:hAnsi="Arial"/>
          <w:sz w:val="16"/>
          <w:szCs w:val="16"/>
          <w:color w:val="auto"/>
        </w:rPr>
        <w:t>Amounts deducted and accumulated by the participant will be used to purchase shares of our common</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stock at the end of each -month purchase period. The purchase price of the shares will be % of the lower of the fair market value of our common stock on the first trading day of each offering period or on the exercise date. Participants will be able to end their participation at any time during an offering period and will be paid their accrued contributions that have not yet been used to purchase shares of our common stock. Participation will end automatically upon termination of employment with us.</w:t>
      </w:r>
    </w:p>
    <w:p>
      <w:pPr>
        <w:spacing w:after="0" w:line="190" w:lineRule="exact"/>
        <w:rPr>
          <w:sz w:val="20"/>
          <w:szCs w:val="20"/>
          <w:color w:val="auto"/>
        </w:rPr>
      </w:pPr>
    </w:p>
    <w:p>
      <w:pPr>
        <w:ind w:right="160" w:firstLine="488"/>
        <w:spacing w:after="0" w:line="260"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A participant will not be able to transfer rights granted under our ESPP. If our compensation committee permits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rights, it may only be done by will, the laws of descent and distribution or as otherwise provided under our ESPP.</w:t>
      </w:r>
    </w:p>
    <w:p>
      <w:pPr>
        <w:spacing w:after="0" w:line="173"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i w:val="1"/>
          <w:iCs w:val="1"/>
          <w:color w:val="auto"/>
        </w:rPr>
        <w:t xml:space="preserve">Merger or Change in Control. </w:t>
      </w:r>
      <w:r>
        <w:rPr>
          <w:rFonts w:ascii="Arial" w:cs="Arial" w:eastAsia="Arial" w:hAnsi="Arial"/>
          <w:sz w:val="18"/>
          <w:szCs w:val="18"/>
          <w:color w:val="auto"/>
        </w:rPr>
        <w:t>Our ESPP will provide that in the event of a merger or change in control, as defined under our ESPP, a</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94" w:lineRule="exact"/>
        <w:rPr>
          <w:sz w:val="20"/>
          <w:szCs w:val="20"/>
          <w:color w:val="auto"/>
        </w:rPr>
      </w:pPr>
    </w:p>
    <w:p>
      <w:pPr>
        <w:ind w:right="120" w:firstLine="481"/>
        <w:spacing w:after="0" w:line="247"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administrator will have the authority to amend, suspend or terminate our ESPP, except that,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described in our ESPP, no such action may adversely affect any outstanding rights to purchase shares of our common stock under our ESPP. Our ESPP will automatically terminate in 2039 unless we terminate it sooner.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Stock Incentive Plan</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Our board of directors adopted our Amended and Restated 2011 Stock Incentive Plan, or the 2011 Plan, in November 2011. Our stockholders approved our 2011 Plan in November 2011. Our 2011 Plan was most recently amended in October 2018. Our 2011 Plan provides for the grant of incentive stock options, within the meaning of Section 422 of the Code, to our employees and any parent and subsidiary corporations' employees, and for the grant of nonstatutory stock options, restricted stock, restricted stock units, and other stock-based awards to employees, directors, and consultants of the company or any direct or indirect parent or subsidiary of the company (which are together referred to as the "company group") or any person who has been offered employment by the company group.</w:t>
      </w:r>
    </w:p>
    <w:p>
      <w:pPr>
        <w:spacing w:after="0" w:line="192" w:lineRule="exact"/>
        <w:rPr>
          <w:sz w:val="20"/>
          <w:szCs w:val="20"/>
          <w:color w:val="auto"/>
        </w:rPr>
      </w:pPr>
    </w:p>
    <w:p>
      <w:pPr>
        <w:jc w:val="both"/>
        <w:ind w:right="60" w:firstLine="481"/>
        <w:spacing w:after="0" w:line="243" w:lineRule="auto"/>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As of October 31, 2018, 79,498,016 shares of our common stock were reserved for future issuance under our 2011</w:t>
      </w:r>
      <w:r>
        <w:rPr>
          <w:rFonts w:ascii="Arial" w:cs="Arial" w:eastAsia="Arial" w:hAnsi="Arial"/>
          <w:sz w:val="18"/>
          <w:szCs w:val="18"/>
          <w:i w:val="1"/>
          <w:iCs w:val="1"/>
          <w:color w:val="auto"/>
        </w:rPr>
        <w:t xml:space="preserve"> </w:t>
      </w:r>
      <w:r>
        <w:rPr>
          <w:rFonts w:ascii="Arial" w:cs="Arial" w:eastAsia="Arial" w:hAnsi="Arial"/>
          <w:sz w:val="18"/>
          <w:szCs w:val="18"/>
          <w:color w:val="auto"/>
        </w:rPr>
        <w:t>Plan. We will terminate our 2011 Plan in connection with this offering. Accordingly, no awards will be granted under the 2011 Plan following the completion of this offering, but our 2011 Plan will continue to govern outstanding awards granted thereunder. As of October 31, 2018, options to purchase 26,150,055 shares of our common stock remained outstanding under our 2011 Plan.</w:t>
      </w:r>
    </w:p>
    <w:p>
      <w:pPr>
        <w:spacing w:after="0" w:line="188" w:lineRule="exact"/>
        <w:rPr>
          <w:sz w:val="20"/>
          <w:szCs w:val="20"/>
          <w:color w:val="auto"/>
        </w:rPr>
      </w:pPr>
    </w:p>
    <w:p>
      <w:pPr>
        <w:ind w:right="240" w:firstLine="488"/>
        <w:spacing w:after="0" w:line="24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consisting of at least two individuals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administers the 2011 Plan. To the extent permitted by applicable law, the administrator may delegate to officers or employees of the company group (or committees thereof) the authority, subject to terms determined by the administrator, to perform such</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functions as the administrator determines to be appropriate, but awards granted to any person or entity who is not an employee of the company group must be expressly approved by the administrator. Subject to the provisions of the 2011 Plan, the administrator has full and final authority to (i) select eligible persons to become participants, (ii) grant awards, (iii) determine the type, number of shares subject to, and other terms and conditions of, and all other matters relating to, awards, (iv) prescribe award agreements (which need not be identical for each participant) and rules and regulations for the administration of the 2011 Plan, (v) construe and interpret the 2011 Plan and award agreements and correct defects, supply omissions, and reconcile inconsistencies, (vi) suspend the right to exercise Awards during any period that the administrator deems appropriate to comply with applicable securities laws, and/or subsequently extend the exercise period of an award by an equivalent period of time, (vii) make all other decisions and determinations as the administrator may deem necessary or advisable for the administration of the 2011 Plan. The administrator also may adopt procedures and sub-plans as necessary or appropriate to permit participation in the 2011 Plan by persons or entities who are residents or primarily employed or providing services outside of the United States. The administrator may approve a repricing of awards without stockholder consent. The administrator's actions will be final, conclusive, and binding on all persons.</w:t>
      </w:r>
    </w:p>
    <w:p>
      <w:pPr>
        <w:spacing w:after="0" w:line="379" w:lineRule="exact"/>
        <w:rPr>
          <w:sz w:val="20"/>
          <w:szCs w:val="20"/>
          <w:color w:val="auto"/>
        </w:rPr>
      </w:pPr>
    </w:p>
    <w:p>
      <w:pPr>
        <w:ind w:right="340" w:firstLine="488"/>
        <w:spacing w:after="0" w:line="271"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could be granted under our 2011 Plan. The exercise price of options granted under our 2011 Plan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may not be less than 100% of the fair market value of our common stock on the date of grant if the option is intended to qualify as either (i) a "stock right" within the meaning of Section 409A of the Code or (ii) an incentive stock option. The term of an option cannot exceed</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10 years, except with respect to an incentive stock option granted to any participant who owns more than 10% of the voting power of all classes of our outstanding stock, the term cannot exceed five years and the exercise price must equal at least 110% of the fair market value on the grant date. The administrator determined the methods of payment of the exercise price of an option. Unless a participant's award agreement provides otherwise or the administrator determines otherwise, any unvested portion of the participant's option will immediately expire, and the vested portion of the participant's option will (i) immediately expire if the participant's termination is for cause, as defined under our 2011 Plan (ii) remain exercisable for 12 months following a termination due to death or disability, or (iii) remain exercisable for 90 days (or if the participant was a California resident when his or her option was granted, for 3 months) following a termination for any other reason. An option may not be exercised later than the expiration of its term. Subject to the provisions of our 2011 Plan, the administrator determined the other terms of options.</w:t>
      </w:r>
    </w:p>
    <w:p>
      <w:pPr>
        <w:spacing w:after="0" w:line="168" w:lineRule="exact"/>
        <w:rPr>
          <w:sz w:val="20"/>
          <w:szCs w:val="20"/>
          <w:color w:val="auto"/>
        </w:rPr>
      </w:pPr>
    </w:p>
    <w:p>
      <w:pPr>
        <w:ind w:right="140" w:firstLine="488"/>
        <w:spacing w:after="0" w:line="239"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Restricted stock could be granted under our 2011 Plan. Restricted stock awards are grants of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that vest in accordance with terms and conditions established by the administrator. The administrator determined the number of shares of restricted stock granted to any employee, director or consultant and, subject to the provisions of our 2011 Plan, determined the terms and conditions of such awards. The administrator could impose whatever conditions to vesting it determined to be appropriate; provided, however, that the administrator has the discretion to accelerate the time when such awards will vest. Recipients of restricted stock awards generally will have voting and dividend rights with respect to such shares upon grant without regard to vesting, unless the administrator provided otherwise. Shares of restricted stock that do not vest are subject to our right of repurchase or forfeiture.</w:t>
      </w:r>
    </w:p>
    <w:p>
      <w:pPr>
        <w:spacing w:after="0" w:line="191" w:lineRule="exact"/>
        <w:rPr>
          <w:sz w:val="20"/>
          <w:szCs w:val="20"/>
          <w:color w:val="auto"/>
        </w:rPr>
      </w:pPr>
    </w:p>
    <w:p>
      <w:pPr>
        <w:ind w:firstLine="488"/>
        <w:spacing w:after="0" w:line="243" w:lineRule="auto"/>
        <w:rPr>
          <w:sz w:val="20"/>
          <w:szCs w:val="20"/>
          <w:color w:val="auto"/>
        </w:rPr>
      </w:pPr>
      <w:r>
        <w:rPr>
          <w:rFonts w:ascii="Arial" w:cs="Arial" w:eastAsia="Arial" w:hAnsi="Arial"/>
          <w:sz w:val="18"/>
          <w:szCs w:val="18"/>
          <w:i w:val="1"/>
          <w:iCs w:val="1"/>
          <w:color w:val="auto"/>
        </w:rPr>
        <w:t xml:space="preserve">RSUs. </w:t>
      </w:r>
      <w:r>
        <w:rPr>
          <w:rFonts w:ascii="Arial" w:cs="Arial" w:eastAsia="Arial" w:hAnsi="Arial"/>
          <w:sz w:val="18"/>
          <w:szCs w:val="18"/>
          <w:color w:val="auto"/>
        </w:rPr>
        <w:t>RSUs could be granted under our 2011 Plan. RSUs are bookkeeping entries representing an amount equal to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one share of our common stock. Subject to the provisions of our 2011 Plan, the administrator determined the terms and conditions of RSUs, including the vesting criteria and the form and timing of payment. The administrator could set vesting criteria based upon the achievement of company-wide, business unit, or individual goals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(including continued employment or service), or any other basis determined by the administrator in its discretion. The administrator has the discretion to pay earned RSUs in the form of cash, in shares or in some combination thereof. The administrator also has the discretion to reduce or waive any vesting criteria that must be met to receive payment.</w:t>
      </w:r>
    </w:p>
    <w:p>
      <w:pPr>
        <w:spacing w:after="0" w:line="190" w:lineRule="exact"/>
        <w:rPr>
          <w:sz w:val="20"/>
          <w:szCs w:val="20"/>
          <w:color w:val="auto"/>
        </w:rPr>
      </w:pPr>
    </w:p>
    <w:p>
      <w:pPr>
        <w:ind w:right="80" w:firstLine="488"/>
        <w:spacing w:after="0" w:line="243"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administrator could grant other awards that may be denominated or payable in, valued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otherwise based upon or related to shares of our common stock. The administrator could also grant shares of our common stock as a bonus or could grant other awards in lieu of obligations of any member of the company group to pay cash or deliver other property. The terms and conditions applicable to such awards were determined by the administrator, subject to the conditions in the 2011 Plan.</w:t>
      </w:r>
    </w:p>
    <w:p>
      <w:pPr>
        <w:spacing w:after="0" w:line="188" w:lineRule="exact"/>
        <w:rPr>
          <w:sz w:val="20"/>
          <w:szCs w:val="20"/>
          <w:color w:val="auto"/>
        </w:rPr>
      </w:pPr>
    </w:p>
    <w:p>
      <w:pPr>
        <w:ind w:right="300" w:firstLine="488"/>
        <w:spacing w:after="0" w:line="260"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Unless the administrator provides otherwise, our 2011 Plan generally does not allow for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only the recipient of an award may exercise an award during his or her lifetime.</w:t>
      </w:r>
    </w:p>
    <w:p>
      <w:pPr>
        <w:spacing w:after="0" w:line="173" w:lineRule="exact"/>
        <w:rPr>
          <w:sz w:val="20"/>
          <w:szCs w:val="20"/>
          <w:color w:val="auto"/>
        </w:rPr>
      </w:pPr>
    </w:p>
    <w:p>
      <w:pPr>
        <w:ind w:firstLine="488"/>
        <w:spacing w:after="0" w:line="241"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In the event of (i) certain changes in our capitalization or (ii) a change in applicable laws or circumstances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or could result in (as determined by the administrator in its sole discretion) any substantial dilution or enlargement of the rights intended to be granted to or available for participants, then the administrator will make equitable and proportionate adjustments or substitutions to the number and type of shares that may be delivered under the 2011 Plan and/or the number, type, and price of shares covered by each outstanding award granted under the 2011 Plan.</w:t>
      </w:r>
    </w:p>
    <w:p>
      <w:pPr>
        <w:spacing w:after="0" w:line="189" w:lineRule="exact"/>
        <w:rPr>
          <w:sz w:val="20"/>
          <w:szCs w:val="20"/>
          <w:color w:val="auto"/>
        </w:rPr>
      </w:pPr>
    </w:p>
    <w:p>
      <w:pPr>
        <w:ind w:right="40" w:firstLine="488"/>
        <w:spacing w:after="0" w:line="239" w:lineRule="auto"/>
        <w:rPr>
          <w:sz w:val="20"/>
          <w:szCs w:val="20"/>
          <w:color w:val="auto"/>
        </w:rPr>
      </w:pPr>
      <w:r>
        <w:rPr>
          <w:rFonts w:ascii="Arial" w:cs="Arial" w:eastAsia="Arial" w:hAnsi="Arial"/>
          <w:sz w:val="18"/>
          <w:szCs w:val="18"/>
          <w:i w:val="1"/>
          <w:iCs w:val="1"/>
          <w:color w:val="auto"/>
        </w:rPr>
        <w:t xml:space="preserve">Corporate Event. </w:t>
      </w:r>
      <w:r>
        <w:rPr>
          <w:rFonts w:ascii="Arial" w:cs="Arial" w:eastAsia="Arial" w:hAnsi="Arial"/>
          <w:sz w:val="18"/>
          <w:szCs w:val="18"/>
          <w:color w:val="auto"/>
        </w:rPr>
        <w:t>If there is a corporate event, as defined under our 2011 Plan, the administrator may generally may provide for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of the following: (i) the assumption or substitution of an award; (ii) the acceleration of vesting of an award, subject to the consummation of the corporate event; (iii) the cancellation of an award in exchange for a payment for the vested portion of the award based on the amount of the consideration paid for a share of our common stock in the corporate event minus the exercise price of the award (if any); and (iv) the replacement of an award (unless the award is a "stock right" within the meaning of Section 409A of the Code) with a cash incentive program that preserves the value of the award as of the consummation of the corporate event, with subsequent payment of cash incentives subject to the same vesting conditions that applied to the award and made within 30 days of the applicable vesting date.</w:t>
      </w:r>
    </w:p>
    <w:p>
      <w:pPr>
        <w:spacing w:after="0" w:line="191" w:lineRule="exact"/>
        <w:rPr>
          <w:sz w:val="20"/>
          <w:szCs w:val="20"/>
          <w:color w:val="auto"/>
        </w:rPr>
      </w:pPr>
    </w:p>
    <w:p>
      <w:pPr>
        <w:jc w:val="both"/>
        <w:ind w:right="280" w:firstLine="481"/>
        <w:spacing w:after="0" w:line="243"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Our board of directors may amend our 2011 Plan at any time, but no amendment will impair a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rights under his or her awards without his or her written consent. As noted above, in connection with the adoption of our 2019 Plan, our 2011 Plan will be terminated and no further awards will be granted thereunder. All outstanding awards will continue to be governed by their existing terms.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Incentive Compensation Plan</w:t>
      </w:r>
    </w:p>
    <w:p>
      <w:pPr>
        <w:spacing w:after="0" w:line="232"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Prior to the effectiveness of this offering, our board of directors intends to adopt our Executive Incentive Compensation Plan, or our Incentive Compensation Plan. Our Incentive Compensation Plan will allow us to grant incentive awards, generally payable in cash, to employees selected by the administrator of the Incentive Compensation Plan, including our named executive officers, based upon performance goals established by the administrator.</w:t>
      </w:r>
    </w:p>
    <w:p>
      <w:pPr>
        <w:spacing w:after="0" w:line="208" w:lineRule="exact"/>
        <w:rPr>
          <w:sz w:val="20"/>
          <w:szCs w:val="20"/>
          <w:color w:val="auto"/>
        </w:rPr>
      </w:pPr>
    </w:p>
    <w:p>
      <w:pPr>
        <w:ind w:right="180" w:firstLine="488"/>
        <w:spacing w:after="0" w:line="237" w:lineRule="auto"/>
        <w:rPr>
          <w:sz w:val="20"/>
          <w:szCs w:val="20"/>
          <w:color w:val="auto"/>
        </w:rPr>
      </w:pPr>
      <w:r>
        <w:rPr>
          <w:rFonts w:ascii="Arial" w:cs="Arial" w:eastAsia="Arial" w:hAnsi="Arial"/>
          <w:sz w:val="18"/>
          <w:szCs w:val="18"/>
          <w:color w:val="auto"/>
        </w:rPr>
        <w:t>Under our Incentive Compensation Plan, the administrator will determine the performance goals applicable to any award, such as the attainment of research and development milestones, sales bookings, business divestitures and acquisitions, cash flow, cash position, earnings (which may include any calculation of earnings including, but not limited to, earnings before interest and taxes, earnings before taxes, earnings before interest, taxes, depreciation, and amortization and net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earnings), earnings per share, net income, net profit, net sales, operating cash flow, operating expenses, operating income (or loss), operating margin, overhead or expense reduction, product defect measures, product release timelines, productivity, profit, return on assets, return on capital, return on equity, return on investment, return on sales, revenue, revenue growth, sales results, sales growth, stock price, time to market, total stockholder return, working capital and individual objectives such as peer reviews or other subjective or objective criteria. The performance goals may differ from participant to participant and from award to award.</w:t>
      </w:r>
    </w:p>
    <w:p>
      <w:pPr>
        <w:spacing w:after="0" w:line="211" w:lineRule="exact"/>
        <w:rPr>
          <w:sz w:val="20"/>
          <w:szCs w:val="20"/>
          <w:color w:val="auto"/>
        </w:rPr>
      </w:pPr>
    </w:p>
    <w:p>
      <w:pPr>
        <w:ind w:right="40" w:firstLine="478"/>
        <w:spacing w:after="0" w:line="272" w:lineRule="auto"/>
        <w:rPr>
          <w:sz w:val="20"/>
          <w:szCs w:val="20"/>
          <w:color w:val="auto"/>
        </w:rPr>
      </w:pPr>
      <w:r>
        <w:rPr>
          <w:rFonts w:ascii="Arial" w:cs="Arial" w:eastAsia="Arial" w:hAnsi="Arial"/>
          <w:sz w:val="16"/>
          <w:szCs w:val="16"/>
          <w:color w:val="auto"/>
        </w:rPr>
        <w:t>A committee appointed by our board of directors (which, until our board of directors determines otherwise, will be our compensation committee) will administer our Incentive Compensation Plan. The administrator of our Incentive Compensation Plan will have the discretion to increase, reduce or eliminate a participant's actual award, and/or increase, reduce or eliminate the amount allocated to the bonus pool for a particular performance period. The administrator will be able to determine the amount of any such increase, reduction or elimination on the basis of such factors as it deems relevant, and it is not required to establish any allocation or weighting with respect to the factors it considers.</w:t>
      </w:r>
    </w:p>
    <w:p>
      <w:pPr>
        <w:spacing w:after="0" w:line="186" w:lineRule="exact"/>
        <w:rPr>
          <w:sz w:val="20"/>
          <w:szCs w:val="20"/>
          <w:color w:val="auto"/>
        </w:rPr>
      </w:pPr>
    </w:p>
    <w:p>
      <w:pPr>
        <w:ind w:right="260" w:firstLine="478"/>
        <w:spacing w:after="0" w:line="236"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to earn an actual award a participant must be employed by us through the date the actual award is paid. The administrator will have the right to settle an actual award with a grant of an equity award under our then-current equity compensation plan, which equity award may have such terms and conditions, including vesting, as the administrator determines. Payment of awards will occur as soon as practicable after they are earned, but no later than the dates that will be set forth in our Incentive Compensation Plan.</w:t>
      </w:r>
    </w:p>
    <w:p>
      <w:pPr>
        <w:spacing w:after="0" w:line="211" w:lineRule="exact"/>
        <w:rPr>
          <w:sz w:val="20"/>
          <w:szCs w:val="20"/>
          <w:color w:val="auto"/>
        </w:rPr>
      </w:pPr>
    </w:p>
    <w:p>
      <w:pPr>
        <w:ind w:right="400" w:firstLine="488"/>
        <w:spacing w:after="0" w:line="239" w:lineRule="auto"/>
        <w:rPr>
          <w:sz w:val="20"/>
          <w:szCs w:val="20"/>
          <w:color w:val="auto"/>
        </w:rPr>
      </w:pPr>
      <w:r>
        <w:rPr>
          <w:rFonts w:ascii="Arial" w:cs="Arial" w:eastAsia="Arial" w:hAnsi="Arial"/>
          <w:sz w:val="18"/>
          <w:szCs w:val="18"/>
          <w:color w:val="auto"/>
        </w:rPr>
        <w:t>Our board of directors and the administrator will have the authority to amend, suspend or terminate our Incentive Compensation Plan, provided such action does not impair the existing rights of any participant with respect to any earned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maintain a tax-qualified retirement plan, or the 401(k) plan, that provides eligible employees with an opportunity to save for retirement on a tax-advantaged basis. Eligible employees are able to participate in the 401(k) plan as of their start date, and participants are able to defer up to 100% of their eligible compensation subject to applicable annual Code limits. All participants' interests in their deferrals are 100% vested when contributed. The 401(k) plan permits us to make matching contributions and profit sharing contributions to eligible participants, although we have not made any such contributions to date.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right="260" w:firstLine="488"/>
        <w:spacing w:after="0" w:line="238"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February 1, 2016, and each currently proposed transaction in which:</w:t>
      </w:r>
    </w:p>
    <w:p>
      <w:pPr>
        <w:spacing w:after="0" w:line="208"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98" w:lineRule="exact"/>
        <w:rPr>
          <w:rFonts w:ascii="Arial" w:cs="Arial" w:eastAsia="Arial" w:hAnsi="Arial"/>
          <w:sz w:val="18"/>
          <w:szCs w:val="18"/>
          <w:color w:val="auto"/>
        </w:rPr>
      </w:pPr>
    </w:p>
    <w:p>
      <w:pPr>
        <w:ind w:left="1080" w:right="180" w:hanging="532"/>
        <w:spacing w:after="0" w:line="23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Financing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Financing</w:t>
      </w:r>
    </w:p>
    <w:p>
      <w:pPr>
        <w:spacing w:after="0" w:line="232" w:lineRule="exact"/>
        <w:rPr>
          <w:sz w:val="20"/>
          <w:szCs w:val="20"/>
          <w:color w:val="auto"/>
        </w:rPr>
      </w:pPr>
    </w:p>
    <w:p>
      <w:pPr>
        <w:ind w:right="140" w:firstLine="488"/>
        <w:spacing w:after="0" w:line="237" w:lineRule="auto"/>
        <w:rPr>
          <w:sz w:val="20"/>
          <w:szCs w:val="20"/>
          <w:color w:val="auto"/>
        </w:rPr>
      </w:pPr>
      <w:r>
        <w:rPr>
          <w:rFonts w:ascii="Arial" w:cs="Arial" w:eastAsia="Arial" w:hAnsi="Arial"/>
          <w:sz w:val="18"/>
          <w:szCs w:val="18"/>
          <w:color w:val="auto"/>
        </w:rPr>
        <w:t>In May 2017, we sold an aggregate of 17,569,969 shares of our Series D redeemable convertible preferred stock, or Series D preferred stock, at a purchase price of $5.69 per share, for an aggregate purchase price of $100.0 million. Each share of our Series D preferred stock will convert automatically into one share of our common stock immediately prior to the completion of this offering. The following table summarizes purchases of our Series D preferred stock by related persons: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 of Series D</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56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w:t>
            </w: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Preferred Stock</w:t>
            </w:r>
          </w:p>
        </w:tc>
        <w:tc>
          <w:tcPr>
            <w:tcW w:w="1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Total Purchase Price</w:t>
            </w:r>
          </w:p>
        </w:tc>
      </w:tr>
      <w:tr>
        <w:trPr>
          <w:trHeight w:val="27"/>
        </w:trPr>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568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Entities affiliated with Accel</w:t>
            </w:r>
            <w:r>
              <w:rPr>
                <w:rFonts w:ascii="Arial" w:cs="Arial" w:eastAsia="Arial" w:hAnsi="Arial"/>
                <w:sz w:val="28"/>
                <w:szCs w:val="28"/>
                <w:color w:val="auto"/>
                <w:vertAlign w:val="superscript"/>
              </w:rPr>
              <w:t>(1)</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8,784,985</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50,000,006</w:t>
            </w:r>
          </w:p>
        </w:tc>
      </w:tr>
      <w:tr>
        <w:trPr>
          <w:trHeight w:val="243"/>
        </w:trPr>
        <w:tc>
          <w:tcPr>
            <w:tcW w:w="568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CapitalG LP</w:t>
            </w:r>
            <w:r>
              <w:rPr>
                <w:rFonts w:ascii="Arial" w:cs="Arial" w:eastAsia="Arial" w:hAnsi="Arial"/>
                <w:sz w:val="28"/>
                <w:szCs w:val="28"/>
                <w:color w:val="auto"/>
                <w:vertAlign w:val="superscript"/>
              </w:rPr>
              <w:t>(2)</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2,052,996</w:t>
            </w: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11,684,688</w:t>
            </w:r>
          </w:p>
        </w:tc>
      </w:tr>
      <w:tr>
        <w:trPr>
          <w:trHeight w:val="243"/>
        </w:trPr>
        <w:tc>
          <w:tcPr>
            <w:tcW w:w="568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Entities affiliated with Warburg Pincus</w:t>
            </w:r>
            <w:r>
              <w:rPr>
                <w:rFonts w:ascii="Arial" w:cs="Arial" w:eastAsia="Arial" w:hAnsi="Arial"/>
                <w:sz w:val="28"/>
                <w:szCs w:val="28"/>
                <w:color w:val="auto"/>
                <w:vertAlign w:val="superscript"/>
              </w:rPr>
              <w:t>(3)</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1,109,598</w:t>
            </w: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6,315,310</w:t>
            </w:r>
          </w:p>
        </w:tc>
      </w:tr>
      <w:tr>
        <w:trPr>
          <w:trHeight w:val="108"/>
        </w:trPr>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40" w:hanging="549"/>
        <w:spacing w:after="0" w:line="241" w:lineRule="auto"/>
        <w:tabs>
          <w:tab w:leader="none" w:pos="1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References to "Accel" refer to any or all of Accel London III L.P., Accel London Investors 2012 L.P., Accel Leaders Fund L.P., Accel Leaders Fund Investors 2016 L.L.C., Accel Growth Fund II L.P., Accel Growth Fund II Strategic Partners L.P., and Accel Growth Fund Investors 2013 L.L.C. Affiliates of Accel holding our securities whose shares are aggregated for purposes of reporting share ownership information are Accel Growth Fund Investors 2013 L.L.C., Accel Growth Fund II L.P., Accel Growth Fund II Strategic Partners L.P., Accel London Investors 2012 L.P. and Accel London III L.P. Sameer Gandhi, a member of our board of directors, is an affiliate of Accel.</w:t>
      </w:r>
    </w:p>
    <w:p>
      <w:pPr>
        <w:spacing w:after="0" w:line="1" w:lineRule="exact"/>
        <w:rPr>
          <w:rFonts w:ascii="Arial" w:cs="Arial" w:eastAsia="Arial" w:hAnsi="Arial"/>
          <w:sz w:val="14"/>
          <w:szCs w:val="14"/>
          <w:color w:val="auto"/>
        </w:rPr>
      </w:pPr>
    </w:p>
    <w:p>
      <w:pPr>
        <w:ind w:left="1680" w:hanging="549"/>
        <w:spacing w:after="0"/>
        <w:tabs>
          <w:tab w:leader="none" w:pos="1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References to "CapitalG" refer to either or both of CapitalG LP and CapitalG 2015 LP.</w:t>
      </w:r>
    </w:p>
    <w:p>
      <w:pPr>
        <w:spacing w:after="0" w:line="1" w:lineRule="exact"/>
        <w:rPr>
          <w:rFonts w:ascii="Arial" w:cs="Arial" w:eastAsia="Arial" w:hAnsi="Arial"/>
          <w:sz w:val="14"/>
          <w:szCs w:val="14"/>
          <w:color w:val="auto"/>
        </w:rPr>
      </w:pPr>
    </w:p>
    <w:p>
      <w:pPr>
        <w:ind w:left="1680" w:right="60" w:hanging="549"/>
        <w:spacing w:after="0" w:line="247" w:lineRule="auto"/>
        <w:tabs>
          <w:tab w:leader="none" w:pos="1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References to "Warburg Pincus" refer to either or both of Warburg Pincus Private Equity X, L.P. and Warburg Pincus X Partners, L.P. Affiliates of Warburg Pincus holding our securities whose shares are aggregated for purposes of reporting share ownership information are Warburg Pincus Private Equity X, L.P. and Warburg Pincus X Partners, L.P. Cary Davis and Joseph Landy, members of our board of directors, are affiliates of Warburg Pincus.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D-1 Financing</w:t>
      </w:r>
    </w:p>
    <w:p>
      <w:pPr>
        <w:spacing w:after="0" w:line="232" w:lineRule="exact"/>
        <w:rPr>
          <w:sz w:val="20"/>
          <w:szCs w:val="20"/>
          <w:color w:val="auto"/>
        </w:rPr>
      </w:pPr>
    </w:p>
    <w:p>
      <w:pPr>
        <w:ind w:right="60" w:firstLine="488"/>
        <w:spacing w:after="0" w:line="237" w:lineRule="auto"/>
        <w:rPr>
          <w:sz w:val="20"/>
          <w:szCs w:val="20"/>
          <w:color w:val="auto"/>
        </w:rPr>
      </w:pPr>
      <w:r>
        <w:rPr>
          <w:rFonts w:ascii="Arial" w:cs="Arial" w:eastAsia="Arial" w:hAnsi="Arial"/>
          <w:sz w:val="18"/>
          <w:szCs w:val="18"/>
          <w:color w:val="auto"/>
        </w:rPr>
        <w:t>In October 2017, we sold an aggregate of 5,393,976 shares of our Series D-1 redeemable convertible preferred stock, or Series D-1 preferred stock, at a purchase price of $5.69 per share, for an aggregate purchase price of $30.7 million. Each share of our Series D-1 preferred stock will convert automatically into one share of our common stock immediately prior to the completion of this offering. The following table summarizes purchases of our Series D-1 preferred stock by related persons: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 of Series D-1</w:t>
            </w: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1120" w:type="dxa"/>
            <w:vAlign w:val="bottom"/>
          </w:tcPr>
          <w:p>
            <w:pPr>
              <w:spacing w:after="0"/>
              <w:rPr>
                <w:sz w:val="15"/>
                <w:szCs w:val="15"/>
                <w:color w:val="auto"/>
              </w:rPr>
            </w:pPr>
          </w:p>
        </w:tc>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c>
          <w:tcPr>
            <w:tcW w:w="2540" w:type="dxa"/>
            <w:vAlign w:val="bottom"/>
          </w:tcPr>
          <w:p>
            <w:pPr>
              <w:spacing w:after="0"/>
              <w:rPr>
                <w:sz w:val="15"/>
                <w:szCs w:val="15"/>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5"/>
                <w:szCs w:val="15"/>
                <w:color w:val="auto"/>
              </w:rPr>
            </w:pPr>
          </w:p>
        </w:tc>
        <w:tc>
          <w:tcPr>
            <w:tcW w:w="306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 Purchase Price</w:t>
            </w:r>
          </w:p>
        </w:tc>
      </w:tr>
      <w:tr>
        <w:trPr>
          <w:trHeight w:val="27"/>
        </w:trPr>
        <w:tc>
          <w:tcPr>
            <w:tcW w:w="1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1120" w:type="dxa"/>
            <w:vAlign w:val="bottom"/>
          </w:tcPr>
          <w:p>
            <w:pPr>
              <w:spacing w:after="0"/>
              <w:rPr>
                <w:sz w:val="17"/>
                <w:szCs w:val="17"/>
                <w:color w:val="auto"/>
              </w:rPr>
            </w:pPr>
          </w:p>
        </w:tc>
        <w:tc>
          <w:tcPr>
            <w:tcW w:w="2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CapitalG LP</w:t>
            </w:r>
          </w:p>
        </w:tc>
        <w:tc>
          <w:tcPr>
            <w:tcW w:w="42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4,392,492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25,000,000</w:t>
            </w:r>
          </w:p>
        </w:tc>
        <w:tc>
          <w:tcPr>
            <w:tcW w:w="1140" w:type="dxa"/>
            <w:vAlign w:val="bottom"/>
          </w:tcPr>
          <w:p>
            <w:pPr>
              <w:spacing w:after="0"/>
              <w:rPr>
                <w:sz w:val="17"/>
                <w:szCs w:val="17"/>
                <w:color w:val="auto"/>
              </w:rPr>
            </w:pPr>
          </w:p>
        </w:tc>
      </w:tr>
      <w:tr>
        <w:trPr>
          <w:trHeight w:val="430"/>
        </w:trPr>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40" w:type="dxa"/>
            <w:vAlign w:val="bottom"/>
          </w:tcPr>
          <w:p>
            <w:pPr>
              <w:jc w:val="right"/>
              <w:ind w:right="452"/>
              <w:spacing w:after="0"/>
              <w:rPr>
                <w:sz w:val="20"/>
                <w:szCs w:val="20"/>
                <w:color w:val="auto"/>
              </w:rPr>
            </w:pPr>
            <w:r>
              <w:rPr>
                <w:rFonts w:ascii="Arial" w:cs="Arial" w:eastAsia="Arial" w:hAnsi="Arial"/>
                <w:sz w:val="18"/>
                <w:szCs w:val="18"/>
                <w:color w:val="auto"/>
              </w:rPr>
              <w:t>151</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254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and E-1 Financing</w:t>
      </w:r>
    </w:p>
    <w:p>
      <w:pPr>
        <w:spacing w:after="0" w:line="232"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From June 2018 through September 2018, we sold an aggregate of 8,797,811 shares of our Series E redeemable convertible preferred stock, or Series E preferred stock, and 3,777,086 shares of our Series E-1 redeemable convertible preferred stock, or Series E-1 preferred stock, at a purchase price of $16.46 per share, for an aggregate purchase price of $207.0 million. Each share of our Series E-1 preferred stock subsequently converted into one share of our Series E preferred stock, resulting in an aggregate of 12,574,897 outstanding shares of our Series E preferred stock. Each share of our Series E preferred stock will convert automatically into one share of our common stock immediately prior to the completion of this offering. The following table summarizes purchases of our Series E preferred stock and Series E-1 preferred stock by related persons: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 of Series E</w:t>
            </w:r>
          </w:p>
        </w:tc>
        <w:tc>
          <w:tcPr>
            <w:tcW w:w="1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 of Series E-1</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41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1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Preferred Stock</w:t>
            </w:r>
          </w:p>
        </w:tc>
        <w:tc>
          <w:tcPr>
            <w:tcW w:w="1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Total Purchase Price</w:t>
            </w:r>
          </w:p>
        </w:tc>
      </w:tr>
      <w:tr>
        <w:trPr>
          <w:trHeight w:val="27"/>
        </w:trPr>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3"/>
        </w:trPr>
        <w:tc>
          <w:tcPr>
            <w:tcW w:w="412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Entities affiliated with Accel</w:t>
            </w:r>
            <w:r>
              <w:rPr>
                <w:rFonts w:ascii="Arial" w:cs="Arial" w:eastAsia="Arial" w:hAnsi="Arial"/>
                <w:sz w:val="28"/>
                <w:szCs w:val="28"/>
                <w:color w:val="auto"/>
                <w:vertAlign w:val="superscript"/>
              </w:rPr>
              <w:t>(1)</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718,289</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2,319,127</w:t>
            </w: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49,999,998</w:t>
            </w:r>
          </w:p>
        </w:tc>
      </w:tr>
      <w:tr>
        <w:trPr>
          <w:trHeight w:val="214"/>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CapitalG LP</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1,457,959</w:t>
            </w:r>
          </w:p>
        </w:tc>
        <w:tc>
          <w:tcPr>
            <w:tcW w:w="400" w:type="dxa"/>
            <w:vAlign w:val="bottom"/>
          </w:tcPr>
          <w:p>
            <w:pPr>
              <w:jc w:val="right"/>
              <w:ind w:right="218"/>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23,999,988</w:t>
            </w:r>
          </w:p>
        </w:tc>
      </w:tr>
      <w:tr>
        <w:trPr>
          <w:trHeight w:val="97"/>
        </w:trPr>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right="140" w:hanging="549"/>
        <w:spacing w:after="0" w:line="249" w:lineRule="auto"/>
        <w:tabs>
          <w:tab w:leader="none" w:pos="16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Affiliates of Accel holding our securities whose shares are aggregated for purposes of reporting share ownership information are Accel Growth Fund Investors 2013 L.L.C., Accel Growth Fund II L.P., Accel Growth Fund II Strategic Partners L.P., Accel Leaders Fund L.P. and Accel Leaders Fund Investors 2016 L.L.C. Sameer Gandhi, a member of our board of directors, is an affiliate of Accel.</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Agreement</w:t>
      </w:r>
    </w:p>
    <w:p>
      <w:pPr>
        <w:spacing w:after="0" w:line="234" w:lineRule="exact"/>
        <w:rPr>
          <w:sz w:val="20"/>
          <w:szCs w:val="20"/>
          <w:color w:val="auto"/>
        </w:rPr>
      </w:pPr>
    </w:p>
    <w:p>
      <w:pPr>
        <w:ind w:right="120" w:firstLine="488"/>
        <w:spacing w:after="0" w:line="271" w:lineRule="auto"/>
        <w:rPr>
          <w:sz w:val="20"/>
          <w:szCs w:val="20"/>
          <w:color w:val="auto"/>
        </w:rPr>
      </w:pPr>
      <w:r>
        <w:rPr>
          <w:rFonts w:ascii="Arial" w:cs="Arial" w:eastAsia="Arial" w:hAnsi="Arial"/>
          <w:sz w:val="16"/>
          <w:szCs w:val="16"/>
          <w:color w:val="auto"/>
        </w:rPr>
        <w:t>We are party to a stockholders agreement with certain holders of our capital stock, including entities affiliated with Warburg Pincus, Accel and CapitalG, which are each holders of 5% or more of our common stock, Denis O'Leary and an entity affiliated with Gerhard Watzinger, who are each directors, Dmitri Alperovitch, an executive officer, and entities affiliated with George Kurtz, who is a director and an executive officer and is affiliated with entities holding 5% or more of our common stock, which provides, among other things, that we will use our commercially reasonable efforts so as to ensure that the composition of our board of directors complies with the provisions of the stockholders agreement related to the composition of our board of directors, which are discussed in the section titled "Management—Board of Directors."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are party to an amended and restated registration rights agreement, or RRA, with certain holders of our capital stock, including entities affiliated with Warburg Pincus, Accel and CapitalG, which each hold 5% or more of our common stock, Denis O'Leary and an entity affiliated with Gerhard Watzinger, who are each directors, Dmitri Alperovitch, an executive officer and a holder of 5% or more of our common stock, and entities affiliated with George Kurtz, who is a director and an executive officer and is affiliated with entities holding 5% or more of our common stock, which provides, among other things, that such stockholders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Loans to Directors and Executive Officers</w:t>
      </w:r>
    </w:p>
    <w:p>
      <w:pPr>
        <w:spacing w:after="0" w:line="234" w:lineRule="exact"/>
        <w:rPr>
          <w:sz w:val="20"/>
          <w:szCs w:val="20"/>
          <w:color w:val="auto"/>
        </w:rPr>
      </w:pPr>
    </w:p>
    <w:p>
      <w:pPr>
        <w:ind w:right="240" w:firstLine="488"/>
        <w:spacing w:after="0" w:line="239" w:lineRule="auto"/>
        <w:rPr>
          <w:sz w:val="20"/>
          <w:szCs w:val="20"/>
          <w:color w:val="auto"/>
        </w:rPr>
      </w:pPr>
      <w:r>
        <w:rPr>
          <w:rFonts w:ascii="Arial" w:cs="Arial" w:eastAsia="Arial" w:hAnsi="Arial"/>
          <w:sz w:val="18"/>
          <w:szCs w:val="18"/>
          <w:color w:val="auto"/>
        </w:rPr>
        <w:t>We previously made loans to certain of our directors and executive officers. As described below, each of the loans has been repaid and terminated.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to George Kurtz</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November 2015, we loaned George Kurtz, our President and Chief Executive Officer and a member of our board of directors,</w:t>
      </w:r>
    </w:p>
    <w:p>
      <w:pPr>
        <w:spacing w:after="0" w:line="234" w:lineRule="auto"/>
        <w:rPr>
          <w:sz w:val="20"/>
          <w:szCs w:val="20"/>
          <w:color w:val="auto"/>
        </w:rPr>
      </w:pPr>
      <w:r>
        <w:rPr>
          <w:rFonts w:ascii="Arial" w:cs="Arial" w:eastAsia="Arial" w:hAnsi="Arial"/>
          <w:sz w:val="18"/>
          <w:szCs w:val="18"/>
          <w:color w:val="auto"/>
        </w:rPr>
        <w:t>$1,000,000 with interest at 0.49%, compounded annually. The loan was made pursuant to a full recourse promissory note and secured by 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pledge of 720,720 shares held by Mr. Kurtz. In November 2017, Mr. Kurtz repaid the outstanding principal and interest due under the loan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terminated the promissory note. A total of $10,058 in interest was paid under the loan.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to Dmitri Alperovitch</w:t>
      </w:r>
    </w:p>
    <w:p>
      <w:pPr>
        <w:spacing w:after="0" w:line="232"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In November 2015, we loaned Dmitri Alperovitch, our Chief Technology Officer, $1,000,000 with interest at 0.49%, compounded annually. The loan was made pursuant to a full recourse promissory note and secured by a pledge of 720,720 shares held by Mr. Alperovitch. In November 2017, Mr. Alperovitch repaid the outstanding principal and interest due under the loan and we terminated the promissory note. A total of $10,044 in interest was paid under the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to Burt W. Podbere</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February 2016, we loaned Burt Podbere, our Chief Financial Officer, $249,750 with interest at 0.81%, compounded semi-annually,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Mr. Podbere's early exercise of 150,000 options to purchase shares of our common stock. The loan was made pursuant to a</w:t>
      </w:r>
    </w:p>
    <w:p>
      <w:pPr>
        <w:spacing w:after="0" w:line="234" w:lineRule="auto"/>
        <w:rPr>
          <w:sz w:val="20"/>
          <w:szCs w:val="20"/>
          <w:color w:val="auto"/>
        </w:rPr>
      </w:pPr>
      <w:r>
        <w:rPr>
          <w:rFonts w:ascii="Arial" w:cs="Arial" w:eastAsia="Arial" w:hAnsi="Arial"/>
          <w:sz w:val="18"/>
          <w:szCs w:val="18"/>
          <w:color w:val="auto"/>
        </w:rPr>
        <w:t>recourse promissory note with partial recourse as to 51% of the amount the loan and secured in full by a pledge of 150,000 shares held by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Podbere. In February 2018, Mr. Podbere repaid the outstanding principal and interest due under the loan and we terminated the promissory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 A total of $3,783 in interest was paid under the loan.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to Joseph E. Sexton</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March 2017, we loaned Joseph Sexton, a member of our board of directors, $370,750 with interest at 1.01%, compounded semi-annually, in connection with Mr. Sexton's early exercise of 370,000 options to purchase shares of our common stock. The loan was made pursuant to a recourse promissory note with partial recourse as to 51% of the amount the loan and secured in full by a pledge of 370,000 shares held by Mr. Sexton. In April 2017, Mr. Sexton repaid the outstanding principal and interest due under the loan and we terminated the promissory note. A total of $389 in interest was paid under the loan.</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Right of First Refusal</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Pursuant to our equity compensation plans and the stockholders agreement, certain holders of our capital stock and we or our assignees have a right of first refusal to purchase shares of our capital stock proposed to be sold by certain of our stockholders to other parties. These rights will terminate upon completion of this offering.</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October 2017, certain of our stockholders, including George Kurtz, our President and Chief Executive Officer and a member of our</w:t>
      </w:r>
    </w:p>
    <w:p>
      <w:pPr>
        <w:spacing w:after="0" w:line="234" w:lineRule="auto"/>
        <w:rPr>
          <w:sz w:val="20"/>
          <w:szCs w:val="20"/>
          <w:color w:val="auto"/>
        </w:rPr>
      </w:pPr>
      <w:r>
        <w:rPr>
          <w:rFonts w:ascii="Arial" w:cs="Arial" w:eastAsia="Arial" w:hAnsi="Arial"/>
          <w:sz w:val="18"/>
          <w:szCs w:val="18"/>
          <w:color w:val="auto"/>
        </w:rPr>
        <w:t>board of directors, and Dmitri Alperovitch, our Chief Technology Officer, sold shares of our common stock for aggregate proceeds of</w:t>
      </w:r>
    </w:p>
    <w:p>
      <w:pPr>
        <w:spacing w:after="0" w:line="235" w:lineRule="auto"/>
        <w:rPr>
          <w:sz w:val="20"/>
          <w:szCs w:val="20"/>
          <w:color w:val="auto"/>
        </w:rPr>
      </w:pPr>
      <w:r>
        <w:rPr>
          <w:rFonts w:ascii="Arial" w:cs="Arial" w:eastAsia="Arial" w:hAnsi="Arial"/>
          <w:sz w:val="18"/>
          <w:szCs w:val="18"/>
          <w:color w:val="auto"/>
        </w:rPr>
        <w:t>$17.5 million. The aggregate proceeds received by Messrs. Kurtz and Alperovitch were $11.4 million. We waived our right of first refusal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these sales.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October 2018, shares of our common stock were purchased pursuant to a third-party tender offer for aggregate proceeds of</w:t>
      </w:r>
    </w:p>
    <w:p>
      <w:pPr>
        <w:spacing w:after="0" w:line="234" w:lineRule="auto"/>
        <w:rPr>
          <w:sz w:val="20"/>
          <w:szCs w:val="20"/>
          <w:color w:val="auto"/>
        </w:rPr>
      </w:pPr>
      <w:r>
        <w:rPr>
          <w:rFonts w:ascii="Arial" w:cs="Arial" w:eastAsia="Arial" w:hAnsi="Arial"/>
          <w:sz w:val="18"/>
          <w:szCs w:val="18"/>
          <w:color w:val="auto"/>
        </w:rPr>
        <w:t>$37.6 million from certain of our employees and directors, including sales by entities affiliated with George Kurtz, our President and Chief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and a member of our board of directors, Dmitri Alperovitch, our Chief Technology Officer, Michael Carpenter, our President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Global Sales and Field Operations, and Denis O'Leary and Gerhard</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Watzinger, members of our board of directors, for aggregate proceeds of $19.2 million. The purchasers included certain of our stockholders, including an aggregate of $11.1 million in shares purchased by CapitalG LP and entities affiliated with Accel. We waived our right of first refusal in connection with this third-party tender offer.</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the section titled "Principal Stockholders" for additional information regarding beneficial ownership of our capital stock.</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Commercial Arrangements</w:t>
      </w:r>
    </w:p>
    <w:p>
      <w:pPr>
        <w:spacing w:after="0" w:line="234"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During fiscal 2019, we recorded revenue of $1.5 million for subscription services sold to Google LLC, which is an affiliate of CapitalG, a 5% stockholder. During fiscal 2018, we recorded revenue of $0.1 million for subscription services and professional services sold to Google LLC. During fiscal 2017, fiscal 2018, and fiscal 2019, we purchased goods and services totaling $0.3 million, $0.4 million, and $1.0 million, respectively, from subsidiaries of Alphabet Inc., which is an affiliate of CapitalG.</w:t>
      </w:r>
    </w:p>
    <w:p>
      <w:pPr>
        <w:spacing w:after="0" w:line="208"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Other than as described above under this section titled "Certain Relationships and Related Party Transactions," since February 1, 2016,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34"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p>
    <w:p>
      <w:pPr>
        <w:spacing w:after="0" w:line="208"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210"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into and expect to continue to enter into agreements to indemnify each of our current directors, officers and some employees, that may be broader than the specific indemnification provisions contained in the Delaware General Corporation Law. With specified exceptions, these agreements provide indemnification for certain expenses and liabilities incurred in connection with any action, suit, proceeding or alternative dispute resolution mechanism, or hearing, inquiry or investigation that may lead to the foregoing,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Certain of our non-employee directors may, through their relationships with their employers, be insured and/or indemnified against certain liabilities incurred in their capacity as members of our board of directors. Our directors who are affiliated with venture capital firms also have certain rights of indemnification provided by their venture capital funds and the affiliates of those funds, together referred to as the Fund Indemnitors. We have agreed to reimburse the Fund Indemnitors for advancements they made to their affiliated directors for matters that such directors are entitled to indemnification from us. We believe that these bylaw provisions and indemnification agreements are necessary to attract and retain qualified persons as directors and officers.</w:t>
      </w:r>
    </w:p>
    <w:p>
      <w:pPr>
        <w:spacing w:after="0" w:line="214" w:lineRule="exact"/>
        <w:rPr>
          <w:sz w:val="20"/>
          <w:szCs w:val="20"/>
          <w:color w:val="auto"/>
        </w:rPr>
      </w:pPr>
    </w:p>
    <w:p>
      <w:pPr>
        <w:ind w:right="40" w:firstLine="484"/>
        <w:spacing w:after="0" w:line="235"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14" w:lineRule="exact"/>
        <w:rPr>
          <w:sz w:val="20"/>
          <w:szCs w:val="20"/>
          <w:color w:val="auto"/>
        </w:rPr>
      </w:pPr>
    </w:p>
    <w:p>
      <w:pPr>
        <w:ind w:right="220" w:firstLine="488"/>
        <w:spacing w:after="0" w:line="237"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208" w:lineRule="exact"/>
        <w:rPr>
          <w:sz w:val="20"/>
          <w:szCs w:val="20"/>
          <w:color w:val="auto"/>
        </w:rPr>
      </w:pPr>
    </w:p>
    <w:p>
      <w:pPr>
        <w:ind w:right="340" w:firstLine="484"/>
        <w:spacing w:after="0" w:line="239"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209" w:lineRule="exact"/>
        <w:rPr>
          <w:sz w:val="20"/>
          <w:szCs w:val="20"/>
          <w:color w:val="auto"/>
        </w:rPr>
      </w:pPr>
    </w:p>
    <w:p>
      <w:pPr>
        <w:jc w:val="both"/>
        <w:ind w:right="300" w:firstLine="488"/>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34" w:lineRule="exact"/>
        <w:rPr>
          <w:sz w:val="20"/>
          <w:szCs w:val="20"/>
          <w:color w:val="auto"/>
        </w:rPr>
      </w:pPr>
    </w:p>
    <w:p>
      <w:pPr>
        <w:ind w:right="80" w:firstLine="488"/>
        <w:spacing w:after="0" w:line="237" w:lineRule="auto"/>
        <w:rPr>
          <w:sz w:val="20"/>
          <w:szCs w:val="20"/>
          <w:color w:val="auto"/>
        </w:rPr>
      </w:pPr>
      <w:r>
        <w:rPr>
          <w:rFonts w:ascii="Arial" w:cs="Arial" w:eastAsia="Arial" w:hAnsi="Arial"/>
          <w:sz w:val="18"/>
          <w:szCs w:val="18"/>
          <w:color w:val="auto"/>
        </w:rPr>
        <w:t>Effective upon the completion of this offering, we will have a formal written policy providing that our executive officers, directors, nominees for election as directors, beneficial owners of more than 5% of our common stock and any member of the immediate family of any of the foregoing persons, are not permitted to enter into a related-party transaction with us without the consent of our audit committee, subject to the exceptions described below.</w:t>
      </w:r>
    </w:p>
    <w:p>
      <w:pPr>
        <w:spacing w:after="0" w:line="208"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In approving or rejecting any such proposal, our audit committee is to consider the relevant facts and circumstances available and deemed relevant to our audit committee, including, whether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transaction is on terms no less favorable than terms generally available to an unaffiliated third party under the same or similar circumstances, and the extent of the related party's interest in the transaction. Our audit committee has determined that certain transactions will not require audit committee approval, including certain employment arrangements of executive officers, director compensation, transactions with another company at which a related party's only relationship is as a non-executive employee, director or beneficial owner of less than 10% of that company's shares and the aggregate amount involved does not exceed $120,000 in any fiscal year, transactions where a related party's interest arises solely from the ownership of our common stock and all holders of our common stock received the same benefit on a pro rata basis and transactions available to all employees generally.</w:t>
      </w:r>
    </w:p>
    <w:p>
      <w:pPr>
        <w:spacing w:after="0" w:line="209" w:lineRule="exact"/>
        <w:rPr>
          <w:sz w:val="20"/>
          <w:szCs w:val="20"/>
          <w:color w:val="auto"/>
        </w:rPr>
      </w:pPr>
    </w:p>
    <w:p>
      <w:pPr>
        <w:ind w:right="340" w:firstLine="488"/>
        <w:spacing w:after="0" w:line="237" w:lineRule="auto"/>
        <w:rPr>
          <w:sz w:val="20"/>
          <w:szCs w:val="20"/>
          <w:color w:val="auto"/>
        </w:rPr>
      </w:pPr>
      <w:r>
        <w:rPr>
          <w:rFonts w:ascii="Arial" w:cs="Arial" w:eastAsia="Arial" w:hAnsi="Arial"/>
          <w:sz w:val="18"/>
          <w:szCs w:val="18"/>
          <w:color w:val="auto"/>
        </w:rPr>
        <w:t>We believe that we have executed all of the transactions set forth above on terms no less favorable to us than we could have obtained from unaffiliated third parties. It is our intention to ensure that all future transactions between us and our officers, directors and principal stockholders and their affiliates, are approved by the audit committee of our board of directors and are on terms no less favorable to us than those that we could obtain from unaffiliated third parties.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right="200" w:firstLine="484"/>
        <w:spacing w:after="0" w:line="238"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December 31, 2018, and as adjusted to reflect the sale of our common stock offered by us in this offering assuming no exercise of the underwriters' option to purchase additional shares of our common stock from us, for:</w:t>
      </w:r>
    </w:p>
    <w:p>
      <w:pPr>
        <w:spacing w:after="0" w:line="208"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12" w:lineRule="exact"/>
        <w:rPr>
          <w:sz w:val="20"/>
          <w:szCs w:val="20"/>
          <w:color w:val="auto"/>
        </w:rPr>
      </w:pPr>
    </w:p>
    <w:p>
      <w:pPr>
        <w:ind w:right="100" w:firstLine="488"/>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208" w:lineRule="exact"/>
        <w:rPr>
          <w:sz w:val="20"/>
          <w:szCs w:val="20"/>
          <w:color w:val="auto"/>
        </w:rPr>
      </w:pPr>
    </w:p>
    <w:p>
      <w:pPr>
        <w:jc w:val="both"/>
        <w:ind w:right="280" w:firstLine="478"/>
        <w:spacing w:after="0" w:line="264" w:lineRule="auto"/>
        <w:rPr>
          <w:sz w:val="20"/>
          <w:szCs w:val="20"/>
          <w:color w:val="auto"/>
        </w:rPr>
      </w:pPr>
      <w:r>
        <w:rPr>
          <w:rFonts w:ascii="Arial" w:cs="Arial" w:eastAsia="Arial" w:hAnsi="Arial"/>
          <w:sz w:val="16"/>
          <w:szCs w:val="16"/>
          <w:color w:val="auto"/>
        </w:rPr>
        <w:t>Applicable percentage ownership prior to this offering is based on 178,399,702 shares of common stock outstanding at December 31, 2018, after giving effect to the conversion of all outstanding shares of redeemable convertible preferred stock into shares of common stock,</w:t>
      </w:r>
    </w:p>
    <w:p>
      <w:pPr>
        <w:spacing w:after="0" w:line="236" w:lineRule="auto"/>
        <w:rPr>
          <w:sz w:val="20"/>
          <w:szCs w:val="20"/>
          <w:color w:val="auto"/>
        </w:rPr>
      </w:pPr>
      <w:r>
        <w:rPr>
          <w:rFonts w:ascii="Arial" w:cs="Arial" w:eastAsia="Arial" w:hAnsi="Arial"/>
          <w:sz w:val="18"/>
          <w:szCs w:val="18"/>
          <w:color w:val="auto"/>
        </w:rPr>
        <w:t>assuming that the underwriters will not exercise their option to purchase up to an additional shares of our common stock. In computing the number of shares of common stock beneficially owned by a person and the percentage ownership of such person, we deemed to be outstanding all shares of common stock subject to equity awards held by the person that are currently exercisable or exercisable within 60 days of December 31, 2018. We did not deem such shares outstanding, however, for the purpose of computing the percentage ownership of any other person.</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143" w:right="4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0" w:firstLine="488"/>
        <w:spacing w:after="0" w:line="239" w:lineRule="auto"/>
        <w:rPr>
          <w:sz w:val="20"/>
          <w:szCs w:val="20"/>
          <w:color w:val="auto"/>
        </w:rPr>
      </w:pPr>
      <w:r>
        <w:rPr>
          <w:rFonts w:ascii="Arial" w:cs="Arial" w:eastAsia="Arial" w:hAnsi="Arial"/>
          <w:sz w:val="18"/>
          <w:szCs w:val="18"/>
          <w:color w:val="auto"/>
        </w:rPr>
        <w:t>Unless otherwise indicated, the address of each beneficial owner listed in the table below is c/o CrowdStrike Holdings, Inc. 150 Mathilda Place, Suite 300, Sunnyvale, California 94086.</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Shares Beneficially</w:t>
            </w: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Shares Beneficially</w:t>
            </w:r>
          </w:p>
        </w:tc>
      </w:tr>
      <w:tr>
        <w:trPr>
          <w:trHeight w:val="162"/>
        </w:trPr>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Owned Prior to the</w:t>
            </w: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Owned After the</w:t>
            </w:r>
          </w:p>
        </w:tc>
      </w:tr>
      <w:tr>
        <w:trPr>
          <w:trHeight w:val="182"/>
        </w:trPr>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40" w:type="dxa"/>
            <w:vAlign w:val="bottom"/>
            <w:tcBorders>
              <w:bottom w:val="single" w:sz="8" w:color="auto"/>
            </w:tcBorders>
            <w:gridSpan w:val="2"/>
          </w:tcPr>
          <w:p>
            <w:pPr>
              <w:jc w:val="center"/>
              <w:ind w:left="516"/>
              <w:spacing w:after="0"/>
              <w:rPr>
                <w:sz w:val="20"/>
                <w:szCs w:val="20"/>
                <w:color w:val="auto"/>
              </w:rPr>
            </w:pPr>
            <w:r>
              <w:rPr>
                <w:rFonts w:ascii="Arial" w:cs="Arial" w:eastAsia="Arial" w:hAnsi="Arial"/>
                <w:sz w:val="14"/>
                <w:szCs w:val="14"/>
                <w:b w:val="1"/>
                <w:bCs w:val="1"/>
                <w:color w:val="auto"/>
              </w:rPr>
              <w:t>Offering</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auto"/>
            </w:tcBorders>
            <w:gridSpan w:val="3"/>
          </w:tcPr>
          <w:p>
            <w:pPr>
              <w:jc w:val="center"/>
              <w:ind w:left="328"/>
              <w:spacing w:after="0"/>
              <w:rPr>
                <w:sz w:val="20"/>
                <w:szCs w:val="20"/>
                <w:color w:val="auto"/>
              </w:rPr>
            </w:pPr>
            <w:r>
              <w:rPr>
                <w:rFonts w:ascii="Arial" w:cs="Arial" w:eastAsia="Arial" w:hAnsi="Arial"/>
                <w:sz w:val="14"/>
                <w:szCs w:val="14"/>
                <w:b w:val="1"/>
                <w:bCs w:val="1"/>
                <w:color w:val="auto"/>
              </w:rPr>
              <w:t>Offering</w:t>
            </w:r>
          </w:p>
        </w:tc>
        <w:tc>
          <w:tcPr>
            <w:tcW w:w="3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9"/>
        </w:trPr>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Number of</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Number of</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2"/>
        </w:trPr>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35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203"/>
        </w:trPr>
        <w:tc>
          <w:tcPr>
            <w:tcW w:w="53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5% Stockholders: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3"/>
        </w:trPr>
        <w:tc>
          <w:tcPr>
            <w:tcW w:w="534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Entities affiliated with Warburg Pincus</w:t>
            </w:r>
            <w:r>
              <w:rPr>
                <w:rFonts w:ascii="Arial" w:cs="Arial" w:eastAsia="Arial" w:hAnsi="Arial"/>
                <w:sz w:val="28"/>
                <w:szCs w:val="28"/>
                <w:color w:val="auto"/>
                <w:vertAlign w:val="superscript"/>
              </w:rPr>
              <w:t>(1)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54,938,776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34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Entities affiliated with Accel</w:t>
            </w:r>
            <w:r>
              <w:rPr>
                <w:rFonts w:ascii="Arial" w:cs="Arial" w:eastAsia="Arial" w:hAnsi="Arial"/>
                <w:sz w:val="28"/>
                <w:szCs w:val="28"/>
                <w:color w:val="auto"/>
                <w:vertAlign w:val="superscript"/>
              </w:rPr>
              <w:t>(2)</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36,718,466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34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Entities affiliated with CapitalG</w:t>
            </w:r>
            <w:r>
              <w:rPr>
                <w:rFonts w:ascii="Arial" w:cs="Arial" w:eastAsia="Arial" w:hAnsi="Arial"/>
                <w:sz w:val="28"/>
                <w:szCs w:val="28"/>
                <w:color w:val="auto"/>
                <w:vertAlign w:val="superscript"/>
              </w:rPr>
              <w:t>(3)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20,275,670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18"/>
        </w:trPr>
        <w:tc>
          <w:tcPr>
            <w:tcW w:w="53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 and Directors:</w:t>
            </w: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534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George Kurtz</w:t>
            </w:r>
            <w:r>
              <w:rPr>
                <w:rFonts w:ascii="Arial" w:cs="Arial" w:eastAsia="Arial" w:hAnsi="Arial"/>
                <w:sz w:val="28"/>
                <w:szCs w:val="28"/>
                <w:color w:val="auto"/>
                <w:vertAlign w:val="superscript"/>
              </w:rPr>
              <w:t>(4)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19,049,344</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34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Colin Black</w:t>
            </w:r>
            <w:r>
              <w:rPr>
                <w:rFonts w:ascii="Arial" w:cs="Arial" w:eastAsia="Arial" w:hAnsi="Arial"/>
                <w:sz w:val="28"/>
                <w:szCs w:val="28"/>
                <w:color w:val="auto"/>
                <w:vertAlign w:val="superscript"/>
              </w:rPr>
              <w:t>(5)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546,249</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34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Burt Podbere</w:t>
            </w:r>
            <w:r>
              <w:rPr>
                <w:rFonts w:ascii="Arial" w:cs="Arial" w:eastAsia="Arial" w:hAnsi="Arial"/>
                <w:sz w:val="28"/>
                <w:szCs w:val="28"/>
                <w:color w:val="auto"/>
                <w:vertAlign w:val="superscript"/>
              </w:rPr>
              <w:t>(6)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1,321,202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34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Roxanne S. Austin</w:t>
            </w:r>
            <w:r>
              <w:rPr>
                <w:rFonts w:ascii="Arial" w:cs="Arial" w:eastAsia="Arial" w:hAnsi="Arial"/>
                <w:sz w:val="28"/>
                <w:szCs w:val="28"/>
                <w:color w:val="auto"/>
                <w:vertAlign w:val="superscript"/>
              </w:rPr>
              <w:t>(7)</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28,906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34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Cary J. Davis</w:t>
            </w:r>
            <w:r>
              <w:rPr>
                <w:rFonts w:ascii="Arial" w:cs="Arial" w:eastAsia="Arial" w:hAnsi="Arial"/>
                <w:sz w:val="28"/>
                <w:szCs w:val="28"/>
                <w:color w:val="auto"/>
                <w:vertAlign w:val="superscript"/>
              </w:rPr>
              <w:t>(8)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34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Sameer K. Gandhi</w:t>
            </w:r>
            <w:r>
              <w:rPr>
                <w:rFonts w:ascii="Arial" w:cs="Arial" w:eastAsia="Arial" w:hAnsi="Arial"/>
                <w:sz w:val="28"/>
                <w:szCs w:val="28"/>
                <w:color w:val="auto"/>
                <w:vertAlign w:val="superscript"/>
              </w:rPr>
              <w:t>(9)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36,718,466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34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Joseph P. Landy</w:t>
            </w:r>
            <w:r>
              <w:rPr>
                <w:rFonts w:ascii="Arial" w:cs="Arial" w:eastAsia="Arial" w:hAnsi="Arial"/>
                <w:sz w:val="28"/>
                <w:szCs w:val="28"/>
                <w:color w:val="auto"/>
                <w:vertAlign w:val="superscript"/>
              </w:rPr>
              <w:t>(10)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54,938,776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34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Denis J. O'Leary</w:t>
            </w:r>
            <w:r>
              <w:rPr>
                <w:rFonts w:ascii="Arial" w:cs="Arial" w:eastAsia="Arial" w:hAnsi="Arial"/>
                <w:sz w:val="28"/>
                <w:szCs w:val="28"/>
                <w:color w:val="auto"/>
                <w:vertAlign w:val="superscript"/>
              </w:rPr>
              <w:t>(11)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1,217,500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34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Joseph E. Sexton</w:t>
            </w:r>
            <w:r>
              <w:rPr>
                <w:rFonts w:ascii="Arial" w:cs="Arial" w:eastAsia="Arial" w:hAnsi="Arial"/>
                <w:sz w:val="28"/>
                <w:szCs w:val="28"/>
                <w:color w:val="auto"/>
                <w:vertAlign w:val="superscript"/>
              </w:rPr>
              <w:t>(12)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370,000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34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Godfrey R. Sullivan</w:t>
            </w:r>
            <w:r>
              <w:rPr>
                <w:rFonts w:ascii="Arial" w:cs="Arial" w:eastAsia="Arial" w:hAnsi="Arial"/>
                <w:sz w:val="28"/>
                <w:szCs w:val="28"/>
                <w:color w:val="auto"/>
                <w:vertAlign w:val="superscript"/>
              </w:rPr>
              <w:t>(13)</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5340" w:type="dxa"/>
            <w:vAlign w:val="bottom"/>
            <w:gridSpan w:val="3"/>
          </w:tcPr>
          <w:p>
            <w:pPr>
              <w:ind w:left="20"/>
              <w:spacing w:after="0" w:line="243" w:lineRule="exact"/>
              <w:rPr>
                <w:sz w:val="20"/>
                <w:szCs w:val="20"/>
                <w:color w:val="auto"/>
              </w:rPr>
            </w:pPr>
            <w:r>
              <w:rPr>
                <w:rFonts w:ascii="Arial" w:cs="Arial" w:eastAsia="Arial" w:hAnsi="Arial"/>
                <w:sz w:val="17"/>
                <w:szCs w:val="17"/>
                <w:color w:val="auto"/>
              </w:rPr>
              <w:t>Gerhard Watzinger</w:t>
            </w:r>
            <w:r>
              <w:rPr>
                <w:rFonts w:ascii="Arial" w:cs="Arial" w:eastAsia="Arial" w:hAnsi="Arial"/>
                <w:sz w:val="28"/>
                <w:szCs w:val="28"/>
                <w:color w:val="auto"/>
                <w:vertAlign w:val="superscript"/>
              </w:rPr>
              <w:t>(14)</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1,200,000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340" w:type="dxa"/>
            <w:vAlign w:val="bottom"/>
            <w:gridSpan w:val="3"/>
            <w:shd w:val="clear" w:color="auto" w:fill="CCEEFF"/>
          </w:tcPr>
          <w:p>
            <w:pPr>
              <w:ind w:left="20"/>
              <w:spacing w:after="0" w:line="243" w:lineRule="exact"/>
              <w:rPr>
                <w:sz w:val="20"/>
                <w:szCs w:val="20"/>
                <w:color w:val="auto"/>
              </w:rPr>
            </w:pPr>
            <w:r>
              <w:rPr>
                <w:rFonts w:ascii="Arial" w:cs="Arial" w:eastAsia="Arial" w:hAnsi="Arial"/>
                <w:sz w:val="17"/>
                <w:szCs w:val="17"/>
                <w:color w:val="auto"/>
              </w:rPr>
              <w:t>All executive officers and directors as a group (11 persons)</w:t>
            </w:r>
            <w:r>
              <w:rPr>
                <w:rFonts w:ascii="Arial" w:cs="Arial" w:eastAsia="Arial" w:hAnsi="Arial"/>
                <w:sz w:val="28"/>
                <w:szCs w:val="28"/>
                <w:color w:val="auto"/>
                <w:vertAlign w:val="superscript"/>
              </w:rPr>
              <w:t>(15)</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115,760,443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63.73</w:t>
            </w: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08"/>
        </w:trPr>
        <w:tc>
          <w:tcPr>
            <w:tcW w:w="9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49"/>
        <w:spacing w:after="0"/>
        <w:tabs>
          <w:tab w:leader="none" w:pos="16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1" w:lineRule="exact"/>
        <w:rPr>
          <w:sz w:val="20"/>
          <w:szCs w:val="20"/>
          <w:color w:val="auto"/>
        </w:rPr>
      </w:pPr>
    </w:p>
    <w:p>
      <w:pPr>
        <w:ind w:left="1680" w:hanging="549"/>
        <w:spacing w:after="0"/>
        <w:tabs>
          <w:tab w:leader="none" w:pos="16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(i) 53,235,674 shares held of record by Warburg Pincus Private Equity X, L.P., a Delaware limited partnership, or WPPE X, and</w:t>
      </w:r>
    </w:p>
    <w:p>
      <w:pPr>
        <w:spacing w:after="0" w:line="1" w:lineRule="exact"/>
        <w:rPr>
          <w:rFonts w:ascii="Arial" w:cs="Arial" w:eastAsia="Arial" w:hAnsi="Arial"/>
          <w:sz w:val="14"/>
          <w:szCs w:val="14"/>
          <w:color w:val="auto"/>
        </w:rPr>
      </w:pPr>
    </w:p>
    <w:p>
      <w:pPr>
        <w:ind w:left="1680" w:right="300"/>
        <w:spacing w:after="0" w:line="241" w:lineRule="auto"/>
        <w:rPr>
          <w:rFonts w:ascii="Arial" w:cs="Arial" w:eastAsia="Arial" w:hAnsi="Arial"/>
          <w:sz w:val="14"/>
          <w:szCs w:val="14"/>
          <w:color w:val="auto"/>
        </w:rPr>
      </w:pPr>
      <w:r>
        <w:rPr>
          <w:rFonts w:ascii="Arial" w:cs="Arial" w:eastAsia="Arial" w:hAnsi="Arial"/>
          <w:sz w:val="14"/>
          <w:szCs w:val="14"/>
          <w:color w:val="auto"/>
        </w:rPr>
        <w:t>(ii) 1,703,102 shares held of record by Warburg Pincus X Partners, L.P., a Delaware limited partnership, or WPXP and, together with WPPE X, the WPP Funds. Warburg Pincus X, L.P., a Delaware limited partnership, or WP X LP, is the general partner of the WPP Funds. Warburg Pincus</w:t>
      </w:r>
    </w:p>
    <w:p>
      <w:pPr>
        <w:ind w:left="1680" w:right="20"/>
        <w:spacing w:after="0" w:line="241" w:lineRule="auto"/>
        <w:rPr>
          <w:rFonts w:ascii="Arial" w:cs="Arial" w:eastAsia="Arial" w:hAnsi="Arial"/>
          <w:sz w:val="14"/>
          <w:szCs w:val="14"/>
          <w:color w:val="auto"/>
        </w:rPr>
      </w:pPr>
      <w:r>
        <w:rPr>
          <w:rFonts w:ascii="Arial" w:cs="Arial" w:eastAsia="Arial" w:hAnsi="Arial"/>
          <w:sz w:val="14"/>
          <w:szCs w:val="14"/>
          <w:color w:val="auto"/>
        </w:rPr>
        <w:t>X GP L.P., a Delaware limited partnership, or WP X GP, is the general partner of WP X LP. WPP GP LLC, a Delaware limited liability company, or WPP GP, is the general partner of WP X GP. Warburg Pincus Partners, L.P., a Delaware limited partnership, or WP Partners, is the managing member of WPP GP. Warburg Pincus Partners GP LLC, a Delaware limited liability company, or WP Partners GP, is the general partner of WP Partners. Warburg Pincus &amp; Co., a New York general partnership, or WP, is the managing member of WP Partners GP. Charles R. Kaye and Joseph Landy, a member of our board of directors, are each Managing General Partners of WP and may each be deemed to control the Warburg Pincus entities. Messrs. Kaye and Landy disclaim beneficial ownership of all shares held by the Warburg Pincus entities. The business address for each of these entities and individuals is c/o Warburg Pincus &amp; Co., 450 Lexington Avenue, New York, New York 10019.</w:t>
      </w:r>
    </w:p>
    <w:p>
      <w:pPr>
        <w:spacing w:after="0" w:line="2" w:lineRule="exact"/>
        <w:rPr>
          <w:rFonts w:ascii="Arial" w:cs="Arial" w:eastAsia="Arial" w:hAnsi="Arial"/>
          <w:sz w:val="14"/>
          <w:szCs w:val="14"/>
          <w:color w:val="auto"/>
        </w:rPr>
      </w:pPr>
    </w:p>
    <w:p>
      <w:pPr>
        <w:ind w:left="1680" w:hanging="549"/>
        <w:spacing w:after="0" w:line="243" w:lineRule="auto"/>
        <w:tabs>
          <w:tab w:leader="none" w:pos="16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(i) 18,716,244 shares held of record by Accel Growth Fund II L.P., or AGF2, (ii) 1,355,803 shares held of record by Accel Growth Fund II Strategic Partners L.P., or AGF2 SP and, together with AGF2, the AGF2 Funds, (iii) 2,009,414 shares held of record by Accel Growth Fund Investors 2013 L.L.C., or AGF2013, (iv) 8,554,336 shares held of record by Accel Leaders Fund L.P., or ALF, (v) 408,716 shares held of record by Accel Leaders Fund Investors 2016 L.L.C., or ALF2016, (vi) 5,547,991 shares held of record Accel London III L.P., or AL3, and (vii) 125,962 shares held of record Accel London Investors 2012 L.P., or ALI and, together with AL3, the AL3 Funds. Accel Growth Fund II Associates L.L.C., or AGF2A, is the General Partner of the AGF2 Funds and has sole voting and investment power. Accel Leaders Fund Associates L.L.C., or ALFA, is the General Partner of ALF and has sole voting and investment power. Andrew G. Braccia, Sameer Gandhi, a member of our board of directors, Ping Li, Tracy L. Sedlock, Ryan J. Sweeney and Richard P. Wong are the Managing Members of AGF2A, AGF2013 and ALFA, and share such powers. Accel London III Associates L.L.C., or AL3A LLC, is the General Partner of ALI and Accel London III Associates L.P., is the General Partner of AL3. AL3A LLC has sole voting and investment power. Jonathan Biggs, Kevin Comolli, Sonali De Rycker, Bruce Golden and Hendrick Nelis are the Managers of AL3A LLC and share such powers. The business address for each of these entities and individuals is c/o Accel, 500 University Avenue, Palo Alto, California 94301.</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left="1680" w:right="60" w:hanging="549"/>
        <w:spacing w:after="0" w:line="241" w:lineRule="auto"/>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12,142,044 shares of common stock held of record by CapitalG 2015 LP and 8,133,626 shares of common stock held of record by CapitalG LP. CapitalG 2015 GP LLC, the general partner of CapitalG 2015 LP, may be deemed to have sole voting and dispositive power with respect to the shares held by CapitalG 2015 LP. CapitalG GP LLC, the general partner of CapitalG LP, may be deemed to have sole voting and dispositive power with respect to the shares held by CapitalG LP. Alphabet Holdings LLC, the managing member of CapitalG 2015 GP LLC and</w:t>
      </w:r>
    </w:p>
    <w:p>
      <w:pPr>
        <w:spacing w:after="0" w:line="1" w:lineRule="exact"/>
        <w:rPr>
          <w:rFonts w:ascii="Arial" w:cs="Arial" w:eastAsia="Arial" w:hAnsi="Arial"/>
          <w:sz w:val="14"/>
          <w:szCs w:val="14"/>
          <w:color w:val="auto"/>
        </w:rPr>
      </w:pPr>
    </w:p>
    <w:p>
      <w:pPr>
        <w:ind w:left="1680" w:right="140"/>
        <w:spacing w:after="0" w:line="241" w:lineRule="auto"/>
        <w:rPr>
          <w:rFonts w:ascii="Arial" w:cs="Arial" w:eastAsia="Arial" w:hAnsi="Arial"/>
          <w:sz w:val="14"/>
          <w:szCs w:val="14"/>
          <w:color w:val="auto"/>
        </w:rPr>
      </w:pPr>
      <w:r>
        <w:rPr>
          <w:rFonts w:ascii="Arial" w:cs="Arial" w:eastAsia="Arial" w:hAnsi="Arial"/>
          <w:sz w:val="14"/>
          <w:szCs w:val="14"/>
          <w:color w:val="auto"/>
        </w:rPr>
        <w:t>CapitalG GP LLC, XXVI Holdings Inc., the managing member of Alphabet Holdings LLC, and Alphabet Inc., the controlling stockholder of XXVI Holdings Inc., may each be deemed to have sole voting and dispositive power with respect to the shares held by CapitalG 2015 LP and CapitalG LP. The address for these entities is 1600 Amphitheatre Parkway, Mountain View, California 94043.</w:t>
      </w:r>
    </w:p>
    <w:p>
      <w:pPr>
        <w:spacing w:after="0" w:line="1" w:lineRule="exact"/>
        <w:rPr>
          <w:rFonts w:ascii="Arial" w:cs="Arial" w:eastAsia="Arial" w:hAnsi="Arial"/>
          <w:sz w:val="14"/>
          <w:szCs w:val="14"/>
          <w:color w:val="auto"/>
        </w:rPr>
      </w:pPr>
    </w:p>
    <w:p>
      <w:pPr>
        <w:ind w:left="1680" w:hanging="549"/>
        <w:spacing w:after="0"/>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(i) 13,705,326 shares held of record by the Kurtz 2009 Spendthrift Trust, dated 4/2/2009, for which Mr. Kurtz serves as trustee,</w:t>
      </w:r>
    </w:p>
    <w:p>
      <w:pPr>
        <w:spacing w:after="0" w:line="1" w:lineRule="exact"/>
        <w:rPr>
          <w:rFonts w:ascii="Arial" w:cs="Arial" w:eastAsia="Arial" w:hAnsi="Arial"/>
          <w:sz w:val="14"/>
          <w:szCs w:val="14"/>
          <w:color w:val="auto"/>
        </w:rPr>
      </w:pPr>
    </w:p>
    <w:p>
      <w:pPr>
        <w:ind w:left="1880" w:hanging="209"/>
        <w:spacing w:after="0"/>
        <w:tabs>
          <w:tab w:leader="none" w:pos="1880" w:val="left"/>
        </w:tabs>
        <w:numPr>
          <w:ilvl w:val="1"/>
          <w:numId w:val="88"/>
        </w:numPr>
        <w:rPr>
          <w:rFonts w:ascii="Arial" w:cs="Arial" w:eastAsia="Arial" w:hAnsi="Arial"/>
          <w:sz w:val="14"/>
          <w:szCs w:val="14"/>
          <w:color w:val="auto"/>
        </w:rPr>
      </w:pPr>
      <w:r>
        <w:rPr>
          <w:rFonts w:ascii="Arial" w:cs="Arial" w:eastAsia="Arial" w:hAnsi="Arial"/>
          <w:sz w:val="14"/>
          <w:szCs w:val="14"/>
          <w:color w:val="auto"/>
        </w:rPr>
        <w:t>1,968,031 shares held of record by the Allegra Kurtz Irrevocable Gift Trust dated December 14, 2011, for which Mr. Kurtz serves as trustee,</w:t>
      </w:r>
    </w:p>
    <w:p>
      <w:pPr>
        <w:spacing w:after="0" w:line="1" w:lineRule="exact"/>
        <w:rPr>
          <w:rFonts w:ascii="Arial" w:cs="Arial" w:eastAsia="Arial" w:hAnsi="Arial"/>
          <w:sz w:val="14"/>
          <w:szCs w:val="14"/>
          <w:color w:val="auto"/>
        </w:rPr>
      </w:pPr>
    </w:p>
    <w:p>
      <w:pPr>
        <w:ind w:left="1900" w:hanging="229"/>
        <w:spacing w:after="0"/>
        <w:tabs>
          <w:tab w:leader="none" w:pos="1900" w:val="left"/>
        </w:tabs>
        <w:numPr>
          <w:ilvl w:val="1"/>
          <w:numId w:val="88"/>
        </w:numPr>
        <w:rPr>
          <w:rFonts w:ascii="Arial" w:cs="Arial" w:eastAsia="Arial" w:hAnsi="Arial"/>
          <w:sz w:val="14"/>
          <w:szCs w:val="14"/>
          <w:color w:val="auto"/>
        </w:rPr>
      </w:pPr>
      <w:r>
        <w:rPr>
          <w:rFonts w:ascii="Arial" w:cs="Arial" w:eastAsia="Arial" w:hAnsi="Arial"/>
          <w:sz w:val="14"/>
          <w:szCs w:val="14"/>
          <w:color w:val="auto"/>
        </w:rPr>
        <w:t>1,968,031 shares held of record by the Alexander Kurtz Irrevocable Gift Trust dated December 14, 2011, for which Mr. Kurtz serves as trustee, and</w:t>
      </w:r>
    </w:p>
    <w:p>
      <w:pPr>
        <w:spacing w:after="0" w:line="1" w:lineRule="exact"/>
        <w:rPr>
          <w:rFonts w:ascii="Arial" w:cs="Arial" w:eastAsia="Arial" w:hAnsi="Arial"/>
          <w:sz w:val="14"/>
          <w:szCs w:val="14"/>
          <w:color w:val="auto"/>
        </w:rPr>
      </w:pPr>
    </w:p>
    <w:p>
      <w:pPr>
        <w:ind w:left="1920" w:hanging="249"/>
        <w:spacing w:after="0"/>
        <w:tabs>
          <w:tab w:leader="none" w:pos="1920" w:val="left"/>
        </w:tabs>
        <w:numPr>
          <w:ilvl w:val="1"/>
          <w:numId w:val="88"/>
        </w:numPr>
        <w:rPr>
          <w:rFonts w:ascii="Arial" w:cs="Arial" w:eastAsia="Arial" w:hAnsi="Arial"/>
          <w:sz w:val="14"/>
          <w:szCs w:val="14"/>
          <w:color w:val="auto"/>
        </w:rPr>
      </w:pPr>
      <w:r>
        <w:rPr>
          <w:rFonts w:ascii="Arial" w:cs="Arial" w:eastAsia="Arial" w:hAnsi="Arial"/>
          <w:sz w:val="14"/>
          <w:szCs w:val="14"/>
          <w:color w:val="auto"/>
        </w:rPr>
        <w:t>1,407,956 shares subject to options exercisable within 60 days of December 31, 2018, of which 109,996 are fully vested as of such date.</w:t>
      </w:r>
    </w:p>
    <w:p>
      <w:pPr>
        <w:spacing w:after="0" w:line="1" w:lineRule="exact"/>
        <w:rPr>
          <w:rFonts w:ascii="Arial" w:cs="Arial" w:eastAsia="Arial" w:hAnsi="Arial"/>
          <w:sz w:val="14"/>
          <w:szCs w:val="14"/>
          <w:color w:val="auto"/>
        </w:rPr>
      </w:pPr>
    </w:p>
    <w:p>
      <w:pPr>
        <w:ind w:left="1680" w:hanging="549"/>
        <w:spacing w:after="0"/>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546,249 shares subject to options exercisable within 60 days of December 31, 2018, of which 419,166 are fully vested as of such date.</w:t>
      </w:r>
    </w:p>
    <w:p>
      <w:pPr>
        <w:spacing w:after="0" w:line="1" w:lineRule="exact"/>
        <w:rPr>
          <w:rFonts w:ascii="Arial" w:cs="Arial" w:eastAsia="Arial" w:hAnsi="Arial"/>
          <w:sz w:val="14"/>
          <w:szCs w:val="14"/>
          <w:color w:val="auto"/>
        </w:rPr>
      </w:pPr>
    </w:p>
    <w:p>
      <w:pPr>
        <w:ind w:left="1680" w:right="180" w:hanging="549"/>
        <w:spacing w:after="0" w:line="241" w:lineRule="auto"/>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(i) 51,876 shares held of record by Mr. Podbere and (ii) 1,269,326 shares subject to options exercisable within 60 days of December 31, 2018, of which 1,086,456 are fully vested as of such date.</w:t>
      </w:r>
    </w:p>
    <w:p>
      <w:pPr>
        <w:ind w:left="1680" w:hanging="549"/>
        <w:spacing w:after="0"/>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28,906 shares subject to options exercisable within 60 days of December 31, 2018, all of which are fully vested as of such date.</w:t>
      </w:r>
    </w:p>
    <w:p>
      <w:pPr>
        <w:spacing w:after="0" w:line="1" w:lineRule="exact"/>
        <w:rPr>
          <w:rFonts w:ascii="Arial" w:cs="Arial" w:eastAsia="Arial" w:hAnsi="Arial"/>
          <w:sz w:val="14"/>
          <w:szCs w:val="14"/>
          <w:color w:val="auto"/>
        </w:rPr>
      </w:pPr>
    </w:p>
    <w:p>
      <w:pPr>
        <w:ind w:left="1680" w:right="140" w:hanging="549"/>
        <w:spacing w:after="0" w:line="241" w:lineRule="auto"/>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Does not include shares held by the WPP Funds. Mr. Davis is a Partner of WP and a Member and Managing Director of Warburg Pincus LLC, the manager of the WPP Funds but does not have voting or dispositive power over the shares held by the WPP Funds. The address for Mr. Davis is 450 Lexington Avenue, New York, New York 10019.</w:t>
      </w:r>
    </w:p>
    <w:p>
      <w:pPr>
        <w:spacing w:after="0" w:line="1" w:lineRule="exact"/>
        <w:rPr>
          <w:rFonts w:ascii="Arial" w:cs="Arial" w:eastAsia="Arial" w:hAnsi="Arial"/>
          <w:sz w:val="14"/>
          <w:szCs w:val="14"/>
          <w:color w:val="auto"/>
        </w:rPr>
      </w:pPr>
    </w:p>
    <w:p>
      <w:pPr>
        <w:ind w:left="1680" w:hanging="549"/>
        <w:spacing w:after="0"/>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the shares disclosed in footnote (2) above which are held by entities affiliated with Accel.</w:t>
      </w:r>
    </w:p>
    <w:p>
      <w:pPr>
        <w:spacing w:after="0" w:line="1" w:lineRule="exact"/>
        <w:rPr>
          <w:rFonts w:ascii="Arial" w:cs="Arial" w:eastAsia="Arial" w:hAnsi="Arial"/>
          <w:sz w:val="14"/>
          <w:szCs w:val="14"/>
          <w:color w:val="auto"/>
        </w:rPr>
      </w:pPr>
    </w:p>
    <w:p>
      <w:pPr>
        <w:ind w:left="1680" w:right="100" w:hanging="549"/>
        <w:spacing w:after="0" w:line="241" w:lineRule="auto"/>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All shares indicated as owned by Mr. Landy are included because of his affiliation with Warburg Pincus. Mr. Landy disclaim beneficial ownership of all shares held by Warburg Pincus. The address for Mr. Landy is c/o Warburg Pincus &amp; Co., 450 Lexington Avenue, New York, New York 10019.</w:t>
      </w:r>
    </w:p>
    <w:p>
      <w:pPr>
        <w:ind w:left="1680" w:right="740" w:hanging="549"/>
        <w:spacing w:after="0" w:line="241" w:lineRule="auto"/>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1,217,500 shares held of record by Mr. O'Leary, of which 100,000 may be repurchased by us at the original exercise price as of December 31, 2018.</w:t>
      </w:r>
    </w:p>
    <w:p>
      <w:pPr>
        <w:ind w:left="1680" w:right="40" w:hanging="549"/>
        <w:spacing w:after="0" w:line="241" w:lineRule="auto"/>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370,000 shares held of record by Mr. Sexton, of which 54,584 may be repurchased by us at the original exercise price as of December 31, 2018.</w:t>
      </w:r>
    </w:p>
    <w:p>
      <w:pPr>
        <w:ind w:left="1680" w:right="840" w:hanging="549"/>
        <w:spacing w:after="0" w:line="241" w:lineRule="auto"/>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370,000 shares held of record by Mr. Sullivan, of which 262,084 may be repurchased by us at the original exercise price as of December 31, 2018.</w:t>
      </w:r>
    </w:p>
    <w:p>
      <w:pPr>
        <w:ind w:left="1680" w:right="300" w:hanging="549"/>
        <w:spacing w:after="0" w:line="241" w:lineRule="auto"/>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(i) 600,000 shares held of record by Mr. Watzinger, of which 76,667 may be repurchased by us at the original exercise price as of December 31, 2018, and (ii) 600,000 shares held of record by Clavius Capital LLC, for which Mr. Watzinger has sole voting and dispositive power.</w:t>
      </w:r>
    </w:p>
    <w:p>
      <w:pPr>
        <w:ind w:left="1680" w:right="300" w:hanging="549"/>
        <w:spacing w:after="0" w:line="249" w:lineRule="auto"/>
        <w:tabs>
          <w:tab w:leader="none" w:pos="1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(i) 112,508,006 shares beneficially owned by our executive officers and directors, 493,335 of which may be repurchased by us at the original exercise price as of December 31, 2018, and (ii) 3,252,437 shares subject to options exercisable within 60 days of December 31, 2018, of which 1,644,524 shares are fully vested as of such date.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20" w:firstLine="484"/>
        <w:spacing w:after="0" w:line="236" w:lineRule="auto"/>
        <w:rPr>
          <w:sz w:val="20"/>
          <w:szCs w:val="20"/>
          <w:color w:val="auto"/>
        </w:rPr>
      </w:pPr>
      <w:r>
        <w:rPr>
          <w:rFonts w:ascii="Arial" w:cs="Arial" w:eastAsia="Arial" w:hAnsi="Arial"/>
          <w:sz w:val="18"/>
          <w:szCs w:val="18"/>
          <w:color w:val="auto"/>
        </w:rPr>
        <w:t>The following is a summary of certain important rights of our capital stock, and certain provisions of our amended and restated certificate of incorporation and amended and restated bylaws as they are expected to be in effect after the completion of this offering. Because it is only a summary, it may contain all the information that may be important to you. For a complete description of the matters set forth in this Section titled "Description of Capital Stock," you should refer to the provisions of our amended and restated certificate of incorporation, amended and restated bylaws and RRA, copies of which are filed as exhibits to the registration statement of which this prospectus forms a part, and to the applicable provisions of Delaware law.</w:t>
      </w:r>
    </w:p>
    <w:p>
      <w:pPr>
        <w:sectPr>
          <w:pgSz w:w="11900" w:h="16838" w:orient="portrait"/>
          <w:cols w:equalWidth="0" w:num="1">
            <w:col w:w="11200"/>
          </w:cols>
          <w:pgMar w:left="320" w:top="143" w:right="379" w:bottom="1440" w:gutter="0" w:footer="0" w:header="0"/>
        </w:sectPr>
      </w:pPr>
    </w:p>
    <w:p>
      <w:pPr>
        <w:spacing w:after="0" w:line="210" w:lineRule="exact"/>
        <w:rPr>
          <w:sz w:val="20"/>
          <w:szCs w:val="20"/>
          <w:color w:val="auto"/>
        </w:rPr>
      </w:pPr>
    </w:p>
    <w:p>
      <w:pPr>
        <w:ind w:right="160" w:firstLine="488"/>
        <w:spacing w:after="0" w:line="239" w:lineRule="auto"/>
        <w:rPr>
          <w:sz w:val="20"/>
          <w:szCs w:val="20"/>
          <w:color w:val="auto"/>
        </w:rPr>
      </w:pPr>
      <w:r>
        <w:rPr>
          <w:rFonts w:ascii="Arial" w:cs="Arial" w:eastAsia="Arial" w:hAnsi="Arial"/>
          <w:sz w:val="18"/>
          <w:szCs w:val="18"/>
          <w:color w:val="auto"/>
        </w:rPr>
        <w:t>Immediately following the completion of this offering, our authorized capital stock will consist of value $0.0005 per share, of which: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shares of capital stock, par</w:t>
      </w:r>
    </w:p>
    <w:p>
      <w:pPr>
        <w:spacing w:after="0" w:line="428" w:lineRule="exact"/>
        <w:rPr>
          <w:sz w:val="20"/>
          <w:szCs w:val="20"/>
          <w:color w:val="auto"/>
        </w:rPr>
      </w:pPr>
    </w:p>
    <w:p>
      <w:pPr>
        <w:sectPr>
          <w:pgSz w:w="11900" w:h="16838" w:orient="portrait"/>
          <w:cols w:equalWidth="0" w:num="2">
            <w:col w:w="7980" w:space="720"/>
            <w:col w:w="2500"/>
          </w:cols>
          <w:pgMar w:left="320" w:top="143" w:right="379" w:bottom="1440" w:gutter="0" w:footer="0" w:header="0"/>
          <w:type w:val="continuous"/>
        </w:sectPr>
      </w:pP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are designated as common stock; and</w:t>
      </w:r>
    </w:p>
    <w:p>
      <w:pPr>
        <w:spacing w:after="0" w:line="200" w:lineRule="exact"/>
        <w:rPr>
          <w:sz w:val="20"/>
          <w:szCs w:val="20"/>
          <w:color w:val="auto"/>
        </w:rPr>
      </w:pPr>
    </w:p>
    <w:p>
      <w:pPr>
        <w:sectPr>
          <w:pgSz w:w="11900" w:h="16838" w:orient="portrait"/>
          <w:cols w:equalWidth="0" w:num="2">
            <w:col w:w="1240" w:space="720"/>
            <w:col w:w="9240"/>
          </w:cols>
          <w:pgMar w:left="320" w:top="143" w:right="379"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shares are designated as preferred stock.</w:t>
      </w:r>
    </w:p>
    <w:p>
      <w:pPr>
        <w:spacing w:after="0" w:line="200" w:lineRule="exact"/>
        <w:rPr>
          <w:sz w:val="20"/>
          <w:szCs w:val="20"/>
          <w:color w:val="auto"/>
        </w:rPr>
      </w:pPr>
    </w:p>
    <w:p>
      <w:pPr>
        <w:sectPr>
          <w:pgSz w:w="11900" w:h="16838" w:orient="portrait"/>
          <w:cols w:equalWidth="0" w:num="2">
            <w:col w:w="1240" w:space="720"/>
            <w:col w:w="9240"/>
          </w:cols>
          <w:pgMar w:left="320" w:top="143" w:right="379" w:bottom="1440" w:gutter="0" w:footer="0" w:header="0"/>
          <w:type w:val="continuous"/>
        </w:sectPr>
      </w:pPr>
    </w:p>
    <w:p>
      <w:pPr>
        <w:spacing w:after="0" w:line="35" w:lineRule="exact"/>
        <w:rPr>
          <w:sz w:val="20"/>
          <w:szCs w:val="20"/>
          <w:color w:val="auto"/>
        </w:rPr>
      </w:pPr>
    </w:p>
    <w:p>
      <w:pPr>
        <w:ind w:right="160" w:firstLine="488"/>
        <w:spacing w:after="0" w:line="239" w:lineRule="auto"/>
        <w:rPr>
          <w:sz w:val="20"/>
          <w:szCs w:val="20"/>
          <w:color w:val="auto"/>
        </w:rPr>
      </w:pPr>
      <w:r>
        <w:rPr>
          <w:rFonts w:ascii="Arial" w:cs="Arial" w:eastAsia="Arial" w:hAnsi="Arial"/>
          <w:sz w:val="18"/>
          <w:szCs w:val="18"/>
          <w:color w:val="auto"/>
        </w:rPr>
        <w:t>Our board of directors is authorized, without stockholder approval, except as required by the listing standards of the additional shares of our capital stock.</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to issue</w:t>
      </w:r>
    </w:p>
    <w:p>
      <w:pPr>
        <w:spacing w:after="0" w:line="428" w:lineRule="exact"/>
        <w:rPr>
          <w:sz w:val="20"/>
          <w:szCs w:val="20"/>
          <w:color w:val="auto"/>
        </w:rPr>
      </w:pPr>
    </w:p>
    <w:p>
      <w:pPr>
        <w:sectPr>
          <w:pgSz w:w="11900" w:h="16838" w:orient="portrait"/>
          <w:cols w:equalWidth="0" w:num="2">
            <w:col w:w="9600" w:space="720"/>
            <w:col w:w="880"/>
          </w:cols>
          <w:pgMar w:left="320" w:top="143" w:right="379" w:bottom="1440" w:gutter="0" w:footer="0" w:header="0"/>
          <w:type w:val="continuous"/>
        </w:sectPr>
      </w:pPr>
    </w:p>
    <w:p>
      <w:pPr>
        <w:spacing w:after="0" w:line="9" w:lineRule="exact"/>
        <w:rPr>
          <w:sz w:val="20"/>
          <w:szCs w:val="20"/>
          <w:color w:val="auto"/>
        </w:rPr>
      </w:pPr>
    </w:p>
    <w:p>
      <w:pPr>
        <w:ind w:right="340" w:firstLine="478"/>
        <w:spacing w:after="0" w:line="281" w:lineRule="auto"/>
        <w:rPr>
          <w:sz w:val="20"/>
          <w:szCs w:val="20"/>
          <w:color w:val="auto"/>
        </w:rPr>
      </w:pPr>
      <w:r>
        <w:rPr>
          <w:rFonts w:ascii="Arial" w:cs="Arial" w:eastAsia="Arial" w:hAnsi="Arial"/>
          <w:sz w:val="16"/>
          <w:szCs w:val="16"/>
          <w:color w:val="auto"/>
        </w:rPr>
        <w:t>As of October 31, 2018, there were 178,096,830 shares of our common stock outstanding, held by 389 stockholders of record, and no shares of our redeemable convertible preferred stock outstanding, assuming the automatic conversion of all outstanding shares of our redeemable convertible preferred stock into shares of our common stock effective immediately prior to the completion of this offering.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234"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declared by our board of directors out of assets legally available. See the section titled "Dividend Policy" for additional information. Upon our liquidation, dissolution, or winding up,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ind w:right="280" w:firstLine="478"/>
        <w:spacing w:after="0" w:line="264" w:lineRule="auto"/>
        <w:rPr>
          <w:sz w:val="20"/>
          <w:szCs w:val="20"/>
          <w:color w:val="auto"/>
        </w:rPr>
      </w:pPr>
      <w:r>
        <w:rPr>
          <w:rFonts w:ascii="Arial" w:cs="Arial" w:eastAsia="Arial" w:hAnsi="Arial"/>
          <w:sz w:val="16"/>
          <w:szCs w:val="16"/>
          <w:color w:val="auto"/>
        </w:rPr>
        <w:t>After the completion of this offering, no shares of redeemable convertible preferred stock will be outstanding. Pursuant to our amended and restated certificate of incorporation, our board of directors will have the authority, without further action by the stockholders, to issue from</w:t>
      </w:r>
    </w:p>
    <w:p>
      <w:pPr>
        <w:spacing w:after="0" w:line="236" w:lineRule="auto"/>
        <w:rPr>
          <w:sz w:val="20"/>
          <w:szCs w:val="20"/>
          <w:color w:val="auto"/>
        </w:rPr>
      </w:pPr>
      <w:r>
        <w:rPr>
          <w:rFonts w:ascii="Arial" w:cs="Arial" w:eastAsia="Arial" w:hAnsi="Arial"/>
          <w:sz w:val="18"/>
          <w:szCs w:val="18"/>
          <w:color w:val="auto"/>
        </w:rPr>
        <w:t>time to time up to shares of preferred stock in one or more series. Our board of directors may designate the rights, preferences, privileges and restrictions of the preferred stock, including dividend rights, conversion rights, voting rights, redemption rights, liquidation preference, sinking fund terms, and the number of shares constituting any series or the designation of any series. The issuance of preferred stock could have the effect of restricting dividends on the common stock, diluting the voting power of the common stock, impairing the liquidation rights of the common stock or delaying, deterring, or preventing a change in control. Such issuance could have the effect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of decreasing the market price of the common stock. We currently have no plans to issue any shares of preferred stock.</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Awards</w:t>
      </w:r>
    </w:p>
    <w:p>
      <w:pPr>
        <w:spacing w:after="0" w:line="234" w:lineRule="exact"/>
        <w:rPr>
          <w:sz w:val="20"/>
          <w:szCs w:val="20"/>
          <w:color w:val="auto"/>
        </w:rPr>
      </w:pPr>
    </w:p>
    <w:p>
      <w:pPr>
        <w:ind w:right="720" w:firstLine="478"/>
        <w:spacing w:after="0" w:line="239" w:lineRule="auto"/>
        <w:rPr>
          <w:sz w:val="20"/>
          <w:szCs w:val="20"/>
          <w:color w:val="auto"/>
        </w:rPr>
      </w:pPr>
      <w:r>
        <w:rPr>
          <w:rFonts w:ascii="Arial" w:cs="Arial" w:eastAsia="Arial" w:hAnsi="Arial"/>
          <w:sz w:val="18"/>
          <w:szCs w:val="18"/>
          <w:color w:val="auto"/>
        </w:rPr>
        <w:t>As of October 31, 2018, we had outstanding options to purchase an aggregate of 26,150,055 shares of our common stock, with a weighted-average exercise price of $3.43 per share, under our 2011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ind w:right="700" w:firstLine="478"/>
        <w:spacing w:after="0" w:line="237" w:lineRule="auto"/>
        <w:rPr>
          <w:sz w:val="20"/>
          <w:szCs w:val="20"/>
          <w:color w:val="auto"/>
        </w:rPr>
      </w:pPr>
      <w:r>
        <w:rPr>
          <w:rFonts w:ascii="Arial" w:cs="Arial" w:eastAsia="Arial" w:hAnsi="Arial"/>
          <w:sz w:val="18"/>
          <w:szCs w:val="18"/>
          <w:color w:val="auto"/>
        </w:rPr>
        <w:t>As of October 31, 2018, we had outstanding warrants to purchase (i) an aggregate of 170,818 shares of our Series B redeemable convertible preferred stock at an exercise price of $1.41 per share and (ii) an aggregate of 165,568 shares of our Series C redeemable convertible preferred stock at an exercise price of $4.53 per share. Upon the closing of this offering, each of the warrants will become exercisable for an equivalent number of shares of our common stock.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After the completion of this offering, certain holders of our common stock will be entitled to rights with respect to the registration of their shares under the Securities Act. These registration rights are contained in our RRA, to which we and certain holders of our capital stock are parties. The registration rights under the RRA will terminate (i) with respect to any particular stockholder that beneficially own less than 3% of our outstanding common stock, at such time that such stockholder can sell all of its shares during any 90-day period pursuant to Rule 144 of the Securities Act, (ii) with respect to any particular stockholder, at such time that all shares held by such stockholder have been sold in a registration pursuant to the Securities Act or pursuant to an exemption therefrom, or (iii) with respect to any stockholder that is an officer, director, employee or consultant of us, on the date on which such person ceases to be an employee of us.</w:t>
      </w:r>
    </w:p>
    <w:p>
      <w:pPr>
        <w:spacing w:after="0" w:line="209"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Pursuant to the terms of the RRA, we will pay the registration expenses (other than underwriting discounts, selling commissions and stock transfer taxes) of the holders of the shares registered pursuant to the registrations described below. We expect that our stockholders will waive their rights under the RRA (i) to notice of this offering and (ii) to include their registrable shares in this offering. In addition, in connection with this offering, each stockholder that is party to the RRA has agreed not to sell or otherwise dispose of any securities without the prior written consent of the underwriters for a period of 180 days after the date of this prospectus, subject to certain terms and conditions and early release of certain holders in specified circumstances. See the section titled "Underwriting" for additional information.</w:t>
      </w:r>
    </w:p>
    <w:p>
      <w:pPr>
        <w:spacing w:after="0" w:line="210" w:lineRule="exact"/>
        <w:rPr>
          <w:sz w:val="20"/>
          <w:szCs w:val="20"/>
          <w:color w:val="auto"/>
        </w:rPr>
      </w:pPr>
    </w:p>
    <w:p>
      <w:pPr>
        <w:ind w:right="120" w:firstLine="488"/>
        <w:spacing w:after="0" w:line="238" w:lineRule="auto"/>
        <w:rPr>
          <w:sz w:val="20"/>
          <w:szCs w:val="20"/>
          <w:color w:val="auto"/>
        </w:rPr>
      </w:pPr>
      <w:r>
        <w:rPr>
          <w:rFonts w:ascii="Arial" w:cs="Arial" w:eastAsia="Arial" w:hAnsi="Arial"/>
          <w:sz w:val="18"/>
          <w:szCs w:val="18"/>
          <w:color w:val="auto"/>
        </w:rPr>
        <w:t>In addition, we are a party to a Plain English Warrant Agreement that provides, among other things, that TriplePoint Venture Growth BDC Corp. will have the same rights for the shares of our common stock issued upon exercise of the warrant as our other holders have under the RRA.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32" w:lineRule="exact"/>
        <w:rPr>
          <w:sz w:val="20"/>
          <w:szCs w:val="20"/>
          <w:color w:val="auto"/>
        </w:rPr>
      </w:pPr>
    </w:p>
    <w:p>
      <w:pPr>
        <w:ind w:right="20" w:firstLine="478"/>
        <w:spacing w:after="0" w:line="236" w:lineRule="auto"/>
        <w:rPr>
          <w:sz w:val="20"/>
          <w:szCs w:val="20"/>
          <w:color w:val="auto"/>
        </w:rPr>
      </w:pPr>
      <w:r>
        <w:rPr>
          <w:rFonts w:ascii="Arial" w:cs="Arial" w:eastAsia="Arial" w:hAnsi="Arial"/>
          <w:sz w:val="18"/>
          <w:szCs w:val="18"/>
          <w:color w:val="auto"/>
        </w:rPr>
        <w:t>After the completion of this offering, the holders of up to 163,916,832 shares of our common stock will be entitled to certain demand registration rights. At any time beginning 6 months after the effective date of this offering, such holders can request that we register the offer and sale of their shares in an underwritten offering. We are obligated to effect up to three such registrations at the request of certain our institutional stockholders (in addition to any short form registrations described below) and up to one such registration at the request of certain other of our stockholders, provided that we are not obligated to effect more than two short form registrations or underwritten offerings in any 12-month period or any such registration that is not reasonably anticipated to result in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aggregate proceeds (before deducting underwriting commissions and offering expenses) of at least $20.0 million. If we determine that it would require making an adverse disclosure to effect such a demand registration, we have the right to defer such registration, not more than twice in any 12-month period or for an aggregate of up to 90 days in any 12-month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32"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After the completion of this offering, if we propose to register the offer and sale of our common stock under the Securities Act, in connection with the public offering of such common stock the holders of up to 163,916,832 shares of our common stock will be entitled to certain "piggyback" registration rights. If we register any of our securities under the Securities Act for our own account or for the account of another security holder, subject to certain exceptions, the holders of these shares will be entitled to notice of the registration and to include their registrable securities in the registration. The underwriters of any underwritten offering have the right to limit the number of shares registered by these holders for marketing reasons, subject to limitations as set forth in the RRA.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32" w:lineRule="exact"/>
        <w:rPr>
          <w:sz w:val="20"/>
          <w:szCs w:val="20"/>
          <w:color w:val="auto"/>
        </w:rPr>
      </w:pPr>
    </w:p>
    <w:p>
      <w:pPr>
        <w:jc w:val="both"/>
        <w:ind w:firstLine="478"/>
        <w:spacing w:after="0" w:line="264" w:lineRule="auto"/>
        <w:rPr>
          <w:sz w:val="20"/>
          <w:szCs w:val="20"/>
          <w:color w:val="auto"/>
        </w:rPr>
      </w:pPr>
      <w:r>
        <w:rPr>
          <w:rFonts w:ascii="Arial" w:cs="Arial" w:eastAsia="Arial" w:hAnsi="Arial"/>
          <w:sz w:val="16"/>
          <w:szCs w:val="16"/>
          <w:color w:val="auto"/>
        </w:rPr>
        <w:t>After the completion of this offering, if we are eligible to file a registration statement on Form S-3, the holders of up to 163,916,832 shares of our common stock have the right, upon written request from holders of these shares, to have such shares registered by us if the registration is reasonably anticipated to result in aggregate proceeds (before deducting underwriting commissions and offering expenses) of at least</w:t>
      </w:r>
    </w:p>
    <w:p>
      <w:pPr>
        <w:ind w:right="40"/>
        <w:spacing w:after="0" w:line="237" w:lineRule="auto"/>
        <w:rPr>
          <w:sz w:val="20"/>
          <w:szCs w:val="20"/>
          <w:color w:val="auto"/>
        </w:rPr>
      </w:pPr>
      <w:r>
        <w:rPr>
          <w:rFonts w:ascii="Arial" w:cs="Arial" w:eastAsia="Arial" w:hAnsi="Arial"/>
          <w:sz w:val="18"/>
          <w:szCs w:val="18"/>
          <w:color w:val="auto"/>
        </w:rPr>
        <w:t>$20.0 million. If we determine that it would require making an adverse disclosure to effect such a demand registration, we have the right to defer such registration, not more than twice in any 12-month period and for an aggregate of up to 90 days. After the one year anniversary of this offering, to the extent we are not eligible to file or maintain a registration statement on Form S-3, certain of our stockholders may make a written request that we file a registration statement on Form S-1, subject to limitations as set forth in the RRA.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Anti-Takeover Provisions</w:t>
      </w:r>
    </w:p>
    <w:p>
      <w:pPr>
        <w:spacing w:after="0" w:line="234"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Our amended and restated certificate of incorporation and amended and restated bylaws to be effective upon the completion of this offering will contain provisions that could have the effect of delaying, deferring or discouraging another party from acquiring control of us. These provisions and certain provisions of Delaware law, which are summarized below, could discourage takeovers, coercive or otherwise. These provisions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w:t>
      </w:r>
    </w:p>
    <w:p>
      <w:pPr>
        <w:spacing w:after="0" w:line="192" w:lineRule="exact"/>
        <w:rPr>
          <w:sz w:val="20"/>
          <w:szCs w:val="20"/>
          <w:color w:val="auto"/>
        </w:rPr>
      </w:pPr>
    </w:p>
    <w:p>
      <w:pPr>
        <w:ind w:right="40" w:firstLine="488"/>
        <w:spacing w:after="0" w:line="247" w:lineRule="auto"/>
        <w:rPr>
          <w:sz w:val="20"/>
          <w:szCs w:val="20"/>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As discussed above in the section titled "Preferred Stock," our board of directors will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designate and issue preferred stock with voting or other rights or preferences that could deter hostile takeovers or delay changes in our control or management.</w:t>
      </w:r>
    </w:p>
    <w:p>
      <w:pPr>
        <w:spacing w:after="0" w:line="184" w:lineRule="exact"/>
        <w:rPr>
          <w:sz w:val="20"/>
          <w:szCs w:val="20"/>
          <w:color w:val="auto"/>
        </w:rPr>
      </w:pPr>
    </w:p>
    <w:p>
      <w:pPr>
        <w:ind w:firstLine="488"/>
        <w:spacing w:after="0" w:line="241" w:lineRule="auto"/>
        <w:rPr>
          <w:sz w:val="20"/>
          <w:szCs w:val="20"/>
          <w:color w:val="auto"/>
        </w:rPr>
      </w:pPr>
      <w:r>
        <w:rPr>
          <w:rFonts w:ascii="Arial" w:cs="Arial" w:eastAsia="Arial" w:hAnsi="Arial"/>
          <w:sz w:val="18"/>
          <w:szCs w:val="18"/>
          <w:i w:val="1"/>
          <w:iCs w:val="1"/>
          <w:color w:val="auto"/>
        </w:rPr>
        <w:t xml:space="preserve">Limits on Ability of Stockholders to Act by Written Consent or Call a Special Meeting. </w:t>
      </w:r>
      <w:r>
        <w:rPr>
          <w:rFonts w:ascii="Arial" w:cs="Arial" w:eastAsia="Arial" w:hAnsi="Arial"/>
          <w:sz w:val="18"/>
          <w:szCs w:val="18"/>
          <w:color w:val="auto"/>
        </w:rPr>
        <w:t>Our amended and restated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will provide that our stockholders may not act by written consent. This limit on the ability of stockholders to act by written consent may lengthen the amount of time required to take stockholder actions. As a result, the holders of a majority of our capital stock would not be able to amend the amended and restated bylaws or remove directors without holding a meeting of stockholders called in accordance with the amended and restated bylaws.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In addition, our amended and restated bylaws will provide that special meetings of the stockholders may be called only by the chairman of the board, the chief executive officer, the president (in the absence of a chief executive officer) or a majority of our board of directors. A stockholder may not call a special meeting, which may delay the ability of our stockholders to force consideration of a proposal or for holders controlling a majority of our capital stock to take any action, including the removal of directors.</w:t>
      </w:r>
    </w:p>
    <w:p>
      <w:pPr>
        <w:spacing w:after="0" w:line="190" w:lineRule="exact"/>
        <w:rPr>
          <w:sz w:val="20"/>
          <w:szCs w:val="20"/>
          <w:color w:val="auto"/>
        </w:rPr>
      </w:pPr>
    </w:p>
    <w:p>
      <w:pPr>
        <w:ind w:firstLine="481"/>
        <w:spacing w:after="0" w:line="239" w:lineRule="auto"/>
        <w:rPr>
          <w:sz w:val="20"/>
          <w:szCs w:val="20"/>
          <w:color w:val="auto"/>
        </w:rPr>
      </w:pPr>
      <w:r>
        <w:rPr>
          <w:rFonts w:ascii="Arial" w:cs="Arial" w:eastAsia="Arial" w:hAnsi="Arial"/>
          <w:sz w:val="18"/>
          <w:szCs w:val="18"/>
          <w:i w:val="1"/>
          <w:iCs w:val="1"/>
          <w:color w:val="auto"/>
        </w:rPr>
        <w:t xml:space="preserve">Advance Requirements for Advance Notification of Stockholder Nominations and Proposals. </w:t>
      </w:r>
      <w:r>
        <w:rPr>
          <w:rFonts w:ascii="Arial" w:cs="Arial" w:eastAsia="Arial" w:hAnsi="Arial"/>
          <w:sz w:val="18"/>
          <w:szCs w:val="18"/>
          <w:color w:val="auto"/>
        </w:rPr>
        <w:t>Our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advance notice procedures with respect to stockholder proposals and the nomination of candidates for election as directors, other than nominations made by or at the direction of our board of directors or a committee of the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our company.</w:t>
      </w:r>
    </w:p>
    <w:p>
      <w:pPr>
        <w:spacing w:after="0" w:line="194" w:lineRule="exact"/>
        <w:rPr>
          <w:sz w:val="20"/>
          <w:szCs w:val="20"/>
          <w:color w:val="auto"/>
        </w:rPr>
      </w:pPr>
    </w:p>
    <w:p>
      <w:pPr>
        <w:ind w:firstLine="488"/>
        <w:spacing w:after="0" w:line="241" w:lineRule="auto"/>
        <w:rPr>
          <w:sz w:val="20"/>
          <w:szCs w:val="20"/>
          <w:color w:val="auto"/>
        </w:rPr>
      </w:pPr>
      <w:r>
        <w:rPr>
          <w:rFonts w:ascii="Arial" w:cs="Arial" w:eastAsia="Arial" w:hAnsi="Arial"/>
          <w:sz w:val="18"/>
          <w:szCs w:val="18"/>
          <w:i w:val="1"/>
          <w:iCs w:val="1"/>
          <w:color w:val="auto"/>
        </w:rPr>
        <w:t xml:space="preserve">Board Classification. </w:t>
      </w:r>
      <w:r>
        <w:rPr>
          <w:rFonts w:ascii="Arial" w:cs="Arial" w:eastAsia="Arial" w:hAnsi="Arial"/>
          <w:sz w:val="18"/>
          <w:szCs w:val="18"/>
          <w:color w:val="auto"/>
        </w:rPr>
        <w:t>Our amended and restated certificate of incorporation provides that our board of directors will be divided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one class of which is elected each year by our stockholders. The directors in each class will serve for a three-year term. For more information on the classified board of directors, see "Management—Board of Directors." Our classified board of directors may tend to discourage a third party from making a tender offer or otherwise attempting to obtain control of us because it generally makes it more difficult for stockholders to replace a majority of the directors.</w:t>
      </w:r>
    </w:p>
    <w:p>
      <w:pPr>
        <w:spacing w:after="0" w:line="189"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i w:val="1"/>
          <w:iCs w:val="1"/>
          <w:color w:val="auto"/>
        </w:rPr>
        <w:t xml:space="preserve">Election and Removal of Directors. </w:t>
      </w:r>
      <w:r>
        <w:rPr>
          <w:rFonts w:ascii="Arial" w:cs="Arial" w:eastAsia="Arial" w:hAnsi="Arial"/>
          <w:sz w:val="18"/>
          <w:szCs w:val="18"/>
          <w:color w:val="auto"/>
        </w:rPr>
        <w:t>Our amended and restated certificate of incorporation and amended and restated bylaws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that establish specific procedures for appointing and removing members of our board of directors. Under our amended and restated certificate of incorporation and amended and restated bylaws, vacancies and newly created directorships on our board of directors may be filled only by a majority of the directors then serving on the board of directors. Under our amended and restated certificate of incorporation and amended and restated bylaws, directors may be removed only for cause by the affirmative vote of the holders of a majority of the shares then entitled to vote at an election of directors.</w:t>
      </w:r>
    </w:p>
    <w:p>
      <w:pPr>
        <w:spacing w:after="0" w:line="194"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election of directors unless our restated certificate of incorporation provides otherwise. Our restated certificate of incorporation and amended and restated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94" w:lineRule="exact"/>
        <w:rPr>
          <w:sz w:val="20"/>
          <w:szCs w:val="20"/>
          <w:color w:val="auto"/>
        </w:rPr>
      </w:pPr>
    </w:p>
    <w:p>
      <w:pPr>
        <w:ind w:left="480"/>
        <w:spacing w:after="0"/>
        <w:tabs>
          <w:tab w:leader="none" w:pos="3240" w:val="left"/>
        </w:tabs>
        <w:rPr>
          <w:sz w:val="20"/>
          <w:szCs w:val="20"/>
          <w:color w:val="auto"/>
        </w:rPr>
      </w:pPr>
      <w:r>
        <w:rPr>
          <w:rFonts w:ascii="Arial" w:cs="Arial" w:eastAsia="Arial" w:hAnsi="Arial"/>
          <w:sz w:val="18"/>
          <w:szCs w:val="18"/>
          <w:i w:val="1"/>
          <w:iCs w:val="1"/>
          <w:color w:val="auto"/>
        </w:rPr>
        <w:t>Amendment of Charter Provision.</w:t>
      </w:r>
      <w:r>
        <w:rPr>
          <w:sz w:val="20"/>
          <w:szCs w:val="20"/>
          <w:color w:val="auto"/>
        </w:rPr>
        <w:tab/>
      </w:r>
      <w:r>
        <w:rPr>
          <w:rFonts w:ascii="Arial" w:cs="Arial" w:eastAsia="Arial" w:hAnsi="Arial"/>
          <w:sz w:val="16"/>
          <w:szCs w:val="16"/>
          <w:color w:val="auto"/>
        </w:rPr>
        <w:t>Any amendment of the above provisions in our amended and restated certificate of incorporation</w:t>
      </w:r>
    </w:p>
    <w:p>
      <w:pPr>
        <w:spacing w:after="0" w:line="14"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would require approval by holders of at least</w:t>
      </w:r>
      <w:r>
        <w:rPr>
          <w:sz w:val="20"/>
          <w:szCs w:val="20"/>
          <w:color w:val="auto"/>
        </w:rPr>
        <w:tab/>
      </w:r>
      <w:r>
        <w:rPr>
          <w:rFonts w:ascii="Arial" w:cs="Arial" w:eastAsia="Arial" w:hAnsi="Arial"/>
          <w:sz w:val="16"/>
          <w:szCs w:val="16"/>
          <w:color w:val="auto"/>
        </w:rPr>
        <w:t>of our then outstanding common stock.</w:t>
      </w:r>
    </w:p>
    <w:p>
      <w:pPr>
        <w:spacing w:after="0" w:line="194" w:lineRule="exact"/>
        <w:rPr>
          <w:sz w:val="20"/>
          <w:szCs w:val="20"/>
          <w:color w:val="auto"/>
        </w:rPr>
      </w:pPr>
    </w:p>
    <w:p>
      <w:pPr>
        <w:ind w:firstLine="488"/>
        <w:spacing w:after="0" w:line="247" w:lineRule="auto"/>
        <w:rPr>
          <w:sz w:val="20"/>
          <w:szCs w:val="20"/>
          <w:color w:val="auto"/>
        </w:rPr>
      </w:pPr>
      <w:r>
        <w:rPr>
          <w:rFonts w:ascii="Arial" w:cs="Arial" w:eastAsia="Arial" w:hAnsi="Arial"/>
          <w:sz w:val="18"/>
          <w:szCs w:val="18"/>
          <w:i w:val="1"/>
          <w:iCs w:val="1"/>
          <w:color w:val="auto"/>
        </w:rPr>
        <w:t xml:space="preserve">Delaware Anti-Takeover Statute. </w:t>
      </w:r>
      <w:r>
        <w:rPr>
          <w:rFonts w:ascii="Arial" w:cs="Arial" w:eastAsia="Arial" w:hAnsi="Arial"/>
          <w:sz w:val="18"/>
          <w:szCs w:val="18"/>
          <w:color w:val="auto"/>
        </w:rPr>
        <w:t>We will be subject to the provisions of Section 203 of the Delaware General Corporation Law regulating</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takeovers. In general, Section 203 prohibits a publicly held Delaware corporation from engaging, under certain circumstances, in a business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combination with an interested stockholder for a period of three years following the date the person became an interested stockholder unless:</w:t>
      </w:r>
    </w:p>
    <w:p>
      <w:pPr>
        <w:spacing w:after="0" w:line="235" w:lineRule="exact"/>
        <w:rPr>
          <w:sz w:val="20"/>
          <w:szCs w:val="20"/>
          <w:color w:val="auto"/>
        </w:rPr>
      </w:pPr>
    </w:p>
    <w:p>
      <w:pPr>
        <w:ind w:left="1080" w:hanging="532"/>
        <w:spacing w:after="0" w:line="23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prior to the date of the transaction, our board of directors approved either the business combination or the transaction that resulted in the stockholder becoming an interested stockholder;</w:t>
      </w:r>
    </w:p>
    <w:p>
      <w:pPr>
        <w:spacing w:after="0" w:line="208" w:lineRule="exact"/>
        <w:rPr>
          <w:rFonts w:ascii="Arial" w:cs="Arial" w:eastAsia="Arial" w:hAnsi="Arial"/>
          <w:sz w:val="18"/>
          <w:szCs w:val="18"/>
          <w:color w:val="auto"/>
        </w:rPr>
      </w:pPr>
    </w:p>
    <w:p>
      <w:pPr>
        <w:ind w:left="1080" w:right="80" w:hanging="532"/>
        <w:spacing w:after="0" w:line="264"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1080" w:right="100"/>
        <w:spacing w:after="0" w:line="238" w:lineRule="auto"/>
        <w:rPr>
          <w:rFonts w:ascii="Arial" w:cs="Arial" w:eastAsia="Arial" w:hAnsi="Arial"/>
          <w:sz w:val="16"/>
          <w:szCs w:val="16"/>
          <w:color w:val="auto"/>
        </w:rPr>
      </w:pPr>
      <w:r>
        <w:rPr>
          <w:rFonts w:ascii="Arial" w:cs="Arial" w:eastAsia="Arial" w:hAnsi="Arial"/>
          <w:sz w:val="18"/>
          <w:szCs w:val="18"/>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94" w:lineRule="exact"/>
        <w:rPr>
          <w:rFonts w:ascii="Arial" w:cs="Arial" w:eastAsia="Arial" w:hAnsi="Arial"/>
          <w:sz w:val="16"/>
          <w:szCs w:val="16"/>
          <w:color w:val="auto"/>
        </w:rPr>
      </w:pPr>
    </w:p>
    <w:p>
      <w:pPr>
        <w:ind w:left="1080" w:right="140" w:hanging="532"/>
        <w:spacing w:after="0" w:line="23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that is not owned by the interested stockholder.</w:t>
      </w:r>
    </w:p>
    <w:p>
      <w:pPr>
        <w:spacing w:after="0" w:line="208" w:lineRule="exact"/>
        <w:rPr>
          <w:sz w:val="20"/>
          <w:szCs w:val="20"/>
          <w:color w:val="auto"/>
        </w:rPr>
      </w:pPr>
    </w:p>
    <w:p>
      <w:pPr>
        <w:ind w:firstLine="488"/>
        <w:spacing w:after="0" w:line="272"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attempts that might result in a premium over the market price for the shares of common stock held by stockholders.</w:t>
      </w:r>
    </w:p>
    <w:p>
      <w:pPr>
        <w:spacing w:after="0" w:line="186"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provisions of Delaware law and the provisions of our amended and restated certificate of incorporation and amended and restated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also possible that these provisions could make it more difficult to accomplish transactions that stockholders might otherwise deem to be in their best interests.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Exclusive Forum</w:t>
      </w:r>
    </w:p>
    <w:p>
      <w:pPr>
        <w:spacing w:after="0" w:line="234" w:lineRule="exact"/>
        <w:rPr>
          <w:sz w:val="20"/>
          <w:szCs w:val="20"/>
          <w:color w:val="auto"/>
        </w:rPr>
      </w:pPr>
    </w:p>
    <w:p>
      <w:pPr>
        <w:ind w:right="20" w:firstLine="488"/>
        <w:spacing w:after="0" w:line="235" w:lineRule="auto"/>
        <w:rPr>
          <w:sz w:val="20"/>
          <w:szCs w:val="20"/>
          <w:color w:val="auto"/>
        </w:rPr>
      </w:pPr>
      <w:r>
        <w:rPr>
          <w:rFonts w:ascii="Arial" w:cs="Arial" w:eastAsia="Arial" w:hAnsi="Arial"/>
          <w:sz w:val="18"/>
          <w:szCs w:val="18"/>
          <w:color w:val="auto"/>
        </w:rPr>
        <w:t>Our amended and restated bylaws will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asserting a claim against the company or any director or officer of the company arising pursuant to any provision of the Delaware General Corporation Law, (4) any action to interpret, apply, enforce, or determine the validity of our amended and restated certificate of incorporation or amended and restated bylaws, or (5) any other action asserting a claim that is governed by the internal affairs doctrine shall be a state or federal court located within the State of Delaware, in all cases subject to the court's having jurisdiction over indispensable parties named as defendants. However, this exclusive forum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or regulations thereunder.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Accordingly, there is uncertainty as to whether a court would enforce such provision, and our stockholders will not be deemed to have waived our compliance with the federal securities laws and the rules and regulations thereunder. Any person or entity purchasing or otherwise acquiring any interest in our shares of capital stock shall be deemed to have notice of and consented to this provision. Although we believe this provision benefits us by providing increased consistency in the application of Delaware law for the specified types of actions and proceedings, the provision may have the effect of discouraging lawsuits against us or our directors and officers.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240"/>
          </w:cols>
          <w:pgMar w:left="320" w:top="143"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160" w:hanging="516"/>
        <w:spacing w:after="0" w:line="239"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 and its telephone number is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The transfer agent's address</w:t>
      </w:r>
    </w:p>
    <w:p>
      <w:pPr>
        <w:spacing w:after="0" w:line="415" w:lineRule="exact"/>
        <w:rPr>
          <w:sz w:val="20"/>
          <w:szCs w:val="20"/>
          <w:color w:val="auto"/>
        </w:rPr>
      </w:pPr>
    </w:p>
    <w:p>
      <w:pPr>
        <w:sectPr>
          <w:pgSz w:w="11900" w:h="16838" w:orient="portrait"/>
          <w:cols w:equalWidth="0" w:num="3">
            <w:col w:w="300" w:space="720"/>
            <w:col w:w="7180" w:space="720"/>
            <w:col w:w="2320"/>
          </w:cols>
          <w:pgMar w:left="320" w:top="143"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3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Matters."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Listing</w:t>
      </w:r>
    </w:p>
    <w:p>
      <w:pPr>
        <w:spacing w:after="0" w:line="234" w:lineRule="exact"/>
        <w:rPr>
          <w:sz w:val="20"/>
          <w:szCs w:val="20"/>
          <w:color w:val="auto"/>
        </w:rPr>
      </w:pPr>
    </w:p>
    <w:p>
      <w:pPr>
        <w:ind w:left="500"/>
        <w:spacing w:after="0"/>
        <w:tabs>
          <w:tab w:leader="none" w:pos="6060" w:val="left"/>
          <w:tab w:leader="none" w:pos="8400" w:val="left"/>
        </w:tabs>
        <w:rPr>
          <w:sz w:val="20"/>
          <w:szCs w:val="20"/>
          <w:color w:val="auto"/>
        </w:rPr>
      </w:pPr>
      <w:r>
        <w:rPr>
          <w:rFonts w:ascii="Arial" w:cs="Arial" w:eastAsia="Arial" w:hAnsi="Arial"/>
          <w:sz w:val="18"/>
          <w:szCs w:val="18"/>
          <w:color w:val="auto"/>
        </w:rPr>
        <w:t>We intend to apply for the listing of our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5"/>
          <w:szCs w:val="15"/>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type w:val="continuous"/>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a liquid trading market for our common stock will develop or be sustained after this offering. Future sales of substantial amounts of shares of common stock, including shares issued upon the exercise of outstanding options, in the public market after this offering, or the possibility of these sales occurring, could adversely affect the prevailing market price for our common stock or impair our ability to raise equity capital in the future. The effect of sales of our common stock in the public market may be exacerbated by the relatively small public float of our common stock following this offering.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208" w:lineRule="exact"/>
        <w:rPr>
          <w:sz w:val="20"/>
          <w:szCs w:val="20"/>
          <w:color w:val="auto"/>
        </w:rPr>
      </w:pPr>
    </w:p>
    <w:p>
      <w:pPr>
        <w:ind w:firstLine="488"/>
        <w:spacing w:after="0" w:line="234" w:lineRule="auto"/>
        <w:rPr>
          <w:sz w:val="20"/>
          <w:szCs w:val="20"/>
          <w:color w:val="auto"/>
        </w:rPr>
      </w:pPr>
      <w:r>
        <w:rPr>
          <w:rFonts w:ascii="Arial" w:cs="Arial" w:eastAsia="Arial" w:hAnsi="Arial"/>
          <w:sz w:val="18"/>
          <w:szCs w:val="18"/>
          <w:color w:val="auto"/>
        </w:rPr>
        <w:t>Upon the completion of this offering, based on the number of shares of our capital stock outstanding as of , we will have a total of shares of our common stock outstanding. Of these outstanding shares, all the shares of common stock sold in this</w:t>
      </w:r>
    </w:p>
    <w:p>
      <w:pPr>
        <w:spacing w:after="0" w:line="1"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offering by us, plus any shares sold upon exercise of the underwriters' option to purchase additional shares, will be freely tradable in the public market without restriction or further registration under the Securities Act, unless those shares are held by "affiliates," as that term is defined in Rule 144 under the Securities Act.</w:t>
      </w:r>
    </w:p>
    <w:p>
      <w:pPr>
        <w:spacing w:after="0" w:line="208" w:lineRule="exact"/>
        <w:rPr>
          <w:sz w:val="20"/>
          <w:szCs w:val="20"/>
          <w:color w:val="auto"/>
        </w:rPr>
      </w:pPr>
    </w:p>
    <w:p>
      <w:pPr>
        <w:ind w:right="40" w:firstLine="484"/>
        <w:spacing w:after="0" w:line="235" w:lineRule="auto"/>
        <w:rPr>
          <w:sz w:val="20"/>
          <w:szCs w:val="20"/>
          <w:color w:val="auto"/>
        </w:rPr>
      </w:pPr>
      <w:r>
        <w:rPr>
          <w:rFonts w:ascii="Arial" w:cs="Arial" w:eastAsia="Arial" w:hAnsi="Arial"/>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holders of substantially all of our equity securities are subject to market standoff agreements or have entered into lock-up agreements with the underwriters under which they have agreed, subject to specific exceptions, not to sell any of our stock for at least 180 days following the date of this prospectus, as described below. As a result of these agreements and the provisions of our RRA described above under the section titled "Description of Capital Stock— Registration Rights," subject to the provisions of Rule 144 or Rule 701, following the expiration of the lock-up period, all shares subject to such provisions and agreements will be available for sale in the public market only if registered or pursuant to an exemption from registration under Rule 144 or Rule 701 under the Securities Act.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such shares (subject to the requirements of the lock-up agreements, as described below)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(subject to the requirements of the lock-up agreements, as described below) without complying with any of the requirements of Rule 144.</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firstLine="488"/>
        <w:spacing w:after="0" w:line="238"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ectPr>
          <w:pgSz w:w="11900" w:h="16838" w:orient="portrait"/>
          <w:cols w:equalWidth="0" w:num="1">
            <w:col w:w="11240"/>
          </w:cols>
          <w:pgMar w:left="320" w:top="143" w:right="339" w:bottom="1440" w:gutter="0" w:footer="0" w:header="0"/>
        </w:sectPr>
      </w:pPr>
    </w:p>
    <w:p>
      <w:pPr>
        <w:spacing w:after="0" w:line="20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1% of the number of shares of common stock then outstanding, which will equal approximately this offering; 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428" w:lineRule="exact"/>
        <w:rPr>
          <w:sz w:val="20"/>
          <w:szCs w:val="20"/>
          <w:color w:val="auto"/>
        </w:rPr>
      </w:pPr>
    </w:p>
    <w:p>
      <w:pPr>
        <w:sectPr>
          <w:pgSz w:w="11900" w:h="16838" w:orient="portrait"/>
          <w:cols w:equalWidth="0" w:num="3">
            <w:col w:w="600" w:space="480"/>
            <w:col w:w="7500" w:space="720"/>
            <w:col w:w="1940"/>
          </w:cols>
          <w:pgMar w:left="320" w:top="143" w:right="339" w:bottom="1440" w:gutter="0" w:footer="0" w:header="0"/>
          <w:type w:val="continuous"/>
        </w:sectPr>
      </w:pPr>
    </w:p>
    <w:p>
      <w:pPr>
        <w:spacing w:after="0" w:line="9" w:lineRule="exact"/>
        <w:rPr>
          <w:sz w:val="20"/>
          <w:szCs w:val="20"/>
          <w:color w:val="auto"/>
        </w:rPr>
      </w:pPr>
    </w:p>
    <w:p>
      <w:pPr>
        <w:ind w:left="1080" w:right="700" w:hanging="532"/>
        <w:spacing w:after="0" w:line="23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during the four calendar weeks preceding the filing of a notice on Form 144 with respect to such sale.</w:t>
      </w:r>
    </w:p>
    <w:p>
      <w:pPr>
        <w:spacing w:after="0" w:line="209"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Notwithstanding the availability of Rule 144, the holders of substantially all of common stock have entered into lock-up agreements as described below, and their restricted securities will become eligible for sale (subject to the above limitations under Rule 144) upon the expiration of the restrictions set forth in those agreements.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Rule 701, as currently in effect, generally allows a stockholder who purchased shares of our common stock pursuant to a written compensatory plan or contract and who is not deemed to have been an affiliate of our company during the immediately preceding 90 days to sell these shares (subject to the requirements of the lock-up agreements, as described below)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However, all holders of Rule 701 shares are required to wait until 90 days after the date of this prospectus (or until such later date that is required by the lock-up agreements, as described below) before selling such shares pursuant to Rule 701.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ind w:right="240" w:firstLine="488"/>
        <w:spacing w:after="0" w:line="234" w:lineRule="auto"/>
        <w:rPr>
          <w:sz w:val="20"/>
          <w:szCs w:val="20"/>
          <w:color w:val="auto"/>
        </w:rPr>
      </w:pPr>
      <w:r>
        <w:rPr>
          <w:rFonts w:ascii="Arial" w:cs="Arial" w:eastAsia="Arial" w:hAnsi="Arial"/>
          <w:sz w:val="18"/>
          <w:szCs w:val="18"/>
          <w:color w:val="auto"/>
        </w:rPr>
        <w:t>We, all of our directors and officers, and holders of substantially all of our common stock, or securities exercisable for or convertible into our common stock outstanding immediately prior to this offering, have agreed that, without the prior written consent of Goldman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Sachs &amp; Co. LLC on behalf of the underwriters, we and they will not, during the period ending 180 days after the date of this prospectus:</w:t>
      </w:r>
    </w:p>
    <w:p>
      <w:pPr>
        <w:spacing w:after="0" w:line="212" w:lineRule="exact"/>
        <w:rPr>
          <w:sz w:val="20"/>
          <w:szCs w:val="20"/>
          <w:color w:val="auto"/>
        </w:rPr>
      </w:pPr>
    </w:p>
    <w:p>
      <w:pPr>
        <w:ind w:left="1080" w:right="60" w:hanging="532"/>
        <w:spacing w:after="0" w:line="23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spacing w:after="0" w:line="194" w:lineRule="exact"/>
        <w:rPr>
          <w:rFonts w:ascii="Arial" w:cs="Arial" w:eastAsia="Arial" w:hAnsi="Arial"/>
          <w:sz w:val="18"/>
          <w:szCs w:val="18"/>
          <w:color w:val="auto"/>
        </w:rPr>
      </w:pPr>
    </w:p>
    <w:p>
      <w:pPr>
        <w:ind w:left="1080" w:right="500" w:hanging="532"/>
        <w:spacing w:after="0" w:line="23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20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whether any such transaction described above is to be settled by delivery of shares of our common stock or such other securities, in cash or otherwise, subject to certain exceptions. See the section titled "Underwriting."</w:t>
      </w:r>
    </w:p>
    <w:p>
      <w:pPr>
        <w:spacing w:after="0" w:line="209"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the amended and restated registration rights agreement and our standard form of option agreement and restricted stock unit agreement, that certain market stand-off provisions imposing restrictions on the ability of such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type w:val="continuous"/>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security holders to offer, sell or transfer our equity securities for a period of 180 days following the date of this prospectus.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right="220" w:firstLine="484"/>
        <w:spacing w:after="0" w:line="236" w:lineRule="auto"/>
        <w:rPr>
          <w:sz w:val="20"/>
          <w:szCs w:val="20"/>
          <w:color w:val="auto"/>
        </w:rPr>
      </w:pPr>
      <w:r>
        <w:rPr>
          <w:rFonts w:ascii="Arial" w:cs="Arial" w:eastAsia="Arial" w:hAnsi="Arial"/>
          <w:sz w:val="18"/>
          <w:szCs w:val="18"/>
          <w:color w:val="auto"/>
        </w:rPr>
        <w:t>The holders of 163,916,832 shares of our common stock (assuming automatic conversion of all outstanding shares of our redeemable convertible preferred stock into shares of common stock immediately prior to the completion of this offering), or their permitted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on Form S-8</w:t>
      </w:r>
    </w:p>
    <w:p>
      <w:pPr>
        <w:spacing w:after="0" w:line="234" w:lineRule="exact"/>
        <w:rPr>
          <w:sz w:val="20"/>
          <w:szCs w:val="20"/>
          <w:color w:val="auto"/>
        </w:rPr>
      </w:pPr>
    </w:p>
    <w:p>
      <w:pPr>
        <w:ind w:firstLine="488"/>
        <w:spacing w:after="0" w:line="275" w:lineRule="auto"/>
        <w:rPr>
          <w:sz w:val="20"/>
          <w:szCs w:val="20"/>
          <w:color w:val="auto"/>
        </w:rPr>
      </w:pPr>
      <w:r>
        <w:rPr>
          <w:rFonts w:ascii="Arial" w:cs="Arial" w:eastAsia="Arial" w:hAnsi="Arial"/>
          <w:sz w:val="16"/>
          <w:szCs w:val="16"/>
          <w:color w:val="auto"/>
        </w:rPr>
        <w:t>Upon the completion of this offering, we intend to file a registration statement on Form S-8 under the Securities Act to register all of the shares of common stock issued or reserved for issuance under our equity compensation plans. Shares covered by this registration statement will be eligible for sale in the public market, upon the expiration or release from the terms of the lock-up agreements and subject to vesting of such shares. See the section titled "Executive Compensation—Employee Benefit and Stock Plans" for a description of our equity compensation plans.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 TO</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HOLDERS OF OUR COMMON STOCK</w:t>
      </w:r>
    </w:p>
    <w:p>
      <w:pPr>
        <w:spacing w:after="0" w:line="212"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to non-U.S. holders (as defined below) of the ownership and disposition of our common stock but does not purport to be a complete analysis of all the potential tax considerations relating thereto. This summary is based upon the provisions of the Internal Revenue Code of 1986, as amended, or Code, Treasury Regulations promulgated thereunder, administrative rulings of the Internal Revenue Service, or IRS, and judicial decisions, all as of the date hereof. These authorities are subject to differing interpretations and may change, possibly retroactively, which could result in U.S. federal income tax consequences different from those set forth below.</w:t>
      </w:r>
    </w:p>
    <w:p>
      <w:pPr>
        <w:spacing w:after="0" w:line="210" w:lineRule="exact"/>
        <w:rPr>
          <w:sz w:val="20"/>
          <w:szCs w:val="20"/>
          <w:color w:val="auto"/>
        </w:rPr>
      </w:pPr>
    </w:p>
    <w:p>
      <w:pPr>
        <w:ind w:right="40" w:firstLine="484"/>
        <w:spacing w:after="0" w:line="236"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summary also does not address the tax considerations arising under the laws of any non-U.S., state or local jurisdiction, or under U.S. federal gift and estate tax laws. In addition, this discussion does not address tax considerations applicable to an investor's particular circumstances or to investors that may be subject to special tax rules, including, without limitation:</w:t>
      </w:r>
    </w:p>
    <w:p>
      <w:pPr>
        <w:spacing w:after="0" w:line="211"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regulated investment companies or real estate investment trusts;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Medicare contribution tax on net investment income;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98" w:lineRule="exact"/>
        <w:rPr>
          <w:rFonts w:ascii="Arial" w:cs="Arial" w:eastAsia="Arial" w:hAnsi="Arial"/>
          <w:sz w:val="18"/>
          <w:szCs w:val="18"/>
          <w:color w:val="auto"/>
        </w:rPr>
      </w:pPr>
    </w:p>
    <w:p>
      <w:pPr>
        <w:ind w:left="1080" w:right="280" w:hanging="532"/>
        <w:spacing w:after="0" w:line="23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98" w:lineRule="exact"/>
        <w:rPr>
          <w:rFonts w:ascii="Arial" w:cs="Arial" w:eastAsia="Arial" w:hAnsi="Arial"/>
          <w:sz w:val="18"/>
          <w:szCs w:val="18"/>
          <w:color w:val="auto"/>
        </w:rPr>
      </w:pPr>
    </w:p>
    <w:p>
      <w:pPr>
        <w:ind w:left="1080" w:right="420" w:hanging="532"/>
        <w:spacing w:after="0" w:line="23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98"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partnerships or entities classified as partnerships for U.S. federal income tax purposes or other pass-through entities (and investors therein);</w:t>
      </w:r>
    </w:p>
    <w:p>
      <w:pPr>
        <w:spacing w:after="0" w:line="195" w:lineRule="exact"/>
        <w:rPr>
          <w:rFonts w:ascii="Arial" w:cs="Arial" w:eastAsia="Arial" w:hAnsi="Arial"/>
          <w:sz w:val="18"/>
          <w:szCs w:val="18"/>
          <w:color w:val="auto"/>
        </w:rPr>
      </w:pPr>
    </w:p>
    <w:p>
      <w:pPr>
        <w:ind w:left="1080" w:right="520" w:hanging="532"/>
        <w:spacing w:after="0" w:line="23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 or integrated investment;</w:t>
      </w:r>
    </w:p>
    <w:p>
      <w:pPr>
        <w:spacing w:after="0" w:line="208" w:lineRule="exact"/>
        <w:rPr>
          <w:rFonts w:ascii="Arial" w:cs="Arial" w:eastAsia="Arial" w:hAnsi="Arial"/>
          <w:sz w:val="18"/>
          <w:szCs w:val="18"/>
          <w:color w:val="auto"/>
        </w:rPr>
      </w:pPr>
    </w:p>
    <w:p>
      <w:pPr>
        <w:ind w:left="1080" w:right="980" w:hanging="532"/>
        <w:spacing w:after="0" w:line="23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95" w:lineRule="exact"/>
        <w:rPr>
          <w:rFonts w:ascii="Arial" w:cs="Arial" w:eastAsia="Arial" w:hAnsi="Arial"/>
          <w:sz w:val="18"/>
          <w:szCs w:val="18"/>
          <w:color w:val="auto"/>
        </w:rPr>
      </w:pPr>
    </w:p>
    <w:p>
      <w:pPr>
        <w:ind w:left="1080" w:right="300" w:hanging="532"/>
        <w:spacing w:after="0" w:line="23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2"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In addition, if a partnership or entity or arrangement classified as a partnership for U.S. federal income tax purposes holds our common stock, the tax treatment of a partner generally will depend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on the status of the partner and upon the activities of the partnership. Accordingly, partnerships that hold our common stock, and partners in such partnerships, should consult their tax advisors.</w:t>
      </w:r>
    </w:p>
    <w:p>
      <w:pPr>
        <w:spacing w:after="0" w:line="189" w:lineRule="exact"/>
        <w:rPr>
          <w:sz w:val="20"/>
          <w:szCs w:val="20"/>
          <w:color w:val="auto"/>
        </w:rPr>
      </w:pPr>
    </w:p>
    <w:p>
      <w:pPr>
        <w:jc w:val="both"/>
        <w:ind w:right="240" w:firstLine="487"/>
        <w:spacing w:after="0" w:line="244" w:lineRule="auto"/>
        <w:rPr>
          <w:sz w:val="20"/>
          <w:szCs w:val="20"/>
          <w:color w:val="auto"/>
        </w:rPr>
      </w:pPr>
      <w:r>
        <w:rPr>
          <w:rFonts w:ascii="Arial" w:cs="Arial" w:eastAsia="Arial" w:hAnsi="Arial"/>
          <w:sz w:val="18"/>
          <w:szCs w:val="18"/>
          <w:b w:val="1"/>
          <w:bCs w:val="1"/>
          <w:i w:val="1"/>
          <w:i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state, local, non-U.S., or other taxing jurisdiction or under any applicable tax treaty.</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color w:val="auto"/>
        </w:rPr>
        <w:t>For purposes of this discussion, you are a non-U.S. holder if you are any holder that is not a partnership (or entity or arrangement treated as a partnership for U.S. federal income tax purposes) and are not any of the following:</w:t>
      </w:r>
    </w:p>
    <w:p>
      <w:pPr>
        <w:spacing w:after="0" w:line="20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individual who is citizen or resident of the United States (for U.S. federal income tax purposes);</w:t>
      </w:r>
    </w:p>
    <w:p>
      <w:pPr>
        <w:spacing w:after="0" w:line="211" w:lineRule="exact"/>
        <w:rPr>
          <w:rFonts w:ascii="Arial" w:cs="Arial" w:eastAsia="Arial" w:hAnsi="Arial"/>
          <w:sz w:val="18"/>
          <w:szCs w:val="18"/>
          <w:color w:val="auto"/>
        </w:rPr>
      </w:pPr>
    </w:p>
    <w:p>
      <w:pPr>
        <w:ind w:left="1080" w:right="360" w:hanging="532"/>
        <w:spacing w:after="0" w:line="23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 entity treated as such for U.S. federal income tax purposes;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98" w:lineRule="exact"/>
        <w:rPr>
          <w:rFonts w:ascii="Arial" w:cs="Arial" w:eastAsia="Arial" w:hAnsi="Arial"/>
          <w:sz w:val="18"/>
          <w:szCs w:val="18"/>
          <w:color w:val="auto"/>
        </w:rPr>
      </w:pPr>
    </w:p>
    <w:p>
      <w:pPr>
        <w:ind w:left="1080" w:right="220" w:hanging="532"/>
        <w:spacing w:after="0" w:line="264"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which has one or more "U.S. persons" (within the meaning of Section 7701(a)(30) of the Code) who have the authority to control all substantial decisions of the trust or</w:t>
      </w:r>
    </w:p>
    <w:p>
      <w:pPr>
        <w:ind w:left="1080"/>
        <w:spacing w:after="0"/>
        <w:rPr>
          <w:rFonts w:ascii="Arial" w:cs="Arial" w:eastAsia="Arial" w:hAnsi="Arial"/>
          <w:sz w:val="16"/>
          <w:szCs w:val="16"/>
          <w:color w:val="auto"/>
        </w:rPr>
      </w:pPr>
      <w:r>
        <w:rPr>
          <w:rFonts w:ascii="Arial" w:cs="Arial" w:eastAsia="Arial" w:hAnsi="Arial"/>
          <w:sz w:val="18"/>
          <w:szCs w:val="18"/>
          <w:color w:val="auto"/>
        </w:rPr>
        <w:t>(y) which has made a valid election to be treated as a U.S. person.</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right="60" w:firstLine="478"/>
        <w:spacing w:after="0" w:line="236" w:lineRule="auto"/>
        <w:rPr>
          <w:sz w:val="20"/>
          <w:szCs w:val="20"/>
          <w:color w:val="auto"/>
        </w:rPr>
      </w:pPr>
      <w:r>
        <w:rPr>
          <w:rFonts w:ascii="Arial" w:cs="Arial" w:eastAsia="Arial" w:hAnsi="Arial"/>
          <w:sz w:val="18"/>
          <w:szCs w:val="18"/>
          <w:color w:val="auto"/>
        </w:rPr>
        <w:t>As described in the section titled "Dividend Policy," we have never declared or paid cash dividends on our capital stock and do not anticipate paying any dividends on our capital stock in the foreseeable future. However, if we do make distributions on our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as described below in the section titled "—Gain on Disposition of Our Common Stock."</w:t>
      </w:r>
    </w:p>
    <w:p>
      <w:pPr>
        <w:spacing w:after="0" w:line="210"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Subject to the discussion below on effectively connected income, backup withholding and the Foreign Account Tax Compliance Act, 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certifying your qualification for the reduced rate. This certification must be provided to us or our paying agent before the payment of dividends and must be updated periodically. If you do not provide the required certification on a timely basis but are eligible for a reduced rate of U.S. withholding tax pursuant to an income tax treaty, you may obtain a refund of any excess amounts withheld by timely filing an appropriate claim for refund with the IRS. 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 You should consult your tax advisor regarding entitlement to benefits under any applicable income tax treaties.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firstLine="488"/>
        <w:spacing w:after="0" w:line="269"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 provide us with an IRS Form W-8ECI or other applicable IRS Form W-8 properly certifying such exemption. Such effectively connected dividends, although not subject to withholding tax,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of your effectively connected earnings and profits for the taxable year, as adjusted for certain items. You should consult your tax advisor regarding any applicable tax treaties that may provide for different rules.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34" w:lineRule="exact"/>
        <w:rPr>
          <w:sz w:val="20"/>
          <w:szCs w:val="20"/>
          <w:color w:val="auto"/>
        </w:rPr>
      </w:pPr>
    </w:p>
    <w:p>
      <w:pPr>
        <w:ind w:right="420" w:firstLine="488"/>
        <w:spacing w:after="0" w:line="239" w:lineRule="auto"/>
        <w:rPr>
          <w:sz w:val="20"/>
          <w:szCs w:val="20"/>
          <w:color w:val="auto"/>
        </w:rPr>
      </w:pPr>
      <w:r>
        <w:rPr>
          <w:rFonts w:ascii="Arial" w:cs="Arial" w:eastAsia="Arial" w:hAnsi="Arial"/>
          <w:sz w:val="18"/>
          <w:szCs w:val="18"/>
          <w:color w:val="auto"/>
        </w:rPr>
        <w:t>Subject to the discussion below regarding backup withholding and the Foreign Account Tax Compliance Act, you generally will not be required to pay U.S. federal income tax on any gain realized upon the sale or other disposition of our common stock unless:</w:t>
      </w:r>
    </w:p>
    <w:p>
      <w:pPr>
        <w:spacing w:after="0" w:line="209" w:lineRule="exact"/>
        <w:rPr>
          <w:sz w:val="20"/>
          <w:szCs w:val="20"/>
          <w:color w:val="auto"/>
        </w:rPr>
      </w:pPr>
    </w:p>
    <w:p>
      <w:pPr>
        <w:ind w:left="1080" w:right="100" w:hanging="532"/>
        <w:spacing w:after="0" w:line="23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income tax treaty, the gain is attributable to a permanent establishment maintained by you in the United States);</w:t>
      </w:r>
    </w:p>
    <w:p>
      <w:pPr>
        <w:spacing w:after="0" w:line="208" w:lineRule="exact"/>
        <w:rPr>
          <w:rFonts w:ascii="Arial" w:cs="Arial" w:eastAsia="Arial" w:hAnsi="Arial"/>
          <w:sz w:val="18"/>
          <w:szCs w:val="18"/>
          <w:color w:val="auto"/>
        </w:rPr>
      </w:pPr>
    </w:p>
    <w:p>
      <w:pPr>
        <w:ind w:left="1080" w:right="260" w:hanging="532"/>
        <w:spacing w:after="0" w:line="23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certain other conditions are met; or</w:t>
      </w:r>
    </w:p>
    <w:p>
      <w:pPr>
        <w:spacing w:after="0" w:line="195" w:lineRule="exact"/>
        <w:rPr>
          <w:rFonts w:ascii="Arial" w:cs="Arial" w:eastAsia="Arial" w:hAnsi="Arial"/>
          <w:sz w:val="18"/>
          <w:szCs w:val="18"/>
          <w:color w:val="auto"/>
        </w:rPr>
      </w:pPr>
    </w:p>
    <w:p>
      <w:pPr>
        <w:ind w:left="1080" w:hanging="532"/>
        <w:spacing w:after="0" w:line="23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"United States real property holding corporation," or USRPHC, for U.S. federal income tax purposes at any time within the shorter of the five-year period preceding your disposition of, or your holding period for, our common stock, and, in the case where shares of our common stock are regularly traded on an established securities market, you own, or are treated as owning, more than 5% of our common stock at any time during the foregoing period.</w:t>
      </w:r>
    </w:p>
    <w:p>
      <w:pPr>
        <w:spacing w:after="0" w:line="211"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you actually or constructively hold more than five percent of such regularly traded common stock at any time during the shorter of the five-year period preceding your disposition of, or your holding period for, our common stock.</w:t>
      </w:r>
    </w:p>
    <w:p>
      <w:pPr>
        <w:spacing w:after="0" w:line="209"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net gain derived from the sale under regular graduated U.S. federal income tax rates, and a corporate non-U.S. holder described in the first bullet above also may be subject to the branch profits tax at a 30% rate, (or such lower rate as may be specified by an applicable income tax treaty) of its effectively connected earnings and profits for the taxable year, as adjusted for certain items. If you are an individual non-U.S. holder described in the second bullet above, you will be required to pay a flat 30% tax (or such lower rate specified by an applicable income tax treaty) on the gain derived from the sale, which gain may be offset by U.S. source capital losses for the year (provided you have timely filed U.S. federal income tax returns with respect to such losses). You</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should consult your tax advisor regarding any applicable income tax or other treaties that may provide for different rules.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3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right="520" w:firstLine="488"/>
        <w:spacing w:after="0" w:line="238" w:lineRule="auto"/>
        <w:rPr>
          <w:sz w:val="20"/>
          <w:szCs w:val="20"/>
          <w:color w:val="auto"/>
        </w:rPr>
      </w:pPr>
      <w:r>
        <w:rPr>
          <w:rFonts w:ascii="Arial" w:cs="Arial" w:eastAsia="Arial" w:hAnsi="Arial"/>
          <w:sz w:val="18"/>
          <w:szCs w:val="18"/>
          <w:color w:val="auto"/>
        </w:rPr>
        <w:t>Payments of dividends or of proceeds on the disposition of stock made to you may be subject to information reporting and backup withholding at a current rate of 24% unless you establish an exemption, for example, by properly certifying your non-U.S. status on an IRS Form W-8BEN, IRS Form W-8BEN-E or another appropriate version of IRS Form W-8.</w:t>
      </w:r>
    </w:p>
    <w:p>
      <w:pPr>
        <w:spacing w:after="0" w:line="208" w:lineRule="exact"/>
        <w:rPr>
          <w:sz w:val="20"/>
          <w:szCs w:val="20"/>
          <w:color w:val="auto"/>
        </w:rPr>
      </w:pPr>
    </w:p>
    <w:p>
      <w:pPr>
        <w:ind w:right="18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Account Tax Compliance Act</w:t>
      </w:r>
    </w:p>
    <w:p>
      <w:pPr>
        <w:spacing w:after="0" w:line="234" w:lineRule="exact"/>
        <w:rPr>
          <w:sz w:val="20"/>
          <w:szCs w:val="20"/>
          <w:color w:val="auto"/>
        </w:rPr>
      </w:pPr>
    </w:p>
    <w:p>
      <w:pPr>
        <w:ind w:firstLine="488"/>
        <w:spacing w:after="0" w:line="266" w:lineRule="auto"/>
        <w:rPr>
          <w:sz w:val="20"/>
          <w:szCs w:val="20"/>
          <w:color w:val="auto"/>
        </w:rPr>
      </w:pPr>
      <w:r>
        <w:rPr>
          <w:rFonts w:ascii="Arial" w:cs="Arial" w:eastAsia="Arial" w:hAnsi="Arial"/>
          <w:sz w:val="16"/>
          <w:szCs w:val="16"/>
          <w:color w:val="auto"/>
        </w:rPr>
        <w:t>Subject to the discussion below regarding recently issued Proposed Treasury Regulations, the Foreign Account Tax Compliance Act and the rules and regulations promulgated thereunder, collectively FATCA, imposes withholding tax at a rate of 30% on dividends and (subject to the proposed Treasury Regulations discussed below) gross proceeds from the sale or other disposition of our common stock paid to "foreign financial institutions"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and gross proceeds from the sale or other disposition of our common stock paid to a "non-financial foreign entities" (as specially defined for purposes of these rules) unless such entity provides the withholding agent with a certification identifying certain substantial direct and indirect U.S. owners of the entity, certifies that there are none or otherwise establishes an exemption. Under the applicable Treasury Regulations and administrative guidance, withholding under FATCA generally applies to payments of dividends on our common stock. While, beginning on January 1, 2019, withholding under FATCA would have applied also to payments of gross proceeds from the sale or other disposition of our common stock, recently proposed Treasury Regulations eliminate FATCA withholding on payments of gross proceeds entirely. Taxpayers generally may rely on these proposed Treasury Regulations until final Treasury Regulations are issued. An intergovernmental agreement between the United States and an applicable foreign country may modify the requirements described in this paragraph. Non-U.S. holders should consult their own tax advisors regarding the possible implications of this legislation on their investment in our common stock.</w:t>
      </w:r>
    </w:p>
    <w:p>
      <w:pPr>
        <w:spacing w:after="0" w:line="377" w:lineRule="exact"/>
        <w:rPr>
          <w:sz w:val="20"/>
          <w:szCs w:val="20"/>
          <w:color w:val="auto"/>
        </w:rPr>
      </w:pPr>
    </w:p>
    <w:p>
      <w:pPr>
        <w:jc w:val="both"/>
        <w:ind w:right="80" w:firstLine="487"/>
        <w:spacing w:after="0" w:line="248" w:lineRule="auto"/>
        <w:rPr>
          <w:sz w:val="20"/>
          <w:szCs w:val="20"/>
          <w:color w:val="auto"/>
        </w:rPr>
      </w:pPr>
      <w:r>
        <w:rPr>
          <w:rFonts w:ascii="Arial" w:cs="Arial" w:eastAsia="Arial" w:hAnsi="Arial"/>
          <w:sz w:val="18"/>
          <w:szCs w:val="18"/>
          <w:b w:val="1"/>
          <w:bCs w:val="1"/>
          <w:i w:val="1"/>
          <w:i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540" w:firstLine="488"/>
        <w:spacing w:after="0" w:line="238" w:lineRule="auto"/>
        <w:rPr>
          <w:sz w:val="20"/>
          <w:szCs w:val="20"/>
          <w:color w:val="auto"/>
        </w:rPr>
      </w:pPr>
      <w:r>
        <w:rPr>
          <w:rFonts w:ascii="Arial" w:cs="Arial" w:eastAsia="Arial" w:hAnsi="Arial"/>
          <w:sz w:val="18"/>
          <w:szCs w:val="18"/>
          <w:color w:val="auto"/>
        </w:rPr>
        <w:t>We and the underwriters named below will enter into an underwriting agreement with respect to the shares being offered. Subject to certain conditions, we will agree to sell to the underwriters, and each underwriter will severally agree to purchase, the number of shares indicated in the following table. Goldman Sachs &amp; Co. LLC is the representative of the underwriters.</w:t>
      </w:r>
    </w:p>
    <w:p>
      <w:pPr>
        <w:spacing w:after="0" w:line="191" w:lineRule="exact"/>
        <w:rPr>
          <w:sz w:val="20"/>
          <w:szCs w:val="20"/>
          <w:color w:val="auto"/>
        </w:rPr>
      </w:pPr>
    </w:p>
    <w:p>
      <w:pPr>
        <w:ind w:left="1140"/>
        <w:spacing w:after="0"/>
        <w:tabs>
          <w:tab w:leader="none" w:pos="864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26035</wp:posOffset>
            </wp:positionV>
            <wp:extent cx="570039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spacing w:after="0" w:line="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Goldman Sachs &amp; Co. LLC</w:t>
      </w:r>
    </w:p>
    <w:p>
      <w:pPr>
        <w:spacing w:after="0" w:line="212" w:lineRule="exact"/>
        <w:rPr>
          <w:sz w:val="20"/>
          <w:szCs w:val="20"/>
          <w:color w:val="auto"/>
        </w:rPr>
      </w:pPr>
    </w:p>
    <w:p>
      <w:pPr>
        <w:ind w:right="220" w:firstLine="484"/>
        <w:spacing w:after="0" w:line="239"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209" w:lineRule="exact"/>
        <w:rPr>
          <w:sz w:val="20"/>
          <w:szCs w:val="20"/>
          <w:color w:val="auto"/>
        </w:rPr>
      </w:pPr>
    </w:p>
    <w:p>
      <w:pPr>
        <w:ind w:right="420" w:firstLine="484"/>
        <w:spacing w:after="0" w:line="281" w:lineRule="auto"/>
        <w:rPr>
          <w:sz w:val="20"/>
          <w:szCs w:val="20"/>
          <w:color w:val="auto"/>
        </w:rPr>
      </w:pPr>
      <w:r>
        <w:rPr>
          <w:rFonts w:ascii="Arial" w:cs="Arial" w:eastAsia="Arial" w:hAnsi="Arial"/>
          <w:sz w:val="16"/>
          <w:szCs w:val="16"/>
          <w:color w:val="auto"/>
        </w:rPr>
        <w:t>The underwriters will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w:t>
      </w:r>
    </w:p>
    <w:tbl>
      <w:tblPr>
        <w:tblLayout w:type="fixed"/>
        <w:tblInd w:w="0" w:type="dxa"/>
        <w:tblCellMar>
          <w:top w:w="0" w:type="dxa"/>
          <w:left w:w="0" w:type="dxa"/>
          <w:bottom w:w="0" w:type="dxa"/>
          <w:right w:w="0" w:type="dxa"/>
        </w:tblCellMar>
      </w:tblPr>
      <w:tr>
        <w:trPr>
          <w:trHeight w:val="211"/>
        </w:trPr>
        <w:tc>
          <w:tcPr>
            <w:tcW w:w="8140" w:type="dxa"/>
            <w:vAlign w:val="bottom"/>
            <w:gridSpan w:val="3"/>
          </w:tcPr>
          <w:p>
            <w:pPr>
              <w:jc w:val="right"/>
              <w:ind w:right="38"/>
              <w:spacing w:after="0"/>
              <w:rPr>
                <w:sz w:val="20"/>
                <w:szCs w:val="20"/>
                <w:color w:val="auto"/>
              </w:rPr>
            </w:pPr>
            <w:r>
              <w:rPr>
                <w:rFonts w:ascii="Arial" w:cs="Arial" w:eastAsia="Arial" w:hAnsi="Arial"/>
                <w:sz w:val="18"/>
                <w:szCs w:val="18"/>
                <w:color w:val="auto"/>
                <w:w w:val="97"/>
              </w:rPr>
              <w:t>amounts are shown assuming both no exercise and full exercise of the underwriters' option to purchase</w:t>
            </w:r>
          </w:p>
        </w:tc>
        <w:tc>
          <w:tcPr>
            <w:tcW w:w="180" w:type="dxa"/>
            <w:vAlign w:val="bottom"/>
          </w:tcPr>
          <w:p>
            <w:pPr>
              <w:spacing w:after="0"/>
              <w:rPr>
                <w:sz w:val="18"/>
                <w:szCs w:val="18"/>
                <w:color w:val="auto"/>
              </w:rPr>
            </w:pPr>
          </w:p>
        </w:tc>
        <w:tc>
          <w:tcPr>
            <w:tcW w:w="1780" w:type="dxa"/>
            <w:vAlign w:val="bottom"/>
            <w:gridSpan w:val="2"/>
          </w:tcPr>
          <w:p>
            <w:pPr>
              <w:ind w:left="340"/>
              <w:spacing w:after="0"/>
              <w:rPr>
                <w:sz w:val="20"/>
                <w:szCs w:val="20"/>
                <w:color w:val="auto"/>
              </w:rPr>
            </w:pPr>
            <w:r>
              <w:rPr>
                <w:rFonts w:ascii="Arial" w:cs="Arial" w:eastAsia="Arial" w:hAnsi="Arial"/>
                <w:sz w:val="18"/>
                <w:szCs w:val="18"/>
                <w:color w:val="auto"/>
              </w:rPr>
              <w:t>additional shares.</w:t>
            </w:r>
          </w:p>
        </w:tc>
      </w:tr>
      <w:tr>
        <w:trPr>
          <w:trHeight w:val="387"/>
        </w:trPr>
        <w:tc>
          <w:tcPr>
            <w:tcW w:w="11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5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No Exercise</w:t>
            </w:r>
          </w:p>
        </w:tc>
        <w:tc>
          <w:tcPr>
            <w:tcW w:w="180" w:type="dxa"/>
            <w:vAlign w:val="bottom"/>
          </w:tcPr>
          <w:p>
            <w:pPr>
              <w:spacing w:after="0"/>
              <w:rPr>
                <w:sz w:val="24"/>
                <w:szCs w:val="24"/>
                <w:color w:val="auto"/>
              </w:rPr>
            </w:pPr>
          </w:p>
        </w:tc>
        <w:tc>
          <w:tcPr>
            <w:tcW w:w="16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Full Exercise</w:t>
            </w:r>
          </w:p>
        </w:tc>
        <w:tc>
          <w:tcPr>
            <w:tcW w:w="160" w:type="dxa"/>
            <w:vAlign w:val="bottom"/>
          </w:tcPr>
          <w:p>
            <w:pPr>
              <w:spacing w:after="0"/>
              <w:rPr>
                <w:sz w:val="24"/>
                <w:szCs w:val="24"/>
                <w:color w:val="auto"/>
              </w:rPr>
            </w:pPr>
          </w:p>
        </w:tc>
      </w:tr>
      <w:tr>
        <w:trPr>
          <w:trHeight w:val="202"/>
        </w:trPr>
        <w:tc>
          <w:tcPr>
            <w:tcW w:w="1120" w:type="dxa"/>
            <w:vAlign w:val="bottom"/>
          </w:tcPr>
          <w:p>
            <w:pPr>
              <w:spacing w:after="0"/>
              <w:rPr>
                <w:sz w:val="17"/>
                <w:szCs w:val="17"/>
                <w:color w:val="auto"/>
              </w:rPr>
            </w:pPr>
          </w:p>
        </w:tc>
        <w:tc>
          <w:tcPr>
            <w:tcW w:w="5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Per Share</w:t>
            </w:r>
          </w:p>
        </w:tc>
        <w:tc>
          <w:tcPr>
            <w:tcW w:w="1560" w:type="dxa"/>
            <w:vAlign w:val="bottom"/>
            <w:shd w:val="clear" w:color="auto" w:fill="CCEEFF"/>
          </w:tcPr>
          <w:p>
            <w:pPr>
              <w:jc w:val="right"/>
              <w:ind w:right="1378"/>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4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14"/>
        </w:trPr>
        <w:tc>
          <w:tcPr>
            <w:tcW w:w="112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ind w:right="1378"/>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bl>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right="40"/>
        <w:spacing w:after="0" w:line="281" w:lineRule="auto"/>
        <w:rPr>
          <w:sz w:val="20"/>
          <w:szCs w:val="20"/>
          <w:color w:val="auto"/>
        </w:rPr>
      </w:pPr>
      <w:r>
        <w:rPr>
          <w:rFonts w:ascii="Arial" w:cs="Arial" w:eastAsia="Arial" w:hAnsi="Arial"/>
          <w:sz w:val="16"/>
          <w:szCs w:val="16"/>
          <w:color w:val="auto"/>
        </w:rPr>
        <w:t>prospectus. Any shares sold by the underwriters to securities dealers may be sold at a discount of up to $ per share from the initial public offering price. After the initial offering of the shares, the representative may change the offering price and the other selling terms. The offering of the shares by the underwriters is subject to receipt and acceptance and subject to the underwriters' right to reject any order in whole or in part.</w:t>
      </w:r>
    </w:p>
    <w:p>
      <w:pPr>
        <w:spacing w:after="0" w:line="177"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and our officers, directors, and holders of substantially all of our common stock will agree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 This agreement will not apply to any existing employee benefit plans. See the section titled "Shares Eligible for Future Sale" for a discussion of certain transfer restrictions.</w:t>
      </w:r>
    </w:p>
    <w:p>
      <w:pPr>
        <w:spacing w:after="0" w:line="211" w:lineRule="exact"/>
        <w:rPr>
          <w:sz w:val="20"/>
          <w:szCs w:val="20"/>
          <w:color w:val="auto"/>
        </w:rPr>
      </w:pPr>
    </w:p>
    <w:p>
      <w:pPr>
        <w:jc w:val="both"/>
        <w:ind w:right="260" w:firstLine="488"/>
        <w:spacing w:after="0" w:line="237"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us and the representative.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208" w:lineRule="exact"/>
        <w:rPr>
          <w:sz w:val="20"/>
          <w:szCs w:val="20"/>
          <w:color w:val="auto"/>
        </w:rPr>
      </w:pPr>
    </w:p>
    <w:p>
      <w:pPr>
        <w:ind w:left="500"/>
        <w:spacing w:after="0"/>
        <w:tabs>
          <w:tab w:leader="none" w:pos="5500" w:val="left"/>
          <w:tab w:leader="none" w:pos="7920" w:val="left"/>
        </w:tabs>
        <w:rPr>
          <w:sz w:val="20"/>
          <w:szCs w:val="20"/>
          <w:color w:val="auto"/>
        </w:rPr>
      </w:pPr>
      <w:r>
        <w:rPr>
          <w:rFonts w:ascii="Arial" w:cs="Arial" w:eastAsia="Arial" w:hAnsi="Arial"/>
          <w:sz w:val="18"/>
          <w:szCs w:val="18"/>
          <w:color w:val="auto"/>
        </w:rPr>
        <w:t>We intend to apply to quote the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right="220" w:firstLine="488"/>
        <w:spacing w:after="0" w:line="239"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4" w:lineRule="exact"/>
        <w:rPr>
          <w:sz w:val="20"/>
          <w:szCs w:val="20"/>
          <w:color w:val="auto"/>
        </w:rPr>
      </w:pPr>
    </w:p>
    <w:p>
      <w:pPr>
        <w:ind w:right="400" w:firstLine="484"/>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208" w:lineRule="exact"/>
        <w:rPr>
          <w:sz w:val="20"/>
          <w:szCs w:val="20"/>
          <w:color w:val="auto"/>
        </w:rPr>
      </w:pPr>
    </w:p>
    <w:p>
      <w:pPr>
        <w:ind w:right="80" w:firstLine="488"/>
        <w:spacing w:after="0" w:line="264"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w:t>
      </w:r>
    </w:p>
    <w:p>
      <w:pPr>
        <w:spacing w:after="0"/>
        <w:tabs>
          <w:tab w:leader="none" w:pos="5320" w:val="left"/>
        </w:tabs>
        <w:rPr>
          <w:sz w:val="20"/>
          <w:szCs w:val="20"/>
          <w:color w:val="auto"/>
        </w:rPr>
      </w:pPr>
      <w:r>
        <w:rPr>
          <w:rFonts w:ascii="Arial" w:cs="Arial" w:eastAsia="Arial" w:hAnsi="Arial"/>
          <w:sz w:val="18"/>
          <w:szCs w:val="18"/>
          <w:color w:val="auto"/>
        </w:rPr>
        <w:t>activities at any time. These transactions may be effected on</w:t>
      </w:r>
      <w:r>
        <w:rPr>
          <w:sz w:val="20"/>
          <w:szCs w:val="20"/>
          <w:color w:val="auto"/>
        </w:rPr>
        <w:tab/>
      </w:r>
      <w:r>
        <w:rPr>
          <w:rFonts w:ascii="Arial" w:cs="Arial" w:eastAsia="Arial" w:hAnsi="Arial"/>
          <w:sz w:val="16"/>
          <w:szCs w:val="16"/>
          <w:color w:val="auto"/>
        </w:rPr>
        <w:t>, in the over-the-counter market or otherwise.</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ind w:right="160"/>
        <w:spacing w:after="0" w:line="239" w:lineRule="auto"/>
        <w:rPr>
          <w:sz w:val="20"/>
          <w:szCs w:val="20"/>
          <w:color w:val="auto"/>
        </w:rPr>
      </w:pPr>
      <w:r>
        <w:rPr>
          <w:rFonts w:ascii="Arial" w:cs="Arial" w:eastAsia="Arial" w:hAnsi="Arial"/>
          <w:sz w:val="18"/>
          <w:szCs w:val="18"/>
          <w:color w:val="auto"/>
        </w:rPr>
        <w:t>approximately . We have also agreed to reimburse the underwriters for certain FINRA-related expenses incurred by them in connection with the offering.</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will agree to indemnify the several underwriters against certain liabilities, including liabilities under the Securities Act.</w:t>
      </w:r>
    </w:p>
    <w:p>
      <w:pPr>
        <w:spacing w:after="0" w:line="212"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72"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right="80" w:firstLine="488"/>
        <w:spacing w:after="0" w:line="28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77"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 for any such offer;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provided that no such offer of shares of our common stock shall result in a requirement for the publication by us or any underwriter of a prospectus pursuant to Article 3 of the Prospectus Directive.</w:t>
      </w:r>
    </w:p>
    <w:p>
      <w:pPr>
        <w:spacing w:after="0" w:line="20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For the purposes of this provision, the expression an "offer to the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right="280" w:firstLine="484"/>
        <w:spacing w:after="0" w:line="237"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exemption form, or in a transaction not subject to, the prospectus requirements of applicable securities laws.</w:t>
      </w:r>
    </w:p>
    <w:p>
      <w:pPr>
        <w:spacing w:after="0" w:line="21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211" w:lineRule="exact"/>
        <w:rPr>
          <w:sz w:val="20"/>
          <w:szCs w:val="20"/>
          <w:color w:val="auto"/>
        </w:rPr>
      </w:pPr>
    </w:p>
    <w:p>
      <w:pPr>
        <w:ind w:right="300" w:firstLine="488"/>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firstLine="484"/>
        <w:spacing w:after="0" w:line="235"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other document or material in connection with the offer or sale, or invitation for subscription or purchase, of the shares may not be circulated 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distributed, nor may the shares be offered or sold, or be made the subject of an invitation for subscription or purchase, whether directly or</w:t>
      </w:r>
    </w:p>
    <w:p>
      <w:pPr>
        <w:spacing w:after="0" w:line="234" w:lineRule="auto"/>
        <w:rPr>
          <w:sz w:val="20"/>
          <w:szCs w:val="20"/>
          <w:color w:val="auto"/>
        </w:rPr>
      </w:pPr>
      <w:r>
        <w:rPr>
          <w:rFonts w:ascii="Arial" w:cs="Arial" w:eastAsia="Arial" w:hAnsi="Arial"/>
          <w:sz w:val="18"/>
          <w:szCs w:val="18"/>
          <w:color w:val="auto"/>
        </w:rPr>
        <w:t>indirectly, to persons in Singapore other than (i) to an institutional investor (as defined under Section 4A of the Securities and Futures Act,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Chapter 289 of Singapore (the "SFA")) under Section 274 of the SFA, (ii) to a relevant person (as defined in Section 275(2) of the SFA) pursuant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 Section 275(1) of the SFA, or any person pursuant to Section 275(1A) of the SFA, and in accordance with the conditions specified in</w:t>
      </w:r>
    </w:p>
    <w:p>
      <w:pPr>
        <w:spacing w:after="0"/>
        <w:rPr>
          <w:sz w:val="20"/>
          <w:szCs w:val="20"/>
          <w:color w:val="auto"/>
        </w:rPr>
      </w:pPr>
      <w:r>
        <w:rPr>
          <w:rFonts w:ascii="Arial" w:cs="Arial" w:eastAsia="Arial" w:hAnsi="Arial"/>
          <w:sz w:val="16"/>
          <w:szCs w:val="16"/>
          <w:color w:val="auto"/>
        </w:rPr>
        <w:t>Section 275 of the SFA or (iii) otherwise pursuant to, and in accordance with the conditions of, any other applicable provision of the SFA, in each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case subject to conditions set forth in the SFA.</w:t>
      </w:r>
    </w:p>
    <w:p>
      <w:pPr>
        <w:spacing w:after="0" w:line="212"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11"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right="80" w:firstLine="484"/>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720" w:firstLine="484"/>
        <w:spacing w:after="0" w:line="239" w:lineRule="auto"/>
        <w:rPr>
          <w:sz w:val="20"/>
          <w:szCs w:val="20"/>
          <w:color w:val="auto"/>
        </w:rPr>
      </w:pPr>
      <w:r>
        <w:rPr>
          <w:rFonts w:ascii="Arial" w:cs="Arial" w:eastAsia="Arial" w:hAnsi="Arial"/>
          <w:sz w:val="18"/>
          <w:szCs w:val="18"/>
          <w:color w:val="auto"/>
        </w:rPr>
        <w:t>The validity of the shares of common stock offered hereby will be passed upon for us by Davis Polk &amp; Wardwell LLP, Menlo Park, California. Cooley LLP is acting as counsel to the underwriters.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right="300" w:firstLine="484"/>
        <w:spacing w:after="0" w:line="238" w:lineRule="auto"/>
        <w:rPr>
          <w:sz w:val="20"/>
          <w:szCs w:val="20"/>
          <w:color w:val="auto"/>
        </w:rPr>
      </w:pPr>
      <w:r>
        <w:rPr>
          <w:rFonts w:ascii="Arial" w:cs="Arial" w:eastAsia="Arial" w:hAnsi="Arial"/>
          <w:sz w:val="18"/>
          <w:szCs w:val="18"/>
          <w:color w:val="auto"/>
        </w:rPr>
        <w:t>The financial statements as of January 31, 2017 and January 31, 2018 and for each of the two years in the period ended January 31, 2018 included in this prospectus have been so included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ind w:firstLine="488"/>
        <w:spacing w:after="0" w:line="26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89" w:lineRule="exact"/>
        <w:rPr>
          <w:sz w:val="20"/>
          <w:szCs w:val="20"/>
          <w:color w:val="auto"/>
        </w:rPr>
      </w:pPr>
    </w:p>
    <w:p>
      <w:pPr>
        <w:ind w:right="220" w:firstLine="478"/>
        <w:spacing w:after="0" w:line="236"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Securities Exchange Act of 1934 and, in accordance with this law, will file periodic reports, proxy statements and other information with the SEC. These periodic reports, proxy statements and other information will be available for inspection at the website of the SEC referred to above. We also maintain a website at www.crowdstrike.com. Upon the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1300" w:type="dxa"/>
            <w:vAlign w:val="bottom"/>
            <w:gridSpan w:val="2"/>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8340" w:type="dxa"/>
            <w:vAlign w:val="bottom"/>
            <w:gridSpan w:val="8"/>
          </w:tcPr>
          <w:p>
            <w:pPr>
              <w:spacing w:after="0" w:line="176" w:lineRule="exact"/>
              <w:rPr>
                <w:rFonts w:ascii="Arial" w:cs="Arial" w:eastAsia="Arial" w:hAnsi="Arial"/>
                <w:sz w:val="18"/>
                <w:szCs w:val="18"/>
                <w:color w:val="0000EE"/>
              </w:rPr>
            </w:pPr>
            <w:hyperlink w:anchor="page184">
              <w:r>
                <w:rPr>
                  <w:rFonts w:ascii="Arial" w:cs="Arial" w:eastAsia="Arial" w:hAnsi="Arial"/>
                  <w:sz w:val="18"/>
                  <w:szCs w:val="18"/>
                  <w:color w:val="0000EE"/>
                </w:rPr>
                <w:t>Report of Independent Registered Public Accounting Firm</w:t>
              </w:r>
            </w:hyperlink>
          </w:p>
        </w:tc>
        <w:tc>
          <w:tcPr>
            <w:tcW w:w="1760" w:type="dxa"/>
            <w:vAlign w:val="bottom"/>
            <w:gridSpan w:val="4"/>
          </w:tcPr>
          <w:p>
            <w:pPr>
              <w:ind w:left="200"/>
              <w:spacing w:after="0" w:line="176" w:lineRule="exact"/>
              <w:rPr>
                <w:rFonts w:ascii="Arial" w:cs="Arial" w:eastAsia="Arial" w:hAnsi="Arial"/>
                <w:sz w:val="18"/>
                <w:szCs w:val="18"/>
                <w:color w:val="0000EE"/>
              </w:rPr>
            </w:pPr>
            <w:hyperlink w:anchor="page184">
              <w:r>
                <w:rPr>
                  <w:rFonts w:ascii="Arial" w:cs="Arial" w:eastAsia="Arial" w:hAnsi="Arial"/>
                  <w:sz w:val="18"/>
                  <w:szCs w:val="18"/>
                  <w:color w:val="0000EE"/>
                </w:rPr>
                <w:t>F-2</w:t>
              </w:r>
            </w:hyperlink>
          </w:p>
        </w:tc>
      </w:tr>
      <w:tr>
        <w:trPr>
          <w:trHeight w:val="183"/>
        </w:trPr>
        <w:tc>
          <w:tcPr>
            <w:tcW w:w="1140" w:type="dxa"/>
            <w:vAlign w:val="bottom"/>
          </w:tcPr>
          <w:p>
            <w:pPr>
              <w:spacing w:after="0"/>
              <w:rPr>
                <w:sz w:val="15"/>
                <w:szCs w:val="15"/>
                <w:color w:val="auto"/>
              </w:rPr>
            </w:pPr>
          </w:p>
        </w:tc>
        <w:tc>
          <w:tcPr>
            <w:tcW w:w="23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185">
              <w:r>
                <w:rPr>
                  <w:rFonts w:ascii="Arial" w:cs="Arial" w:eastAsia="Arial" w:hAnsi="Arial"/>
                  <w:sz w:val="18"/>
                  <w:szCs w:val="18"/>
                  <w:color w:val="0000EE"/>
                  <w:w w:val="96"/>
                </w:rPr>
                <w:t>Consolidated Balance Sheets</w:t>
              </w:r>
            </w:hyperlink>
          </w:p>
        </w:tc>
        <w:tc>
          <w:tcPr>
            <w:tcW w:w="2180" w:type="dxa"/>
            <w:vAlign w:val="bottom"/>
            <w:tcBorders>
              <w:top w:val="single" w:sz="8" w:color="0000EE"/>
            </w:tcBorders>
            <w:gridSpan w:val="5"/>
          </w:tcPr>
          <w:p>
            <w:pPr>
              <w:spacing w:after="0"/>
              <w:rPr>
                <w:sz w:val="15"/>
                <w:szCs w:val="15"/>
                <w:color w:val="auto"/>
              </w:rPr>
            </w:pPr>
          </w:p>
        </w:tc>
        <w:tc>
          <w:tcPr>
            <w:tcW w:w="386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185">
              <w:r>
                <w:rPr>
                  <w:rFonts w:ascii="Arial" w:cs="Arial" w:eastAsia="Arial" w:hAnsi="Arial"/>
                  <w:sz w:val="18"/>
                  <w:szCs w:val="18"/>
                  <w:color w:val="0000EE"/>
                  <w:w w:val="96"/>
                </w:rPr>
                <w:t>F-3</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06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186">
              <w:r>
                <w:rPr>
                  <w:rFonts w:ascii="Arial" w:cs="Arial" w:eastAsia="Arial" w:hAnsi="Arial"/>
                  <w:sz w:val="18"/>
                  <w:szCs w:val="18"/>
                  <w:color w:val="0000EE"/>
                  <w:w w:val="96"/>
                </w:rPr>
                <w:t>Consolidated Statements of Operations</w:t>
              </w:r>
            </w:hyperlink>
          </w:p>
        </w:tc>
        <w:tc>
          <w:tcPr>
            <w:tcW w:w="5280" w:type="dxa"/>
            <w:vAlign w:val="bottom"/>
            <w:gridSpan w:val="6"/>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186">
              <w:r>
                <w:rPr>
                  <w:rFonts w:ascii="Arial" w:cs="Arial" w:eastAsia="Arial" w:hAnsi="Arial"/>
                  <w:sz w:val="18"/>
                  <w:szCs w:val="18"/>
                  <w:color w:val="0000EE"/>
                  <w:w w:val="96"/>
                </w:rPr>
                <w:t>F-4</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340" w:type="dxa"/>
            <w:vAlign w:val="bottom"/>
            <w:gridSpan w:val="8"/>
          </w:tcPr>
          <w:p>
            <w:pPr>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Consolidated Statements of Comprehensive Loss</w:t>
              </w:r>
            </w:hyperlink>
          </w:p>
        </w:tc>
        <w:tc>
          <w:tcPr>
            <w:tcW w:w="1760" w:type="dxa"/>
            <w:vAlign w:val="bottom"/>
            <w:gridSpan w:val="4"/>
          </w:tcPr>
          <w:p>
            <w:pPr>
              <w:ind w:left="200"/>
              <w:spacing w:after="0" w:line="182" w:lineRule="exact"/>
              <w:rPr>
                <w:rFonts w:ascii="Arial" w:cs="Arial" w:eastAsia="Arial" w:hAnsi="Arial"/>
                <w:sz w:val="18"/>
                <w:szCs w:val="18"/>
                <w:color w:val="0000EE"/>
              </w:rPr>
            </w:pPr>
            <w:hyperlink w:anchor="page187">
              <w:r>
                <w:rPr>
                  <w:rFonts w:ascii="Arial" w:cs="Arial" w:eastAsia="Arial" w:hAnsi="Arial"/>
                  <w:sz w:val="18"/>
                  <w:szCs w:val="18"/>
                  <w:color w:val="0000EE"/>
                </w:rPr>
                <w:t>F-5</w:t>
              </w:r>
            </w:hyperlink>
          </w:p>
        </w:tc>
      </w:tr>
      <w:tr>
        <w:trPr>
          <w:trHeight w:val="20"/>
        </w:trPr>
        <w:tc>
          <w:tcPr>
            <w:tcW w:w="1140" w:type="dxa"/>
            <w:vAlign w:val="bottom"/>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73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88">
              <w:r>
                <w:rPr>
                  <w:rFonts w:ascii="Arial" w:cs="Arial" w:eastAsia="Arial" w:hAnsi="Arial"/>
                  <w:sz w:val="18"/>
                  <w:szCs w:val="18"/>
                  <w:color w:val="0000EE"/>
                  <w:w w:val="97"/>
                </w:rPr>
                <w:t>Consolidated Statements of Redeemable Convertible Preferred Stock and Stockholders' Deficit</w:t>
              </w:r>
            </w:hyperlink>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188">
              <w:r>
                <w:rPr>
                  <w:rFonts w:ascii="Arial" w:cs="Arial" w:eastAsia="Arial" w:hAnsi="Arial"/>
                  <w:sz w:val="18"/>
                  <w:szCs w:val="18"/>
                  <w:color w:val="0000EE"/>
                  <w:w w:val="96"/>
                </w:rPr>
                <w:t>F-6</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12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90">
              <w:r>
                <w:rPr>
                  <w:rFonts w:ascii="Arial" w:cs="Arial" w:eastAsia="Arial" w:hAnsi="Arial"/>
                  <w:sz w:val="18"/>
                  <w:szCs w:val="18"/>
                  <w:color w:val="0000EE"/>
                  <w:w w:val="96"/>
                </w:rPr>
                <w:t>Consolidated Statements of Cash Flows</w:t>
              </w:r>
            </w:hyperlink>
          </w:p>
        </w:tc>
        <w:tc>
          <w:tcPr>
            <w:tcW w:w="522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190">
              <w:r>
                <w:rPr>
                  <w:rFonts w:ascii="Arial" w:cs="Arial" w:eastAsia="Arial" w:hAnsi="Arial"/>
                  <w:sz w:val="18"/>
                  <w:szCs w:val="18"/>
                  <w:color w:val="0000EE"/>
                  <w:w w:val="96"/>
                </w:rPr>
                <w:t>F-7</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340" w:type="dxa"/>
            <w:vAlign w:val="bottom"/>
            <w:gridSpan w:val="8"/>
          </w:tcPr>
          <w:p>
            <w:pPr>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Notes to Consolidated Financial Statements</w:t>
              </w:r>
            </w:hyperlink>
          </w:p>
        </w:tc>
        <w:tc>
          <w:tcPr>
            <w:tcW w:w="1760" w:type="dxa"/>
            <w:vAlign w:val="bottom"/>
            <w:gridSpan w:val="4"/>
          </w:tcPr>
          <w:p>
            <w:pPr>
              <w:ind w:left="200"/>
              <w:spacing w:after="0" w:line="182" w:lineRule="exact"/>
              <w:rPr>
                <w:rFonts w:ascii="Arial" w:cs="Arial" w:eastAsia="Arial" w:hAnsi="Arial"/>
                <w:sz w:val="18"/>
                <w:szCs w:val="18"/>
                <w:color w:val="0000EE"/>
              </w:rPr>
            </w:pPr>
            <w:hyperlink w:anchor="page191">
              <w:r>
                <w:rPr>
                  <w:rFonts w:ascii="Arial" w:cs="Arial" w:eastAsia="Arial" w:hAnsi="Arial"/>
                  <w:sz w:val="18"/>
                  <w:szCs w:val="18"/>
                  <w:color w:val="0000EE"/>
                </w:rPr>
                <w:t>F-8</w:t>
              </w:r>
            </w:hyperlink>
          </w:p>
        </w:tc>
      </w:tr>
      <w:tr>
        <w:trPr>
          <w:trHeight w:val="437"/>
        </w:trPr>
        <w:tc>
          <w:tcPr>
            <w:tcW w:w="1140" w:type="dxa"/>
            <w:vAlign w:val="bottom"/>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500" w:type="dxa"/>
            <w:vAlign w:val="bottom"/>
            <w:gridSpan w:val="3"/>
          </w:tcPr>
          <w:p>
            <w:pPr>
              <w:ind w:left="520"/>
              <w:spacing w:after="0"/>
              <w:rPr>
                <w:sz w:val="20"/>
                <w:szCs w:val="20"/>
                <w:color w:val="auto"/>
              </w:rPr>
            </w:pPr>
            <w:r>
              <w:rPr>
                <w:rFonts w:ascii="Arial" w:cs="Arial" w:eastAsia="Arial" w:hAnsi="Arial"/>
                <w:sz w:val="18"/>
                <w:szCs w:val="18"/>
                <w:color w:val="auto"/>
              </w:rPr>
              <w:t>F-1</w:t>
            </w:r>
          </w:p>
        </w:tc>
        <w:tc>
          <w:tcPr>
            <w:tcW w:w="20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215"/>
        </w:trPr>
        <w:tc>
          <w:tcPr>
            <w:tcW w:w="1140" w:type="dxa"/>
            <w:vAlign w:val="bottom"/>
            <w:tcBorders>
              <w:bottom w:val="single" w:sz="8" w:color="808080"/>
            </w:tcBorders>
          </w:tcPr>
          <w:p>
            <w:pPr>
              <w:spacing w:after="0"/>
              <w:rPr>
                <w:sz w:val="18"/>
                <w:szCs w:val="18"/>
                <w:color w:val="auto"/>
              </w:rPr>
            </w:pPr>
          </w:p>
        </w:tc>
        <w:tc>
          <w:tcPr>
            <w:tcW w:w="230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90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CrowdStrike Holdings, Inc.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audited the accompanying consolidated balance sheets of CrowdStrike Holdings, Inc. and its subsidiaries ("the Company") as of January 31, 2018 and January 31, 2017, and the related consolidated statements of operations, of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2018 and January 31, 2017, and the results of its operations and its cash flows for the years then ended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right="320"/>
        <w:spacing w:after="0" w:line="281"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7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February 25,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CrowdStrike Holdings, Inc.</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Balance Sheets</w:t>
      </w:r>
    </w:p>
    <w:p>
      <w:pPr>
        <w:jc w:val="center"/>
        <w:ind w:right="-1100"/>
        <w:spacing w:after="0"/>
        <w:rPr>
          <w:sz w:val="20"/>
          <w:szCs w:val="20"/>
          <w:color w:val="auto"/>
        </w:rPr>
      </w:pPr>
      <w:r>
        <w:rPr>
          <w:rFonts w:ascii="Arial" w:cs="Arial" w:eastAsia="Arial" w:hAnsi="Arial"/>
          <w:sz w:val="18"/>
          <w:szCs w:val="18"/>
          <w:i w:val="1"/>
          <w:iCs w:val="1"/>
          <w:color w:val="auto"/>
        </w:rPr>
        <w:t>(in thousands, except per share data)</w:t>
      </w:r>
    </w:p>
    <w:p>
      <w:pPr>
        <w:spacing w:after="0" w:line="357" w:lineRule="exact"/>
        <w:rPr>
          <w:sz w:val="20"/>
          <w:szCs w:val="20"/>
          <w:color w:val="auto"/>
        </w:rPr>
      </w:pPr>
    </w:p>
    <w:tbl>
      <w:tblPr>
        <w:tblLayout w:type="fixed"/>
        <w:tblInd w:w="112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3"/>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rPr>
              <w:t>October 31,</w:t>
            </w:r>
          </w:p>
        </w:tc>
        <w:tc>
          <w:tcPr>
            <w:tcW w:w="1020" w:type="dxa"/>
            <w:vAlign w:val="bottom"/>
            <w:gridSpan w:val="3"/>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81"/>
        </w:trPr>
        <w:tc>
          <w:tcPr>
            <w:tcW w:w="5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22,826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63,179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83,462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83,462</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4"/>
                <w:szCs w:val="14"/>
                <w:color w:val="auto"/>
              </w:rPr>
              <w:t>Marketable securities</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10,624</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2,593</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107,967</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107,967</w:t>
            </w:r>
          </w:p>
        </w:tc>
        <w:tc>
          <w:tcPr>
            <w:tcW w:w="0" w:type="dxa"/>
            <w:vAlign w:val="bottom"/>
          </w:tcPr>
          <w:p>
            <w:pPr>
              <w:spacing w:after="0"/>
              <w:rPr>
                <w:sz w:val="1"/>
                <w:szCs w:val="1"/>
                <w:color w:val="auto"/>
              </w:rPr>
            </w:pPr>
          </w:p>
        </w:tc>
      </w:tr>
      <w:tr>
        <w:trPr>
          <w:trHeight w:val="16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 of allowance for doubtful accounts of $45, $445,</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and $930 as of January 31, 2017, January 31 2018, and October 31, 2018</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(unaudited), respectively</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24,651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59,614</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77,065</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77,065</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4"/>
                <w:szCs w:val="14"/>
                <w:color w:val="auto"/>
              </w:rPr>
              <w:t>Deferred commissions, current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6,475</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15,616</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22,022</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22,022</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5,467</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12,411</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15,053</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15,053</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4"/>
                <w:szCs w:val="14"/>
                <w:color w:val="auto"/>
              </w:rPr>
              <w:t>Notes receivable from related parties</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198</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70,043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153,611</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305,569</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305,569</w:t>
            </w:r>
          </w:p>
        </w:tc>
        <w:tc>
          <w:tcPr>
            <w:tcW w:w="0" w:type="dxa"/>
            <w:vAlign w:val="bottom"/>
          </w:tcPr>
          <w:p>
            <w:pPr>
              <w:spacing w:after="0"/>
              <w:rPr>
                <w:sz w:val="1"/>
                <w:szCs w:val="1"/>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15,080</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40,754</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59,805</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59,805</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commissions, noncurrent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3,002</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6,718</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8,531</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8,531</w:t>
            </w:r>
          </w:p>
        </w:tc>
        <w:tc>
          <w:tcPr>
            <w:tcW w:w="0" w:type="dxa"/>
            <w:vAlign w:val="bottom"/>
          </w:tcPr>
          <w:p>
            <w:pPr>
              <w:spacing w:after="0"/>
              <w:rPr>
                <w:sz w:val="1"/>
                <w:szCs w:val="1"/>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8,421</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7,882</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7,882</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403</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1,736</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1,183</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1,183</w:t>
            </w:r>
          </w:p>
        </w:tc>
        <w:tc>
          <w:tcPr>
            <w:tcW w:w="0" w:type="dxa"/>
            <w:vAlign w:val="bottom"/>
          </w:tcPr>
          <w:p>
            <w:pPr>
              <w:spacing w:after="0"/>
              <w:rPr>
                <w:sz w:val="1"/>
                <w:szCs w:val="1"/>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Notes receivable from related parties, noncurrent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6,463</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6,584</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91,371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217,703</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389,554</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389,554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Liabilities, Redeemable Convertible Preferred Stock, and Stockholders'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Equity (Deficit)</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2,463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12,261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5,733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5,611</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21,514</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19,870</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19,870</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payroll and benefits</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9,308</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18,313</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21,811</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21,811</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51,267</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109,003</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171,417</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171,417</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payable, current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19,586</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4,799</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4,853</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89,056</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165,890</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223,684</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223,684</w:t>
            </w:r>
          </w:p>
        </w:tc>
        <w:tc>
          <w:tcPr>
            <w:tcW w:w="0" w:type="dxa"/>
            <w:vAlign w:val="bottom"/>
          </w:tcPr>
          <w:p>
            <w:pPr>
              <w:spacing w:after="0"/>
              <w:rPr>
                <w:sz w:val="1"/>
                <w:szCs w:val="1"/>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25,284</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49,947</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59,752</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59,752</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payable, noncurrent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4,875</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15,971</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Other liabilities, noncurrent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4,353</w:t>
            </w:r>
          </w:p>
        </w:tc>
        <w:tc>
          <w:tcPr>
            <w:tcW w:w="1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9,559</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5,663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120,096</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236,161</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292,995</w:t>
            </w: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289,099</w:t>
            </w:r>
          </w:p>
        </w:tc>
        <w:tc>
          <w:tcPr>
            <w:tcW w:w="0" w:type="dxa"/>
            <w:vAlign w:val="bottom"/>
          </w:tcPr>
          <w:p>
            <w:pPr>
              <w:spacing w:after="0"/>
              <w:rPr>
                <w:sz w:val="1"/>
                <w:szCs w:val="1"/>
                <w:color w:val="auto"/>
              </w:rPr>
            </w:pPr>
          </w:p>
        </w:tc>
      </w:tr>
      <w:tr>
        <w:trPr>
          <w:trHeight w:val="155"/>
        </w:trPr>
        <w:tc>
          <w:tcPr>
            <w:tcW w:w="5200" w:type="dxa"/>
            <w:vAlign w:val="bottom"/>
          </w:tcPr>
          <w:p>
            <w:pPr>
              <w:ind w:left="20"/>
              <w:spacing w:after="0" w:line="155" w:lineRule="exact"/>
              <w:rPr>
                <w:sz w:val="20"/>
                <w:szCs w:val="20"/>
                <w:color w:val="auto"/>
              </w:rPr>
            </w:pPr>
            <w:r>
              <w:rPr>
                <w:rFonts w:ascii="Arial" w:cs="Arial" w:eastAsia="Arial" w:hAnsi="Arial"/>
                <w:sz w:val="14"/>
                <w:szCs w:val="14"/>
                <w:color w:val="auto"/>
              </w:rPr>
              <w:t xml:space="preserve">Commitments and contingent liabilities </w:t>
            </w:r>
            <w:r>
              <w:rPr>
                <w:rFonts w:ascii="Arial" w:cs="Arial" w:eastAsia="Arial" w:hAnsi="Arial"/>
                <w:sz w:val="14"/>
                <w:szCs w:val="14"/>
                <w:i w:val="1"/>
                <w:iCs w:val="1"/>
                <w:color w:val="auto"/>
              </w:rPr>
              <w:t>(Note 12)</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200" w:type="dxa"/>
            <w:vAlign w:val="bottom"/>
          </w:tcPr>
          <w:p>
            <w:pPr>
              <w:ind w:left="140"/>
              <w:spacing w:after="0"/>
              <w:rPr>
                <w:sz w:val="20"/>
                <w:szCs w:val="20"/>
                <w:color w:val="auto"/>
              </w:rPr>
            </w:pPr>
            <w:r>
              <w:rPr>
                <w:rFonts w:ascii="Arial" w:cs="Arial" w:eastAsia="Arial" w:hAnsi="Arial"/>
                <w:sz w:val="14"/>
                <w:szCs w:val="14"/>
                <w:color w:val="auto"/>
              </w:rPr>
              <w:t>Redeemable convertible preferred stock, $0.0005 par value; 96,032,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119,115, and 137,419 shares authorized as of January 31, 2017,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January 31, 2018, and October 31, 2018 (unaudited), respectively; 95,729,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118,693, and 131,268 shares issued and outstanding as of January 31,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2017, January 31, 2018, and October 31, 2018 (unaudited), respectively;</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liquidation preference $182,300, $338,000, $545,000 as of January 31,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2017, January 31, 2018, and October 31, 2018 (unaudited), respectively;</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no shares issued and outstanding as of October 31, 2018, pro forma</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260"/>
              <w:spacing w:after="0" w:line="157" w:lineRule="exact"/>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214,728</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351,016</w:t>
            </w:r>
          </w:p>
        </w:tc>
        <w:tc>
          <w:tcPr>
            <w:tcW w:w="18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557,912</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200" w:type="dxa"/>
            <w:vAlign w:val="bottom"/>
          </w:tcPr>
          <w:p>
            <w:pPr>
              <w:ind w:left="140"/>
              <w:spacing w:after="0"/>
              <w:rPr>
                <w:sz w:val="20"/>
                <w:szCs w:val="20"/>
                <w:color w:val="auto"/>
              </w:rPr>
            </w:pPr>
            <w:r>
              <w:rPr>
                <w:rFonts w:ascii="Arial" w:cs="Arial" w:eastAsia="Arial" w:hAnsi="Arial"/>
                <w:sz w:val="14"/>
                <w:szCs w:val="14"/>
                <w:color w:val="auto"/>
              </w:rPr>
              <w:t>Common stock, $0.0005 par value; 160,000, 190,000, and 220,000 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authorized as of January 31, 2017, January 31, 2018, and October 31,</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2018 (unaudited), respectively; 40,498, 44,231, and 46,829 shares issued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and outstanding as of January 31, 2017, January 31, 2018, and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ind w:left="260"/>
              <w:spacing w:after="0"/>
              <w:rPr>
                <w:sz w:val="20"/>
                <w:szCs w:val="20"/>
                <w:color w:val="auto"/>
              </w:rPr>
            </w:pPr>
            <w:r>
              <w:rPr>
                <w:rFonts w:ascii="Arial" w:cs="Arial" w:eastAsia="Arial" w:hAnsi="Arial"/>
                <w:sz w:val="14"/>
                <w:szCs w:val="14"/>
                <w:color w:val="auto"/>
              </w:rPr>
              <w:t>October 31, 2018 (unaudited), respectively; 178,097 shares issued and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ind w:left="260"/>
              <w:spacing w:after="0" w:line="157" w:lineRule="exact"/>
              <w:rPr>
                <w:sz w:val="20"/>
                <w:szCs w:val="20"/>
                <w:color w:val="auto"/>
              </w:rPr>
            </w:pPr>
            <w:r>
              <w:rPr>
                <w:rFonts w:ascii="Arial" w:cs="Arial" w:eastAsia="Arial" w:hAnsi="Arial"/>
                <w:sz w:val="14"/>
                <w:szCs w:val="14"/>
                <w:color w:val="auto"/>
              </w:rPr>
              <w:t>outstanding as of October 31, 2018, pro forma (unaudited)</w:t>
            </w:r>
          </w:p>
        </w:tc>
        <w:tc>
          <w:tcPr>
            <w:tcW w:w="120" w:type="dxa"/>
            <w:vAlign w:val="bottom"/>
          </w:tcPr>
          <w:p>
            <w:pPr>
              <w:spacing w:after="0"/>
              <w:rPr>
                <w:sz w:val="13"/>
                <w:szCs w:val="13"/>
                <w:color w:val="auto"/>
              </w:rPr>
            </w:pPr>
          </w:p>
        </w:tc>
        <w:tc>
          <w:tcPr>
            <w:tcW w:w="7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22</w:t>
            </w:r>
          </w:p>
        </w:tc>
        <w:tc>
          <w:tcPr>
            <w:tcW w:w="18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8,482</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26,638</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590,786</w:t>
            </w:r>
          </w:p>
        </w:tc>
        <w:tc>
          <w:tcPr>
            <w:tcW w:w="0" w:type="dxa"/>
            <w:vAlign w:val="bottom"/>
          </w:tcPr>
          <w:p>
            <w:pPr>
              <w:spacing w:after="0"/>
              <w:rPr>
                <w:sz w:val="1"/>
                <w:szCs w:val="1"/>
                <w:color w:val="auto"/>
              </w:rPr>
            </w:pPr>
          </w:p>
        </w:tc>
      </w:tr>
      <w:tr>
        <w:trPr>
          <w:trHeight w:val="162"/>
        </w:trPr>
        <w:tc>
          <w:tcPr>
            <w:tcW w:w="520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(243,458)</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(378,948)</w:t>
            </w: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(487,866)</w:t>
            </w: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(490,272)</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970</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80"/>
              <w:spacing w:after="0"/>
              <w:rPr>
                <w:sz w:val="20"/>
                <w:szCs w:val="20"/>
                <w:color w:val="auto"/>
              </w:rPr>
            </w:pPr>
            <w:r>
              <w:rPr>
                <w:rFonts w:ascii="Arial" w:cs="Arial" w:eastAsia="Arial" w:hAnsi="Arial"/>
                <w:sz w:val="14"/>
                <w:szCs w:val="14"/>
                <w:color w:val="auto"/>
              </w:rPr>
              <w:t>Total stockholders' equity (deficit)</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(243,453)</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(369,474)</w:t>
            </w:r>
          </w:p>
        </w:tc>
        <w:tc>
          <w:tcPr>
            <w:tcW w:w="18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(461,353)</w:t>
            </w:r>
          </w:p>
        </w:tc>
        <w:tc>
          <w:tcPr>
            <w:tcW w:w="180" w:type="dxa"/>
            <w:vAlign w:val="bottom"/>
          </w:tcPr>
          <w:p>
            <w:pPr>
              <w:spacing w:after="0"/>
              <w:rPr>
                <w:sz w:val="13"/>
                <w:szCs w:val="13"/>
                <w:color w:val="auto"/>
              </w:rPr>
            </w:pPr>
          </w:p>
        </w:tc>
        <w:tc>
          <w:tcPr>
            <w:tcW w:w="8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100,455</w:t>
            </w:r>
          </w:p>
        </w:tc>
        <w:tc>
          <w:tcPr>
            <w:tcW w:w="0" w:type="dxa"/>
            <w:vAlign w:val="bottom"/>
          </w:tcPr>
          <w:p>
            <w:pPr>
              <w:spacing w:after="0"/>
              <w:rPr>
                <w:sz w:val="1"/>
                <w:szCs w:val="1"/>
                <w:color w:val="auto"/>
              </w:rPr>
            </w:pPr>
          </w:p>
        </w:tc>
      </w:tr>
      <w:tr>
        <w:trPr>
          <w:trHeight w:val="160"/>
        </w:trPr>
        <w:tc>
          <w:tcPr>
            <w:tcW w:w="5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liabilities, redeemable convertible preferred stock, and stockholders'</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equity (deficit)</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91,371</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217,703</w:t>
            </w:r>
          </w:p>
        </w:tc>
        <w:tc>
          <w:tcPr>
            <w:tcW w:w="1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389,554</w:t>
            </w:r>
          </w:p>
        </w:tc>
        <w:tc>
          <w:tcPr>
            <w:tcW w:w="1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389,554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43" w:right="1440"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CrowdStrike Holdings, Inc.</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Operations</w:t>
      </w:r>
    </w:p>
    <w:p>
      <w:pPr>
        <w:jc w:val="center"/>
        <w:ind w:right="-1100"/>
        <w:spacing w:after="0"/>
        <w:rPr>
          <w:sz w:val="20"/>
          <w:szCs w:val="20"/>
          <w:color w:val="auto"/>
        </w:rPr>
      </w:pPr>
      <w:r>
        <w:rPr>
          <w:rFonts w:ascii="Arial" w:cs="Arial" w:eastAsia="Arial" w:hAnsi="Arial"/>
          <w:sz w:val="18"/>
          <w:szCs w:val="18"/>
          <w:i w:val="1"/>
          <w:iCs w:val="1"/>
          <w:color w:val="auto"/>
        </w:rPr>
        <w:t>(in thousands, except per share data)</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5"/>
                <w:szCs w:val="15"/>
                <w:color w:val="auto"/>
              </w:rPr>
            </w:pPr>
          </w:p>
        </w:tc>
        <w:tc>
          <w:tcPr>
            <w:tcW w:w="19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Subscription</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37,895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92,568</w:t>
            </w:r>
          </w:p>
        </w:tc>
        <w:tc>
          <w:tcPr>
            <w:tcW w:w="1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60,074</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146,570</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14,850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26,184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19,961</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22,799</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38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52,745</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118,752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80,035</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169,369</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revenue</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Subscription</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24,378</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39,857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25,500</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47,077</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9,628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9,816</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13,166</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380"/>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34,006</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54,486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35,316</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60,243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18,739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64,266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44,719</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109,126</w:t>
            </w:r>
          </w:p>
        </w:tc>
        <w:tc>
          <w:tcPr>
            <w:tcW w:w="0" w:type="dxa"/>
            <w:vAlign w:val="bottom"/>
          </w:tcPr>
          <w:p>
            <w:pPr>
              <w:spacing w:after="0"/>
              <w:rPr>
                <w:sz w:val="1"/>
                <w:szCs w:val="1"/>
                <w:color w:val="auto"/>
              </w:rPr>
            </w:pPr>
          </w:p>
        </w:tc>
      </w:tr>
      <w:tr>
        <w:trPr>
          <w:trHeight w:val="196"/>
        </w:trPr>
        <w:tc>
          <w:tcPr>
            <w:tcW w:w="472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53,748</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104,277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70,012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123,344</w:t>
            </w: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39,145</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58,887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42,959</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62,546</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16,402</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26,421</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28,868</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109,295</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195,706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139,392</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214,758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(90,556)</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(131,440)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(94,673)</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(105,632)</w:t>
            </w: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(615)</w:t>
            </w: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(1,648)</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(1,458)</w:t>
            </w:r>
          </w:p>
        </w:tc>
        <w:tc>
          <w:tcPr>
            <w:tcW w:w="1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(1,473)</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(1,420)</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(91,253)</w:t>
            </w: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(134,561)</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(97,551)</w:t>
            </w:r>
          </w:p>
        </w:tc>
        <w:tc>
          <w:tcPr>
            <w:tcW w:w="18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(107,799)</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(929)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(91,340)</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(135,490)</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(97,997)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(108,817)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Accretion of redeemable convertible preferred stock</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(17,012)</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(5,853)</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8"/>
                <w:szCs w:val="18"/>
                <w:color w:val="auto"/>
              </w:rPr>
              <w:t>(1,629)</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(108,352)</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(141,343)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(99,626)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(108,817)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2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Net loss per share attributable to common stockholders,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in computing net loss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share attributable to common stockholders, basic and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tcPr>
          <w:p>
            <w:pPr>
              <w:ind w:left="200"/>
              <w:spacing w:after="0" w:line="200" w:lineRule="exact"/>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39,706</w:t>
            </w:r>
          </w:p>
        </w:tc>
        <w:tc>
          <w:tcPr>
            <w:tcW w:w="16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41,876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41,483</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44,344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 per share, basic and diluted</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7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(unaudited)</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(0.89)</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in computing pro forma</w:t>
            </w: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720" w:type="dxa"/>
            <w:vAlign w:val="bottom"/>
          </w:tcPr>
          <w:p>
            <w:pPr>
              <w:ind w:left="200"/>
              <w:spacing w:after="0" w:line="200" w:lineRule="exact"/>
              <w:rPr>
                <w:sz w:val="20"/>
                <w:szCs w:val="20"/>
                <w:color w:val="auto"/>
              </w:rPr>
            </w:pPr>
            <w:r>
              <w:rPr>
                <w:rFonts w:ascii="Arial" w:cs="Arial" w:eastAsia="Arial" w:hAnsi="Arial"/>
                <w:sz w:val="18"/>
                <w:szCs w:val="18"/>
                <w:color w:val="auto"/>
              </w:rPr>
              <w:t>net loss per share, basic and diluted (unaudited)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152,049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169,023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43" w:right="1440"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CrowdStrike Holdings, Inc.</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ind w:right="-110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5"/>
                <w:szCs w:val="15"/>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(91,340)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(135,490)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(97,997)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(108,817)</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6"/>
        </w:trPr>
        <w:tc>
          <w:tcPr>
            <w:tcW w:w="4820" w:type="dxa"/>
            <w:vAlign w:val="bottom"/>
          </w:tcPr>
          <w:p>
            <w:pPr>
              <w:ind w:left="200"/>
              <w:spacing w:after="0" w:line="206" w:lineRule="exact"/>
              <w:rPr>
                <w:sz w:val="20"/>
                <w:szCs w:val="20"/>
                <w:color w:val="auto"/>
              </w:rPr>
            </w:pPr>
            <w:r>
              <w:rPr>
                <w:rFonts w:ascii="Arial" w:cs="Arial" w:eastAsia="Arial" w:hAnsi="Arial"/>
                <w:sz w:val="18"/>
                <w:szCs w:val="18"/>
                <w:color w:val="auto"/>
              </w:rPr>
              <w:t>Unrealized gain (loss) on available-for-sale securities, net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20" w:type="dxa"/>
            <w:vAlign w:val="bottom"/>
          </w:tcPr>
          <w:p>
            <w:pPr>
              <w:ind w:left="320"/>
              <w:spacing w:after="0" w:line="200" w:lineRule="exact"/>
              <w:rPr>
                <w:sz w:val="20"/>
                <w:szCs w:val="20"/>
                <w:color w:val="auto"/>
              </w:rPr>
            </w:pPr>
            <w:r>
              <w:rPr>
                <w:rFonts w:ascii="Arial" w:cs="Arial" w:eastAsia="Arial" w:hAnsi="Arial"/>
                <w:sz w:val="18"/>
                <w:szCs w:val="18"/>
                <w:color w:val="auto"/>
              </w:rPr>
              <w:t>of tax</w:t>
            </w:r>
          </w:p>
        </w:tc>
        <w:tc>
          <w:tcPr>
            <w:tcW w:w="180" w:type="dxa"/>
            <w:vAlign w:val="bottom"/>
          </w:tcPr>
          <w:p>
            <w:pPr>
              <w:spacing w:after="0"/>
              <w:rPr>
                <w:sz w:val="17"/>
                <w:szCs w:val="17"/>
                <w:color w:val="auto"/>
              </w:rPr>
            </w:pPr>
          </w:p>
        </w:tc>
        <w:tc>
          <w:tcPr>
            <w:tcW w:w="820" w:type="dxa"/>
            <w:vAlign w:val="bottom"/>
            <w:gridSpan w:val="3"/>
          </w:tcPr>
          <w:p>
            <w:pPr>
              <w:jc w:val="right"/>
              <w:ind w:right="80"/>
              <w:spacing w:after="0" w:line="200"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9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985</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Arial" w:cs="Arial" w:eastAsia="Arial" w:hAnsi="Arial"/>
                <w:sz w:val="18"/>
                <w:szCs w:val="18"/>
                <w:color w:val="auto"/>
              </w:rPr>
              <w:t>Total comprehensive loss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(91,368)</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(134,505)</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(97,702)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(109,935)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43" w:right="1440" w:bottom="1440" w:gutter="0" w:footer="0" w:header="0"/>
        </w:sectPr>
      </w:pPr>
    </w:p>
    <w:bookmarkStart w:id="187" w:name="page188"/>
    <w:bookmarkEnd w:id="187"/>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CrowdStrike Holdings, Inc.</w:t>
      </w:r>
    </w:p>
    <w:p>
      <w:pPr>
        <w:spacing w:after="0" w:line="13"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jc w:val="center"/>
        <w:ind w:right="-1019"/>
        <w:spacing w:after="0"/>
        <w:rPr>
          <w:sz w:val="20"/>
          <w:szCs w:val="20"/>
          <w:color w:val="auto"/>
        </w:rPr>
      </w:pPr>
      <w:r>
        <w:rPr>
          <w:rFonts w:ascii="Arial" w:cs="Arial" w:eastAsia="Arial" w:hAnsi="Arial"/>
          <w:sz w:val="18"/>
          <w:szCs w:val="18"/>
          <w:i w:val="1"/>
          <w:iCs w:val="1"/>
          <w:color w:val="auto"/>
        </w:rPr>
        <w:t>(in thousands)</w:t>
      </w:r>
    </w:p>
    <w:p>
      <w:pPr>
        <w:spacing w:after="0" w:line="26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Redeemable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180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180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4"/>
                <w:szCs w:val="4"/>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180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rPr>
              <w:t>Preferred Stock</w:t>
            </w:r>
          </w:p>
        </w:tc>
        <w:tc>
          <w:tcPr>
            <w:tcW w:w="144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360" w:type="dxa"/>
            <w:vAlign w:val="bottom"/>
          </w:tcPr>
          <w:p>
            <w:pPr>
              <w:spacing w:after="0"/>
              <w:rPr>
                <w:sz w:val="6"/>
                <w:szCs w:val="6"/>
                <w:color w:val="auto"/>
              </w:rPr>
            </w:pPr>
          </w:p>
        </w:tc>
        <w:tc>
          <w:tcPr>
            <w:tcW w:w="1800" w:type="dxa"/>
            <w:vAlign w:val="bottom"/>
            <w:gridSpan w:val="5"/>
            <w:vMerge w:val="continue"/>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Accumulated</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Comprehensive</w:t>
            </w:r>
          </w:p>
        </w:tc>
        <w:tc>
          <w:tcPr>
            <w:tcW w:w="11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w:t>
            </w: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February 1, 2016</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95,729</w:t>
            </w:r>
          </w:p>
        </w:tc>
        <w:tc>
          <w:tcPr>
            <w:tcW w:w="94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$ 197,716</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38,643</w:t>
            </w:r>
          </w:p>
        </w:tc>
        <w:tc>
          <w:tcPr>
            <w:tcW w:w="2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(137,866)</w:t>
            </w: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(137,834)</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Issuance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upon exercise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of options</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1,855</w:t>
            </w: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766</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expense</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1,994</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Accretion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redeemable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convertible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preferred stock</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17,012</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(2,760)</w:t>
            </w:r>
          </w:p>
        </w:tc>
        <w:tc>
          <w:tcPr>
            <w:tcW w:w="180" w:type="dxa"/>
            <w:vAlign w:val="bottom"/>
          </w:tcPr>
          <w:p>
            <w:pPr>
              <w:spacing w:after="0"/>
              <w:rPr>
                <w:sz w:val="13"/>
                <w:szCs w:val="13"/>
                <w:color w:val="auto"/>
              </w:rPr>
            </w:pPr>
          </w:p>
        </w:tc>
        <w:tc>
          <w:tcPr>
            <w:tcW w:w="9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(14,252)</w:t>
            </w:r>
          </w:p>
        </w:tc>
        <w:tc>
          <w:tcPr>
            <w:tcW w:w="8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(17,012)</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(91,340)</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(91,340)</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Other</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comprehensive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loss</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3"/>
                <w:szCs w:val="13"/>
                <w:color w:val="auto"/>
              </w:rPr>
            </w:pP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0"/>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w:t>
            </w: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31,</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2017</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95,729</w:t>
            </w:r>
          </w:p>
        </w:tc>
        <w:tc>
          <w:tcPr>
            <w:tcW w:w="94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$ 214,728</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40,498</w:t>
            </w:r>
          </w:p>
        </w:tc>
        <w:tc>
          <w:tcPr>
            <w:tcW w:w="2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(243,458)</w:t>
            </w: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(243,453)</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Issuance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Series 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redeemable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convertible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preferred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stock, net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issuance costs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of $187</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17,570</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99,813</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Series D-1</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redeemable</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convertible</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preferred</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stock, net of</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issuance costs</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of $78</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5,394</w:t>
            </w:r>
          </w:p>
        </w:tc>
        <w:tc>
          <w:tcPr>
            <w:tcW w:w="94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30,622</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Issuance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upon exercise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of options</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2,363</w:t>
            </w: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1,418</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1,420</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related to early</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exercised</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options</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1,370</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Vesting of early</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exercised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options</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574</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expense</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12,343</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12,343</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Accretion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redeemable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convertible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preferred stock</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5,853</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(5,853)</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(5,853)</w:t>
            </w: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(135,490)</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(135,490)</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Other</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comprehensive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income</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985</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60"/>
        </w:trPr>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w:t>
            </w: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January 31,</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2018</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118,693</w:t>
            </w:r>
          </w:p>
        </w:tc>
        <w:tc>
          <w:tcPr>
            <w:tcW w:w="94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$ 351,016</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44,231</w:t>
            </w:r>
          </w:p>
        </w:tc>
        <w:tc>
          <w:tcPr>
            <w:tcW w:w="2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8,482</w:t>
            </w:r>
          </w:p>
        </w:tc>
        <w:tc>
          <w:tcPr>
            <w:tcW w:w="1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(378,948)</w:t>
            </w: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970</w:t>
            </w:r>
          </w:p>
        </w:tc>
        <w:tc>
          <w:tcPr>
            <w:tcW w:w="1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(369,474)</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Cumulative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effect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accounting</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change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(unaudited)</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101</w:t>
            </w:r>
          </w:p>
        </w:tc>
        <w:tc>
          <w:tcPr>
            <w:tcW w:w="180" w:type="dxa"/>
            <w:vAlign w:val="bottom"/>
          </w:tcPr>
          <w:p>
            <w:pPr>
              <w:spacing w:after="0"/>
              <w:rPr>
                <w:sz w:val="13"/>
                <w:szCs w:val="13"/>
                <w:color w:val="auto"/>
              </w:rPr>
            </w:pPr>
          </w:p>
        </w:tc>
        <w:tc>
          <w:tcPr>
            <w:tcW w:w="9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Series E and</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Series E-1</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redeemable</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convertible</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preferred</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stock, net of</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issuance costs</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of $104</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(unaudited)</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12,575</w:t>
            </w:r>
          </w:p>
        </w:tc>
        <w:tc>
          <w:tcPr>
            <w:tcW w:w="94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206,896</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360" w:type="dxa"/>
            <w:vAlign w:val="bottom"/>
          </w:tcPr>
          <w:p>
            <w:pPr>
              <w:ind w:left="140"/>
              <w:spacing w:after="0"/>
              <w:rPr>
                <w:sz w:val="20"/>
                <w:szCs w:val="20"/>
                <w:color w:val="auto"/>
              </w:rPr>
            </w:pPr>
            <w:r>
              <w:rPr>
                <w:rFonts w:ascii="Arial" w:cs="Arial" w:eastAsia="Arial" w:hAnsi="Arial"/>
                <w:sz w:val="14"/>
                <w:szCs w:val="14"/>
                <w:color w:val="auto"/>
              </w:rPr>
              <w:t>Issuance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common stock</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upon exercise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260"/>
              <w:spacing w:after="0"/>
              <w:rPr>
                <w:sz w:val="20"/>
                <w:szCs w:val="20"/>
                <w:color w:val="auto"/>
              </w:rPr>
            </w:pPr>
            <w:r>
              <w:rPr>
                <w:rFonts w:ascii="Arial" w:cs="Arial" w:eastAsia="Arial" w:hAnsi="Arial"/>
                <w:sz w:val="14"/>
                <w:szCs w:val="14"/>
                <w:color w:val="auto"/>
              </w:rPr>
              <w:t>of options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tcPr>
          <w:p>
            <w:pPr>
              <w:ind w:left="260"/>
              <w:spacing w:after="0" w:line="157" w:lineRule="exact"/>
              <w:rPr>
                <w:sz w:val="20"/>
                <w:szCs w:val="20"/>
                <w:color w:val="auto"/>
              </w:rPr>
            </w:pPr>
            <w:r>
              <w:rPr>
                <w:rFonts w:ascii="Arial" w:cs="Arial" w:eastAsia="Arial" w:hAnsi="Arial"/>
                <w:sz w:val="14"/>
                <w:szCs w:val="14"/>
                <w:color w:val="auto"/>
              </w:rPr>
              <w:t>(unaudited)</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2,418</w:t>
            </w:r>
          </w:p>
        </w:tc>
        <w:tc>
          <w:tcPr>
            <w:tcW w:w="260" w:type="dxa"/>
            <w:vAlign w:val="bottom"/>
          </w:tcPr>
          <w:p>
            <w:pPr>
              <w:spacing w:after="0"/>
              <w:rPr>
                <w:sz w:val="13"/>
                <w:szCs w:val="13"/>
                <w:color w:val="auto"/>
              </w:rPr>
            </w:pPr>
          </w:p>
        </w:tc>
        <w:tc>
          <w:tcPr>
            <w:tcW w:w="4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2,791</w:t>
            </w:r>
          </w:p>
        </w:tc>
        <w:tc>
          <w:tcPr>
            <w:tcW w:w="18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2,792</w:t>
            </w: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related to early</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exercised</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(unaudited)</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38</w:t>
            </w:r>
          </w:p>
        </w:tc>
        <w:tc>
          <w:tcPr>
            <w:tcW w:w="2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360" w:type="dxa"/>
            <w:vAlign w:val="bottom"/>
          </w:tcPr>
          <w:p>
            <w:pPr>
              <w:ind w:left="140"/>
              <w:spacing w:after="0"/>
              <w:rPr>
                <w:sz w:val="20"/>
                <w:szCs w:val="20"/>
                <w:color w:val="auto"/>
              </w:rPr>
            </w:pPr>
            <w:r>
              <w:rPr>
                <w:rFonts w:ascii="Arial" w:cs="Arial" w:eastAsia="Arial" w:hAnsi="Arial"/>
                <w:sz w:val="14"/>
                <w:szCs w:val="14"/>
                <w:color w:val="auto"/>
              </w:rPr>
              <w:t>Issuance of</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106</w:t>
            </w:r>
          </w:p>
        </w:tc>
        <w:tc>
          <w:tcPr>
            <w:tcW w:w="26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900" w:orient="portrait"/>
          <w:cols w:equalWidth="0" w:num="1">
            <w:col w:w="10220"/>
          </w:cols>
          <w:pgMar w:left="320" w:top="143" w:right="1359" w:bottom="0" w:gutter="0" w:footer="0" w:header="0"/>
        </w:sectPr>
      </w:pPr>
    </w:p>
    <w:bookmarkStart w:id="188" w:name="page189"/>
    <w:bookmarkEnd w:id="18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340" w:type="dxa"/>
            <w:vAlign w:val="bottom"/>
          </w:tcPr>
          <w:p>
            <w:pPr>
              <w:ind w:left="240"/>
              <w:spacing w:after="0"/>
              <w:rPr>
                <w:sz w:val="20"/>
                <w:szCs w:val="20"/>
                <w:color w:val="auto"/>
              </w:rPr>
            </w:pPr>
            <w:r>
              <w:rPr>
                <w:rFonts w:ascii="Arial" w:cs="Arial" w:eastAsia="Arial" w:hAnsi="Arial"/>
                <w:sz w:val="14"/>
                <w:szCs w:val="14"/>
                <w:color w:val="auto"/>
              </w:rPr>
              <w:t>common stock</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(unaudited)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120"/>
              <w:spacing w:after="0"/>
              <w:rPr>
                <w:sz w:val="20"/>
                <w:szCs w:val="20"/>
                <w:color w:val="auto"/>
              </w:rPr>
            </w:pPr>
            <w:r>
              <w:rPr>
                <w:rFonts w:ascii="Arial" w:cs="Arial" w:eastAsia="Arial" w:hAnsi="Arial"/>
                <w:sz w:val="14"/>
                <w:szCs w:val="14"/>
                <w:color w:val="auto"/>
              </w:rPr>
              <w:t>Issuance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restricted stock</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awards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(unaudited)</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2"/>
        </w:trPr>
        <w:tc>
          <w:tcPr>
            <w:tcW w:w="1340" w:type="dxa"/>
            <w:vAlign w:val="bottom"/>
          </w:tcPr>
          <w:p>
            <w:pPr>
              <w:ind w:left="120"/>
              <w:spacing w:after="0"/>
              <w:rPr>
                <w:sz w:val="20"/>
                <w:szCs w:val="20"/>
                <w:color w:val="auto"/>
              </w:rPr>
            </w:pPr>
            <w:r>
              <w:rPr>
                <w:rFonts w:ascii="Arial" w:cs="Arial" w:eastAsia="Arial" w:hAnsi="Arial"/>
                <w:sz w:val="14"/>
                <w:szCs w:val="14"/>
                <w:color w:val="auto"/>
              </w:rPr>
              <w:t>Vesting of early</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exercised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options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(unaudited)</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2"/>
        </w:trPr>
        <w:tc>
          <w:tcPr>
            <w:tcW w:w="1340" w:type="dxa"/>
            <w:vAlign w:val="bottom"/>
          </w:tcPr>
          <w:p>
            <w:pPr>
              <w:ind w:left="120"/>
              <w:spacing w:after="0"/>
              <w:rPr>
                <w:sz w:val="20"/>
                <w:szCs w:val="20"/>
                <w:color w:val="auto"/>
              </w:rPr>
            </w:pPr>
            <w:r>
              <w:rPr>
                <w:rFonts w:ascii="Arial" w:cs="Arial" w:eastAsia="Arial" w:hAnsi="Arial"/>
                <w:sz w:val="14"/>
                <w:szCs w:val="14"/>
                <w:color w:val="auto"/>
              </w:rPr>
              <w:t>Stock-based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compensation</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(unaudited)</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2"/>
        </w:trPr>
        <w:tc>
          <w:tcPr>
            <w:tcW w:w="1340" w:type="dxa"/>
            <w:vAlign w:val="bottom"/>
          </w:tcPr>
          <w:p>
            <w:pPr>
              <w:ind w:left="120"/>
              <w:spacing w:after="0"/>
              <w:rPr>
                <w:sz w:val="20"/>
                <w:szCs w:val="20"/>
                <w:color w:val="auto"/>
              </w:rPr>
            </w:pPr>
            <w:r>
              <w:rPr>
                <w:rFonts w:ascii="Arial" w:cs="Arial" w:eastAsia="Arial" w:hAnsi="Arial"/>
                <w:sz w:val="14"/>
                <w:szCs w:val="14"/>
                <w:color w:val="auto"/>
              </w:rPr>
              <w:t>Repurchase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stock options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(unaudited)</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2"/>
        </w:trPr>
        <w:tc>
          <w:tcPr>
            <w:tcW w:w="13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(unaudited)</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r>
      <w:tr>
        <w:trPr>
          <w:trHeight w:val="162"/>
        </w:trPr>
        <w:tc>
          <w:tcPr>
            <w:tcW w:w="1340" w:type="dxa"/>
            <w:vAlign w:val="bottom"/>
          </w:tcPr>
          <w:p>
            <w:pPr>
              <w:ind w:left="120"/>
              <w:spacing w:after="0"/>
              <w:rPr>
                <w:sz w:val="20"/>
                <w:szCs w:val="20"/>
                <w:color w:val="auto"/>
              </w:rPr>
            </w:pPr>
            <w:r>
              <w:rPr>
                <w:rFonts w:ascii="Arial" w:cs="Arial" w:eastAsia="Arial" w:hAnsi="Arial"/>
                <w:sz w:val="14"/>
                <w:szCs w:val="14"/>
                <w:color w:val="auto"/>
              </w:rPr>
              <w:t>Other</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comprehensive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40" w:type="dxa"/>
            <w:vAlign w:val="bottom"/>
          </w:tcPr>
          <w:p>
            <w:pPr>
              <w:ind w:left="240"/>
              <w:spacing w:after="0"/>
              <w:rPr>
                <w:sz w:val="20"/>
                <w:szCs w:val="20"/>
                <w:color w:val="auto"/>
              </w:rPr>
            </w:pPr>
            <w:r>
              <w:rPr>
                <w:rFonts w:ascii="Arial" w:cs="Arial" w:eastAsia="Arial" w:hAnsi="Arial"/>
                <w:sz w:val="14"/>
                <w:szCs w:val="14"/>
                <w:color w:val="auto"/>
              </w:rPr>
              <w:t>loss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1340" w:type="dxa"/>
            <w:vAlign w:val="bottom"/>
          </w:tcPr>
          <w:p>
            <w:pPr>
              <w:ind w:left="240"/>
              <w:spacing w:after="0" w:line="157" w:lineRule="exact"/>
              <w:rPr>
                <w:sz w:val="20"/>
                <w:szCs w:val="20"/>
                <w:color w:val="auto"/>
              </w:rPr>
            </w:pPr>
            <w:r>
              <w:rPr>
                <w:rFonts w:ascii="Arial" w:cs="Arial" w:eastAsia="Arial" w:hAnsi="Arial"/>
                <w:sz w:val="14"/>
                <w:szCs w:val="14"/>
                <w:color w:val="auto"/>
              </w:rPr>
              <w:t>(unaudited)</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r>
      <w:tr>
        <w:trPr>
          <w:trHeight w:val="160"/>
        </w:trPr>
        <w:tc>
          <w:tcPr>
            <w:tcW w:w="1340" w:type="dxa"/>
            <w:vAlign w:val="bottom"/>
          </w:tcPr>
          <w:p>
            <w:pPr>
              <w:spacing w:after="0"/>
              <w:rPr>
                <w:sz w:val="20"/>
                <w:szCs w:val="20"/>
                <w:color w:val="auto"/>
              </w:rPr>
            </w:pPr>
            <w:r>
              <w:rPr>
                <w:rFonts w:ascii="Arial" w:cs="Arial" w:eastAsia="Arial" w:hAnsi="Arial"/>
                <w:sz w:val="14"/>
                <w:szCs w:val="14"/>
                <w:color w:val="auto"/>
              </w:rPr>
              <w:t>Balances at</w:t>
            </w: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1340" w:type="dxa"/>
            <w:vAlign w:val="bottom"/>
          </w:tcPr>
          <w:p>
            <w:pPr>
              <w:ind w:left="120"/>
              <w:spacing w:after="0"/>
              <w:rPr>
                <w:sz w:val="20"/>
                <w:szCs w:val="20"/>
                <w:color w:val="auto"/>
              </w:rPr>
            </w:pPr>
            <w:r>
              <w:rPr>
                <w:rFonts w:ascii="Arial" w:cs="Arial" w:eastAsia="Arial" w:hAnsi="Arial"/>
                <w:sz w:val="14"/>
                <w:szCs w:val="14"/>
                <w:color w:val="auto"/>
              </w:rPr>
              <w:t>October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1340" w:type="dxa"/>
            <w:vAlign w:val="bottom"/>
          </w:tcPr>
          <w:p>
            <w:pPr>
              <w:ind w:left="120"/>
              <w:spacing w:after="0" w:line="157" w:lineRule="exact"/>
              <w:rPr>
                <w:sz w:val="20"/>
                <w:szCs w:val="20"/>
                <w:color w:val="auto"/>
              </w:rPr>
            </w:pPr>
            <w:r>
              <w:rPr>
                <w:rFonts w:ascii="Arial" w:cs="Arial" w:eastAsia="Arial" w:hAnsi="Arial"/>
                <w:sz w:val="14"/>
                <w:szCs w:val="14"/>
                <w:color w:val="auto"/>
              </w:rPr>
              <w:t>2018 (unaudited)</w:t>
            </w: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131,268</w:t>
            </w:r>
          </w:p>
        </w:tc>
        <w:tc>
          <w:tcPr>
            <w:tcW w:w="940" w:type="dxa"/>
            <w:vAlign w:val="bottom"/>
            <w:tcBorders>
              <w:right w:val="single" w:sz="8" w:color="auto"/>
            </w:tcBorders>
            <w:gridSpan w:val="2"/>
          </w:tcPr>
          <w:p>
            <w:pPr>
              <w:jc w:val="right"/>
              <w:ind w:right="280"/>
              <w:spacing w:after="0" w:line="157" w:lineRule="exact"/>
              <w:rPr>
                <w:sz w:val="20"/>
                <w:szCs w:val="20"/>
                <w:color w:val="auto"/>
              </w:rPr>
            </w:pPr>
            <w:r>
              <w:rPr>
                <w:rFonts w:ascii="Arial" w:cs="Arial" w:eastAsia="Arial" w:hAnsi="Arial"/>
                <w:sz w:val="14"/>
                <w:szCs w:val="14"/>
                <w:color w:val="auto"/>
              </w:rPr>
              <w:t>$ 557,912</w:t>
            </w:r>
          </w:p>
        </w:tc>
        <w:tc>
          <w:tcPr>
            <w:tcW w:w="8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46,829</w:t>
            </w:r>
          </w:p>
        </w:tc>
        <w:tc>
          <w:tcPr>
            <w:tcW w:w="260" w:type="dxa"/>
            <w:vAlign w:val="bottom"/>
          </w:tcPr>
          <w:p>
            <w:pPr>
              <w:jc w:val="right"/>
              <w:ind w:right="108"/>
              <w:spacing w:after="0" w:line="157" w:lineRule="exact"/>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23</w:t>
            </w:r>
          </w:p>
        </w:tc>
        <w:tc>
          <w:tcPr>
            <w:tcW w:w="140" w:type="dxa"/>
            <w:vAlign w:val="bottom"/>
          </w:tcPr>
          <w:p>
            <w:pPr>
              <w:jc w:val="right"/>
              <w:spacing w:after="0" w:line="157" w:lineRule="exact"/>
              <w:rPr>
                <w:sz w:val="20"/>
                <w:szCs w:val="20"/>
                <w:color w:val="auto"/>
              </w:rPr>
            </w:pPr>
            <w:r>
              <w:rPr>
                <w:rFonts w:ascii="Arial" w:cs="Arial" w:eastAsia="Arial" w:hAnsi="Arial"/>
                <w:sz w:val="14"/>
                <w:szCs w:val="14"/>
                <w:u w:val="single" w:color="auto"/>
                <w:color w:val="auto"/>
              </w:rPr>
              <w:t>$</w:t>
            </w:r>
          </w:p>
        </w:tc>
      </w:tr>
      <w:tr>
        <w:trPr>
          <w:trHeight w:val="20"/>
        </w:trPr>
        <w:tc>
          <w:tcPr>
            <w:tcW w:w="1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-2502535</wp:posOffset>
            </wp:positionV>
            <wp:extent cx="5768975" cy="411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68975"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5768975" cy="411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68975"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5768975"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6897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5768975" cy="3086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6897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648"/>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191</w:t>
            </w:r>
          </w:p>
        </w:tc>
        <w:tc>
          <w:tcPr>
            <w:tcW w:w="2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191</w:t>
            </w:r>
          </w:p>
        </w:tc>
      </w:tr>
      <w:tr>
        <w:trPr>
          <w:trHeight w:val="648"/>
        </w:trPr>
        <w:tc>
          <w:tcPr>
            <w:tcW w:w="580" w:type="dxa"/>
            <w:vAlign w:val="bottom"/>
          </w:tcPr>
          <w:p>
            <w:pPr>
              <w:jc w:val="right"/>
              <w:ind w:right="68"/>
              <w:spacing w:after="0"/>
              <w:rPr>
                <w:sz w:val="20"/>
                <w:szCs w:val="20"/>
                <w:color w:val="auto"/>
              </w:rPr>
            </w:pPr>
            <w:r>
              <w:rPr>
                <w:rFonts w:ascii="Arial" w:cs="Arial" w:eastAsia="Arial" w:hAnsi="Arial"/>
                <w:sz w:val="14"/>
                <w:szCs w:val="14"/>
                <w:color w:val="auto"/>
                <w:w w:val="97"/>
              </w:rPr>
              <w:t>17,403</w:t>
            </w:r>
          </w:p>
        </w:tc>
        <w:tc>
          <w:tcPr>
            <w:tcW w:w="2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17,403</w:t>
            </w:r>
          </w:p>
        </w:tc>
      </w:tr>
      <w:tr>
        <w:trPr>
          <w:trHeight w:val="486"/>
        </w:trPr>
        <w:tc>
          <w:tcPr>
            <w:tcW w:w="580" w:type="dxa"/>
            <w:vAlign w:val="bottom"/>
          </w:tcPr>
          <w:p>
            <w:pPr>
              <w:jc w:val="right"/>
              <w:ind w:right="8"/>
              <w:spacing w:after="0"/>
              <w:rPr>
                <w:sz w:val="20"/>
                <w:szCs w:val="20"/>
                <w:color w:val="auto"/>
              </w:rPr>
            </w:pPr>
            <w:r>
              <w:rPr>
                <w:rFonts w:ascii="Arial" w:cs="Arial" w:eastAsia="Arial" w:hAnsi="Arial"/>
                <w:sz w:val="14"/>
                <w:szCs w:val="14"/>
                <w:color w:val="auto"/>
              </w:rPr>
              <w:t>(2,330)</w:t>
            </w:r>
          </w:p>
        </w:tc>
        <w:tc>
          <w:tcPr>
            <w:tcW w:w="2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(2,330)</w:t>
            </w:r>
          </w:p>
        </w:tc>
      </w:tr>
      <w:tr>
        <w:trPr>
          <w:trHeight w:val="324"/>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(108,817)</w:t>
            </w:r>
          </w:p>
        </w:tc>
        <w:tc>
          <w:tcPr>
            <w:tcW w:w="4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(108,817)</w:t>
            </w:r>
          </w:p>
        </w:tc>
      </w:tr>
      <w:tr>
        <w:trPr>
          <w:trHeight w:val="633"/>
        </w:trPr>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(1,118)</w:t>
            </w: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(1,118)</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580" w:type="dxa"/>
            <w:vAlign w:val="bottom"/>
          </w:tcPr>
          <w:p>
            <w:pPr>
              <w:jc w:val="right"/>
              <w:ind w:right="68"/>
              <w:spacing w:after="0"/>
              <w:rPr>
                <w:sz w:val="20"/>
                <w:szCs w:val="20"/>
                <w:color w:val="auto"/>
              </w:rPr>
            </w:pPr>
            <w:r>
              <w:rPr>
                <w:rFonts w:ascii="Arial" w:cs="Arial" w:eastAsia="Arial" w:hAnsi="Arial"/>
                <w:sz w:val="14"/>
                <w:szCs w:val="14"/>
                <w:u w:val="single" w:color="auto"/>
                <w:color w:val="auto"/>
                <w:w w:val="97"/>
              </w:rPr>
              <w:t>26,638</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(487,866)</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(148)</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(461,353)</w:t>
            </w:r>
          </w:p>
        </w:tc>
      </w:tr>
      <w:tr>
        <w:trPr>
          <w:trHeight w:val="20"/>
        </w:trPr>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-342265</wp:posOffset>
            </wp:positionV>
            <wp:extent cx="4972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-7620</wp:posOffset>
            </wp:positionV>
            <wp:extent cx="4972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260"/>
            <w:col w:w="4079"/>
          </w:cols>
          <w:pgMar w:left="1440" w:top="140" w:right="1440" w:bottom="1440" w:gutter="0" w:footer="0" w:header="0"/>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130175</wp:posOffset>
            </wp:positionV>
            <wp:extent cx="713613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type w:val="continuous"/>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CrowdStrike Holdings, Inc.</w:t>
      </w:r>
    </w:p>
    <w:p>
      <w:pPr>
        <w:spacing w:after="0" w:line="1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110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6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5"/>
                <w:szCs w:val="15"/>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240"/>
              <w:spacing w:after="0"/>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(91,340)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(135,490)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(97,997)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(108,817)</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2,924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7,111</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5,013</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10,199</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disposal of fixed assets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62"/>
        </w:trPr>
        <w:tc>
          <w:tcPr>
            <w:tcW w:w="5620" w:type="dxa"/>
            <w:vAlign w:val="bottom"/>
          </w:tcPr>
          <w:p>
            <w:pPr>
              <w:ind w:left="48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197</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Amortization of deferred commissions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5,089</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12,481</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7,795</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19,312</w:t>
            </w:r>
          </w:p>
        </w:tc>
        <w:tc>
          <w:tcPr>
            <w:tcW w:w="0" w:type="dxa"/>
            <w:vAlign w:val="bottom"/>
          </w:tcPr>
          <w:p>
            <w:pPr>
              <w:spacing w:after="0"/>
              <w:rPr>
                <w:sz w:val="1"/>
                <w:szCs w:val="1"/>
                <w:color w:val="auto"/>
              </w:rPr>
            </w:pPr>
          </w:p>
        </w:tc>
      </w:tr>
      <w:tr>
        <w:trPr>
          <w:trHeight w:val="162"/>
        </w:trPr>
        <w:tc>
          <w:tcPr>
            <w:tcW w:w="5620" w:type="dxa"/>
            <w:vAlign w:val="bottom"/>
          </w:tcPr>
          <w:p>
            <w:pPr>
              <w:ind w:left="480"/>
              <w:spacing w:after="0"/>
              <w:rPr>
                <w:sz w:val="20"/>
                <w:szCs w:val="20"/>
                <w:color w:val="auto"/>
              </w:rPr>
            </w:pPr>
            <w:r>
              <w:rPr>
                <w:rFonts w:ascii="Arial" w:cs="Arial" w:eastAsia="Arial" w:hAnsi="Arial"/>
                <w:sz w:val="14"/>
                <w:szCs w:val="14"/>
                <w:color w:val="auto"/>
              </w:rPr>
              <w:t>Change in fair value of redeemable convertible preferred stock warrant liability</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Allowance for doubtful accounts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62"/>
        </w:trPr>
        <w:tc>
          <w:tcPr>
            <w:tcW w:w="5620" w:type="dxa"/>
            <w:vAlign w:val="bottom"/>
          </w:tcPr>
          <w:p>
            <w:pPr>
              <w:ind w:left="480"/>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1,994</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12,343</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11,005</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17,403</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Non-cash interest expense</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822</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62"/>
        </w:trPr>
        <w:tc>
          <w:tcPr>
            <w:tcW w:w="5620" w:type="dxa"/>
            <w:vAlign w:val="bottom"/>
          </w:tcPr>
          <w:p>
            <w:pPr>
              <w:ind w:left="480"/>
              <w:spacing w:after="0"/>
              <w:rPr>
                <w:sz w:val="20"/>
                <w:szCs w:val="20"/>
                <w:color w:val="auto"/>
              </w:rPr>
            </w:pPr>
            <w:r>
              <w:rPr>
                <w:rFonts w:ascii="Arial" w:cs="Arial" w:eastAsia="Arial" w:hAnsi="Arial"/>
                <w:sz w:val="14"/>
                <w:szCs w:val="14"/>
                <w:color w:val="auto"/>
              </w:rPr>
              <w:t>Accretion of marketable securities purchased at a discount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67"/>
        </w:trPr>
        <w:tc>
          <w:tcPr>
            <w:tcW w:w="56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Changes in operating assets and liabilities, net of impact of business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2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combinations: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(8,464)</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(35,268)</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(15,747)</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(17,936)</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commissions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(9,352)</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(25,338)</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(13,223)</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(27,531)</w:t>
            </w:r>
          </w:p>
        </w:tc>
        <w:tc>
          <w:tcPr>
            <w:tcW w:w="0" w:type="dxa"/>
            <w:vAlign w:val="bottom"/>
          </w:tcPr>
          <w:p>
            <w:pPr>
              <w:spacing w:after="0"/>
              <w:rPr>
                <w:sz w:val="1"/>
                <w:szCs w:val="1"/>
                <w:color w:val="auto"/>
              </w:rPr>
            </w:pPr>
          </w:p>
        </w:tc>
      </w:tr>
      <w:tr>
        <w:trPr>
          <w:trHeight w:val="162"/>
        </w:trPr>
        <w:tc>
          <w:tcPr>
            <w:tcW w:w="5620" w:type="dxa"/>
            <w:vAlign w:val="bottom"/>
          </w:tcPr>
          <w:p>
            <w:pPr>
              <w:ind w:left="72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(1,386)</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(6,851)</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(414)</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(2,186)</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(5,867)</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(472)</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2"/>
        </w:trPr>
        <w:tc>
          <w:tcPr>
            <w:tcW w:w="562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1,886</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7,136</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5,170</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(6,280)</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expenses and other current liabilities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3,365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16,603</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663</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(2,331)</w:t>
            </w:r>
          </w:p>
        </w:tc>
        <w:tc>
          <w:tcPr>
            <w:tcW w:w="0" w:type="dxa"/>
            <w:vAlign w:val="bottom"/>
          </w:tcPr>
          <w:p>
            <w:pPr>
              <w:spacing w:after="0"/>
              <w:rPr>
                <w:sz w:val="1"/>
                <w:szCs w:val="1"/>
                <w:color w:val="auto"/>
              </w:rPr>
            </w:pPr>
          </w:p>
        </w:tc>
      </w:tr>
      <w:tr>
        <w:trPr>
          <w:trHeight w:val="162"/>
        </w:trPr>
        <w:tc>
          <w:tcPr>
            <w:tcW w:w="5620" w:type="dxa"/>
            <w:vAlign w:val="bottom"/>
          </w:tcPr>
          <w:p>
            <w:pPr>
              <w:ind w:left="720"/>
              <w:spacing w:after="0"/>
              <w:rPr>
                <w:sz w:val="20"/>
                <w:szCs w:val="20"/>
                <w:color w:val="auto"/>
              </w:rPr>
            </w:pPr>
            <w:r>
              <w:rPr>
                <w:rFonts w:ascii="Arial" w:cs="Arial" w:eastAsia="Arial" w:hAnsi="Arial"/>
                <w:sz w:val="14"/>
                <w:szCs w:val="14"/>
                <w:color w:val="auto"/>
              </w:rPr>
              <w:t>Accrued payroll and benefits</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5,695</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9,005</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3,075</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3,498</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37,291</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82,169</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39,528</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72,219</w:t>
            </w:r>
          </w:p>
        </w:tc>
        <w:tc>
          <w:tcPr>
            <w:tcW w:w="0" w:type="dxa"/>
            <w:vAlign w:val="bottom"/>
          </w:tcPr>
          <w:p>
            <w:pPr>
              <w:spacing w:after="0"/>
              <w:rPr>
                <w:sz w:val="1"/>
                <w:szCs w:val="1"/>
                <w:color w:val="auto"/>
              </w:rPr>
            </w:pPr>
          </w:p>
        </w:tc>
      </w:tr>
      <w:tr>
        <w:trPr>
          <w:trHeight w:val="162"/>
        </w:trPr>
        <w:tc>
          <w:tcPr>
            <w:tcW w:w="5620" w:type="dxa"/>
            <w:vAlign w:val="bottom"/>
          </w:tcPr>
          <w:p>
            <w:pPr>
              <w:ind w:left="720"/>
              <w:spacing w:after="0"/>
              <w:rPr>
                <w:sz w:val="20"/>
                <w:szCs w:val="20"/>
                <w:color w:val="auto"/>
              </w:rPr>
            </w:pPr>
            <w:r>
              <w:rPr>
                <w:rFonts w:ascii="Arial" w:cs="Arial" w:eastAsia="Arial" w:hAnsi="Arial"/>
                <w:sz w:val="14"/>
                <w:szCs w:val="14"/>
                <w:color w:val="auto"/>
              </w:rPr>
              <w:t>Other liabilities, noncurrent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2,509</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20" w:type="dxa"/>
            <w:vAlign w:val="bottom"/>
            <w:shd w:val="clear" w:color="auto" w:fill="CCEEFF"/>
          </w:tcPr>
          <w:p>
            <w:pPr>
              <w:ind w:left="960"/>
              <w:spacing w:after="0" w:line="155"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w w:val="99"/>
              </w:rPr>
              <w:t>(51,998)</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(58,766)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(52,041)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(38,776)</w:t>
            </w:r>
          </w:p>
        </w:tc>
        <w:tc>
          <w:tcPr>
            <w:tcW w:w="0" w:type="dxa"/>
            <w:vAlign w:val="bottom"/>
          </w:tcPr>
          <w:p>
            <w:pPr>
              <w:spacing w:after="0"/>
              <w:rPr>
                <w:sz w:val="1"/>
                <w:szCs w:val="1"/>
                <w:color w:val="auto"/>
              </w:rPr>
            </w:pPr>
          </w:p>
        </w:tc>
      </w:tr>
      <w:tr>
        <w:trPr>
          <w:trHeight w:val="156"/>
        </w:trPr>
        <w:tc>
          <w:tcPr>
            <w:tcW w:w="56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Investing activities</w:t>
            </w: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property and equipment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(6,591)</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(22,906)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(19,461)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(21,664)</w:t>
            </w:r>
          </w:p>
        </w:tc>
        <w:tc>
          <w:tcPr>
            <w:tcW w:w="0" w:type="dxa"/>
            <w:vAlign w:val="bottom"/>
          </w:tcPr>
          <w:p>
            <w:pPr>
              <w:spacing w:after="0"/>
              <w:rPr>
                <w:sz w:val="1"/>
                <w:szCs w:val="1"/>
                <w:color w:val="auto"/>
              </w:rPr>
            </w:pPr>
          </w:p>
        </w:tc>
      </w:tr>
      <w:tr>
        <w:trPr>
          <w:trHeight w:val="162"/>
        </w:trPr>
        <w:tc>
          <w:tcPr>
            <w:tcW w:w="5620" w:type="dxa"/>
            <w:vAlign w:val="bottom"/>
          </w:tcPr>
          <w:p>
            <w:pPr>
              <w:ind w:left="240"/>
              <w:spacing w:after="0"/>
              <w:rPr>
                <w:sz w:val="20"/>
                <w:szCs w:val="20"/>
                <w:color w:val="auto"/>
              </w:rPr>
            </w:pPr>
            <w:r>
              <w:rPr>
                <w:rFonts w:ascii="Arial" w:cs="Arial" w:eastAsia="Arial" w:hAnsi="Arial"/>
                <w:sz w:val="14"/>
                <w:szCs w:val="14"/>
                <w:color w:val="auto"/>
              </w:rPr>
              <w:t>Capitalized internal-use software</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(5,556)</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(6,542)</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(3,663)</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(5,042)</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Business combinations, net of cash acquired</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(6,471)</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(6,471)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ind w:left="240"/>
              <w:spacing w:after="0"/>
              <w:rPr>
                <w:sz w:val="20"/>
                <w:szCs w:val="20"/>
                <w:color w:val="auto"/>
              </w:rPr>
            </w:pPr>
            <w:r>
              <w:rPr>
                <w:rFonts w:ascii="Arial" w:cs="Arial" w:eastAsia="Arial" w:hAnsi="Arial"/>
                <w:sz w:val="14"/>
                <w:szCs w:val="14"/>
                <w:color w:val="auto"/>
              </w:rPr>
              <w:t>Acquisition of intangible assets</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Purchases of marketable securities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(12,072)</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(9,559)</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(8,761)</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(135,253)</w:t>
            </w:r>
          </w:p>
        </w:tc>
        <w:tc>
          <w:tcPr>
            <w:tcW w:w="0" w:type="dxa"/>
            <w:vAlign w:val="bottom"/>
          </w:tcPr>
          <w:p>
            <w:pPr>
              <w:spacing w:after="0"/>
              <w:rPr>
                <w:sz w:val="1"/>
                <w:szCs w:val="1"/>
                <w:color w:val="auto"/>
              </w:rPr>
            </w:pPr>
          </w:p>
        </w:tc>
      </w:tr>
      <w:tr>
        <w:trPr>
          <w:trHeight w:val="162"/>
        </w:trPr>
        <w:tc>
          <w:tcPr>
            <w:tcW w:w="5620" w:type="dxa"/>
            <w:vAlign w:val="bottom"/>
          </w:tcPr>
          <w:p>
            <w:pPr>
              <w:ind w:left="240"/>
              <w:spacing w:after="0"/>
              <w:rPr>
                <w:sz w:val="20"/>
                <w:szCs w:val="20"/>
                <w:color w:val="auto"/>
              </w:rPr>
            </w:pPr>
            <w:r>
              <w:rPr>
                <w:rFonts w:ascii="Arial" w:cs="Arial" w:eastAsia="Arial" w:hAnsi="Arial"/>
                <w:sz w:val="14"/>
                <w:szCs w:val="14"/>
                <w:color w:val="auto"/>
              </w:rPr>
              <w:t>Proceeds from sales of marketable securities</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1,211</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Maturities of marketable securities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17,455</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10,280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30,600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960"/>
              <w:spacing w:after="0"/>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9"/>
              </w:rPr>
              <w:t>(11,854)</w:t>
            </w:r>
          </w:p>
        </w:tc>
        <w:tc>
          <w:tcPr>
            <w:tcW w:w="80" w:type="dxa"/>
            <w:vAlign w:val="bottom"/>
          </w:tcPr>
          <w:p>
            <w:pPr>
              <w:spacing w:after="0"/>
              <w:rPr>
                <w:sz w:val="13"/>
                <w:szCs w:val="13"/>
                <w:color w:val="auto"/>
              </w:rPr>
            </w:pPr>
          </w:p>
        </w:tc>
        <w:tc>
          <w:tcPr>
            <w:tcW w:w="7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(28,330)</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(28,383)</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(131,359)</w:t>
            </w:r>
          </w:p>
        </w:tc>
        <w:tc>
          <w:tcPr>
            <w:tcW w:w="0" w:type="dxa"/>
            <w:vAlign w:val="bottom"/>
          </w:tcPr>
          <w:p>
            <w:pPr>
              <w:spacing w:after="0"/>
              <w:rPr>
                <w:sz w:val="1"/>
                <w:szCs w:val="1"/>
                <w:color w:val="auto"/>
              </w:rPr>
            </w:pPr>
          </w:p>
        </w:tc>
      </w:tr>
      <w:tr>
        <w:trPr>
          <w:trHeight w:val="155"/>
        </w:trPr>
        <w:tc>
          <w:tcPr>
            <w:tcW w:w="56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620" w:type="dxa"/>
            <w:vAlign w:val="bottom"/>
          </w:tcPr>
          <w:p>
            <w:pPr>
              <w:ind w:left="240"/>
              <w:spacing w:after="0"/>
              <w:rPr>
                <w:sz w:val="20"/>
                <w:szCs w:val="20"/>
                <w:color w:val="auto"/>
              </w:rPr>
            </w:pPr>
            <w:r>
              <w:rPr>
                <w:rFonts w:ascii="Arial" w:cs="Arial" w:eastAsia="Arial" w:hAnsi="Arial"/>
                <w:sz w:val="14"/>
                <w:szCs w:val="14"/>
                <w:color w:val="auto"/>
              </w:rPr>
              <w:t>Proceeds from issuance of redeemable convertible preferred stock, net of</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20" w:type="dxa"/>
            <w:vAlign w:val="bottom"/>
          </w:tcPr>
          <w:p>
            <w:pPr>
              <w:ind w:left="360"/>
              <w:spacing w:after="0" w:line="157" w:lineRule="exact"/>
              <w:rPr>
                <w:sz w:val="20"/>
                <w:szCs w:val="20"/>
                <w:color w:val="auto"/>
              </w:rPr>
            </w:pPr>
            <w:r>
              <w:rPr>
                <w:rFonts w:ascii="Arial" w:cs="Arial" w:eastAsia="Arial" w:hAnsi="Arial"/>
                <w:sz w:val="14"/>
                <w:szCs w:val="14"/>
                <w:color w:val="auto"/>
              </w:rPr>
              <w:t>issuance costs</w:t>
            </w: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130,435</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130,435</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206,896</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loan payable, net of issuance costs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19,340</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ind w:left="240"/>
              <w:spacing w:after="0"/>
              <w:rPr>
                <w:sz w:val="20"/>
                <w:szCs w:val="20"/>
                <w:color w:val="auto"/>
              </w:rPr>
            </w:pPr>
            <w:r>
              <w:rPr>
                <w:rFonts w:ascii="Arial" w:cs="Arial" w:eastAsia="Arial" w:hAnsi="Arial"/>
                <w:sz w:val="14"/>
                <w:szCs w:val="14"/>
                <w:color w:val="auto"/>
              </w:rPr>
              <w:t>Repayment of loan payable</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(2,400)</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(19,324)</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(19,324)</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revolving line of credit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62"/>
        </w:trPr>
        <w:tc>
          <w:tcPr>
            <w:tcW w:w="5620" w:type="dxa"/>
            <w:vAlign w:val="bottom"/>
          </w:tcPr>
          <w:p>
            <w:pPr>
              <w:ind w:left="240"/>
              <w:spacing w:after="0"/>
              <w:rPr>
                <w:sz w:val="20"/>
                <w:szCs w:val="20"/>
                <w:color w:val="auto"/>
              </w:rPr>
            </w:pPr>
            <w:r>
              <w:rPr>
                <w:rFonts w:ascii="Arial" w:cs="Arial" w:eastAsia="Arial" w:hAnsi="Arial"/>
                <w:sz w:val="14"/>
                <w:szCs w:val="14"/>
                <w:color w:val="auto"/>
              </w:rPr>
              <w:t>Repayment of revolving line of credit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notes receivable to related parties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ind w:left="240"/>
              <w:spacing w:after="0"/>
              <w:rPr>
                <w:sz w:val="20"/>
                <w:szCs w:val="20"/>
                <w:color w:val="auto"/>
              </w:rPr>
            </w:pPr>
            <w:r>
              <w:rPr>
                <w:rFonts w:ascii="Arial" w:cs="Arial" w:eastAsia="Arial" w:hAnsi="Arial"/>
                <w:sz w:val="14"/>
                <w:szCs w:val="14"/>
                <w:color w:val="auto"/>
              </w:rPr>
              <w:t>Repayment of notes receivable from related parties</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2,389</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Payments of contingent consideration</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2"/>
        </w:trPr>
        <w:tc>
          <w:tcPr>
            <w:tcW w:w="5620" w:type="dxa"/>
            <w:vAlign w:val="bottom"/>
          </w:tcPr>
          <w:p>
            <w:pPr>
              <w:ind w:left="240"/>
              <w:spacing w:after="0"/>
              <w:rPr>
                <w:sz w:val="20"/>
                <w:szCs w:val="20"/>
                <w:color w:val="auto"/>
              </w:rPr>
            </w:pPr>
            <w:r>
              <w:rPr>
                <w:rFonts w:ascii="Arial" w:cs="Arial" w:eastAsia="Arial" w:hAnsi="Arial"/>
                <w:sz w:val="14"/>
                <w:szCs w:val="14"/>
                <w:color w:val="auto"/>
              </w:rPr>
              <w:t>Payments of indemnity holdback</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stock options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(2,330)</w:t>
            </w:r>
          </w:p>
        </w:tc>
        <w:tc>
          <w:tcPr>
            <w:tcW w:w="0" w:type="dxa"/>
            <w:vAlign w:val="bottom"/>
          </w:tcPr>
          <w:p>
            <w:pPr>
              <w:spacing w:after="0"/>
              <w:rPr>
                <w:sz w:val="1"/>
                <w:szCs w:val="1"/>
                <w:color w:val="auto"/>
              </w:rPr>
            </w:pPr>
          </w:p>
        </w:tc>
      </w:tr>
      <w:tr>
        <w:trPr>
          <w:trHeight w:val="162"/>
        </w:trPr>
        <w:tc>
          <w:tcPr>
            <w:tcW w:w="5620" w:type="dxa"/>
            <w:vAlign w:val="bottom"/>
          </w:tcPr>
          <w:p>
            <w:pPr>
              <w:ind w:left="24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767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3,701</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2,188</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2,792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20" w:type="dxa"/>
            <w:vAlign w:val="bottom"/>
            <w:shd w:val="clear" w:color="auto" w:fill="CCEEFF"/>
          </w:tcPr>
          <w:p>
            <w:pPr>
              <w:ind w:left="9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17,460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126,831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123,299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190,714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618</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415</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20" w:type="dxa"/>
            <w:vAlign w:val="bottom"/>
            <w:shd w:val="clear" w:color="auto" w:fill="CCEEFF"/>
          </w:tcPr>
          <w:p>
            <w:pPr>
              <w:ind w:left="960"/>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w w:val="99"/>
              </w:rPr>
              <w:t>(46,392)</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40,353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43,290</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20,283</w:t>
            </w:r>
          </w:p>
        </w:tc>
        <w:tc>
          <w:tcPr>
            <w:tcW w:w="0" w:type="dxa"/>
            <w:vAlign w:val="bottom"/>
          </w:tcPr>
          <w:p>
            <w:pPr>
              <w:spacing w:after="0"/>
              <w:rPr>
                <w:sz w:val="1"/>
                <w:szCs w:val="1"/>
                <w:color w:val="auto"/>
              </w:rPr>
            </w:pPr>
          </w:p>
        </w:tc>
      </w:tr>
      <w:tr>
        <w:trPr>
          <w:trHeight w:val="162"/>
        </w:trPr>
        <w:tc>
          <w:tcPr>
            <w:tcW w:w="5620" w:type="dxa"/>
            <w:vAlign w:val="bottom"/>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69,218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22,826</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22,826</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63,179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6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and cash equivalents, end of period</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22,826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63,179</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66,116</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83,462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1,648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1,046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62"/>
        </w:trPr>
        <w:tc>
          <w:tcPr>
            <w:tcW w:w="5620" w:type="dxa"/>
            <w:vAlign w:val="bottom"/>
          </w:tcPr>
          <w:p>
            <w:pPr>
              <w:ind w:left="360"/>
              <w:spacing w:after="0"/>
              <w:rPr>
                <w:sz w:val="20"/>
                <w:szCs w:val="20"/>
                <w:color w:val="auto"/>
              </w:rPr>
            </w:pPr>
            <w:r>
              <w:rPr>
                <w:rFonts w:ascii="Arial" w:cs="Arial" w:eastAsia="Arial" w:hAnsi="Arial"/>
                <w:sz w:val="14"/>
                <w:szCs w:val="14"/>
                <w:color w:val="auto"/>
              </w:rPr>
              <w:t>Income taxes paid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48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107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360"/>
              <w:spacing w:after="0"/>
              <w:rPr>
                <w:sz w:val="20"/>
                <w:szCs w:val="20"/>
                <w:color w:val="auto"/>
              </w:rPr>
            </w:pPr>
            <w:r>
              <w:rPr>
                <w:rFonts w:ascii="Arial" w:cs="Arial" w:eastAsia="Arial" w:hAnsi="Arial"/>
                <w:sz w:val="14"/>
                <w:szCs w:val="14"/>
                <w:color w:val="auto"/>
              </w:rPr>
              <w:t>Indemnity holdback consideration associated with business combinations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1,799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1,799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Contingent consideration associated with business combinations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62"/>
        </w:trPr>
        <w:tc>
          <w:tcPr>
            <w:tcW w:w="5620" w:type="dxa"/>
            <w:vAlign w:val="bottom"/>
          </w:tcPr>
          <w:p>
            <w:pPr>
              <w:ind w:left="360"/>
              <w:spacing w:after="0"/>
              <w:rPr>
                <w:sz w:val="20"/>
                <w:szCs w:val="20"/>
                <w:color w:val="auto"/>
              </w:rPr>
            </w:pPr>
            <w:r>
              <w:rPr>
                <w:rFonts w:ascii="Arial" w:cs="Arial" w:eastAsia="Arial" w:hAnsi="Arial"/>
                <w:sz w:val="14"/>
                <w:szCs w:val="14"/>
                <w:color w:val="auto"/>
              </w:rPr>
              <w:t>Net change in deferred offering costs, accrued but not paid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67"/>
        </w:trPr>
        <w:tc>
          <w:tcPr>
            <w:tcW w:w="5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change in property and equipment included in accounts payable and</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20" w:type="dxa"/>
            <w:vAlign w:val="bottom"/>
            <w:shd w:val="clear" w:color="auto" w:fill="CCEEFF"/>
          </w:tcPr>
          <w:p>
            <w:pPr>
              <w:ind w:left="460"/>
              <w:spacing w:after="0" w:line="157"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574</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3,482</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261</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62"/>
        </w:trPr>
        <w:tc>
          <w:tcPr>
            <w:tcW w:w="5620" w:type="dxa"/>
            <w:vAlign w:val="bottom"/>
          </w:tcPr>
          <w:p>
            <w:pPr>
              <w:ind w:left="360"/>
              <w:spacing w:after="0"/>
              <w:rPr>
                <w:sz w:val="20"/>
                <w:szCs w:val="20"/>
                <w:color w:val="auto"/>
              </w:rPr>
            </w:pPr>
            <w:r>
              <w:rPr>
                <w:rFonts w:ascii="Arial" w:cs="Arial" w:eastAsia="Arial" w:hAnsi="Arial"/>
                <w:sz w:val="14"/>
                <w:szCs w:val="14"/>
                <w:color w:val="auto"/>
              </w:rPr>
              <w:t>Accretion of redeemable convertible preferred stock</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17,012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5,853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1,629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Vesting of early exercised stock options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43" w:right="1440"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Description of Business and Basis of Presentation</w:t>
      </w:r>
    </w:p>
    <w:p>
      <w:pPr>
        <w:spacing w:after="0" w:line="23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CrowdStrike Holdings, Inc. (the "Company") was formed on November 7, 2011. The Company provides a leading cloud-delivered solution for next-generation endpoint protection that offers 10 cloud modules on its Falcon platform via a SaaS subscription-based model that spans multiple large security markets, including endpoint security, security and IT operations (including vulnerability management), and threat intelligence. The Company is headquartered in Sunnyvale, California. The Company conducts its business in the United States, as well as locations internationally, including in Australia, Germany, India, Romania, and the United Kingdom.</w:t>
      </w:r>
    </w:p>
    <w:p>
      <w:pPr>
        <w:spacing w:after="0" w:line="211" w:lineRule="exact"/>
        <w:rPr>
          <w:sz w:val="20"/>
          <w:szCs w:val="20"/>
          <w:color w:val="auto"/>
        </w:rPr>
      </w:pPr>
    </w:p>
    <w:p>
      <w:pPr>
        <w:ind w:firstLine="484"/>
        <w:spacing w:after="0" w:line="269" w:lineRule="auto"/>
        <w:rPr>
          <w:sz w:val="20"/>
          <w:szCs w:val="20"/>
          <w:color w:val="auto"/>
        </w:rPr>
      </w:pPr>
      <w:r>
        <w:rPr>
          <w:rFonts w:ascii="Arial" w:cs="Arial" w:eastAsia="Arial" w:hAnsi="Arial"/>
          <w:sz w:val="16"/>
          <w:szCs w:val="16"/>
          <w:color w:val="auto"/>
        </w:rPr>
        <w:t>The Company has funded its operations through several rounds of redeemable convertible preferred stock financings with net proceeds totaling $286.1 million and $493.0 million through January 31, 2018 and October 31, 2018 (unaudited), respectively. However, the Company has incurred losses and negative cash flows from operations since inception. As of January 31, 2018 and October 31, 2018 (unaudited), the Company had an accumulated deficit of $378.9 million and $487.9 million, respectively. Management of the Company expects that operating losses and negative cash flows from operations will continue for the foreseeable future. While management believes that the Company's cash and cash equivalents and marketable securities as of January 31, 2018, combined with the funds available from the redeemable convertible preferred stock issued by the Company after January 31, 2018, and as of October 31, 2018 (unaudited), are adequate to meet its needs for at least the next twelve months, the Company may need to borrow funds or raise additional equity to achieve its longer term business objectives.</w:t>
      </w:r>
    </w:p>
    <w:p>
      <w:pPr>
        <w:spacing w:after="0" w:line="166" w:lineRule="exact"/>
        <w:rPr>
          <w:sz w:val="20"/>
          <w:szCs w:val="20"/>
          <w:color w:val="auto"/>
        </w:rPr>
      </w:pPr>
    </w:p>
    <w:p>
      <w:pPr>
        <w:ind w:left="540" w:right="7300" w:hanging="532"/>
        <w:spacing w:after="0" w:line="496" w:lineRule="auto"/>
        <w:tabs>
          <w:tab w:leader="none" w:pos="195"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Principles of Consolidation</w:t>
      </w:r>
    </w:p>
    <w:p>
      <w:pPr>
        <w:spacing w:after="0" w:line="1" w:lineRule="exact"/>
        <w:rPr>
          <w:sz w:val="20"/>
          <w:szCs w:val="20"/>
          <w:color w:val="auto"/>
        </w:rPr>
      </w:pPr>
    </w:p>
    <w:p>
      <w:pPr>
        <w:ind w:right="20" w:firstLine="484"/>
        <w:spacing w:after="0" w:line="239"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Unaudited Pro Forma Balance Sheet Information and Pro Forma Net Loss Per Share</w:t>
      </w:r>
    </w:p>
    <w:p>
      <w:pPr>
        <w:spacing w:after="0" w:line="232" w:lineRule="exact"/>
        <w:rPr>
          <w:sz w:val="20"/>
          <w:szCs w:val="20"/>
          <w:color w:val="auto"/>
        </w:rPr>
      </w:pPr>
    </w:p>
    <w:p>
      <w:pPr>
        <w:ind w:right="140" w:firstLine="484"/>
        <w:spacing w:after="0" w:line="236" w:lineRule="auto"/>
        <w:rPr>
          <w:sz w:val="20"/>
          <w:szCs w:val="20"/>
          <w:color w:val="auto"/>
        </w:rPr>
      </w:pPr>
      <w:r>
        <w:rPr>
          <w:rFonts w:ascii="Arial" w:cs="Arial" w:eastAsia="Arial" w:hAnsi="Arial"/>
          <w:sz w:val="18"/>
          <w:szCs w:val="18"/>
          <w:color w:val="auto"/>
        </w:rPr>
        <w:t xml:space="preserve">The unaudited pro forma balance sheet information as of October 31, 2018 has been prepared assuming the automatic conversion of all outstanding shares of redeemable convertible preferred stock into 131,267,586 shares of common stock immediately prior to the closing of a qualified IPO (see Note 8, </w:t>
      </w:r>
      <w:r>
        <w:rPr>
          <w:rFonts w:ascii="Arial" w:cs="Arial" w:eastAsia="Arial" w:hAnsi="Arial"/>
          <w:sz w:val="18"/>
          <w:szCs w:val="18"/>
          <w:i w:val="1"/>
          <w:iCs w:val="1"/>
          <w:color w:val="auto"/>
        </w:rPr>
        <w:t>Redeemable Convertible Preferred Stock</w:t>
      </w:r>
      <w:r>
        <w:rPr>
          <w:rFonts w:ascii="Arial" w:cs="Arial" w:eastAsia="Arial" w:hAnsi="Arial"/>
          <w:sz w:val="18"/>
          <w:szCs w:val="18"/>
          <w:color w:val="auto"/>
        </w:rPr>
        <w:t xml:space="preserve"> ). The unaudited pro forma balance sheet also assumes the conversion of outstanding warrants to purchase shares of redeemable convertible preferred stock into warrants to purchase common stock and the resulting reclassification of the warrant liability to additional paid-in capital immediately prior to the closing of a qualified IPO.</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During the nine months ended October 31, 2018, the Company issued restricted stock units ("RSUs") to certain employees. These RSUs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and the remainder of the RSUs vest quarterly thereafter over the next 36 months, subject to continued service, (ii) sixteen equal quarterly installments beginning on December 20, 2018, subject to continued service, or (iii) eight equal quarterly installments beginning on December 20, 2022, subject to continued</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The performance-based vesting condition is not deemed probable of occurring as of October 31, 2018, thus no stock-based compensation has been recognized.</w:t>
      </w:r>
    </w:p>
    <w:p>
      <w:pPr>
        <w:spacing w:after="0" w:line="211" w:lineRule="exact"/>
        <w:rPr>
          <w:sz w:val="20"/>
          <w:szCs w:val="20"/>
          <w:color w:val="auto"/>
        </w:rPr>
      </w:pPr>
    </w:p>
    <w:p>
      <w:pPr>
        <w:jc w:val="both"/>
        <w:ind w:right="80" w:firstLine="484"/>
        <w:spacing w:after="0" w:line="264" w:lineRule="auto"/>
        <w:rPr>
          <w:sz w:val="20"/>
          <w:szCs w:val="20"/>
          <w:color w:val="auto"/>
        </w:rPr>
      </w:pPr>
      <w:r>
        <w:rPr>
          <w:rFonts w:ascii="Arial" w:cs="Arial" w:eastAsia="Arial" w:hAnsi="Arial"/>
          <w:sz w:val="16"/>
          <w:szCs w:val="16"/>
          <w:color w:val="auto"/>
        </w:rPr>
        <w:t>The satisfaction of the performance-based vesting condition is expected to become probable upon the completion of the Company's IPO, at which point the Company will record cumulative stock-based compensation expense using the accelerated attribution method. The remaining unrecognized stock-based compensation expense related to the RSUs will be recognized over the remaining requisite service period.</w:t>
      </w:r>
    </w:p>
    <w:p>
      <w:pPr>
        <w:spacing w:after="0" w:line="236" w:lineRule="auto"/>
        <w:rPr>
          <w:sz w:val="20"/>
          <w:szCs w:val="20"/>
          <w:color w:val="auto"/>
        </w:rPr>
      </w:pPr>
      <w:r>
        <w:rPr>
          <w:rFonts w:ascii="Arial" w:cs="Arial" w:eastAsia="Arial" w:hAnsi="Arial"/>
          <w:sz w:val="18"/>
          <w:szCs w:val="18"/>
          <w:color w:val="auto"/>
        </w:rPr>
        <w:t>Accordingly, the unaudited pro forma balance sheet information as of October 31, 2018 gives effect to stock-based compensation expense of $2.4 million associated with these RSUs. This pro forma adjustment is reflected as an increase to additional paid-in capital and accumulated deficit. No RSUs have been included in the unaudited pro forma balance sheet disclosure of shares outstanding as the settlement of these shares will take place subsequent to the IPO. Payroll tax expenses and other withholding obligations have not been included in the pro forma adjustments. RSU holders will generally incur taxable income based upon the fair value of the shares on the date they are settled. The Company is required to withhold taxes on such value at applicable minimum statutory rates. The Company is unable to quantify these obligations as of October 31, 2018 and will remain unable to quantify them until the settlement of the RSUs, as the withholding obligations will be based on the fair value of the shares on the settlement date.</w:t>
      </w:r>
    </w:p>
    <w:p>
      <w:pPr>
        <w:spacing w:after="0" w:line="208"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unaudited pro forma net loss per share for the year ended January 31, 2018 and the nine months ended October 31, 2018 has been computed to give effect to the automatic conversion of the redeemable convertible preferred stock into common stock immediately prior to the closing of a qualified IPO as though the conversion had occurred as of the beginning of the period. The numerator in the unaudited pro forma net loss per share calculation has been adjusted to remove gains or losses resulting from the remeasurement of the redeemable convertible preferred stock warrant liability as the warrants will be converted into warrants to purchase common stock and the related redeemable convertible preferred stock warrant liability will be reclassified to additional paid-in capital.</w:t>
      </w:r>
    </w:p>
    <w:p>
      <w:pPr>
        <w:spacing w:after="0" w:line="210"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Stock-based compensation expense associated with the RSUs discussed above is excluded from the pro forma presentation as these are not expected to have a recurring impact on the Company's financial statements. The pro forma share amounts exclude shares issuable for the RSUs granted as the vesting is contingent upon continued employment through the expiration of the lock-up period.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Unaudited Interim Consolidated Financial Information</w:t>
      </w:r>
    </w:p>
    <w:p>
      <w:pPr>
        <w:spacing w:after="0" w:line="232" w:lineRule="exact"/>
        <w:rPr>
          <w:sz w:val="20"/>
          <w:szCs w:val="20"/>
          <w:color w:val="auto"/>
        </w:rPr>
      </w:pPr>
    </w:p>
    <w:p>
      <w:pPr>
        <w:ind w:right="200" w:firstLine="484"/>
        <w:spacing w:after="0" w:line="236" w:lineRule="auto"/>
        <w:rPr>
          <w:sz w:val="20"/>
          <w:szCs w:val="20"/>
          <w:color w:val="auto"/>
        </w:rPr>
      </w:pPr>
      <w:r>
        <w:rPr>
          <w:rFonts w:ascii="Arial" w:cs="Arial" w:eastAsia="Arial" w:hAnsi="Arial"/>
          <w:sz w:val="18"/>
          <w:szCs w:val="18"/>
          <w:color w:val="auto"/>
        </w:rPr>
        <w:t>The accompanying interim consolidated balance sheet as of October 31, 2018 and the consolidated statements of operations, consolidated statements of comprehensive loss, and cash flows for the nine months ended October 31, 2017 and October 31, 2018, and the consolidated statements of redeemable convertible preferred stock and stockholders' deficit for the nine months ended October 31, 2018 and related footnote disclosures are unaudited. These unaudited interim consolidated financial statements have been prepared in accordance with U.S. GAAP. In management's opinion, the unaudited interim consolidated financial statements include all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adjustments necessary to state fairly the Company's financial position as of October 31, 2018 and the result of operations and cash flows for the nine months ended October 31, 2017 and October 31, 2018. The financial data and the other information disclosed in these notes to the consolidated financial statements related to these nine-month periods are unaudited. The results for the nine months ended October 31, 2018 are not necessarily indicative of the operating results expected for the full fiscal year 2019 or any future period.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2" w:lineRule="exact"/>
        <w:rPr>
          <w:sz w:val="20"/>
          <w:szCs w:val="20"/>
          <w:color w:val="auto"/>
        </w:rPr>
      </w:pPr>
    </w:p>
    <w:p>
      <w:pPr>
        <w:ind w:right="60" w:firstLine="484"/>
        <w:spacing w:after="0" w:line="23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from these estimates and such difference could be material to the Company's consolidated financial statements.</w:t>
      </w:r>
    </w:p>
    <w:p>
      <w:pPr>
        <w:spacing w:after="0" w:line="211" w:lineRule="exact"/>
        <w:rPr>
          <w:sz w:val="20"/>
          <w:szCs w:val="20"/>
          <w:color w:val="auto"/>
        </w:rPr>
      </w:pPr>
    </w:p>
    <w:p>
      <w:pPr>
        <w:ind w:right="280" w:firstLine="488"/>
        <w:spacing w:after="0" w:line="237" w:lineRule="auto"/>
        <w:rPr>
          <w:sz w:val="20"/>
          <w:szCs w:val="20"/>
          <w:color w:val="auto"/>
        </w:rPr>
      </w:pPr>
      <w:r>
        <w:rPr>
          <w:rFonts w:ascii="Arial" w:cs="Arial" w:eastAsia="Arial" w:hAnsi="Arial"/>
          <w:sz w:val="18"/>
          <w:szCs w:val="18"/>
          <w:color w:val="auto"/>
        </w:rPr>
        <w:t>Significant estimates and assumptions used by management affect the allowance for doubtful accounts, the carrying value of long-lived assets, the useful lives of long-lived assets, the fair value of financial instruments, the recognition and disclosure of contingent liabilities, the provision for income taxes and related deferred taxes, stock-based compensation, and the fair value of the Company's common stock and redeemable convertible preferred stock warrants.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Concentration of Credit Risk and Geographic Information</w:t>
      </w:r>
    </w:p>
    <w:p>
      <w:pPr>
        <w:spacing w:after="0" w:line="232" w:lineRule="exact"/>
        <w:rPr>
          <w:sz w:val="20"/>
          <w:szCs w:val="20"/>
          <w:color w:val="auto"/>
        </w:rPr>
      </w:pPr>
    </w:p>
    <w:p>
      <w:pPr>
        <w:ind w:right="20" w:firstLine="484"/>
        <w:spacing w:after="0" w:line="236" w:lineRule="auto"/>
        <w:rPr>
          <w:sz w:val="20"/>
          <w:szCs w:val="20"/>
          <w:color w:val="auto"/>
        </w:rPr>
      </w:pPr>
      <w:r>
        <w:rPr>
          <w:rFonts w:ascii="Arial" w:cs="Arial" w:eastAsia="Arial" w:hAnsi="Arial"/>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Due to the nature of the Company's services and the terms and conditions of the Company's contracts with its channel partners, the Company's business could be affected unfavorably if it is not able to continue its relationships with them.</w:t>
      </w:r>
    </w:p>
    <w:p>
      <w:pPr>
        <w:spacing w:after="0" w:line="211" w:lineRule="exact"/>
        <w:rPr>
          <w:sz w:val="20"/>
          <w:szCs w:val="20"/>
          <w:color w:val="auto"/>
        </w:rPr>
      </w:pPr>
    </w:p>
    <w:p>
      <w:pPr>
        <w:ind w:right="120" w:firstLine="488"/>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cash equivalents and accounts receivable.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and marketable securities. The Company performs periodic credit evaluations of its customers and generally does not require collateral.</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Channel partners or direct customers who represented 10% or more of the Company's net accounts receivable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January 31,</w:t>
            </w:r>
          </w:p>
        </w:tc>
        <w:tc>
          <w:tcPr>
            <w:tcW w:w="21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1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300" w:type="dxa"/>
            <w:vAlign w:val="bottom"/>
            <w:gridSpan w:val="2"/>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2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Channel partner A</w:t>
            </w:r>
          </w:p>
        </w:tc>
        <w:tc>
          <w:tcPr>
            <w:tcW w:w="44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w:t>
            </w:r>
          </w:p>
        </w:tc>
        <w:tc>
          <w:tcPr>
            <w:tcW w:w="6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Channel partner B</w:t>
            </w:r>
          </w:p>
        </w:tc>
        <w:tc>
          <w:tcPr>
            <w:tcW w:w="3760" w:type="dxa"/>
            <w:vAlign w:val="bottom"/>
          </w:tcPr>
          <w:p>
            <w:pPr>
              <w:spacing w:after="0"/>
              <w:rPr>
                <w:sz w:val="17"/>
                <w:szCs w:val="17"/>
                <w:color w:val="auto"/>
              </w:rPr>
            </w:pPr>
          </w:p>
        </w:tc>
        <w:tc>
          <w:tcPr>
            <w:tcW w:w="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1140"/>
              <w:spacing w:after="0" w:line="202" w:lineRule="exact"/>
              <w:rPr>
                <w:sz w:val="20"/>
                <w:szCs w:val="20"/>
                <w:color w:val="auto"/>
              </w:rPr>
            </w:pPr>
            <w:r>
              <w:rPr>
                <w:rFonts w:ascii="Arial" w:cs="Arial" w:eastAsia="Arial" w:hAnsi="Arial"/>
                <w:sz w:val="18"/>
                <w:szCs w:val="18"/>
                <w:color w:val="auto"/>
              </w:rPr>
              <w:t>15%</w:t>
            </w:r>
          </w:p>
        </w:tc>
      </w:tr>
      <w:tr>
        <w:trPr>
          <w:trHeight w:val="203"/>
        </w:trPr>
        <w:tc>
          <w:tcPr>
            <w:tcW w:w="1120" w:type="dxa"/>
            <w:vAlign w:val="bottom"/>
          </w:tcPr>
          <w:p>
            <w:pPr>
              <w:spacing w:after="0"/>
              <w:rPr>
                <w:sz w:val="17"/>
                <w:szCs w:val="17"/>
                <w:color w:val="auto"/>
              </w:rPr>
            </w:pPr>
          </w:p>
        </w:tc>
        <w:tc>
          <w:tcPr>
            <w:tcW w:w="2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A</w:t>
            </w:r>
          </w:p>
        </w:tc>
        <w:tc>
          <w:tcPr>
            <w:tcW w:w="37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1140" w:type="dxa"/>
            <w:vAlign w:val="bottom"/>
          </w:tcPr>
          <w:p>
            <w:pPr>
              <w:spacing w:after="0"/>
              <w:rPr>
                <w:sz w:val="17"/>
                <w:szCs w:val="17"/>
                <w:color w:val="auto"/>
              </w:rPr>
            </w:pPr>
          </w:p>
        </w:tc>
      </w:tr>
      <w:tr>
        <w:trPr>
          <w:trHeight w:val="430"/>
        </w:trPr>
        <w:tc>
          <w:tcPr>
            <w:tcW w:w="1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20" w:type="dxa"/>
            <w:vAlign w:val="bottom"/>
            <w:gridSpan w:val="3"/>
          </w:tcPr>
          <w:p>
            <w:pPr>
              <w:jc w:val="right"/>
              <w:ind w:right="2620"/>
              <w:spacing w:after="0"/>
              <w:rPr>
                <w:sz w:val="20"/>
                <w:szCs w:val="20"/>
                <w:color w:val="auto"/>
              </w:rPr>
            </w:pPr>
            <w:r>
              <w:rPr>
                <w:rFonts w:ascii="Arial" w:cs="Arial" w:eastAsia="Arial" w:hAnsi="Arial"/>
                <w:sz w:val="18"/>
                <w:szCs w:val="18"/>
                <w:color w:val="auto"/>
              </w:rPr>
              <w:t>F-10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2880" w:type="dxa"/>
            <w:vAlign w:val="bottom"/>
            <w:tcBorders>
              <w:bottom w:val="single" w:sz="8" w:color="808080"/>
            </w:tcBorders>
          </w:tcPr>
          <w:p>
            <w:pPr>
              <w:spacing w:after="0"/>
              <w:rPr>
                <w:sz w:val="18"/>
                <w:szCs w:val="18"/>
                <w:color w:val="auto"/>
              </w:rPr>
            </w:pPr>
          </w:p>
        </w:tc>
        <w:tc>
          <w:tcPr>
            <w:tcW w:w="37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Channel partners who represented 10% or more of the Company's total revenue were as follows: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38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w:t>
            </w: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5640" w:type="dxa"/>
            <w:vAlign w:val="bottom"/>
          </w:tcPr>
          <w:p>
            <w:pPr>
              <w:spacing w:after="0"/>
              <w:rPr>
                <w:sz w:val="15"/>
                <w:szCs w:val="15"/>
                <w:color w:val="auto"/>
              </w:rPr>
            </w:pPr>
          </w:p>
        </w:tc>
        <w:tc>
          <w:tcPr>
            <w:tcW w:w="1380" w:type="dxa"/>
            <w:vAlign w:val="bottom"/>
            <w:gridSpan w:val="6"/>
          </w:tcPr>
          <w:p>
            <w:pPr>
              <w:ind w:left="140"/>
              <w:spacing w:after="0"/>
              <w:rPr>
                <w:sz w:val="20"/>
                <w:szCs w:val="20"/>
                <w:color w:val="auto"/>
              </w:rPr>
            </w:pPr>
            <w:r>
              <w:rPr>
                <w:rFonts w:ascii="Arial" w:cs="Arial" w:eastAsia="Arial" w:hAnsi="Arial"/>
                <w:sz w:val="14"/>
                <w:szCs w:val="14"/>
                <w:b w:val="1"/>
                <w:bCs w:val="1"/>
                <w:color w:val="auto"/>
              </w:rPr>
              <w:t>January 31,</w:t>
            </w:r>
          </w:p>
        </w:tc>
        <w:tc>
          <w:tcPr>
            <w:tcW w:w="1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56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(unaudited)</w:t>
            </w:r>
          </w:p>
        </w:tc>
      </w:tr>
      <w:tr>
        <w:trPr>
          <w:trHeight w:val="203"/>
        </w:trPr>
        <w:tc>
          <w:tcPr>
            <w:tcW w:w="5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Channel partner A</w:t>
            </w:r>
          </w:p>
        </w:tc>
        <w:tc>
          <w:tcPr>
            <w:tcW w:w="6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7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w:t>
            </w:r>
          </w:p>
        </w:tc>
        <w:tc>
          <w:tcPr>
            <w:tcW w:w="10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r>
    </w:tbl>
    <w:p>
      <w:pPr>
        <w:spacing w:after="0" w:line="219" w:lineRule="exact"/>
        <w:rPr>
          <w:sz w:val="20"/>
          <w:szCs w:val="20"/>
          <w:color w:val="auto"/>
        </w:rPr>
      </w:pPr>
    </w:p>
    <w:p>
      <w:pPr>
        <w:ind w:right="60" w:firstLine="484"/>
        <w:spacing w:after="0" w:line="239" w:lineRule="auto"/>
        <w:rPr>
          <w:sz w:val="20"/>
          <w:szCs w:val="20"/>
          <w:color w:val="auto"/>
        </w:rPr>
      </w:pPr>
      <w:r>
        <w:rPr>
          <w:rFonts w:ascii="Arial" w:cs="Arial" w:eastAsia="Arial" w:hAnsi="Arial"/>
          <w:sz w:val="18"/>
          <w:szCs w:val="18"/>
          <w:color w:val="auto"/>
        </w:rPr>
        <w:t>There were no direct customers who represented 10% or more of the Company's total revenue for the years ended January 31, 2017 and January 31, 2018 and the nine months ended October 31, 2017 (unaudited) and October 31, 2018 (unaudited).</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232" w:lineRule="exact"/>
        <w:rPr>
          <w:sz w:val="20"/>
          <w:szCs w:val="20"/>
          <w:color w:val="auto"/>
        </w:rPr>
      </w:pPr>
    </w:p>
    <w:p>
      <w:pPr>
        <w:ind w:firstLine="484"/>
        <w:spacing w:after="0" w:line="23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date of purchase to be cash equivalents. Cash equivalents as of January 31, 2017, January 31, 2018, and October 31, 2018 (unaudited) consisted of corporate debt securities and money market funds stated at fair value. The Company classifies investments in marketable securities as available-for-sale securities at the time of purchase, since it is the Company's intent that these investments are available to support current operations. Marketable securities are classified as current or long-term based on the nature of the investments and their availability for use in current operations. Available-for-sale securities are carried at fair value with unrealized gains and losses, if any, included in accumulated other comprehensive income (loss). Unrealized losses are recorded in other expense, net, for declines in fair value below the cost of an individual investment that is deemed to be other-than-temporary. The Company did not identify any marketable securities as other-than-temporarily impaired as of January 31, 2017, January 31, 2018, or October 31, 2018 (unaudited). The Company determines realized gains or losses on the sale of marketable securities on a specific identification method and records such gains or losses in other expense, net. Marketable securities as of January 31, 2017, January 31, 2018, and October 31, 2018 (unaudited) consisted of certificates of deposit, corporate debt securities, U.S. treasury securities, and municipal bonds.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2" w:lineRule="exact"/>
        <w:rPr>
          <w:sz w:val="20"/>
          <w:szCs w:val="20"/>
          <w:color w:val="auto"/>
        </w:rPr>
      </w:pPr>
    </w:p>
    <w:p>
      <w:pPr>
        <w:ind w:right="100" w:firstLine="484"/>
        <w:spacing w:after="0" w:line="236" w:lineRule="auto"/>
        <w:rPr>
          <w:sz w:val="20"/>
          <w:szCs w:val="20"/>
          <w:color w:val="auto"/>
        </w:rPr>
      </w:pPr>
      <w:r>
        <w:rPr>
          <w:rFonts w:ascii="Arial" w:cs="Arial" w:eastAsia="Arial" w:hAnsi="Arial"/>
          <w:sz w:val="18"/>
          <w:szCs w:val="18"/>
          <w:color w:val="auto"/>
        </w:rPr>
        <w:t>The Company's financial instruments consist of cash equivalents, marketable securities, accounts receivable, accounts payable, accrued expenses, redeemable convertible preferred stock warrant liability, and loans payable. The carrying values of cash equivalents, accounts receivable, and accounts payable, and accrued expenses approximate fair value due to their short-term nature. The carrying value of the loans payable approximates fair value because they bear interest at rates similar to debt instruments with similar features that reset periodically. The loans payable are categorized as Level 2 in the fair value hierarchy.</w:t>
      </w:r>
    </w:p>
    <w:p>
      <w:pPr>
        <w:spacing w:after="0" w:line="193" w:lineRule="exact"/>
        <w:rPr>
          <w:sz w:val="20"/>
          <w:szCs w:val="20"/>
          <w:color w:val="auto"/>
        </w:rPr>
      </w:pPr>
    </w:p>
    <w:p>
      <w:pPr>
        <w:ind w:right="280" w:firstLine="484"/>
        <w:spacing w:after="0" w:line="278" w:lineRule="auto"/>
        <w:rPr>
          <w:sz w:val="20"/>
          <w:szCs w:val="20"/>
          <w:color w:val="auto"/>
        </w:rPr>
      </w:pPr>
      <w:r>
        <w:rPr>
          <w:rFonts w:ascii="Arial" w:cs="Arial" w:eastAsia="Arial" w:hAnsi="Arial"/>
          <w:sz w:val="16"/>
          <w:szCs w:val="16"/>
          <w:color w:val="auto"/>
        </w:rPr>
        <w:t xml:space="preserve">The Company reports the redeemable convertible preferred stock warrant liability at fair value (see Note 3,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The warrants issued by the Company for redeemable convertible preferred stock in January 2015, December 2016, and March 2017 (see Note 8, </w:t>
      </w:r>
      <w:r>
        <w:rPr>
          <w:rFonts w:ascii="Arial" w:cs="Arial" w:eastAsia="Arial" w:hAnsi="Arial"/>
          <w:sz w:val="16"/>
          <w:szCs w:val="16"/>
          <w:i w:val="1"/>
          <w:iCs w:val="1"/>
          <w:color w:val="auto"/>
        </w:rPr>
        <w:t>Redeemable Convertible Preferred Stock</w:t>
      </w:r>
      <w:r>
        <w:rPr>
          <w:rFonts w:ascii="Arial" w:cs="Arial" w:eastAsia="Arial" w:hAnsi="Arial"/>
          <w:sz w:val="16"/>
          <w:szCs w:val="16"/>
          <w:color w:val="auto"/>
        </w:rPr>
        <w:t>) have been recorded as a liability based on "Level 3" inputs, which consist of unobservable inputs and reflect management's estimates of assumptions that market participants would use in pricing the liability. The fair value of the warrants was determined using the Black-Scholes option-pricing model, which is affected by changes in inputs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that model including the Company's stock price, expected stock price volatility, risk-free rate, and contractual term.</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32" w:lineRule="exact"/>
        <w:rPr>
          <w:sz w:val="20"/>
          <w:szCs w:val="20"/>
          <w:color w:val="auto"/>
        </w:rPr>
      </w:pPr>
    </w:p>
    <w:p>
      <w:pPr>
        <w:ind w:firstLine="478"/>
        <w:spacing w:after="0" w:line="235" w:lineRule="auto"/>
        <w:rPr>
          <w:sz w:val="20"/>
          <w:szCs w:val="20"/>
          <w:color w:val="auto"/>
        </w:rPr>
      </w:pPr>
      <w:r>
        <w:rPr>
          <w:rFonts w:ascii="Arial" w:cs="Arial" w:eastAsia="Arial" w:hAnsi="Arial"/>
          <w:sz w:val="18"/>
          <w:szCs w:val="18"/>
          <w:color w:val="auto"/>
        </w:rPr>
        <w:t>Accounts receivable are recorded at the invoiced amount and are non-interest bearing. Accounts receivable are stated at their net realizable value, net of an allowance for doubtful accounts.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records an allowance for doubtful accounts based on management's assessment of the collectability of accounts. Management regularly reviews the adequacy of the allowance for doubtful accounts by considering the age of each outstanding invoice, each customer's expected ability to pay, and the collection history with each customer, when applicable, to determine whether the allowance is appropriate. Amounts deemed uncollectible are written off against the allowance for doubtful accounts. As of January 31, 2017, the allowance for doubtful accounts was not material. As of January 31, 2018, the allowance for doubtful accounts was $0.4 million. As of October 31, 2018 (unaudited), the allowance for doubtful accounts was $0.9 million.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32" w:lineRule="exact"/>
        <w:rPr>
          <w:sz w:val="20"/>
          <w:szCs w:val="20"/>
          <w:color w:val="auto"/>
        </w:rPr>
      </w:pPr>
    </w:p>
    <w:p>
      <w:pPr>
        <w:ind w:right="140" w:firstLine="488"/>
        <w:spacing w:after="0" w:line="236" w:lineRule="auto"/>
        <w:rPr>
          <w:sz w:val="20"/>
          <w:szCs w:val="20"/>
          <w:color w:val="auto"/>
        </w:rPr>
      </w:pPr>
      <w:r>
        <w:rPr>
          <w:rFonts w:ascii="Arial" w:cs="Arial" w:eastAsia="Arial" w:hAnsi="Arial"/>
          <w:sz w:val="18"/>
          <w:szCs w:val="18"/>
          <w:color w:val="auto"/>
        </w:rPr>
        <w:t>Deferred offering costs of $0.6 million have been recorded to prepaid expenses and other current assets on the consolidated balance sheet as of October 31, 2018 (unaudited), and consist of expenses incurred in connection with the anticipated sale of the Company's common stock in an initial public offering ("IPO"), including legal, accounting, printing, and other IPO-related costs. Upon completion of the IPO, these deferred offering costs will be reclassified to stockholders' equity and recorded against the proceeds from the offering. As of January 31, 2018 and January 31, 2017, the Company had not incurred such costs.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32" w:lineRule="exact"/>
        <w:rPr>
          <w:sz w:val="20"/>
          <w:szCs w:val="20"/>
          <w:color w:val="auto"/>
        </w:rPr>
      </w:pPr>
    </w:p>
    <w:p>
      <w:pPr>
        <w:ind w:right="180" w:firstLine="488"/>
        <w:spacing w:after="0" w:line="239" w:lineRule="auto"/>
        <w:rPr>
          <w:sz w:val="20"/>
          <w:szCs w:val="20"/>
          <w:color w:val="auto"/>
        </w:rPr>
      </w:pPr>
      <w:r>
        <w:rPr>
          <w:rFonts w:ascii="Arial" w:cs="Arial" w:eastAsia="Arial" w:hAnsi="Arial"/>
          <w:sz w:val="18"/>
          <w:szCs w:val="18"/>
          <w:color w:val="auto"/>
        </w:rPr>
        <w:t>Property and equipment, net, is stated at historical cost less accumulated depreciation and amortization. Depreciation and amortization are calculated using the straight-line method over the estimated useful lives of the assets as follows:</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 and other computer equipment</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c>
          <w:tcPr>
            <w:tcW w:w="20" w:type="dxa"/>
            <w:vAlign w:val="bottom"/>
          </w:tcPr>
          <w:p>
            <w:pPr>
              <w:spacing w:after="0"/>
              <w:rPr>
                <w:sz w:val="18"/>
                <w:szCs w:val="18"/>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Furniture and equipment</w:t>
            </w:r>
          </w:p>
        </w:tc>
        <w:tc>
          <w:tcPr>
            <w:tcW w:w="4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years</w:t>
            </w: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Purchased software</w:t>
            </w:r>
          </w:p>
        </w:tc>
        <w:tc>
          <w:tcPr>
            <w:tcW w:w="3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3 - 5 years</w:t>
            </w:r>
          </w:p>
        </w:tc>
        <w:tc>
          <w:tcPr>
            <w:tcW w:w="20" w:type="dxa"/>
            <w:vAlign w:val="bottom"/>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Capitalized internal-use software</w:t>
            </w:r>
          </w:p>
        </w:tc>
        <w:tc>
          <w:tcPr>
            <w:tcW w:w="4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years</w:t>
            </w:r>
          </w:p>
        </w:tc>
      </w:tr>
      <w:tr>
        <w:trPr>
          <w:trHeight w:val="206"/>
        </w:trPr>
        <w:tc>
          <w:tcPr>
            <w:tcW w:w="500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Leasehold improvements</w:t>
            </w:r>
          </w:p>
        </w:tc>
        <w:tc>
          <w:tcPr>
            <w:tcW w:w="39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Estimated useful life or term of</w:t>
            </w:r>
          </w:p>
        </w:tc>
        <w:tc>
          <w:tcPr>
            <w:tcW w:w="20" w:type="dxa"/>
            <w:vAlign w:val="bottom"/>
          </w:tcPr>
          <w:p>
            <w:pPr>
              <w:spacing w:after="0"/>
              <w:rPr>
                <w:sz w:val="17"/>
                <w:szCs w:val="17"/>
                <w:color w:val="auto"/>
              </w:rPr>
            </w:pPr>
          </w:p>
        </w:tc>
      </w:tr>
      <w:tr>
        <w:trPr>
          <w:trHeight w:val="199"/>
        </w:trPr>
        <w:tc>
          <w:tcPr>
            <w:tcW w:w="5000" w:type="dxa"/>
            <w:vAlign w:val="bottom"/>
            <w:shd w:val="clear" w:color="auto" w:fill="CCEEFF"/>
          </w:tcPr>
          <w:p>
            <w:pPr>
              <w:spacing w:after="0"/>
              <w:rPr>
                <w:sz w:val="17"/>
                <w:szCs w:val="17"/>
                <w:color w:val="auto"/>
              </w:rPr>
            </w:pPr>
          </w:p>
        </w:tc>
        <w:tc>
          <w:tcPr>
            <w:tcW w:w="3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lease, whichever is shorter</w:t>
            </w:r>
          </w:p>
        </w:tc>
        <w:tc>
          <w:tcPr>
            <w:tcW w:w="20" w:type="dxa"/>
            <w:vAlign w:val="bottom"/>
          </w:tcPr>
          <w:p>
            <w:pPr>
              <w:spacing w:after="0"/>
              <w:rPr>
                <w:sz w:val="17"/>
                <w:szCs w:val="17"/>
                <w:color w:val="auto"/>
              </w:rPr>
            </w:pPr>
          </w:p>
        </w:tc>
      </w:tr>
    </w:tbl>
    <w:p>
      <w:pPr>
        <w:spacing w:after="0" w:line="219" w:lineRule="exact"/>
        <w:rPr>
          <w:sz w:val="20"/>
          <w:szCs w:val="20"/>
          <w:color w:val="auto"/>
        </w:rPr>
      </w:pPr>
    </w:p>
    <w:p>
      <w:pPr>
        <w:ind w:right="300" w:firstLine="488"/>
        <w:spacing w:after="0" w:line="237" w:lineRule="auto"/>
        <w:rPr>
          <w:sz w:val="20"/>
          <w:szCs w:val="20"/>
          <w:color w:val="auto"/>
        </w:rPr>
      </w:pPr>
      <w:r>
        <w:rPr>
          <w:rFonts w:ascii="Arial" w:cs="Arial" w:eastAsia="Arial" w:hAnsi="Arial"/>
          <w:sz w:val="18"/>
          <w:szCs w:val="18"/>
          <w:color w:val="auto"/>
        </w:rPr>
        <w:t>Expenditures for routine maintenance and repairs are charged to operating expense as incurred. Major renewals and betterments are capitalized and depreciated over their estimated useful lives. Upon retirement or other disposition of property and equipment, the cost and accumulated depreciation are removed from the accounts, and any gain or loss is recorded in operating expenses in the consolidated statements of operations.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43" w:right="4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232" w:lineRule="exact"/>
        <w:rPr>
          <w:sz w:val="20"/>
          <w:szCs w:val="20"/>
          <w:color w:val="auto"/>
        </w:rPr>
      </w:pPr>
    </w:p>
    <w:p>
      <w:pPr>
        <w:ind w:right="60" w:firstLine="484"/>
        <w:spacing w:after="0" w:line="266" w:lineRule="auto"/>
        <w:rPr>
          <w:sz w:val="20"/>
          <w:szCs w:val="20"/>
          <w:color w:val="auto"/>
        </w:rPr>
      </w:pPr>
      <w:r>
        <w:rPr>
          <w:rFonts w:ascii="Arial" w:cs="Arial" w:eastAsia="Arial" w:hAnsi="Arial"/>
          <w:sz w:val="16"/>
          <w:szCs w:val="16"/>
          <w:color w:val="auto"/>
        </w:rPr>
        <w:t>The Company capitalizes certain development costs incurred in connection with its internal-use software. These capitalized costs are primarily related to the Company's cloud-delivered solution for next-generation endpoint protection. Costs incurred in the preliminary stages of development are expensed as incurred. Once an application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is amortized to cost of revenue on a straight-line basis over its estimated useful life of three years. Management evaluates the useful lives of these assets on an annual basis and tests for impairment whenever events or changes in circumstances occur that could impact the recoverability of these assets. There were no impairments of internal-use software during the years ended January 31, 2017 and January 31, 2018. The Company capitalized $5.6 million and $6.5 million in internal-use software during the years ended January 31, 2017 and January 31, 2018, respectively, and $3.7 million and $5.0 million during the nine months ended October 31, 2017 (unaudited) and October 31, 2018 (unaudited), respectively. Amortization expense associated with internal-use software totaled $1.6 million and $3.2 million during the years ended January 31, 2017 and January 31, 2018, respectively, and $2.5 million and $3.5 million during the nine months ended October 31, 2017 (unaudited) and October 31, 2018 (unaudited), respectively. The net book value of capitalized internal-use software was $6.5 million, $9.9 million, and $11.4 million as of January 31, 2017, January 31, 2018, and October 31, 2018 (unaudited), respectively.</w:t>
      </w:r>
    </w:p>
    <w:p>
      <w:pPr>
        <w:spacing w:after="0" w:line="37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32"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Intangible assets, net, consisting of developed technology, customer relationships, and non-compete agreements, are stated at cost less accumulated amortization. All intangible assets have been determined to have definite lives and are amortized on a straight-line basis over their estimated economic lives of three to five years. Amortization expense related to developed technology is included in cost of revenue, amortization expense related to customer relationships is included in sales and marketing expenses, and amortization expense related to non-compete agreements is included in research and development expenses.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32" w:lineRule="exact"/>
        <w:rPr>
          <w:sz w:val="20"/>
          <w:szCs w:val="20"/>
          <w:color w:val="auto"/>
        </w:rPr>
      </w:pPr>
    </w:p>
    <w:p>
      <w:pPr>
        <w:ind w:firstLine="484"/>
        <w:spacing w:after="0" w:line="264" w:lineRule="auto"/>
        <w:rPr>
          <w:sz w:val="20"/>
          <w:szCs w:val="20"/>
          <w:color w:val="auto"/>
        </w:rPr>
      </w:pPr>
      <w:r>
        <w:rPr>
          <w:rFonts w:ascii="Arial" w:cs="Arial" w:eastAsia="Arial" w:hAnsi="Arial"/>
          <w:sz w:val="16"/>
          <w:szCs w:val="16"/>
          <w:color w:val="auto"/>
        </w:rPr>
        <w:t>The Company capitalizes commission costs that are incremental and directly related to the acquisition of customer contracts. Commission costs are accrued and capitalized upon execution of the sales contract by the customer. Deferred commissions are amortized over the related noncancelable term of the customer contract and are recoverable through the related future revenue streams. The Company capitalized commission costs of $9.4 million and $25.3 million during the years ended January 31, 2017 and January 31, 2018, respectively, and</w:t>
      </w:r>
    </w:p>
    <w:p>
      <w:pPr>
        <w:jc w:val="both"/>
        <w:ind w:right="360"/>
        <w:spacing w:after="0" w:line="281" w:lineRule="auto"/>
        <w:rPr>
          <w:sz w:val="20"/>
          <w:szCs w:val="20"/>
          <w:color w:val="auto"/>
        </w:rPr>
      </w:pPr>
      <w:r>
        <w:rPr>
          <w:rFonts w:ascii="Arial" w:cs="Arial" w:eastAsia="Arial" w:hAnsi="Arial"/>
          <w:sz w:val="16"/>
          <w:szCs w:val="16"/>
          <w:color w:val="auto"/>
        </w:rPr>
        <w:t>$13.2 million and $27.5 million during the nine months ended October 31, 2017 (unaudited) and October 31, 2018 (unaudited), respectively. Commission amortization expense was $5.1 million and $12.5 million during the years ended January 31, 2017 and January 31, 2018, and $7.8 million and $19.3 million during the nine months ended October 31, 2017 (unaudited) and October 31, 2018 (unaudited), respectively.</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2" w:lineRule="exact"/>
        <w:rPr>
          <w:sz w:val="20"/>
          <w:szCs w:val="20"/>
          <w:color w:val="auto"/>
        </w:rPr>
      </w:pPr>
    </w:p>
    <w:p>
      <w:pPr>
        <w:ind w:firstLine="484"/>
        <w:spacing w:after="0" w:line="268" w:lineRule="auto"/>
        <w:rPr>
          <w:sz w:val="20"/>
          <w:szCs w:val="20"/>
          <w:color w:val="auto"/>
        </w:rPr>
      </w:pPr>
      <w:r>
        <w:rPr>
          <w:rFonts w:ascii="Arial" w:cs="Arial" w:eastAsia="Arial" w:hAnsi="Arial"/>
          <w:sz w:val="16"/>
          <w:szCs w:val="16"/>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is less than its carrying amount. No impairment indicators were identified by the Company and no impairment losses were recorded by the Company during the years ended January 31, 2017 and January 31, 2018 or during the nine months ended October 31, 2018 (unaudited).</w:t>
      </w:r>
    </w:p>
    <w:p>
      <w:pPr>
        <w:spacing w:after="0" w:line="3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32" w:lineRule="exact"/>
        <w:rPr>
          <w:sz w:val="20"/>
          <w:szCs w:val="20"/>
          <w:color w:val="auto"/>
        </w:rPr>
      </w:pPr>
    </w:p>
    <w:p>
      <w:pPr>
        <w:ind w:right="20" w:firstLine="484"/>
        <w:spacing w:after="0" w:line="236" w:lineRule="auto"/>
        <w:rPr>
          <w:sz w:val="20"/>
          <w:szCs w:val="20"/>
          <w:color w:val="auto"/>
        </w:rPr>
      </w:pPr>
      <w:r>
        <w:rPr>
          <w:rFonts w:ascii="Arial" w:cs="Arial" w:eastAsia="Arial" w:hAnsi="Arial"/>
          <w:sz w:val="18"/>
          <w:szCs w:val="18"/>
          <w:color w:val="auto"/>
        </w:rPr>
        <w:t>The deferred revenue balance consists of subscription and professional services which have been invoiced upfront and are recognized as revenue only when the revenue recognition criteria are met. The Company typically invoices its customers at the beginning of the term, or in some instances, such as in multi-year arrangements, in installments. Professional services are either invoiced upfront, invoiced in installments, or invoiced as the services are performed. Accordingly, the Company's deferred revenue balance does not include revenues for future years of multi-year non-cancellable contracts that have not yet been billed.</w:t>
      </w:r>
    </w:p>
    <w:p>
      <w:pPr>
        <w:spacing w:after="0" w:line="211" w:lineRule="exact"/>
        <w:rPr>
          <w:sz w:val="20"/>
          <w:szCs w:val="20"/>
          <w:color w:val="auto"/>
        </w:rPr>
      </w:pPr>
    </w:p>
    <w:p>
      <w:pPr>
        <w:ind w:right="40" w:firstLine="484"/>
        <w:spacing w:after="0" w:line="236" w:lineRule="auto"/>
        <w:rPr>
          <w:sz w:val="20"/>
          <w:szCs w:val="20"/>
          <w:color w:val="auto"/>
        </w:rPr>
      </w:pPr>
      <w:r>
        <w:rPr>
          <w:rFonts w:ascii="Arial" w:cs="Arial" w:eastAsia="Arial" w:hAnsi="Arial"/>
          <w:sz w:val="18"/>
          <w:szCs w:val="18"/>
          <w:color w:val="auto"/>
        </w:rPr>
        <w:t>The Company recognizes subscription revenue ratably over the contract term beginning on the commencement date of each contract, the date that services are made available to customers.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consolidated balance sheets, unless such amounts have been paid as of the balance sheet date.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232"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 xml:space="preserve">Warrants related to the Company's redeemable convertible preferred stock are classified as liabilities on the Company's consolidated balance sheet. The warrants are subject to reassessment at each balance sheet date, and any change in fair value is recognized as a component of other expense, net, in the consolidated statements of operations. The Company will continue to adjust the liability for changes in fair value until the earlier of the expiration or exercise of the warrants, or upon their automatic conversion into warrants to purchase common stock in connection with a qualified initial public offering (as defined in Note 8, </w:t>
      </w:r>
      <w:r>
        <w:rPr>
          <w:rFonts w:ascii="Arial" w:cs="Arial" w:eastAsia="Arial" w:hAnsi="Arial"/>
          <w:sz w:val="18"/>
          <w:szCs w:val="18"/>
          <w:i w:val="1"/>
          <w:iCs w:val="1"/>
          <w:color w:val="auto"/>
        </w:rPr>
        <w:t>Redeemable Convertible Preferred Stock</w:t>
      </w:r>
      <w:r>
        <w:rPr>
          <w:rFonts w:ascii="Arial" w:cs="Arial" w:eastAsia="Arial" w:hAnsi="Arial"/>
          <w:sz w:val="18"/>
          <w:szCs w:val="18"/>
          <w:color w:val="auto"/>
        </w:rPr>
        <w:t>) such that they qualify for equity classification and no further remeasurement is required.</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offers several cyber security solutions focused on technology, intelligence, and professional services.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120" w:firstLine="484"/>
        <w:spacing w:after="0" w:line="281" w:lineRule="auto"/>
        <w:rPr>
          <w:sz w:val="20"/>
          <w:szCs w:val="20"/>
          <w:color w:val="auto"/>
        </w:rPr>
      </w:pPr>
      <w:r>
        <w:rPr>
          <w:rFonts w:ascii="Arial" w:cs="Arial" w:eastAsia="Arial" w:hAnsi="Arial"/>
          <w:sz w:val="16"/>
          <w:szCs w:val="16"/>
          <w:color w:val="auto"/>
        </w:rPr>
        <w:t>The Company recognizes subscription and professional services when: (1) persuasive evidence of the contract exists in the form of a written contract, amendments to that contract, or purchase orders from a third party; (2) delivery has occurred, or services have been rendered; (3) the price is fixed or determinable; and (4) collectability is reasonably assured based on customer creditworthiness and history of collection.</w:t>
      </w:r>
    </w:p>
    <w:p>
      <w:pPr>
        <w:spacing w:after="0" w:line="177" w:lineRule="exact"/>
        <w:rPr>
          <w:sz w:val="20"/>
          <w:szCs w:val="20"/>
          <w:color w:val="auto"/>
        </w:rPr>
      </w:pPr>
    </w:p>
    <w:p>
      <w:pPr>
        <w:ind w:right="80" w:firstLine="484"/>
        <w:spacing w:after="0" w:line="272" w:lineRule="auto"/>
        <w:rPr>
          <w:sz w:val="20"/>
          <w:szCs w:val="20"/>
          <w:color w:val="auto"/>
        </w:rPr>
      </w:pPr>
      <w:r>
        <w:rPr>
          <w:rFonts w:ascii="Arial" w:cs="Arial" w:eastAsia="Arial" w:hAnsi="Arial"/>
          <w:sz w:val="16"/>
          <w:szCs w:val="16"/>
          <w:color w:val="auto"/>
        </w:rPr>
        <w:t>The timing and the amount the Company recognizes as revenue is determined based on the facts and circumstances of each customer's arrangements. Evidence of an arrangement consists of a signed customer agreement. The Company considers that the delivery of its solution has commenced once it provides the customer with log-in information and the term of the contract has started. Fees are fixed based on stated rates specified in the customer agreement. The Company assesses collectability based on several factors, including the credit worthiness of the customer and transaction history. If collectability is not reasonably assured, revenue is deferred until the fees are collected.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w:t>
      </w:r>
    </w:p>
    <w:p>
      <w:pPr>
        <w:spacing w:after="0" w:line="230"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Falcon Platform technology solutions are subscription, software as a service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Professional Services</w:t>
      </w:r>
    </w:p>
    <w:p>
      <w:pPr>
        <w:spacing w:after="0" w:line="230" w:lineRule="exact"/>
        <w:rPr>
          <w:sz w:val="20"/>
          <w:szCs w:val="20"/>
          <w:color w:val="auto"/>
        </w:rPr>
      </w:pPr>
    </w:p>
    <w:p>
      <w:pPr>
        <w:ind w:right="60" w:firstLine="484"/>
        <w:spacing w:after="0" w:line="236" w:lineRule="auto"/>
        <w:rPr>
          <w:sz w:val="20"/>
          <w:szCs w:val="20"/>
          <w:color w:val="auto"/>
        </w:rPr>
      </w:pPr>
      <w:r>
        <w:rPr>
          <w:rFonts w:ascii="Arial" w:cs="Arial" w:eastAsia="Arial" w:hAnsi="Arial"/>
          <w:sz w:val="18"/>
          <w:szCs w:val="18"/>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Multiple-Element Arrangements</w:t>
      </w:r>
    </w:p>
    <w:p>
      <w:pPr>
        <w:spacing w:after="0" w:line="230"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For arrangements that involve the contemporaneous sale of subscription and professional services, the Company applies the multiple-element arrangement guidance to allocate the arrangement consideration to all deliverables based on their relative selling price. The Company has determined that the cloud-based platform subscription has standalone value, because once access is given to the customer, the solutions are fully functional and do not require any additional development, modification, or customization. Professional services have standalone value because they are regularly sold by the Company in separate transactions. Additionally, the performance of these professional services generally does not require highly specialized or technologically skilled individuals and the professional services are not essential to the functionality of the solutions.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firstLine="484"/>
        <w:spacing w:after="0" w:line="239" w:lineRule="auto"/>
        <w:rPr>
          <w:sz w:val="20"/>
          <w:szCs w:val="20"/>
          <w:color w:val="auto"/>
        </w:rPr>
      </w:pPr>
      <w:r>
        <w:rPr>
          <w:rFonts w:ascii="Arial" w:cs="Arial" w:eastAsia="Arial" w:hAnsi="Arial"/>
          <w:sz w:val="18"/>
          <w:szCs w:val="18"/>
          <w:color w:val="auto"/>
        </w:rPr>
        <w:t>The Company uses a hierarchy to determine the selling price to be used for allocating revenue to deliverables: (i) vendor-specific objective evidence of fair value ("VSOE"); (ii) third-party evidence of selling price ("TPE"); and (iii) best estimate of selling price ("BESP").</w:t>
      </w:r>
    </w:p>
    <w:p>
      <w:pPr>
        <w:spacing w:after="0" w:line="209" w:lineRule="exact"/>
        <w:rPr>
          <w:sz w:val="20"/>
          <w:szCs w:val="20"/>
          <w:color w:val="auto"/>
        </w:rPr>
      </w:pPr>
    </w:p>
    <w:p>
      <w:pPr>
        <w:ind w:right="120" w:firstLine="488"/>
        <w:spacing w:after="0" w:line="237" w:lineRule="auto"/>
        <w:rPr>
          <w:sz w:val="20"/>
          <w:szCs w:val="20"/>
          <w:color w:val="auto"/>
        </w:rPr>
      </w:pPr>
      <w:r>
        <w:rPr>
          <w:rFonts w:ascii="Arial" w:cs="Arial" w:eastAsia="Arial" w:hAnsi="Arial"/>
          <w:sz w:val="18"/>
          <w:szCs w:val="18"/>
          <w:color w:val="auto"/>
        </w:rPr>
        <w:t>BESP reflects the Company's best estimates of what the selling prices of elements would be if they were sold regularly on a stand-alone basis. The Company's process for determining BESP involves management's judgment and considers numerous factors including the nature of the deliverables themselves and historical discounting practices. The Company updates its estimates of BESP on an ongoing basis as events and circumstances may require.</w:t>
      </w:r>
    </w:p>
    <w:p>
      <w:pPr>
        <w:spacing w:after="0" w:line="208" w:lineRule="exact"/>
        <w:rPr>
          <w:sz w:val="20"/>
          <w:szCs w:val="20"/>
          <w:color w:val="auto"/>
        </w:rPr>
      </w:pPr>
    </w:p>
    <w:p>
      <w:pPr>
        <w:ind w:right="40" w:firstLine="484"/>
        <w:spacing w:after="0" w:line="236" w:lineRule="auto"/>
        <w:rPr>
          <w:sz w:val="20"/>
          <w:szCs w:val="20"/>
          <w:color w:val="auto"/>
        </w:rPr>
      </w:pPr>
      <w:r>
        <w:rPr>
          <w:rFonts w:ascii="Arial" w:cs="Arial" w:eastAsia="Arial" w:hAnsi="Arial"/>
          <w:sz w:val="18"/>
          <w:szCs w:val="18"/>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 provided that the other revenue recognition criteria noted above have been met.</w:t>
      </w:r>
    </w:p>
    <w:p>
      <w:pPr>
        <w:spacing w:after="0" w:line="210" w:lineRule="exact"/>
        <w:rPr>
          <w:sz w:val="20"/>
          <w:szCs w:val="20"/>
          <w:color w:val="auto"/>
        </w:rPr>
      </w:pPr>
    </w:p>
    <w:p>
      <w:pPr>
        <w:ind w:right="320" w:firstLine="484"/>
        <w:spacing w:after="0" w:line="275" w:lineRule="auto"/>
        <w:rPr>
          <w:sz w:val="20"/>
          <w:szCs w:val="20"/>
          <w:color w:val="auto"/>
        </w:rPr>
      </w:pPr>
      <w:r>
        <w:rPr>
          <w:rFonts w:ascii="Arial" w:cs="Arial" w:eastAsia="Arial" w:hAnsi="Arial"/>
          <w:sz w:val="16"/>
          <w:szCs w:val="16"/>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 provided that the other revenue recognition criteria noted above have been met. The Company records referral fees paid to channel partners as sales commission expense as incurred.</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2" w:lineRule="exact"/>
        <w:rPr>
          <w:sz w:val="20"/>
          <w:szCs w:val="20"/>
          <w:color w:val="auto"/>
        </w:rPr>
      </w:pPr>
    </w:p>
    <w:p>
      <w:pPr>
        <w:jc w:val="both"/>
        <w:ind w:right="340" w:firstLine="488"/>
        <w:spacing w:after="0" w:line="281" w:lineRule="auto"/>
        <w:rPr>
          <w:sz w:val="20"/>
          <w:szCs w:val="20"/>
          <w:color w:val="auto"/>
        </w:rPr>
      </w:pPr>
      <w:r>
        <w:rPr>
          <w:rFonts w:ascii="Arial" w:cs="Arial" w:eastAsia="Arial" w:hAnsi="Arial"/>
          <w:sz w:val="16"/>
          <w:szCs w:val="16"/>
          <w:color w:val="auto"/>
        </w:rPr>
        <w:t>Research and development costs are charged to expense when incurred, except for certain internal-use software development costs, which may be capitalized as noted above. Research and development expense consists primarily of personnel and related headcount costs, costs of professional services associated with the ongoing development of the Company's technology, and allocated overhead.</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Advertising</w:t>
      </w:r>
    </w:p>
    <w:p>
      <w:pPr>
        <w:spacing w:after="0" w:line="232" w:lineRule="exact"/>
        <w:rPr>
          <w:sz w:val="20"/>
          <w:szCs w:val="20"/>
          <w:color w:val="auto"/>
        </w:rPr>
      </w:pPr>
    </w:p>
    <w:p>
      <w:pPr>
        <w:ind w:right="200" w:firstLine="478"/>
        <w:spacing w:after="0" w:line="237" w:lineRule="auto"/>
        <w:rPr>
          <w:sz w:val="20"/>
          <w:szCs w:val="20"/>
          <w:color w:val="auto"/>
        </w:rPr>
      </w:pPr>
      <w:r>
        <w:rPr>
          <w:rFonts w:ascii="Arial" w:cs="Arial" w:eastAsia="Arial" w:hAnsi="Arial"/>
          <w:sz w:val="18"/>
          <w:szCs w:val="18"/>
          <w:color w:val="auto"/>
        </w:rPr>
        <w:t>All advertising costs are expensed as incurred and are included in sales and marketing expense in the consolidated statements of operations. The Company incurred $2.1 million and $1.6 million of advertising costs during the years ended January 31, 2017 and January 31, 2018, respectively, and $1.2 million and $2.6 million of advertising costs during the nine months ended October 31, 2017 (unaudited) and October 31, 2018 (unaudited), respectively.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2" w:lineRule="exact"/>
        <w:rPr>
          <w:sz w:val="20"/>
          <w:szCs w:val="20"/>
          <w:color w:val="auto"/>
        </w:rPr>
      </w:pPr>
    </w:p>
    <w:p>
      <w:pPr>
        <w:ind w:right="20" w:firstLine="484"/>
        <w:spacing w:after="0" w:line="237" w:lineRule="auto"/>
        <w:rPr>
          <w:sz w:val="20"/>
          <w:szCs w:val="20"/>
          <w:color w:val="auto"/>
        </w:rPr>
      </w:pPr>
      <w:r>
        <w:rPr>
          <w:rFonts w:ascii="Arial" w:cs="Arial" w:eastAsia="Arial" w:hAnsi="Arial"/>
          <w:sz w:val="18"/>
          <w:szCs w:val="18"/>
          <w:color w:val="auto"/>
        </w:rPr>
        <w:t>The Company accounts for stock-based awards granted to employees and directors based on the awards' estimated grant date fair value. The Company estimates the fair value of its stock options using the Black-Scholes option-pricing model. The resulting fair value, net of forfeitures, is recognized on a straight-line basis over the period during which the employee or director is required to provide service in exchange for the award, usually the vesting period, which is generally four years.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Stock-based awards issued to non-employees are accounted for at fair value determined by using the Black-Scholes option-pricing model. The Company believes that the fair value of the stock options is more reliably measured than the fair value of the services received. The fair value of each non-employee stock-based award is remeasured each period until a commitment date is reached, which is generally the vesting date.</w:t>
      </w:r>
    </w:p>
    <w:p>
      <w:pPr>
        <w:spacing w:after="0" w:line="208" w:lineRule="exact"/>
        <w:rPr>
          <w:sz w:val="20"/>
          <w:szCs w:val="20"/>
          <w:color w:val="auto"/>
        </w:rPr>
      </w:pPr>
    </w:p>
    <w:p>
      <w:pPr>
        <w:ind w:right="160" w:firstLine="488"/>
        <w:spacing w:after="0" w:line="238" w:lineRule="auto"/>
        <w:rPr>
          <w:sz w:val="20"/>
          <w:szCs w:val="20"/>
          <w:color w:val="auto"/>
        </w:rPr>
      </w:pPr>
      <w:r>
        <w:rPr>
          <w:rFonts w:ascii="Arial" w:cs="Arial" w:eastAsia="Arial" w:hAnsi="Arial"/>
          <w:sz w:val="18"/>
          <w:szCs w:val="18"/>
          <w:color w:val="auto"/>
        </w:rPr>
        <w:t>During fiscal 2017 and 2018, the Company recognized stock-based compensation expense, net of estimated forfeitures. Historical data was used to estimate pre-vesting forfeitures and stock-based compensation expense was recorded only for those grants that were expected to vest.</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Adoption of ASU 2016-09 (unaudited)</w:t>
      </w:r>
    </w:p>
    <w:p>
      <w:pPr>
        <w:spacing w:after="0" w:line="212" w:lineRule="exact"/>
        <w:rPr>
          <w:sz w:val="20"/>
          <w:szCs w:val="20"/>
          <w:color w:val="auto"/>
        </w:rPr>
      </w:pPr>
    </w:p>
    <w:p>
      <w:pPr>
        <w:ind w:right="140" w:firstLine="488"/>
        <w:spacing w:after="0" w:line="239" w:lineRule="auto"/>
        <w:rPr>
          <w:sz w:val="20"/>
          <w:szCs w:val="20"/>
          <w:color w:val="auto"/>
        </w:rPr>
      </w:pPr>
      <w:r>
        <w:rPr>
          <w:rFonts w:ascii="Arial" w:cs="Arial" w:eastAsia="Arial" w:hAnsi="Arial"/>
          <w:sz w:val="18"/>
          <w:szCs w:val="18"/>
          <w:color w:val="auto"/>
        </w:rPr>
        <w:t xml:space="preserve">On February 1, 2018, the Company adopted Accounting Standard Update No.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to Employee Share-Based Payment Accounting </w:t>
      </w:r>
      <w:r>
        <w:rPr>
          <w:rFonts w:ascii="Arial" w:cs="Arial" w:eastAsia="Arial" w:hAnsi="Arial"/>
          <w:sz w:val="18"/>
          <w:szCs w:val="18"/>
          <w:color w:val="auto"/>
        </w:rPr>
        <w:t>("ASU 2016-09"), which simplifies several aspects of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share-based payment transactions. In accordance with ASU 2016-09, the Company has elected to account for forfeitures as they occur instead of estimating the number of awards expected to be forfeited and adjusting the estimate when it is no longer probable that the employee will fulfill the service condition. Adoption of this ASU on February 1, 2018 resulted in an adjustment to opening accumulated deficit of $0.1 million, net of tax, as of the date of adoption.</w:t>
      </w:r>
    </w:p>
    <w:p>
      <w:pPr>
        <w:spacing w:after="0" w:line="212" w:lineRule="exact"/>
        <w:rPr>
          <w:sz w:val="20"/>
          <w:szCs w:val="20"/>
          <w:color w:val="auto"/>
        </w:rPr>
      </w:pPr>
    </w:p>
    <w:p>
      <w:pPr>
        <w:ind w:right="140" w:firstLine="478"/>
        <w:spacing w:after="0" w:line="237" w:lineRule="auto"/>
        <w:rPr>
          <w:sz w:val="20"/>
          <w:szCs w:val="20"/>
          <w:color w:val="auto"/>
        </w:rPr>
      </w:pPr>
      <w:r>
        <w:rPr>
          <w:rFonts w:ascii="Arial" w:cs="Arial" w:eastAsia="Arial" w:hAnsi="Arial"/>
          <w:sz w:val="18"/>
          <w:szCs w:val="18"/>
          <w:color w:val="auto"/>
        </w:rPr>
        <w:t>Additionally, upon adoption of ASU 2016-09, on a modified retrospective basis, the Company recognized an immaterial amount of total U.S. federal and state deferred tax assets for such previously unrecognized excess tax benefits, which is offset by the U.S. federal and state valuation allowance. Under ASU 2016-09, the excess tax benefits and deficiencies are recognized in the period in which they occur. In the nine months ended October 31, 2018, the Company recognized an immaterial amount of net excess tax benefits.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2" w:lineRule="exact"/>
        <w:rPr>
          <w:sz w:val="20"/>
          <w:szCs w:val="20"/>
          <w:color w:val="auto"/>
        </w:rPr>
      </w:pPr>
    </w:p>
    <w:p>
      <w:pPr>
        <w:ind w:right="80" w:firstLine="484"/>
        <w:spacing w:after="0" w:line="268" w:lineRule="auto"/>
        <w:rPr>
          <w:sz w:val="20"/>
          <w:szCs w:val="20"/>
          <w:color w:val="auto"/>
        </w:rPr>
      </w:pPr>
      <w:r>
        <w:rPr>
          <w:rFonts w:ascii="Arial" w:cs="Arial" w:eastAsia="Arial" w:hAnsi="Arial"/>
          <w:sz w:val="16"/>
          <w:szCs w:val="16"/>
          <w:color w:val="auto"/>
        </w:rPr>
        <w:t>The Company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 of operations.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32" w:lineRule="exact"/>
        <w:rPr>
          <w:sz w:val="20"/>
          <w:szCs w:val="20"/>
          <w:color w:val="auto"/>
        </w:rPr>
      </w:pPr>
    </w:p>
    <w:p>
      <w:pPr>
        <w:ind w:firstLine="484"/>
        <w:spacing w:after="0" w:line="238" w:lineRule="auto"/>
        <w:rPr>
          <w:sz w:val="20"/>
          <w:szCs w:val="20"/>
          <w:color w:val="auto"/>
        </w:rPr>
      </w:pPr>
      <w:r>
        <w:rPr>
          <w:rFonts w:ascii="Arial" w:cs="Arial" w:eastAsia="Arial" w:hAnsi="Arial"/>
          <w:sz w:val="18"/>
          <w:szCs w:val="18"/>
          <w:color w:val="auto"/>
        </w:rPr>
        <w:t>The Company evaluates and tests the recoverability of goodwill for impairment at least annually, on January 31, or more frequently if circumstances indicate that goodwill may not be recoverable. The Company performs the impairment testing by first assessing qualitative factors to determine whether the existence of events or circumstances leads to a determination that it is more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likely than not that the fair value of its reporting unit is less than its carrying amount. The Company has one reporting unit. If, after assessing the totality of events or circumstances, the Company determines it is more likely than not that the fair value of a reporting unit is less than its carrying amount, the Company performs the first step of a two-step analysis by comparing the book value of net assets to the fair value of the reporting unit. To calculate any potential impairment, the Company compares the fair value of a reporting unit with its carrying amount, including goodwill. Any excess of the carrying amount of the reporting unit's goodwill over its fair value is recognized as an impairment loss, and the carrying value of goodwill is written down.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No impairment was recorded during the years ended January 31, 2017, January 31, 2018, or the nine months ended October 31, 2018 (unaudited). The change in the goodwill balance during the nine months ended October 31, 2018 (unaudited) was due to changes in foreign currency exchange rates.</w:t>
      </w:r>
    </w:p>
    <w:p>
      <w:pPr>
        <w:spacing w:after="0" w:line="214" w:lineRule="exact"/>
        <w:rPr>
          <w:sz w:val="20"/>
          <w:szCs w:val="20"/>
          <w:color w:val="auto"/>
        </w:rPr>
      </w:pPr>
    </w:p>
    <w:p>
      <w:pPr>
        <w:ind w:right="60" w:firstLine="478"/>
        <w:spacing w:after="0" w:line="235" w:lineRule="auto"/>
        <w:rPr>
          <w:sz w:val="20"/>
          <w:szCs w:val="20"/>
          <w:color w:val="auto"/>
        </w:rPr>
      </w:pPr>
      <w:r>
        <w:rPr>
          <w:rFonts w:ascii="Arial" w:cs="Arial" w:eastAsia="Arial" w:hAnsi="Arial"/>
          <w:sz w:val="18"/>
          <w:szCs w:val="18"/>
          <w:color w:val="auto"/>
        </w:rPr>
        <w:t>Acquired intangible assets consisting of identifiable intangible assets, were comprised of developed technology, customer relationships, and non-compete agreements resulting from acquisitions. Acquired intangible assets are recorded at fair value on the date of acquisition and amortized over their estimated economic lives following the pattern in which the economic benefits of the assets will be consumed which is on a straight-line basis. Acquired intangible assets are presented net of accumulated amortization on the consolidated balance sheets. The Company reviews the carrying amounts of intangible assets for impairment whenever events or changes in circumstances indicate that the carrying amount of the assets may not be recoverable. The Company measures the recoverability of intangible assets by comparing the carrying amount of each asset to the future undiscounted cash flows it expects the asset to generate. If the Company considers any of these assets to be impaired, the impairment to be recognized equals the amount by which the carrying value of the asset exceeds its fair value. In addition, the Company periodically evaluates the estimated remaining useful lives of long-lived assets to determine whether events or changes in circumstances warrant a revision to the remaining period of depreciation or amortization.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Leases</w:t>
      </w:r>
    </w:p>
    <w:p>
      <w:pPr>
        <w:spacing w:after="0" w:line="232" w:lineRule="exact"/>
        <w:rPr>
          <w:sz w:val="20"/>
          <w:szCs w:val="20"/>
          <w:color w:val="auto"/>
        </w:rPr>
      </w:pPr>
    </w:p>
    <w:p>
      <w:pPr>
        <w:ind w:right="80" w:firstLine="484"/>
        <w:spacing w:after="0" w:line="271" w:lineRule="auto"/>
        <w:rPr>
          <w:sz w:val="20"/>
          <w:szCs w:val="20"/>
          <w:color w:val="auto"/>
        </w:rPr>
      </w:pPr>
      <w:r>
        <w:rPr>
          <w:rFonts w:ascii="Arial" w:cs="Arial" w:eastAsia="Arial" w:hAnsi="Arial"/>
          <w:sz w:val="16"/>
          <w:szCs w:val="16"/>
          <w:color w:val="auto"/>
        </w:rPr>
        <w:t>The Company leases its office space under various noncancelable operating lease agreements and recognizes related rent expense on a straight-line basis over the term of the lease. Certain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The Company begins to recognize rent expense on the date that the Company obtains the legal right to use and control the leased space.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32" w:lineRule="exact"/>
        <w:rPr>
          <w:sz w:val="20"/>
          <w:szCs w:val="20"/>
          <w:color w:val="auto"/>
        </w:rPr>
      </w:pPr>
    </w:p>
    <w:p>
      <w:pPr>
        <w:jc w:val="both"/>
        <w:ind w:right="40" w:firstLine="484"/>
        <w:spacing w:after="0" w:line="238" w:lineRule="auto"/>
        <w:rPr>
          <w:sz w:val="20"/>
          <w:szCs w:val="20"/>
          <w:color w:val="auto"/>
        </w:rPr>
      </w:pPr>
      <w:r>
        <w:rPr>
          <w:rFonts w:ascii="Arial" w:cs="Arial" w:eastAsia="Arial" w:hAnsi="Arial"/>
          <w:sz w:val="18"/>
          <w:szCs w:val="18"/>
          <w:color w:val="auto"/>
        </w:rPr>
        <w:t>The functional currencies of the Company's foreign subsidiaries are each country's local currency. Assets and liabilities of the subsidiaries are translated into U.S. Dollars at exchange rates in effect at the reporting date. Amounts classified in stockholders' equity (deficit) are translated at historical exchange rates. Revenue and expenses are translated at the average exchange rates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the period. The resulting translation adjustments are recorded in accumulated other comprehensive income (loss). Foreign currency transaction gains or losses, whether realized or unrealized, are reflected in the consolidated statements of operations within other expense, net, and have not been material for all periods presented.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32" w:lineRule="exact"/>
        <w:rPr>
          <w:sz w:val="20"/>
          <w:szCs w:val="20"/>
          <w:color w:val="auto"/>
        </w:rPr>
      </w:pPr>
    </w:p>
    <w:p>
      <w:pPr>
        <w:ind w:right="260" w:firstLine="484"/>
        <w:spacing w:after="0" w:line="237"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208" w:lineRule="exact"/>
        <w:rPr>
          <w:sz w:val="20"/>
          <w:szCs w:val="20"/>
          <w:color w:val="auto"/>
        </w:rPr>
      </w:pPr>
    </w:p>
    <w:p>
      <w:pPr>
        <w:ind w:firstLine="484"/>
        <w:spacing w:after="0" w:line="235" w:lineRule="auto"/>
        <w:rPr>
          <w:sz w:val="20"/>
          <w:szCs w:val="20"/>
          <w:color w:val="auto"/>
        </w:rPr>
      </w:pPr>
      <w:r>
        <w:rPr>
          <w:rFonts w:ascii="Arial" w:cs="Arial" w:eastAsia="Arial" w:hAnsi="Arial"/>
          <w:sz w:val="18"/>
          <w:szCs w:val="18"/>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liability is adjusted considering changing facts and circumstances, such as the outcome of a tax audit. The provision for income taxes includes the impact of liability provisions and changes to the liability that are considered appropriate. As the Company maintained a full valuation allowance against its deferred tax assets, the changes resulted in no additional tax expense during the years ended January 31, 2017, January 31, 2018, and the nine months ended October 31, 2018 (unaudited). As of January 31, 2018, the Company does not expect that changes in the liability for unrecognized tax benefits for the next twelve months will have a material impact on its consolidated financial statements.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Sales Taxes</w:t>
      </w:r>
    </w:p>
    <w:p>
      <w:pPr>
        <w:spacing w:after="0" w:line="232" w:lineRule="exact"/>
        <w:rPr>
          <w:sz w:val="20"/>
          <w:szCs w:val="20"/>
          <w:color w:val="auto"/>
        </w:rPr>
      </w:pPr>
    </w:p>
    <w:p>
      <w:pPr>
        <w:ind w:right="380" w:firstLine="488"/>
        <w:spacing w:after="0" w:line="238" w:lineRule="auto"/>
        <w:rPr>
          <w:sz w:val="20"/>
          <w:szCs w:val="20"/>
          <w:color w:val="auto"/>
        </w:rPr>
      </w:pPr>
      <w:r>
        <w:rPr>
          <w:rFonts w:ascii="Arial" w:cs="Arial" w:eastAsia="Arial" w:hAnsi="Arial"/>
          <w:sz w:val="18"/>
          <w:szCs w:val="18"/>
          <w:color w:val="auto"/>
        </w:rPr>
        <w:t>When sales and other taxes are billed, such amounts are recorded as accounts receivable with a corresponding increase to sales tax payable, respectively. The balances are then removed from the consolidated balance sheet as cash is collected from the customer and as remitted to the respective tax authority.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32" w:lineRule="exact"/>
        <w:rPr>
          <w:sz w:val="20"/>
          <w:szCs w:val="20"/>
          <w:color w:val="auto"/>
        </w:rPr>
      </w:pPr>
    </w:p>
    <w:p>
      <w:pPr>
        <w:ind w:right="40" w:firstLine="484"/>
        <w:spacing w:after="0" w:line="237" w:lineRule="auto"/>
        <w:rPr>
          <w:sz w:val="20"/>
          <w:szCs w:val="20"/>
          <w:color w:val="auto"/>
        </w:rPr>
      </w:pPr>
      <w:r>
        <w:rPr>
          <w:rFonts w:ascii="Arial" w:cs="Arial" w:eastAsia="Arial" w:hAnsi="Arial"/>
          <w:sz w:val="18"/>
          <w:szCs w:val="18"/>
          <w:color w:val="auto"/>
        </w:rPr>
        <w:t>The Company's chief operating decision maker ("CODM") is its chief executive officer. The CODM reviews financial information presented on a consolidated basis for the purposes of allocating resources and evaluating financial performance. Accordingly, management has determined that the Company operates as one reportable segment. The Company presents financial information about its geographic areas in Note 13 to the consolidated financial statements.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32"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Net income 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attributed to common stockholders and participating securities based on their participation rights. Net loss attributable to common stockholders is not allocated to the redeemable convertible preferred stock as the holders of the redeemable convertible preferred stock do not have a contractual obligation to share in any losses.</w:t>
      </w:r>
    </w:p>
    <w:p>
      <w:pPr>
        <w:spacing w:after="0" w:line="208"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 Net loss attributable to common stockholders is calculated by adjusting net loss for current period accretion of redeemable convertible preferred stock.</w:t>
      </w:r>
    </w:p>
    <w:p>
      <w:pPr>
        <w:spacing w:after="0" w:line="208"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including redeemable convertible preferred stock, stock options, and warrants, are antidilutive and accordingly, basic net loss per share equals diluted net loss per share.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4"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provides guidance for revenue recognition. Under the new guidance, revenue is recognized when a customer obtains control of promised goods or services and is recognized in an amount that reflects the consideration that the entity expects to receive in exchange for those goods or services. In addition, the guidance requires disclosure of the nature, amount, timing, and uncertainty of revenue and cash flows arising from contracts with customers. Subsequently, the FASB has issued the following guidance to amend ASU 2014-09: ASU No. 2015-14,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(Topic 606): Deferral of the Effective Date</w:t>
      </w:r>
      <w:r>
        <w:rPr>
          <w:rFonts w:ascii="Arial" w:cs="Arial" w:eastAsia="Arial" w:hAnsi="Arial"/>
          <w:sz w:val="18"/>
          <w:szCs w:val="18"/>
          <w:color w:val="auto"/>
        </w:rPr>
        <w:t>; ASU No. 2016-08,</w:t>
      </w:r>
      <w:r>
        <w:rPr>
          <w:rFonts w:ascii="Arial" w:cs="Arial" w:eastAsia="Arial" w:hAnsi="Arial"/>
          <w:sz w:val="18"/>
          <w:szCs w:val="18"/>
          <w:i w:val="1"/>
          <w:iCs w:val="1"/>
          <w:color w:val="auto"/>
        </w:rPr>
        <w:t xml:space="preserve"> Revenue from Contracts with Customers (Topic 606): Principal versus Agent Considerations (Reporting Revenue Gross versus Net)</w:t>
      </w:r>
      <w:r>
        <w:rPr>
          <w:rFonts w:ascii="Arial" w:cs="Arial" w:eastAsia="Arial" w:hAnsi="Arial"/>
          <w:sz w:val="18"/>
          <w:szCs w:val="18"/>
          <w:color w:val="auto"/>
        </w:rPr>
        <w:t>; ASU No. 2016-10,</w:t>
      </w:r>
      <w:r>
        <w:rPr>
          <w:rFonts w:ascii="Arial" w:cs="Arial" w:eastAsia="Arial" w:hAnsi="Arial"/>
          <w:sz w:val="18"/>
          <w:szCs w:val="18"/>
          <w:i w:val="1"/>
          <w:iCs w:val="1"/>
          <w:color w:val="auto"/>
        </w:rPr>
        <w:t xml:space="preserve"> Revenue from Contracts with Customers (Topic 606): Identifying Performance Obligations and Licensing </w:t>
      </w:r>
      <w:r>
        <w:rPr>
          <w:rFonts w:ascii="Arial" w:cs="Arial" w:eastAsia="Arial" w:hAnsi="Arial"/>
          <w:sz w:val="18"/>
          <w:szCs w:val="18"/>
          <w:color w:val="auto"/>
        </w:rPr>
        <w:t>; ASU No. 2016-12,</w:t>
      </w:r>
      <w:r>
        <w:rPr>
          <w:rFonts w:ascii="Arial" w:cs="Arial" w:eastAsia="Arial" w:hAnsi="Arial"/>
          <w:sz w:val="18"/>
          <w:szCs w:val="18"/>
          <w:i w:val="1"/>
          <w:iCs w:val="1"/>
          <w:color w:val="auto"/>
        </w:rPr>
        <w:t xml:space="preserve"> Revenue from Contracts with Customers (Topic 606): Narrow-Scope Improvements and Practical Expedients</w:t>
      </w:r>
      <w:r>
        <w:rPr>
          <w:rFonts w:ascii="Arial" w:cs="Arial" w:eastAsia="Arial" w:hAnsi="Arial"/>
          <w:sz w:val="18"/>
          <w:szCs w:val="18"/>
          <w:color w:val="auto"/>
        </w:rPr>
        <w:t>; and ASU No. 2016-20,</w:t>
      </w:r>
      <w:r>
        <w:rPr>
          <w:rFonts w:ascii="Arial" w:cs="Arial" w:eastAsia="Arial" w:hAnsi="Arial"/>
          <w:sz w:val="18"/>
          <w:szCs w:val="18"/>
          <w:i w:val="1"/>
          <w:iCs w:val="1"/>
          <w:color w:val="auto"/>
        </w:rPr>
        <w:t xml:space="preserve"> Technical Corrections and Improvements to Topic 606</w:t>
      </w:r>
      <w:r>
        <w:rPr>
          <w:rFonts w:ascii="Arial" w:cs="Arial" w:eastAsia="Arial" w:hAnsi="Arial"/>
          <w:sz w:val="18"/>
          <w:szCs w:val="18"/>
          <w:color w:val="auto"/>
        </w:rPr>
        <w:t>, which clarifies narrow aspects of Topic</w:t>
      </w:r>
      <w:r>
        <w:rPr>
          <w:rFonts w:ascii="Arial" w:cs="Arial" w:eastAsia="Arial" w:hAnsi="Arial"/>
          <w:sz w:val="18"/>
          <w:szCs w:val="18"/>
          <w:i w:val="1"/>
          <w:iCs w:val="1"/>
          <w:color w:val="auto"/>
        </w:rPr>
        <w:t xml:space="preserve"> </w:t>
      </w:r>
      <w:r>
        <w:rPr>
          <w:rFonts w:ascii="Arial" w:cs="Arial" w:eastAsia="Arial" w:hAnsi="Arial"/>
          <w:sz w:val="18"/>
          <w:szCs w:val="18"/>
          <w:color w:val="auto"/>
        </w:rPr>
        <w:t>606 or corrects unintended application of the guidance. The Company must adopt ASU No. 2015-14, ASU No. 2016-08, ASU No. 2016-10, ASU No. 2016-12, and ASU No. 2016-20 with ASU No. 2014-09, which are referred to collectively as the "new revenue guidance." The new revenue guidance will be effective for the Company in the first quarter of fiscal year 2020.</w:t>
      </w:r>
    </w:p>
    <w:p>
      <w:pPr>
        <w:spacing w:after="0" w:line="211" w:lineRule="exact"/>
        <w:rPr>
          <w:sz w:val="20"/>
          <w:szCs w:val="20"/>
          <w:color w:val="auto"/>
        </w:rPr>
      </w:pPr>
    </w:p>
    <w:p>
      <w:pPr>
        <w:ind w:right="100" w:firstLine="484"/>
        <w:spacing w:after="0" w:line="236" w:lineRule="auto"/>
        <w:rPr>
          <w:sz w:val="20"/>
          <w:szCs w:val="20"/>
          <w:color w:val="auto"/>
        </w:rPr>
      </w:pPr>
      <w:r>
        <w:rPr>
          <w:rFonts w:ascii="Arial" w:cs="Arial" w:eastAsia="Arial" w:hAnsi="Arial"/>
          <w:sz w:val="18"/>
          <w:szCs w:val="18"/>
          <w:color w:val="auto"/>
        </w:rPr>
        <w:t>The guidance permits two methods of adoption of the new revenue guidance: retrospectively to each prior reporting period presented (full retrospective method) or retrospectively with the cumulative effective of initially applying the guidance recognized at the date of adoption (modified retrospective method). The Company currently anticipates adopting the new revenue guidance using the modified retrospective transition method. As the Company continues to assess the new guidance along with industry trends and internal progress, it may adjust its implementation plan and methodology accordingly.</w:t>
      </w:r>
    </w:p>
    <w:p>
      <w:pPr>
        <w:spacing w:after="0" w:line="211" w:lineRule="exact"/>
        <w:rPr>
          <w:sz w:val="20"/>
          <w:szCs w:val="20"/>
          <w:color w:val="auto"/>
        </w:rPr>
      </w:pPr>
    </w:p>
    <w:p>
      <w:pPr>
        <w:ind w:right="200" w:firstLine="484"/>
        <w:spacing w:after="0" w:line="237" w:lineRule="auto"/>
        <w:rPr>
          <w:sz w:val="20"/>
          <w:szCs w:val="20"/>
          <w:color w:val="auto"/>
        </w:rPr>
      </w:pPr>
      <w:r>
        <w:rPr>
          <w:rFonts w:ascii="Arial" w:cs="Arial" w:eastAsia="Arial" w:hAnsi="Arial"/>
          <w:sz w:val="18"/>
          <w:szCs w:val="18"/>
          <w:color w:val="auto"/>
        </w:rPr>
        <w:t>The new revenue guidance will also require that the Company capitalize certain incremental costs of obtaining a contract, such as sales commissions paid to internal sales personnel and to channel partners, which are currently amortized over the term of the contract. Under the new revenue guidance, such capitalized costs will be amortized over an estimated customer life for the initial acquisition of a contract and over the contractual term for renewal contracts.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20" w:firstLine="484"/>
        <w:spacing w:after="0" w:line="237" w:lineRule="auto"/>
        <w:rPr>
          <w:sz w:val="20"/>
          <w:szCs w:val="20"/>
          <w:color w:val="auto"/>
        </w:rPr>
      </w:pPr>
      <w:r>
        <w:rPr>
          <w:rFonts w:ascii="Arial" w:cs="Arial" w:eastAsia="Arial" w:hAnsi="Arial"/>
          <w:sz w:val="18"/>
          <w:szCs w:val="18"/>
          <w:color w:val="auto"/>
        </w:rPr>
        <w:t>The Company is continuing to evaluate the impact of the adoption of the new revenue guidance on its consolidated financial statements, including the tax effects of the adjustments discussed above and the increased disclosure requirements. The Company does not expect the new revenue guidance to have a material impact on the timing of revenue recognition related to its cloud-based subscription offerings. The Company's preliminary assessments are subject to change.</w:t>
      </w:r>
    </w:p>
    <w:p>
      <w:pPr>
        <w:spacing w:after="0" w:line="190" w:lineRule="exact"/>
        <w:rPr>
          <w:sz w:val="20"/>
          <w:szCs w:val="20"/>
          <w:color w:val="auto"/>
        </w:rPr>
      </w:pPr>
    </w:p>
    <w:p>
      <w:pPr>
        <w:ind w:right="60" w:firstLine="488"/>
        <w:spacing w:after="0" w:line="26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new guidance supersedes current guidance related to accounting for leases and generally requires an entity to recognize on its balance sheet operating and financing lease liabilities and corresponding right-of-use assets. In July 2018, the FASB issued ASU No. 2018-10, </w:t>
      </w:r>
      <w:r>
        <w:rPr>
          <w:rFonts w:ascii="Arial" w:cs="Arial" w:eastAsia="Arial" w:hAnsi="Arial"/>
          <w:sz w:val="16"/>
          <w:szCs w:val="16"/>
          <w:i w:val="1"/>
          <w:iCs w:val="1"/>
          <w:color w:val="auto"/>
        </w:rPr>
        <w:t>Codification Improvements to Topic 842</w:t>
      </w:r>
      <w:r>
        <w:rPr>
          <w:rFonts w:ascii="Arial" w:cs="Arial" w:eastAsia="Arial" w:hAnsi="Arial"/>
          <w:sz w:val="16"/>
          <w:szCs w:val="16"/>
          <w:color w:val="auto"/>
        </w:rPr>
        <w:t xml:space="preserve">. This ASU makes 16 technical corrections to the new leases standard and other accounting topics, alleviating unintended consequences from applying the new standard. It does not make any substantive changes to the core provisions or principles of the new standard. In July 2018, the FASB also issued ASU No. 2018-11,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 Targeted Improvements</w:t>
      </w:r>
      <w:r>
        <w:rPr>
          <w:rFonts w:ascii="Arial" w:cs="Arial" w:eastAsia="Arial" w:hAnsi="Arial"/>
          <w:sz w:val="16"/>
          <w:szCs w:val="16"/>
          <w:color w:val="auto"/>
        </w:rPr>
        <w:t>. This ASU provides (1) an optional transition method that entities can use when adopting the standard and</w:t>
      </w:r>
    </w:p>
    <w:p>
      <w:pPr>
        <w:ind w:firstLine="8"/>
        <w:spacing w:after="0" w:line="236" w:lineRule="auto"/>
        <w:tabs>
          <w:tab w:leader="none" w:pos="26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practical expedient that permits lessors to not separate non-lease components from the associated lease component if certain conditions are met. For public business entities, these ASUs are effective for fiscal years beginning after December 15, 2018, and interim periods within those fiscal years. For all other entities, these ASUs are effective for fiscal years beginning after December 15, 2019, and interim periods within fiscal years beginning after December 15, 2020. Early adoption is permitted. ASU No. 2016-02 can be adopted using either full or modified retrospective approach as of the earliest period presented or as of the adoption date with the cumulative effect adjustment to the opening balance recognized in retained earnings in the period of adoption. The Company is currently evaluating the potential impact of these ASUs on its consolidated financial statements.</w:t>
      </w:r>
    </w:p>
    <w:p>
      <w:pPr>
        <w:spacing w:after="0" w:line="191"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This ASU amends guidance on reporting credit losses for assets held at amortized cost basis and available-for-sale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to require that credit losses on available-for-sale debt securities be presented as an allowance rather than as a write-down. The measurement of credit losses for newly recognized financial assets and subsequent changes in the allowance for credit losses are recorded in the consolidated statements of operations. For public business entities that are SEC filers, this ASU is effective for fiscal years beginning after December 15, 2019, and interim periods within those fiscal years. For all other entities, this ASU is effective for fiscal years beginning after December 15, 2020, and interim periods within those fiscal years. Early adoption is permitted. The Company is currently evaluating the potential impact of this ASU on its consolidated financial statements.</w:t>
      </w:r>
    </w:p>
    <w:p>
      <w:pPr>
        <w:spacing w:after="0" w:line="194" w:lineRule="exact"/>
        <w:rPr>
          <w:sz w:val="20"/>
          <w:szCs w:val="20"/>
          <w:color w:val="auto"/>
        </w:rPr>
      </w:pPr>
    </w:p>
    <w:p>
      <w:pPr>
        <w:ind w:firstLine="488"/>
        <w:spacing w:after="0" w:line="275"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Cash Payments </w:t>
      </w:r>
      <w:r>
        <w:rPr>
          <w:rFonts w:ascii="Arial" w:cs="Arial" w:eastAsia="Arial" w:hAnsi="Arial"/>
          <w:sz w:val="16"/>
          <w:szCs w:val="16"/>
          <w:color w:val="auto"/>
        </w:rPr>
        <w:t>(a consensus of the FASB Emerging Issues Task Force). This ASU provides guidance to decrease the diversity in practice in</w:t>
      </w:r>
      <w:r>
        <w:rPr>
          <w:rFonts w:ascii="Arial" w:cs="Arial" w:eastAsia="Arial" w:hAnsi="Arial"/>
          <w:sz w:val="16"/>
          <w:szCs w:val="16"/>
          <w:i w:val="1"/>
          <w:iCs w:val="1"/>
          <w:color w:val="auto"/>
        </w:rPr>
        <w:t xml:space="preserve"> </w:t>
      </w:r>
      <w:r>
        <w:rPr>
          <w:rFonts w:ascii="Arial" w:cs="Arial" w:eastAsia="Arial" w:hAnsi="Arial"/>
          <w:sz w:val="16"/>
          <w:szCs w:val="16"/>
          <w:color w:val="auto"/>
        </w:rPr>
        <w:t>how certain cash receipts and cash payments are presented and classified in the statement of cash flows. This ASU was effective for public business entities for fiscal years beginning after December 15, 2017, and interim periods within those fiscal years. For all other entities, this ASU is effective for fiscal years beginning after December 15, 2018, and interim periods within fiscal years beginning after December 15, 2019. Early adoption is permitted. The Company is currently evaluating the potential impact of this ASU on its consolidated financial statements.</w:t>
      </w:r>
    </w:p>
    <w:p>
      <w:pPr>
        <w:spacing w:after="0" w:line="166" w:lineRule="exact"/>
        <w:rPr>
          <w:sz w:val="20"/>
          <w:szCs w:val="20"/>
          <w:color w:val="auto"/>
        </w:rPr>
      </w:pPr>
    </w:p>
    <w:p>
      <w:pPr>
        <w:ind w:right="20" w:firstLine="488"/>
        <w:spacing w:after="0" w:line="247"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requires recognition of current and deferred income taxes resulting from an intra-entity transfer of any asset other than inventory when the transfer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occurs. For public business entities, this ASU was effective for fiscal years beginning after December 15, 2017, and interim periods within those fiscal years. For all other entities, this ASU is effective for fiscal years beginning after December 15, 2018, and interim periods within fiscal years beginning after December 15, 2019. The Company is currently evaluating the potential impact of this ASU on its consolidated financial statements.</w:t>
      </w:r>
    </w:p>
    <w:p>
      <w:pPr>
        <w:spacing w:after="0" w:line="190" w:lineRule="exact"/>
        <w:rPr>
          <w:sz w:val="20"/>
          <w:szCs w:val="20"/>
          <w:color w:val="auto"/>
        </w:rPr>
      </w:pPr>
    </w:p>
    <w:p>
      <w:pPr>
        <w:ind w:right="20" w:firstLine="488"/>
        <w:spacing w:after="0" w:line="239"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changes the definition of a business to assist entities with evaluating when a set of transferred assets and activities is a business. If substantially all of the fair value of the gross assets acquired is concentrated in a single identifiable asset or a group of similar identifiable assets, the set of transferred assets and activities is not a business. For public business entities, this ASU was effective for fiscal years beginning after December 15, 2017, and interim periods within those fiscal years. For all other entities, this ASU is effective for fiscal years beginning after December 15, 2018, and interim periods within fiscal years beginning after December 15, 2019. The Company is currently evaluating the potential impact of this ASU on its consolidated financial statements.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 This ASU simplifies the measurement of goodwill by eliminating step two of the two-step impairment test. Step two measures a</w:t>
      </w:r>
    </w:p>
    <w:p>
      <w:pPr>
        <w:spacing w:after="0" w:line="234" w:lineRule="auto"/>
        <w:rPr>
          <w:sz w:val="20"/>
          <w:szCs w:val="20"/>
          <w:color w:val="auto"/>
        </w:rPr>
      </w:pPr>
      <w:r>
        <w:rPr>
          <w:rFonts w:ascii="Arial" w:cs="Arial" w:eastAsia="Arial" w:hAnsi="Arial"/>
          <w:sz w:val="18"/>
          <w:szCs w:val="18"/>
          <w:color w:val="auto"/>
        </w:rPr>
        <w:t>goodwill impairment loss by comparing the implied fair value of a reporting unit's goodwill with the carrying amount of that goodwill. This ASU</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requires an entity to compare the fair value of a reporting unit with its carrying amount and recognize an impairment charge for the amount by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which the carrying amount exceeds the reporting unit's fair value. Additionally, an entity should consider income tax effects from any tax-</w:t>
      </w:r>
    </w:p>
    <w:p>
      <w:pPr>
        <w:spacing w:after="0"/>
        <w:rPr>
          <w:sz w:val="20"/>
          <w:szCs w:val="20"/>
          <w:color w:val="auto"/>
        </w:rPr>
      </w:pPr>
      <w:r>
        <w:rPr>
          <w:rFonts w:ascii="Arial" w:cs="Arial" w:eastAsia="Arial" w:hAnsi="Arial"/>
          <w:sz w:val="16"/>
          <w:szCs w:val="16"/>
          <w:color w:val="auto"/>
        </w:rPr>
        <w:t>deductible goodwill on the carrying amount of the reporting unit when measuring the goodwill impairment loss, if applicable. For public business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entities that are SEC filers, this ASU is effective for annual or any interim goodwill impairment tests in fiscal years beginning after December 15,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2019. For all other entities, this ASU is effective for annual or any interim goodwill impairment tests in fiscal years beginning after December 15,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2021. Early adoption is permitted. The Company is currently evaluating the potential impact of this ASU on its consolidated financial statements.</w:t>
      </w:r>
    </w:p>
    <w:p>
      <w:pPr>
        <w:spacing w:after="0" w:line="217"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w:t>
      </w:r>
      <w:r>
        <w:rPr>
          <w:rFonts w:ascii="Arial" w:cs="Arial" w:eastAsia="Arial" w:hAnsi="Arial"/>
          <w:sz w:val="18"/>
          <w:szCs w:val="18"/>
          <w:color w:val="auto"/>
        </w:rPr>
        <w:t xml:space="preserve">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which provides financial statement preparers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reclassify stranded tax effects within accumulated other comprehensive income to retained earnings in each period in which the effect of the change in the U.S. federal corporate income tax rate in the Tax Cuts and Jobs Act (or portion thereof) is recorded. This ASU was effective for all entities for fiscal years beginning after December 15, 2018, and interim periods within those fiscal years. Early adoption is permitted. The amendments in this ASU should be applied either in the period of adoption or retrospectively to each period (or periods) in which the effect of the change in the U.S. federal corporate income tax rate in the Tax Cuts and Jobs Act is recognized. The Company is currently evaluating the potential impact of this ASU on its consolidated financial statements.</w:t>
      </w:r>
    </w:p>
    <w:p>
      <w:pPr>
        <w:spacing w:after="0" w:line="194" w:lineRule="exact"/>
        <w:rPr>
          <w:sz w:val="20"/>
          <w:szCs w:val="20"/>
          <w:color w:val="auto"/>
        </w:rPr>
      </w:pPr>
    </w:p>
    <w:p>
      <w:pPr>
        <w:ind w:right="280" w:firstLine="488"/>
        <w:spacing w:after="0" w:line="241"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This ASU simplifies the accounting for share-based payments to nonemployees by aligning 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share-based payments to employees, with certain exceptions. This ASU is effective for public business entities for fiscal years beginning after December 15, 2018, and interim periods within those fiscal years. For all other entities, this ASU is effective for fiscal years beginning after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December 15, 2019, and interim periods within fiscal years beginning after December 15, 2020. Early adoption is permitted, but no earlier than the adoption date of Topic 606. The Company is currently evaluating the potential impact of this ASU on its consolidated financial statements.</w:t>
      </w:r>
    </w:p>
    <w:p>
      <w:pPr>
        <w:spacing w:after="0" w:line="145" w:lineRule="exact"/>
        <w:rPr>
          <w:sz w:val="20"/>
          <w:szCs w:val="20"/>
          <w:color w:val="auto"/>
        </w:rPr>
      </w:pPr>
    </w:p>
    <w:p>
      <w:pPr>
        <w:ind w:right="20" w:firstLine="488"/>
        <w:spacing w:after="0" w:line="238"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Requirements for Fair Value Measurement</w:t>
      </w:r>
      <w:r>
        <w:rPr>
          <w:rFonts w:ascii="Arial" w:cs="Arial" w:eastAsia="Arial" w:hAnsi="Arial"/>
          <w:sz w:val="18"/>
          <w:szCs w:val="18"/>
          <w:color w:val="auto"/>
        </w:rPr>
        <w:t>. This ASU modifies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The amendments on changes in unrealized gains and losses, the range and weighted average of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This ASU is effective for all entities for fiscal years beginning after December 15, 2019, and interim periods within those fiscal years. Early adoption is permitted. The Company is currently evaluating the potential impact of this ASU on its consolidated financial statements.</w:t>
      </w:r>
    </w:p>
    <w:p>
      <w:pPr>
        <w:spacing w:after="0" w:line="194" w:lineRule="exact"/>
        <w:rPr>
          <w:sz w:val="20"/>
          <w:szCs w:val="20"/>
          <w:color w:val="auto"/>
        </w:rPr>
      </w:pPr>
    </w:p>
    <w:p>
      <w:pPr>
        <w:ind w:right="20" w:firstLine="488"/>
        <w:spacing w:after="0" w:line="238"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 (</w:t>
      </w:r>
      <w:r>
        <w:rPr>
          <w:rFonts w:ascii="Arial" w:cs="Arial" w:eastAsia="Arial" w:hAnsi="Arial"/>
          <w:sz w:val="18"/>
          <w:szCs w:val="18"/>
          <w:color w:val="auto"/>
        </w:rPr>
        <w:t>a consensus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Emerging Issues Task Force). This ASU aligns the requirements for capitalizing implementation costs incurred in a hosting arrangement that is a service contract with the requirements for capitalizing implementation costs incurred to develop or obtain internal use software. This ASU is effective for public business entities for fiscal years beginning after December 15, 2019, and interim periods within those fiscal years. For all other entities, this ASU is effective for fiscal years beginning after December 15, 2020, and interim periods within fiscal years beginning after December 15, 2021. Early adoption is permitted. Entities can choose to adopt this ASU prospectively or retrospectively. The Company is currently evaluating the potential impact of this ASU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 (unaudited)</w:t>
      </w:r>
    </w:p>
    <w:p>
      <w:pPr>
        <w:spacing w:after="0" w:line="214"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simplifies several aspects of the accounting for employee share-based payment transactions, including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forfeitures, and statutory tax withholding requirements, as well as classification in the statement of cash flows. For public business entities, this ASU was effective for fiscal years beginning after December 15, 2016, and interim periods within those fiscal years. For all other entities, this ASU was effective for fiscal years beginning after December 15, 2017, and interim periods within fiscal years beginning after December 15, 2018. On February 1, 2018, the Company adopted ASU No. 2016-09, which resulted in a cumulative effect adjustment to its opening accumulated deficit of $0.1 million, net of tax, as of the date of adoption.</w:t>
      </w:r>
    </w:p>
    <w:p>
      <w:pPr>
        <w:spacing w:after="0" w:line="191" w:lineRule="exact"/>
        <w:rPr>
          <w:sz w:val="20"/>
          <w:szCs w:val="20"/>
          <w:color w:val="auto"/>
        </w:rPr>
      </w:pPr>
    </w:p>
    <w:p>
      <w:pPr>
        <w:ind w:firstLine="488"/>
        <w:spacing w:after="0" w:line="243"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provides clarity in applying the guidance in Topic 718 around modifications of share-based payment awards. This ASU was effective for all entities for fiscal years beginning after December 15, 2017, and interim periods within those fiscal years. On February 1, 2018, the Company adopted ASU No. 2017-09, which did not have a material effect on the Company's consolidated financial statements.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 and Marketable Securities</w:t>
      </w:r>
    </w:p>
    <w:p>
      <w:pPr>
        <w:spacing w:after="0" w:line="214" w:lineRule="exact"/>
        <w:rPr>
          <w:sz w:val="20"/>
          <w:szCs w:val="20"/>
          <w:color w:val="auto"/>
        </w:rPr>
      </w:pPr>
    </w:p>
    <w:p>
      <w:pPr>
        <w:ind w:firstLine="484"/>
        <w:spacing w:after="0" w:line="238" w:lineRule="auto"/>
        <w:rPr>
          <w:sz w:val="20"/>
          <w:szCs w:val="20"/>
          <w:color w:val="auto"/>
        </w:rPr>
      </w:pPr>
      <w:r>
        <w:rPr>
          <w:rFonts w:ascii="Arial" w:cs="Arial" w:eastAsia="Arial" w:hAnsi="Arial"/>
          <w:sz w:val="18"/>
          <w:szCs w:val="18"/>
          <w:color w:val="auto"/>
        </w:rPr>
        <w:t>The Company follows ASC 820</w:t>
      </w:r>
      <w:r>
        <w:rPr>
          <w:rFonts w:ascii="Arial" w:cs="Arial" w:eastAsia="Arial" w:hAnsi="Arial"/>
          <w:sz w:val="18"/>
          <w:szCs w:val="18"/>
          <w:i w:val="1"/>
          <w:iCs w:val="1"/>
          <w:color w:val="auto"/>
        </w:rPr>
        <w:t>, Fair Value Measurements</w:t>
      </w:r>
      <w:r>
        <w:rPr>
          <w:rFonts w:ascii="Arial" w:cs="Arial" w:eastAsia="Arial" w:hAnsi="Arial"/>
          <w:sz w:val="18"/>
          <w:szCs w:val="18"/>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hierarchy is broken down into three levels as follows:</w:t>
      </w:r>
    </w:p>
    <w:p>
      <w:pPr>
        <w:spacing w:after="0" w:line="212" w:lineRule="exact"/>
        <w:rPr>
          <w:sz w:val="20"/>
          <w:szCs w:val="20"/>
          <w:color w:val="auto"/>
        </w:rPr>
      </w:pPr>
    </w:p>
    <w:p>
      <w:pPr>
        <w:ind w:left="2260" w:right="1640" w:hanging="796"/>
        <w:spacing w:after="0" w:line="239" w:lineRule="auto"/>
        <w:tabs>
          <w:tab w:leader="none" w:pos="2240" w:val="left"/>
        </w:tabs>
        <w:rPr>
          <w:sz w:val="20"/>
          <w:szCs w:val="20"/>
          <w:color w:val="auto"/>
        </w:rPr>
      </w:pPr>
      <w:r>
        <w:rPr>
          <w:rFonts w:ascii="Arial" w:cs="Arial" w:eastAsia="Arial" w:hAnsi="Arial"/>
          <w:sz w:val="18"/>
          <w:szCs w:val="18"/>
          <w:color w:val="auto"/>
        </w:rPr>
        <w:t>Level 1</w:t>
        <w:tab/>
        <w:t>Assets and liabilities whose values are based on unadjusted quoted market prices for identical assets and liabilities in active markets</w:t>
      </w:r>
    </w:p>
    <w:p>
      <w:pPr>
        <w:spacing w:after="0" w:line="236" w:lineRule="exact"/>
        <w:rPr>
          <w:sz w:val="20"/>
          <w:szCs w:val="20"/>
          <w:color w:val="auto"/>
        </w:rPr>
      </w:pPr>
    </w:p>
    <w:p>
      <w:pPr>
        <w:ind w:left="2260" w:right="1580" w:hanging="796"/>
        <w:spacing w:after="0" w:line="239" w:lineRule="auto"/>
        <w:tabs>
          <w:tab w:leader="none" w:pos="2240" w:val="left"/>
        </w:tabs>
        <w:rPr>
          <w:sz w:val="20"/>
          <w:szCs w:val="20"/>
          <w:color w:val="auto"/>
        </w:rPr>
      </w:pPr>
      <w:r>
        <w:rPr>
          <w:rFonts w:ascii="Arial" w:cs="Arial" w:eastAsia="Arial" w:hAnsi="Arial"/>
          <w:sz w:val="18"/>
          <w:szCs w:val="18"/>
          <w:color w:val="auto"/>
        </w:rPr>
        <w:t>Level 2</w:t>
        <w:tab/>
        <w:t>Assets and liabilities whose values are based on quoted prices in markets that are not active or inputs that are observable for substantially the full term of the asset or liability</w:t>
      </w:r>
    </w:p>
    <w:p>
      <w:pPr>
        <w:spacing w:after="0" w:line="236" w:lineRule="exact"/>
        <w:rPr>
          <w:sz w:val="20"/>
          <w:szCs w:val="20"/>
          <w:color w:val="auto"/>
        </w:rPr>
      </w:pPr>
    </w:p>
    <w:p>
      <w:pPr>
        <w:ind w:left="2260" w:right="1360" w:hanging="796"/>
        <w:spacing w:after="0" w:line="239" w:lineRule="auto"/>
        <w:tabs>
          <w:tab w:leader="none" w:pos="2240" w:val="left"/>
        </w:tabs>
        <w:rPr>
          <w:sz w:val="20"/>
          <w:szCs w:val="20"/>
          <w:color w:val="auto"/>
        </w:rPr>
      </w:pPr>
      <w:r>
        <w:rPr>
          <w:rFonts w:ascii="Arial" w:cs="Arial" w:eastAsia="Arial" w:hAnsi="Arial"/>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Categorization within the valuation hierarchy is based upon the lowest level of input that is significant to the fair value measurement.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fair value hierarchy for its financial assets and liabilities that are measured at fair value on a recurring basis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January 31, 2017</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274"/>
              <w:spacing w:after="0"/>
              <w:rPr>
                <w:sz w:val="20"/>
                <w:szCs w:val="20"/>
                <w:color w:val="auto"/>
              </w:rPr>
            </w:pPr>
            <w:r>
              <w:rPr>
                <w:rFonts w:ascii="Arial" w:cs="Arial" w:eastAsia="Arial" w:hAnsi="Arial"/>
                <w:sz w:val="14"/>
                <w:szCs w:val="14"/>
                <w:b w:val="1"/>
                <w:bCs w:val="1"/>
                <w:color w:val="auto"/>
                <w:w w:val="76"/>
              </w:rPr>
              <w:t>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180" w:type="dxa"/>
            <w:vAlign w:val="bottom"/>
          </w:tcPr>
          <w:p>
            <w:pPr>
              <w:ind w:left="20"/>
              <w:spacing w:after="0" w:line="243" w:lineRule="exact"/>
              <w:rPr>
                <w:sz w:val="20"/>
                <w:szCs w:val="20"/>
                <w:color w:val="auto"/>
              </w:rPr>
            </w:pPr>
            <w:r>
              <w:rPr>
                <w:rFonts w:ascii="Arial" w:cs="Arial" w:eastAsia="Arial" w:hAnsi="Arial"/>
                <w:sz w:val="17"/>
                <w:szCs w:val="17"/>
                <w:color w:val="auto"/>
              </w:rPr>
              <w:t>Cash equivalents</w:t>
            </w:r>
            <w:r>
              <w:rPr>
                <w:rFonts w:ascii="Arial" w:cs="Arial" w:eastAsia="Arial" w:hAnsi="Arial"/>
                <w:sz w:val="28"/>
                <w:szCs w:val="28"/>
                <w:color w:val="auto"/>
                <w:vertAlign w:val="superscript"/>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9,102</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9,102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cash equivalents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9,102</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9,354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tcPr>
          <w:p>
            <w:pPr>
              <w:ind w:left="20"/>
              <w:spacing w:after="0" w:line="196" w:lineRule="exact"/>
              <w:rPr>
                <w:sz w:val="20"/>
                <w:szCs w:val="20"/>
                <w:color w:val="auto"/>
              </w:rPr>
            </w:pPr>
            <w:r>
              <w:rPr>
                <w:rFonts w:ascii="Arial" w:cs="Arial" w:eastAsia="Arial" w:hAnsi="Arial"/>
                <w:sz w:val="18"/>
                <w:szCs w:val="18"/>
                <w:color w:val="auto"/>
              </w:rPr>
              <w:t>Marketable securities</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8,623</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8,623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Certificates of deposit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1,035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807</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marketable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10,465</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10,624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vMerge w:val="restart"/>
          </w:tcPr>
          <w:p>
            <w:pPr>
              <w:ind w:left="380"/>
              <w:spacing w:after="0"/>
              <w:rPr>
                <w:sz w:val="20"/>
                <w:szCs w:val="20"/>
                <w:color w:val="auto"/>
              </w:rPr>
            </w:pPr>
            <w:r>
              <w:rPr>
                <w:rFonts w:ascii="Arial" w:cs="Arial" w:eastAsia="Arial" w:hAnsi="Arial"/>
                <w:sz w:val="18"/>
                <w:szCs w:val="18"/>
                <w:color w:val="auto"/>
              </w:rPr>
              <w:t>Total assets</w:t>
            </w: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vMerge w:val="continue"/>
          </w:tcPr>
          <w:p>
            <w:pPr>
              <w:spacing w:after="0"/>
              <w:rPr>
                <w:sz w:val="17"/>
                <w:szCs w:val="17"/>
                <w:color w:val="auto"/>
              </w:rPr>
            </w:pPr>
          </w:p>
        </w:tc>
        <w:tc>
          <w:tcPr>
            <w:tcW w:w="14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9,261</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10,717</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19,978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51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Redeemable convertible preferred stock warrant liability</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568</w:t>
            </w:r>
          </w:p>
        </w:tc>
        <w:tc>
          <w:tcPr>
            <w:tcW w:w="1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1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January 31, 2018</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w w:val="79"/>
              </w:rPr>
              <w:t>thousands)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180" w:type="dxa"/>
            <w:vAlign w:val="bottom"/>
          </w:tcPr>
          <w:p>
            <w:pPr>
              <w:ind w:left="20"/>
              <w:spacing w:after="0" w:line="243" w:lineRule="exact"/>
              <w:rPr>
                <w:sz w:val="20"/>
                <w:szCs w:val="20"/>
                <w:color w:val="auto"/>
              </w:rPr>
            </w:pPr>
            <w:r>
              <w:rPr>
                <w:rFonts w:ascii="Arial" w:cs="Arial" w:eastAsia="Arial" w:hAnsi="Arial"/>
                <w:sz w:val="17"/>
                <w:szCs w:val="17"/>
                <w:color w:val="auto"/>
              </w:rPr>
              <w:t>Cash equivalents</w:t>
            </w:r>
            <w:r>
              <w:rPr>
                <w:rFonts w:ascii="Arial" w:cs="Arial" w:eastAsia="Arial" w:hAnsi="Arial"/>
                <w:sz w:val="28"/>
                <w:szCs w:val="28"/>
                <w:color w:val="auto"/>
                <w:vertAlign w:val="superscript"/>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13,934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13,934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5180" w:type="dxa"/>
            <w:vAlign w:val="bottom"/>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9,763</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9,763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cash equivalents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13,934</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9,763</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23,697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tcPr>
          <w:p>
            <w:pPr>
              <w:ind w:left="20"/>
              <w:spacing w:after="0" w:line="196" w:lineRule="exact"/>
              <w:rPr>
                <w:sz w:val="20"/>
                <w:szCs w:val="20"/>
                <w:color w:val="auto"/>
              </w:rPr>
            </w:pPr>
            <w:r>
              <w:rPr>
                <w:rFonts w:ascii="Arial" w:cs="Arial" w:eastAsia="Arial" w:hAnsi="Arial"/>
                <w:sz w:val="18"/>
                <w:szCs w:val="18"/>
                <w:color w:val="auto"/>
              </w:rPr>
              <w:t>Marketable securities</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2,593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vMerge w:val="restart"/>
          </w:tcPr>
          <w:p>
            <w:pPr>
              <w:ind w:left="380"/>
              <w:spacing w:after="0"/>
              <w:rPr>
                <w:sz w:val="20"/>
                <w:szCs w:val="20"/>
                <w:color w:val="auto"/>
              </w:rPr>
            </w:pPr>
            <w:r>
              <w:rPr>
                <w:rFonts w:ascii="Arial" w:cs="Arial" w:eastAsia="Arial" w:hAnsi="Arial"/>
                <w:sz w:val="18"/>
                <w:szCs w:val="18"/>
                <w:color w:val="auto"/>
              </w:rPr>
              <w:t>Total marketable securities</w:t>
            </w: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2,593</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2,593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assets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13,934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12,356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26,290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51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180" w:type="dxa"/>
            <w:vAlign w:val="bottom"/>
            <w:shd w:val="clear" w:color="auto" w:fill="CCEEFF"/>
          </w:tcPr>
          <w:p>
            <w:pPr>
              <w:ind w:left="20"/>
              <w:spacing w:after="0" w:line="243" w:lineRule="exact"/>
              <w:rPr>
                <w:sz w:val="20"/>
                <w:szCs w:val="20"/>
                <w:color w:val="auto"/>
              </w:rPr>
            </w:pPr>
            <w:r>
              <w:rPr>
                <w:rFonts w:ascii="Arial" w:cs="Arial" w:eastAsia="Arial" w:hAnsi="Arial"/>
                <w:sz w:val="17"/>
                <w:szCs w:val="17"/>
                <w:color w:val="auto"/>
              </w:rPr>
              <w:t>Contingent consideration related to business combination</w:t>
            </w:r>
            <w:r>
              <w:rPr>
                <w:rFonts w:ascii="Arial" w:cs="Arial" w:eastAsia="Arial" w:hAnsi="Arial"/>
                <w:sz w:val="28"/>
                <w:szCs w:val="28"/>
                <w:color w:val="auto"/>
                <w:vertAlign w:val="superscript"/>
              </w:rPr>
              <w:t>(2)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Redeemable convertible preferred stock warrant liability</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961</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961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518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1,596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1,596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180" w:type="dxa"/>
            <w:vAlign w:val="bottom"/>
            <w:vMerge w:val="restart"/>
          </w:tcPr>
          <w:p>
            <w:pPr>
              <w:ind w:left="4320"/>
              <w:spacing w:after="0"/>
              <w:rPr>
                <w:sz w:val="20"/>
                <w:szCs w:val="20"/>
                <w:color w:val="auto"/>
              </w:rPr>
            </w:pPr>
            <w:r>
              <w:rPr>
                <w:rFonts w:ascii="Arial" w:cs="Arial" w:eastAsia="Arial" w:hAnsi="Arial"/>
                <w:sz w:val="18"/>
                <w:szCs w:val="18"/>
                <w:color w:val="auto"/>
              </w:rPr>
              <w:t>F-25</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51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9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October 31, 2018</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Cash equivalents</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75,585</w:t>
            </w:r>
          </w:p>
        </w:tc>
        <w:tc>
          <w:tcPr>
            <w:tcW w:w="0" w:type="dxa"/>
            <w:vAlign w:val="bottom"/>
          </w:tcPr>
          <w:p>
            <w:pPr>
              <w:spacing w:after="0"/>
              <w:rPr>
                <w:sz w:val="1"/>
                <w:szCs w:val="1"/>
                <w:color w:val="auto"/>
              </w:rPr>
            </w:pPr>
          </w:p>
        </w:tc>
      </w:tr>
      <w:tr>
        <w:trPr>
          <w:trHeight w:val="203"/>
        </w:trPr>
        <w:tc>
          <w:tcPr>
            <w:tcW w:w="4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cash equivalents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75,585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75,585</w:t>
            </w:r>
          </w:p>
        </w:tc>
        <w:tc>
          <w:tcPr>
            <w:tcW w:w="0" w:type="dxa"/>
            <w:vAlign w:val="bottom"/>
          </w:tcPr>
          <w:p>
            <w:pPr>
              <w:spacing w:after="0"/>
              <w:rPr>
                <w:sz w:val="1"/>
                <w:szCs w:val="1"/>
                <w:color w:val="auto"/>
              </w:rPr>
            </w:pPr>
          </w:p>
        </w:tc>
      </w:tr>
      <w:tr>
        <w:trPr>
          <w:trHeight w:val="196"/>
        </w:trPr>
        <w:tc>
          <w:tcPr>
            <w:tcW w:w="48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83,546</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83,546</w:t>
            </w:r>
          </w:p>
        </w:tc>
        <w:tc>
          <w:tcPr>
            <w:tcW w:w="0" w:type="dxa"/>
            <w:vAlign w:val="bottom"/>
          </w:tcPr>
          <w:p>
            <w:pPr>
              <w:spacing w:after="0"/>
              <w:rPr>
                <w:sz w:val="1"/>
                <w:szCs w:val="1"/>
                <w:color w:val="auto"/>
              </w:rPr>
            </w:pPr>
          </w:p>
        </w:tc>
      </w:tr>
      <w:tr>
        <w:trPr>
          <w:trHeight w:val="203"/>
        </w:trPr>
        <w:tc>
          <w:tcPr>
            <w:tcW w:w="48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24,421</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24,421</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marketable securities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107,967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107,967</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75,585</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107,967</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183,552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Contingent consideration related to business combination</w:t>
            </w:r>
            <w:r>
              <w:rPr>
                <w:rFonts w:ascii="Arial" w:cs="Arial" w:eastAsia="Arial" w:hAnsi="Arial"/>
                <w:sz w:val="28"/>
                <w:szCs w:val="28"/>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48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Redeemable convertible preferred stock warrant liability</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3,896</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4,316</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4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49"/>
        <w:spacing w:after="0"/>
        <w:tabs>
          <w:tab w:leader="none" w:pos="16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Included in "Cash and cash equivalents" on the consolidated balance sheets.</w:t>
      </w:r>
    </w:p>
    <w:p>
      <w:pPr>
        <w:spacing w:after="0" w:line="1" w:lineRule="exact"/>
        <w:rPr>
          <w:rFonts w:ascii="Arial" w:cs="Arial" w:eastAsia="Arial" w:hAnsi="Arial"/>
          <w:sz w:val="14"/>
          <w:szCs w:val="14"/>
          <w:color w:val="auto"/>
        </w:rPr>
      </w:pPr>
    </w:p>
    <w:p>
      <w:pPr>
        <w:ind w:left="1680" w:hanging="549"/>
        <w:spacing w:after="0" w:line="244" w:lineRule="auto"/>
        <w:tabs>
          <w:tab w:leader="none" w:pos="16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contingent consideration consists of development milestone payments. The fair value of the contingent consideration was estimated by developing the risk-adjusted discounted value as well as discounted probability-weighted expected payments. That measure is based on Level 3 inputs which are significant inputs that are not observable in the market. Key assumptions at the acquisition date included (a) a discount rate range of 3%-3.02% and (b) three probability-adjusted milestone payments, each $0.2 million. As of January 31, 2018, the amount recognized for the contingent consideration arrangement, the range of outcomes, and the assumptions used to develop the estimates had not changed from the original estimate as of the date of acquisition. As of October 31, 2018 (unaudited), the first milestone payment of $0.2 million had been made. The change in the fair value of the contingent consideration related to the business combination during the nine months ended October 31, 2018 (unaudited) was not material.</w:t>
      </w:r>
    </w:p>
    <w:p>
      <w:pPr>
        <w:spacing w:after="0" w:line="203" w:lineRule="exact"/>
        <w:rPr>
          <w:sz w:val="20"/>
          <w:szCs w:val="20"/>
          <w:color w:val="auto"/>
        </w:rPr>
      </w:pPr>
    </w:p>
    <w:p>
      <w:pPr>
        <w:ind w:right="300" w:firstLine="484"/>
        <w:spacing w:after="0" w:line="239" w:lineRule="auto"/>
        <w:rPr>
          <w:sz w:val="20"/>
          <w:szCs w:val="20"/>
          <w:color w:val="auto"/>
        </w:rPr>
      </w:pPr>
      <w:r>
        <w:rPr>
          <w:rFonts w:ascii="Arial" w:cs="Arial" w:eastAsia="Arial" w:hAnsi="Arial"/>
          <w:sz w:val="18"/>
          <w:szCs w:val="18"/>
          <w:color w:val="auto"/>
        </w:rPr>
        <w:t>There were no transfers between and levels of the fair value hierarchy during the years ended January 31, 2017 and January 31, 2018 and the nine months ended October 31, 2018 (unaudited).</w:t>
      </w:r>
    </w:p>
    <w:p>
      <w:pPr>
        <w:spacing w:after="0" w:line="209" w:lineRule="exact"/>
        <w:rPr>
          <w:sz w:val="20"/>
          <w:szCs w:val="20"/>
          <w:color w:val="auto"/>
        </w:rPr>
      </w:pPr>
    </w:p>
    <w:p>
      <w:pPr>
        <w:ind w:right="900" w:firstLine="484"/>
        <w:spacing w:after="0" w:line="239" w:lineRule="auto"/>
        <w:rPr>
          <w:sz w:val="20"/>
          <w:szCs w:val="20"/>
          <w:color w:val="auto"/>
        </w:rPr>
      </w:pPr>
      <w:r>
        <w:rPr>
          <w:rFonts w:ascii="Arial" w:cs="Arial" w:eastAsia="Arial" w:hAnsi="Arial"/>
          <w:sz w:val="18"/>
          <w:szCs w:val="18"/>
          <w:color w:val="auto"/>
        </w:rPr>
        <w:t>The remaining contractual maturities of marketable securities as of January 31, 2017, January 31, 2018, and October 31, 2018 (unaudited) were less than one year.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460" w:firstLine="484"/>
        <w:spacing w:after="0" w:line="239" w:lineRule="auto"/>
        <w:rPr>
          <w:sz w:val="20"/>
          <w:szCs w:val="20"/>
          <w:color w:val="auto"/>
        </w:rPr>
      </w:pPr>
      <w:r>
        <w:rPr>
          <w:rFonts w:ascii="Arial" w:cs="Arial" w:eastAsia="Arial" w:hAnsi="Arial"/>
          <w:sz w:val="18"/>
          <w:szCs w:val="18"/>
          <w:color w:val="auto"/>
        </w:rPr>
        <w:t>The following summarizes the changes in the redeemable convertible preferred stock warrant liability, which is classified as a Level 3 instrument:</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Nine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82"/>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6"/>
          </w:tcPr>
          <w:p>
            <w:pPr>
              <w:ind w:left="100"/>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5"/>
                <w:szCs w:val="15"/>
                <w:color w:val="auto"/>
              </w:rPr>
            </w:pPr>
          </w:p>
        </w:tc>
        <w:tc>
          <w:tcPr>
            <w:tcW w:w="14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5"/>
          </w:tcPr>
          <w:p>
            <w:pPr>
              <w:jc w:val="right"/>
              <w:ind w:right="140"/>
              <w:spacing w:after="0" w:line="149"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Balance at beginning of period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w w:val="93"/>
              </w:rPr>
              <w:t>150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568</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line="202" w:lineRule="exact"/>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7"/>
                <w:szCs w:val="17"/>
                <w:color w:val="auto"/>
              </w:rPr>
            </w:pPr>
          </w:p>
        </w:tc>
        <w:tc>
          <w:tcPr>
            <w:tcW w:w="4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93"/>
              </w:rPr>
              <w:t>269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Adjustment resulting from change in fair value recognized in the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consolidated statements of operations</w:t>
            </w:r>
          </w:p>
        </w:tc>
        <w:tc>
          <w:tcPr>
            <w:tcW w:w="1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w w:val="93"/>
              </w:rPr>
              <w:t>149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3"/>
              </w:rPr>
              <w:t>568</w:t>
            </w:r>
          </w:p>
        </w:tc>
        <w:tc>
          <w:tcPr>
            <w:tcW w:w="1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961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697</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0" w:firstLine="484"/>
        <w:spacing w:after="0" w:line="236" w:lineRule="auto"/>
        <w:rPr>
          <w:sz w:val="20"/>
          <w:szCs w:val="20"/>
          <w:color w:val="auto"/>
        </w:rPr>
      </w:pPr>
      <w:r>
        <w:rPr>
          <w:rFonts w:ascii="Arial" w:cs="Arial" w:eastAsia="Arial" w:hAnsi="Arial"/>
          <w:sz w:val="18"/>
          <w:szCs w:val="18"/>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 contractual term. A loss of $0.1 million was recorded as a component of other expense, net, because of the remeasurement of the redeemable convertible preferred stock warrant liability during the year ended January 31, 2017. A loss of $0.3 million was recorded as a component of other expense, net, due to the remeasurement of the redeemable convertible preferred stock warrant liability during the year ended January 31, 2018. A loss of $0 and $2.9 million was recorded as a component of other expense, net, due to the remeasurement of the redeemable convertible preferred stock warrant liability during the nine months ended October 31, 2017 (unaudited) and October 31, 2018 (unaudited),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6"/>
                <w:szCs w:val="16"/>
                <w:color w:val="auto"/>
              </w:rPr>
            </w:pPr>
          </w:p>
        </w:tc>
        <w:tc>
          <w:tcPr>
            <w:tcW w:w="218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jc w:val="center"/>
              <w:ind w:right="19"/>
              <w:spacing w:after="0"/>
              <w:rPr>
                <w:sz w:val="20"/>
                <w:szCs w:val="20"/>
                <w:color w:val="auto"/>
              </w:rPr>
            </w:pPr>
            <w:r>
              <w:rPr>
                <w:rFonts w:ascii="Arial" w:cs="Arial" w:eastAsia="Arial" w:hAnsi="Arial"/>
                <w:sz w:val="14"/>
                <w:szCs w:val="14"/>
                <w:b w:val="1"/>
                <w:bCs w:val="1"/>
                <w:color w:val="auto"/>
              </w:rPr>
              <w:t>(unaudited)</w:t>
            </w:r>
          </w:p>
        </w:tc>
        <w:tc>
          <w:tcPr>
            <w:tcW w:w="1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4,318</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10,366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020" w:type="dxa"/>
            <w:vAlign w:val="bottom"/>
          </w:tcPr>
          <w:p>
            <w:pPr>
              <w:ind w:left="20"/>
              <w:spacing w:after="0" w:line="202" w:lineRule="exact"/>
              <w:rPr>
                <w:sz w:val="20"/>
                <w:szCs w:val="20"/>
                <w:color w:val="auto"/>
              </w:rPr>
            </w:pPr>
            <w:r>
              <w:rPr>
                <w:rFonts w:ascii="Arial" w:cs="Arial" w:eastAsia="Arial" w:hAnsi="Arial"/>
                <w:sz w:val="18"/>
                <w:szCs w:val="18"/>
                <w:color w:val="auto"/>
              </w:rPr>
              <w:t>Prepaid hosting services</w:t>
            </w: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218</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2,915</w:t>
            </w:r>
          </w:p>
        </w:tc>
        <w:tc>
          <w:tcPr>
            <w:tcW w:w="1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2,915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931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1,772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20" w:type="dxa"/>
            <w:vAlign w:val="bottom"/>
            <w:vMerge w:val="restart"/>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5,467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12,411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15,053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80" w:type="dxa"/>
            <w:vAlign w:val="bottom"/>
            <w:gridSpan w:val="2"/>
          </w:tcPr>
          <w:p>
            <w:pPr>
              <w:jc w:val="right"/>
              <w:ind w:right="1332"/>
              <w:spacing w:after="0"/>
              <w:rPr>
                <w:sz w:val="20"/>
                <w:szCs w:val="20"/>
                <w:color w:val="auto"/>
              </w:rPr>
            </w:pPr>
            <w:r>
              <w:rPr>
                <w:rFonts w:ascii="Arial" w:cs="Arial" w:eastAsia="Arial" w:hAnsi="Arial"/>
                <w:sz w:val="18"/>
                <w:szCs w:val="18"/>
                <w:color w:val="auto"/>
              </w:rPr>
              <w:t>F-27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402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w:t>
      </w:r>
    </w:p>
    <w:p>
      <w:pPr>
        <w:spacing w:after="0" w:line="365" w:lineRule="exact"/>
        <w:rPr>
          <w:sz w:val="20"/>
          <w:szCs w:val="20"/>
          <w:color w:val="auto"/>
        </w:rPr>
      </w:pPr>
    </w:p>
    <w:tbl>
      <w:tblPr>
        <w:tblLayout w:type="fixed"/>
        <w:tblInd w:w="112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January 31,</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Data center and other computer equipment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8,100</w:t>
            </w:r>
          </w:p>
        </w:tc>
        <w:tc>
          <w:tcPr>
            <w:tcW w:w="20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28,823</w:t>
            </w:r>
          </w:p>
        </w:tc>
        <w:tc>
          <w:tcPr>
            <w:tcW w:w="22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40,435</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Capitalized internal-use software</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8,873</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15,416</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20,457</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1,282</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3,651</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Purchased software</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665</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822</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equipment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Construction in process</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1,050</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3,562</w:t>
            </w:r>
          </w:p>
        </w:tc>
        <w:tc>
          <w:tcPr>
            <w:tcW w:w="22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10,937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20,283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81,896</w:t>
            </w:r>
          </w:p>
        </w:tc>
        <w:tc>
          <w:tcPr>
            <w:tcW w:w="0" w:type="dxa"/>
            <w:vAlign w:val="bottom"/>
          </w:tcPr>
          <w:p>
            <w:pPr>
              <w:spacing w:after="0"/>
              <w:rPr>
                <w:sz w:val="1"/>
                <w:szCs w:val="1"/>
                <w:color w:val="auto"/>
              </w:rPr>
            </w:pPr>
          </w:p>
        </w:tc>
      </w:tr>
      <w:tr>
        <w:trPr>
          <w:trHeight w:val="405"/>
        </w:trPr>
        <w:tc>
          <w:tcPr>
            <w:tcW w:w="58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(5,203)</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(12,360)</w:t>
            </w:r>
          </w:p>
        </w:tc>
        <w:tc>
          <w:tcPr>
            <w:tcW w:w="2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(22,091)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15,080</w:t>
            </w:r>
          </w:p>
        </w:tc>
        <w:tc>
          <w:tcPr>
            <w:tcW w:w="20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40,754</w:t>
            </w:r>
          </w:p>
        </w:tc>
        <w:tc>
          <w:tcPr>
            <w:tcW w:w="220" w:type="dxa"/>
            <w:vAlign w:val="bottom"/>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59,805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Depreciation and amortization expense of property and equipment was $2.9 million and $7.1 million during the years ended January 31, 2017 and January 31, 2018, respectively, and $5.0 million and $10.2 million during the nine months ended October 31, 2017 (unaudited) and October 31, 2018 (unaudited), respectively.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intangible assets, net consisted of the following:</w:t>
      </w:r>
    </w:p>
    <w:p>
      <w:pPr>
        <w:spacing w:after="0" w:line="365" w:lineRule="exact"/>
        <w:rPr>
          <w:sz w:val="20"/>
          <w:szCs w:val="20"/>
          <w:color w:val="auto"/>
        </w:rPr>
      </w:pPr>
    </w:p>
    <w:tbl>
      <w:tblPr>
        <w:tblLayout w:type="fixed"/>
        <w:tblInd w:w="112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1,639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7"/>
                <w:szCs w:val="17"/>
                <w:color w:val="auto"/>
              </w:rPr>
            </w:pPr>
          </w:p>
        </w:tc>
        <w:tc>
          <w:tcPr>
            <w:tcW w:w="78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685</w:t>
            </w:r>
          </w:p>
        </w:tc>
        <w:tc>
          <w:tcPr>
            <w:tcW w:w="12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Non-compete agreement</w:t>
            </w:r>
          </w:p>
        </w:tc>
        <w:tc>
          <w:tcPr>
            <w:tcW w:w="1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2,461</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405"/>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8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403</w:t>
            </w:r>
          </w:p>
        </w:tc>
        <w:tc>
          <w:tcPr>
            <w:tcW w:w="1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1,736</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60" w:firstLine="478"/>
        <w:spacing w:after="0" w:line="238" w:lineRule="auto"/>
        <w:rPr>
          <w:sz w:val="20"/>
          <w:szCs w:val="20"/>
          <w:color w:val="auto"/>
        </w:rPr>
      </w:pPr>
      <w:r>
        <w:rPr>
          <w:rFonts w:ascii="Arial" w:cs="Arial" w:eastAsia="Arial" w:hAnsi="Arial"/>
          <w:sz w:val="18"/>
          <w:szCs w:val="18"/>
          <w:color w:val="auto"/>
        </w:rPr>
        <w:t>Amortization expense of intangible assets was $0.1 million and $0.6 million during the years ended January 31, 2017 and January 31, 2018, respectively, and $0.2 million and $0.4 million during the nine months ended October 31, 2017 (unaudited) and October 31, 2018 (unaudited), respectively.</w:t>
      </w: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143" w:right="5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aggregate future amortization expense of intangible assets as of January 31, 2018 is as follows: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Developed</w:t>
            </w:r>
          </w:p>
        </w:tc>
        <w:tc>
          <w:tcPr>
            <w:tcW w:w="18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Customer</w:t>
            </w: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Non-Compete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 Ending January 31,</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Technology</w:t>
            </w:r>
          </w:p>
        </w:tc>
        <w:tc>
          <w:tcPr>
            <w:tcW w:w="13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Relationships</w:t>
            </w:r>
          </w:p>
        </w:tc>
        <w:tc>
          <w:tcPr>
            <w:tcW w:w="14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1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347</w:t>
            </w:r>
          </w:p>
        </w:tc>
        <w:tc>
          <w:tcPr>
            <w:tcW w:w="18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2023</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amortization expense</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aggregate future amortization expense of intangible assets as of October 31, 2018 (unaudited) is as follows: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Developed</w:t>
            </w:r>
          </w:p>
        </w:tc>
        <w:tc>
          <w:tcPr>
            <w:tcW w:w="18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Customer</w:t>
            </w: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Non-Compete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 Ending January 31,</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Technology</w:t>
            </w:r>
          </w:p>
        </w:tc>
        <w:tc>
          <w:tcPr>
            <w:tcW w:w="13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Relationships</w:t>
            </w:r>
          </w:p>
        </w:tc>
        <w:tc>
          <w:tcPr>
            <w:tcW w:w="140" w:type="dxa"/>
            <w:vAlign w:val="bottom"/>
          </w:tcPr>
          <w:p>
            <w:pPr>
              <w:spacing w:after="0"/>
              <w:rPr>
                <w:sz w:val="15"/>
                <w:szCs w:val="15"/>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Agreement</w:t>
            </w:r>
          </w:p>
        </w:tc>
        <w:tc>
          <w:tcPr>
            <w:tcW w:w="16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120" w:type="dxa"/>
            <w:vAlign w:val="bottom"/>
            <w:shd w:val="clear" w:color="auto" w:fill="000000"/>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2019 (remaining 3 months)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323</w:t>
            </w:r>
          </w:p>
        </w:tc>
        <w:tc>
          <w:tcPr>
            <w:tcW w:w="18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w:t>
            </w:r>
          </w:p>
        </w:tc>
        <w:tc>
          <w:tcPr>
            <w:tcW w:w="14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126</w:t>
            </w:r>
          </w:p>
        </w:tc>
        <w:tc>
          <w:tcPr>
            <w:tcW w:w="14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2023</w:t>
            </w:r>
          </w:p>
        </w:tc>
        <w:tc>
          <w:tcPr>
            <w:tcW w:w="2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 amortization expense</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1,183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60" w:firstLine="484"/>
        <w:spacing w:after="0" w:line="239" w:lineRule="auto"/>
        <w:rPr>
          <w:sz w:val="20"/>
          <w:szCs w:val="20"/>
          <w:color w:val="auto"/>
        </w:rPr>
      </w:pPr>
      <w:r>
        <w:rPr>
          <w:rFonts w:ascii="Arial" w:cs="Arial" w:eastAsia="Arial" w:hAnsi="Arial"/>
          <w:sz w:val="18"/>
          <w:szCs w:val="18"/>
          <w:color w:val="auto"/>
        </w:rPr>
        <w:t>The developed technology, customer relationships, and non-compete agreement assets are being amortized over 3 years, 5 years, and 3 years, respectively.</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consisted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6"/>
                <w:szCs w:val="16"/>
                <w:color w:val="auto"/>
              </w:rPr>
            </w:pPr>
          </w:p>
        </w:tc>
        <w:tc>
          <w:tcPr>
            <w:tcW w:w="22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(unaudited)</w:t>
            </w:r>
          </w:p>
        </w:tc>
        <w:tc>
          <w:tcPr>
            <w:tcW w:w="1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Web hosting services</w:t>
            </w:r>
          </w:p>
        </w:tc>
        <w:tc>
          <w:tcPr>
            <w:tcW w:w="2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3,237</w:t>
            </w:r>
          </w:p>
        </w:tc>
        <w:tc>
          <w:tcPr>
            <w:tcW w:w="20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14,465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6,444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3620" w:type="dxa"/>
            <w:vAlign w:val="bottom"/>
          </w:tcPr>
          <w:p>
            <w:pPr>
              <w:ind w:left="20"/>
              <w:spacing w:after="0" w:line="202" w:lineRule="exact"/>
              <w:rPr>
                <w:sz w:val="20"/>
                <w:szCs w:val="20"/>
                <w:color w:val="auto"/>
              </w:rPr>
            </w:pPr>
            <w:r>
              <w:rPr>
                <w:rFonts w:ascii="Arial" w:cs="Arial" w:eastAsia="Arial" w:hAnsi="Arial"/>
                <w:sz w:val="18"/>
                <w:szCs w:val="18"/>
                <w:color w:val="auto"/>
              </w:rPr>
              <w:t>Other vendor expenses</w:t>
            </w:r>
          </w:p>
        </w:tc>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1,972</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6,321</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13,026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Amounts due for employee expenses</w:t>
            </w:r>
          </w:p>
        </w:tc>
        <w:tc>
          <w:tcPr>
            <w:tcW w:w="2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20" w:type="dxa"/>
            <w:vAlign w:val="bottom"/>
            <w:vMerge w:val="restart"/>
          </w:tcPr>
          <w:p>
            <w:pPr>
              <w:ind w:left="380"/>
              <w:spacing w:after="0"/>
              <w:rPr>
                <w:sz w:val="20"/>
                <w:szCs w:val="20"/>
                <w:color w:val="auto"/>
              </w:rPr>
            </w:pPr>
            <w:r>
              <w:rPr>
                <w:rFonts w:ascii="Arial" w:cs="Arial" w:eastAsia="Arial" w:hAnsi="Arial"/>
                <w:sz w:val="18"/>
                <w:szCs w:val="18"/>
                <w:color w:val="auto"/>
              </w:rPr>
              <w:t>Accrued expenses</w:t>
            </w:r>
          </w:p>
        </w:tc>
        <w:tc>
          <w:tcPr>
            <w:tcW w:w="2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2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5,611</w:t>
            </w:r>
          </w:p>
        </w:tc>
        <w:tc>
          <w:tcPr>
            <w:tcW w:w="200" w:type="dxa"/>
            <w:vAlign w:val="bottom"/>
          </w:tcPr>
          <w:p>
            <w:pPr>
              <w:jc w:val="right"/>
              <w:ind w:right="18"/>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21,514</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19,870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80" w:type="dxa"/>
            <w:vAlign w:val="bottom"/>
            <w:gridSpan w:val="2"/>
          </w:tcPr>
          <w:p>
            <w:pPr>
              <w:jc w:val="right"/>
              <w:ind w:right="1232"/>
              <w:spacing w:after="0"/>
              <w:rPr>
                <w:sz w:val="20"/>
                <w:szCs w:val="20"/>
                <w:color w:val="auto"/>
              </w:rPr>
            </w:pPr>
            <w:r>
              <w:rPr>
                <w:rFonts w:ascii="Arial" w:cs="Arial" w:eastAsia="Arial" w:hAnsi="Arial"/>
                <w:sz w:val="18"/>
                <w:szCs w:val="18"/>
                <w:color w:val="auto"/>
              </w:rPr>
              <w:t>F-29</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3620" w:type="dxa"/>
            <w:vAlign w:val="bottom"/>
            <w:tcBorders>
              <w:bottom w:val="single" w:sz="8" w:color="808080"/>
            </w:tcBorders>
          </w:tcPr>
          <w:p>
            <w:pPr>
              <w:spacing w:after="0"/>
              <w:rPr>
                <w:sz w:val="18"/>
                <w:szCs w:val="18"/>
                <w:color w:val="auto"/>
              </w:rPr>
            </w:pPr>
          </w:p>
        </w:tc>
        <w:tc>
          <w:tcPr>
            <w:tcW w:w="22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Accrued Payroll and Benefits</w:t>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payroll and benefits consisted of the following:</w:t>
      </w:r>
    </w:p>
    <w:p>
      <w:pPr>
        <w:spacing w:after="0" w:line="365" w:lineRule="exact"/>
        <w:rPr>
          <w:sz w:val="20"/>
          <w:szCs w:val="20"/>
          <w:color w:val="auto"/>
        </w:rPr>
      </w:pPr>
    </w:p>
    <w:tbl>
      <w:tblPr>
        <w:tblLayout w:type="fixed"/>
        <w:tblInd w:w="112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payroll and related expenses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7,423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Accrued bonuses</w:t>
            </w:r>
          </w:p>
        </w:tc>
        <w:tc>
          <w:tcPr>
            <w:tcW w:w="1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3,169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4,686</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commissions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6,204</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80"/>
              <w:spacing w:after="0"/>
              <w:rPr>
                <w:sz w:val="20"/>
                <w:szCs w:val="20"/>
                <w:color w:val="auto"/>
              </w:rPr>
            </w:pPr>
            <w:r>
              <w:rPr>
                <w:rFonts w:ascii="Arial" w:cs="Arial" w:eastAsia="Arial" w:hAnsi="Arial"/>
                <w:sz w:val="18"/>
                <w:szCs w:val="18"/>
                <w:color w:val="auto"/>
              </w:rPr>
              <w:t>Accrued payroll and benefits</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9,308</w:t>
            </w:r>
          </w:p>
        </w:tc>
        <w:tc>
          <w:tcPr>
            <w:tcW w:w="160" w:type="dxa"/>
            <w:vAlign w:val="bottom"/>
          </w:tcPr>
          <w:p>
            <w:pPr>
              <w:spacing w:after="0"/>
              <w:rPr>
                <w:sz w:val="17"/>
                <w:szCs w:val="17"/>
                <w:color w:val="auto"/>
              </w:rPr>
            </w:pPr>
          </w:p>
        </w:tc>
        <w:tc>
          <w:tcPr>
            <w:tcW w:w="200" w:type="dxa"/>
            <w:vAlign w:val="bottom"/>
          </w:tcPr>
          <w:p>
            <w:pPr>
              <w:jc w:val="right"/>
              <w:ind w:right="18"/>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18,313</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21,811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Business Combinations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Acquisition of Payload Security</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October 2017, the Company acquired 100% of the outstanding share capital of Payload Security UG, a privately held cybersecurity company with an automated malware analysis product, which was based in Germany. The total purchase consideration was $8.0 million, consisting of initial cash consideration of $5.4 million, deferred tax liabilities of $0.6 million, indemnity holdback consideration of $1.3 million, and three development milestone payments totaling $0.7 million. The Company considers it probable that these milestone payments, recorded as contingent consideration, will be earned and paid by October 11, 2018, October 11, 2019, and October 11, 2020, respectively. The indemnity holdback is to be paid on January 11, 2019 unless and to the extent that the Company has declared a set-off with indemnification claims. The Company incurred $0.2 million in legal and accounting fees associated with this acquisition, which have been recorded as general and administrative expenses in the consolidated statements of operations.</w:t>
      </w:r>
    </w:p>
    <w:p>
      <w:pPr>
        <w:spacing w:after="0" w:line="208" w:lineRule="exact"/>
        <w:rPr>
          <w:sz w:val="20"/>
          <w:szCs w:val="20"/>
          <w:color w:val="auto"/>
        </w:rPr>
      </w:pPr>
    </w:p>
    <w:p>
      <w:pPr>
        <w:ind w:right="60" w:firstLine="484"/>
        <w:spacing w:after="0" w:line="239" w:lineRule="auto"/>
        <w:rPr>
          <w:sz w:val="20"/>
          <w:szCs w:val="20"/>
          <w:color w:val="auto"/>
        </w:rPr>
      </w:pPr>
      <w:r>
        <w:rPr>
          <w:rFonts w:ascii="Arial" w:cs="Arial" w:eastAsia="Arial" w:hAnsi="Arial"/>
          <w:sz w:val="18"/>
          <w:szCs w:val="18"/>
          <w:color w:val="auto"/>
        </w:rPr>
        <w:t>The holdback and the milestone payments were recorded in other current liabilities and in other liabilities, noncurrent on the consolidated balance sheet. The total purchase consideration of $8.0 million was recorded as follows (in thousands):</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tangible assets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Non-compete agreement</w:t>
            </w:r>
          </w:p>
        </w:tc>
        <w:tc>
          <w:tcPr>
            <w:tcW w:w="34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5,834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380"/>
              <w:spacing w:after="0"/>
              <w:rPr>
                <w:sz w:val="20"/>
                <w:szCs w:val="20"/>
                <w:color w:val="auto"/>
              </w:rPr>
            </w:pPr>
            <w:r>
              <w:rPr>
                <w:rFonts w:ascii="Arial" w:cs="Arial" w:eastAsia="Arial" w:hAnsi="Arial"/>
                <w:sz w:val="18"/>
                <w:szCs w:val="18"/>
                <w:color w:val="auto"/>
              </w:rPr>
              <w:t>Total net asset value</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7,995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20" w:firstLine="488"/>
        <w:spacing w:after="0" w:line="238" w:lineRule="auto"/>
        <w:rPr>
          <w:sz w:val="20"/>
          <w:szCs w:val="20"/>
          <w:color w:val="auto"/>
        </w:rPr>
      </w:pPr>
      <w:r>
        <w:rPr>
          <w:rFonts w:ascii="Arial" w:cs="Arial" w:eastAsia="Arial" w:hAnsi="Arial"/>
          <w:sz w:val="18"/>
          <w:szCs w:val="18"/>
          <w:color w:val="auto"/>
        </w:rPr>
        <w:t>Goodwill represents the synergies expected from the Company improving upon the acquired company's product through further development. The goodwill is not deductible for tax purposes. As of October 31, 2018 (unaudited), the first milestone payment was made for $0.2 million.</w:t>
      </w:r>
    </w:p>
    <w:p>
      <w:pPr>
        <w:spacing w:after="0" w:line="208" w:lineRule="exact"/>
        <w:rPr>
          <w:sz w:val="20"/>
          <w:szCs w:val="20"/>
          <w:color w:val="auto"/>
        </w:rPr>
      </w:pPr>
    </w:p>
    <w:p>
      <w:pPr>
        <w:ind w:right="40" w:firstLine="488"/>
        <w:spacing w:after="0" w:line="239" w:lineRule="auto"/>
        <w:rPr>
          <w:sz w:val="20"/>
          <w:szCs w:val="20"/>
          <w:color w:val="auto"/>
        </w:rPr>
      </w:pPr>
      <w:r>
        <w:rPr>
          <w:rFonts w:ascii="Arial" w:cs="Arial" w:eastAsia="Arial" w:hAnsi="Arial"/>
          <w:sz w:val="18"/>
          <w:szCs w:val="18"/>
          <w:color w:val="auto"/>
        </w:rPr>
        <w:t>Pro forma results of operations data for the Payload Security UG acquisition has not been presented because the results are not material to the consolidated financial statements.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43" w:right="41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September 2017, the Company acquired a privately held cybersecurity company focused on mobile monitoring. Consideration included an up-front cash payment of $2.0 million, an additional $0.5 million to be paid six months after the effective date of the agreement less any set off for claims arising after the acquisition, and $0.1 million to reimburse taxes owed by the owners of the acquired business for operations prior to acquisition. The Company accounted for the acquisition as a business combination and recorded $2.3 million as goodwill and $0.3 million as developed technology.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Loans Payable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32" w:lineRule="exact"/>
        <w:rPr>
          <w:sz w:val="20"/>
          <w:szCs w:val="20"/>
          <w:color w:val="auto"/>
        </w:rPr>
      </w:pPr>
    </w:p>
    <w:p>
      <w:pPr>
        <w:ind w:right="160" w:firstLine="488"/>
        <w:spacing w:after="0" w:line="264" w:lineRule="auto"/>
        <w:rPr>
          <w:sz w:val="20"/>
          <w:szCs w:val="20"/>
          <w:color w:val="auto"/>
        </w:rPr>
      </w:pPr>
      <w:r>
        <w:rPr>
          <w:rFonts w:ascii="Arial" w:cs="Arial" w:eastAsia="Arial" w:hAnsi="Arial"/>
          <w:sz w:val="16"/>
          <w:szCs w:val="16"/>
          <w:color w:val="auto"/>
        </w:rPr>
        <w:t xml:space="preserve">In January 2015, the Company entered into a Loan and Security Agreement with Silicon Valley Bank, which was subsequently amended and restated in March 2017, providing the Company the ability to borrow up to $10.0 million from a term loan and $20.0 million from a revolving line of credit. The amendment was accounted for as a debt modification under ASC 470-50, </w:t>
      </w:r>
      <w:r>
        <w:rPr>
          <w:rFonts w:ascii="Arial" w:cs="Arial" w:eastAsia="Arial" w:hAnsi="Arial"/>
          <w:sz w:val="16"/>
          <w:szCs w:val="16"/>
          <w:i w:val="1"/>
          <w:iCs w:val="1"/>
          <w:color w:val="auto"/>
        </w:rPr>
        <w:t>Modification and Extinguishment of Debt.</w:t>
      </w:r>
      <w:r>
        <w:rPr>
          <w:rFonts w:ascii="Arial" w:cs="Arial" w:eastAsia="Arial" w:hAnsi="Arial"/>
          <w:sz w:val="16"/>
          <w:szCs w:val="16"/>
          <w:color w:val="auto"/>
        </w:rPr>
        <w:t xml:space="preserve"> As of January 31, 2017, January 31, 2018, and October 31, 2018 (unaudited), the Company owed $6.4 million, $6.2 million, and $0, respectively, on the term loan. Outstanding principal amounts on the term loan incur interest at the Prime Rate, as published by the Wall Street Journal, plus</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0.50% per month. Interest expense on the term loan was $0.4 million and $0.3 million for the years ended January 31, 2017 and January 31, 2018, respectively, and $0.2 million and $0.1 million for the nine months ended October 31, 2017 (unaudited) and October 31, 2018 (unaudited), respectively.</w:t>
      </w:r>
    </w:p>
    <w:p>
      <w:pPr>
        <w:spacing w:after="0" w:line="208" w:lineRule="exact"/>
        <w:rPr>
          <w:sz w:val="20"/>
          <w:szCs w:val="20"/>
          <w:color w:val="auto"/>
        </w:rPr>
      </w:pPr>
    </w:p>
    <w:p>
      <w:pPr>
        <w:ind w:right="140" w:firstLine="488"/>
        <w:spacing w:after="0" w:line="236" w:lineRule="auto"/>
        <w:rPr>
          <w:sz w:val="20"/>
          <w:szCs w:val="20"/>
          <w:color w:val="auto"/>
        </w:rPr>
      </w:pPr>
      <w:r>
        <w:rPr>
          <w:rFonts w:ascii="Arial" w:cs="Arial" w:eastAsia="Arial" w:hAnsi="Arial"/>
          <w:sz w:val="18"/>
          <w:szCs w:val="18"/>
          <w:color w:val="auto"/>
        </w:rPr>
        <w:t>No amounts were drawn on the line of credit as of January 31, 2017. As of January 31, 2018, the Company had drawn $10.0 million against the revolving line of credit. The carrying amount of the line of credit, net of debt issuance costs of $0.2 million, was $9.8 million as of January 31, 2018. Outstanding principal amounts on the revolving line of credit incur interest at the Prime Rate, as published by the Wall Street Journal. Interest expense on the revolving line of credit was $0.4 million for the year ended January 31, 2018, and $0.3 million and $0.3 million for the nine months ended October 31, 2017 (unaudited) and October 31, 2018 (unaudited), respectively.</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part of the Loan and Security Agreement, the Company issued Silicon Valley Bank a warrant to purchase 170,818 shares of its</w:t>
      </w:r>
    </w:p>
    <w:p>
      <w:pPr>
        <w:spacing w:after="0"/>
        <w:rPr>
          <w:sz w:val="20"/>
          <w:szCs w:val="20"/>
          <w:color w:val="auto"/>
        </w:rPr>
      </w:pPr>
      <w:r>
        <w:rPr>
          <w:rFonts w:ascii="Arial" w:cs="Arial" w:eastAsia="Arial" w:hAnsi="Arial"/>
          <w:sz w:val="16"/>
          <w:szCs w:val="16"/>
          <w:color w:val="auto"/>
        </w:rPr>
        <w:t>Series B redeemable convertible preferred stock at an exercise price of $1.405 per share. The fair value of the warrant has been bifurcated from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loan payable and is accounted for as a liability (see Note 8, </w:t>
      </w:r>
      <w:r>
        <w:rPr>
          <w:rFonts w:ascii="Arial" w:cs="Arial" w:eastAsia="Arial" w:hAnsi="Arial"/>
          <w:sz w:val="18"/>
          <w:szCs w:val="18"/>
          <w:i w:val="1"/>
          <w:iCs w:val="1"/>
          <w:color w:val="auto"/>
        </w:rPr>
        <w:t>Redeemable Convertible Preferred Stock,</w:t>
      </w:r>
      <w:r>
        <w:rPr>
          <w:rFonts w:ascii="Arial" w:cs="Arial" w:eastAsia="Arial" w:hAnsi="Arial"/>
          <w:sz w:val="18"/>
          <w:szCs w:val="18"/>
          <w:color w:val="auto"/>
        </w:rPr>
        <w:t xml:space="preserve"> for further discussion). The loan</w:t>
      </w:r>
    </w:p>
    <w:p>
      <w:pPr>
        <w:spacing w:after="0"/>
        <w:rPr>
          <w:sz w:val="20"/>
          <w:szCs w:val="20"/>
          <w:color w:val="auto"/>
        </w:rPr>
      </w:pPr>
      <w:r>
        <w:rPr>
          <w:rFonts w:ascii="Arial" w:cs="Arial" w:eastAsia="Arial" w:hAnsi="Arial"/>
          <w:sz w:val="16"/>
          <w:szCs w:val="16"/>
          <w:color w:val="auto"/>
        </w:rPr>
        <w:t>payable discount is amortized over the life of the loan using the effective interest method. The warrant had not been exercised as of January 31,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2017, January 31, 2018, or October 31, 2018 (unaudited).</w:t>
      </w:r>
    </w:p>
    <w:p>
      <w:pPr>
        <w:spacing w:after="0" w:line="21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 xml:space="preserve">In March 2017, as part of the Amended and Restated Loan and Security Agreement, the Company issued Silicon Valley Bank a warrant to purchase up to 66,225 shares of Series C redeemable convertible preferred stock at an exercise price of $4.53 per share. The fair value of the warrant has been bifurcated from the loan payable and is accounted for as a liability (see Note 8, </w:t>
      </w:r>
      <w:r>
        <w:rPr>
          <w:rFonts w:ascii="Arial" w:cs="Arial" w:eastAsia="Arial" w:hAnsi="Arial"/>
          <w:sz w:val="18"/>
          <w:szCs w:val="18"/>
          <w:i w:val="1"/>
          <w:iCs w:val="1"/>
          <w:color w:val="auto"/>
        </w:rPr>
        <w:t>Redeemable Convertible Preferred Stock,</w:t>
      </w:r>
      <w:r>
        <w:rPr>
          <w:rFonts w:ascii="Arial" w:cs="Arial" w:eastAsia="Arial" w:hAnsi="Arial"/>
          <w:sz w:val="18"/>
          <w:szCs w:val="18"/>
          <w:color w:val="auto"/>
        </w:rPr>
        <w:t xml:space="preserve"> for further discussion). The loan payable discount is amortized over the life of the loan using the effective interest method. The warrant had not been exercised as of January 31, 2017, January 31, 2018, or October 31, 2018 (unaudited).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firstLine="484"/>
        <w:spacing w:after="0" w:line="235" w:lineRule="auto"/>
        <w:rPr>
          <w:sz w:val="20"/>
          <w:szCs w:val="20"/>
          <w:color w:val="auto"/>
        </w:rPr>
      </w:pPr>
      <w:r>
        <w:rPr>
          <w:rFonts w:ascii="Arial" w:cs="Arial" w:eastAsia="Arial" w:hAnsi="Arial"/>
          <w:sz w:val="18"/>
          <w:szCs w:val="18"/>
          <w:color w:val="auto"/>
        </w:rPr>
        <w:t>The Loan and Security Agreement is collateralized by the Company's property, rights, and assets, including, but not limited to, cash, goods, equipment, contractual rights, financial assets, and intangible assets. The Loan and Security Agreement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Further, the Loan and Security Agreement contains financial covenants that require the maintenance of minimum annual contract values. The Company was in compliance with all covenants at January 31, 2017, January 31, 2018, and October 31, 2018 (unaudited). The Loan and Security Agreement contains customary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and interest payments on the term loan due by period are as follows:</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 Ended January 31,</w:t>
            </w:r>
          </w:p>
        </w:tc>
        <w:tc>
          <w:tcPr>
            <w:tcW w:w="3780" w:type="dxa"/>
            <w:vAlign w:val="bottom"/>
            <w:vMerge w:val="restart"/>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rPr>
              <w:t>January 31, 2018</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3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240</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03"/>
        </w:trPr>
        <w:tc>
          <w:tcPr>
            <w:tcW w:w="2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3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Repayment (unaudited)</w:t>
      </w:r>
    </w:p>
    <w:p>
      <w:pPr>
        <w:spacing w:after="0" w:line="230"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In July 2018, the Company repaid the entire balance due as of January 31, 2018 on its revolving line of credit of $10.0 million and the entire balance due as of January 31, 2018 on its term loan of $6.2 million. No further amounts are available for borrowing under the term loan. A total of $20.0 million is still available for borrowing under the revolving line of credit.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Growth Capital Loan and Security Agreement</w:t>
      </w:r>
    </w:p>
    <w:p>
      <w:pPr>
        <w:spacing w:after="0" w:line="232"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December 2016, the Company entered into a Growth Capital Loan and Security Agreement with TriplePoint Venture Growth BDC Corp. providing the Company the ability to borrow up to $40.0 million from a growth capital term loan. $20.0 million was drawn upon execution as an initial advance. Borrowings under this facility were collateralized by the Company's personal property, including but not limited to cash, goods, equipment, contractual rights, financial assets, and intangible assets. Draws on the growth capital term loan were payable as interest-only at the Prime Rate, as published by the Wall Street Journal (not to be less than 3.5%), plus 7.75% per month through December 31, 2018, followed by 24 months of principal and accrued interest.</w:t>
      </w:r>
    </w:p>
    <w:p>
      <w:pPr>
        <w:spacing w:after="0" w:line="210" w:lineRule="exact"/>
        <w:rPr>
          <w:sz w:val="20"/>
          <w:szCs w:val="20"/>
          <w:color w:val="auto"/>
        </w:rPr>
      </w:pPr>
    </w:p>
    <w:p>
      <w:pPr>
        <w:ind w:right="40" w:firstLine="484"/>
        <w:spacing w:after="0" w:line="236" w:lineRule="auto"/>
        <w:rPr>
          <w:sz w:val="20"/>
          <w:szCs w:val="20"/>
          <w:color w:val="auto"/>
        </w:rPr>
      </w:pPr>
      <w:r>
        <w:rPr>
          <w:rFonts w:ascii="Arial" w:cs="Arial" w:eastAsia="Arial" w:hAnsi="Arial"/>
          <w:sz w:val="18"/>
          <w:szCs w:val="18"/>
          <w:color w:val="auto"/>
        </w:rPr>
        <w:t>The Company owed $19.1 million on the growth capital term loan as of January 31, 2017. The carrying amount of the term loan, net of unamortized debt issuance costs of $1.0 million, was $18.1 million as of January 31, 2017. Interest expense was $0.2 million and $1.0 million for the years ended January 31, 2017 and January 31, 2018, respectively. Interest expense was $1.0 million and $0 for the nine months ended October 31, 2017 (unaudited) and October 31, 2018 (unaudited). In June 2017, the Company voluntarily prepaid the outstanding principal balance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800"/>
        <w:spacing w:after="0" w:line="299" w:lineRule="auto"/>
        <w:rPr>
          <w:sz w:val="20"/>
          <w:szCs w:val="20"/>
          <w:color w:val="auto"/>
        </w:rPr>
      </w:pPr>
      <w:r>
        <w:rPr>
          <w:rFonts w:ascii="Arial" w:cs="Arial" w:eastAsia="Arial" w:hAnsi="Arial"/>
          <w:sz w:val="16"/>
          <w:szCs w:val="16"/>
          <w:color w:val="auto"/>
        </w:rPr>
        <w:t>$19.1 million and terminated the Growth Capital Loan and Security Agreement and the remaining unamortized debt issuance costs of $0.5 million were expensed to other expense, net in the consolidated statement of operations during the year ended January 31, 2018.</w:t>
      </w:r>
    </w:p>
    <w:p>
      <w:pPr>
        <w:spacing w:after="0" w:line="163"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Growth Capital Loan and Security Agreement contained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Growth Capital Loan and Security Agreement contained customary events of default that included, among others, non-payment of principal, interest, or fees, breach of covenants, inaccuracy of representations and warranties, cross defaults to certain other indebtedness, bankruptcy and insolvency events, material judgments, and events constituting a change in control.</w:t>
      </w:r>
    </w:p>
    <w:p>
      <w:pPr>
        <w:spacing w:after="0" w:line="210" w:lineRule="exact"/>
        <w:rPr>
          <w:sz w:val="20"/>
          <w:szCs w:val="20"/>
          <w:color w:val="auto"/>
        </w:rPr>
      </w:pPr>
    </w:p>
    <w:p>
      <w:pPr>
        <w:ind w:right="60" w:firstLine="478"/>
        <w:spacing w:after="0" w:line="236" w:lineRule="auto"/>
        <w:rPr>
          <w:sz w:val="20"/>
          <w:szCs w:val="20"/>
          <w:color w:val="auto"/>
        </w:rPr>
      </w:pPr>
      <w:r>
        <w:rPr>
          <w:rFonts w:ascii="Arial" w:cs="Arial" w:eastAsia="Arial" w:hAnsi="Arial"/>
          <w:sz w:val="18"/>
          <w:szCs w:val="18"/>
          <w:color w:val="auto"/>
        </w:rPr>
        <w:t xml:space="preserve">As part of the Growth Loan and Security Agreement, the Company issued TriplePoint Venture Growth BDC Corp. a warrant to purchase 99,343 shares of Series C redeemable convertible preferred stock at an exercise price of $4.53 per share. The fair value of the warrant was bifurcated from the loan payable and is accounted for as a liability (see Note 8, </w:t>
      </w:r>
      <w:r>
        <w:rPr>
          <w:rFonts w:ascii="Arial" w:cs="Arial" w:eastAsia="Arial" w:hAnsi="Arial"/>
          <w:sz w:val="18"/>
          <w:szCs w:val="18"/>
          <w:i w:val="1"/>
          <w:iCs w:val="1"/>
          <w:color w:val="auto"/>
        </w:rPr>
        <w:t>Redeemable Convertible Preferred Stock,</w:t>
      </w:r>
      <w:r>
        <w:rPr>
          <w:rFonts w:ascii="Arial" w:cs="Arial" w:eastAsia="Arial" w:hAnsi="Arial"/>
          <w:sz w:val="18"/>
          <w:szCs w:val="18"/>
          <w:color w:val="auto"/>
        </w:rPr>
        <w:t xml:space="preserve"> for further discussion). The loan payable discount is amortized over the life of the loan using the effective interest method. The warrant had not been exercised as of January 31, 2017, January 31, 2018, or October 31, 2018 (unaudited).</w:t>
      </w:r>
    </w:p>
    <w:p>
      <w:pPr>
        <w:spacing w:after="0" w:line="211" w:lineRule="exact"/>
        <w:rPr>
          <w:sz w:val="20"/>
          <w:szCs w:val="20"/>
          <w:color w:val="auto"/>
        </w:rPr>
      </w:pPr>
    </w:p>
    <w:p>
      <w:pPr>
        <w:ind w:right="180" w:firstLine="488"/>
        <w:spacing w:after="0" w:line="237" w:lineRule="auto"/>
        <w:rPr>
          <w:sz w:val="20"/>
          <w:szCs w:val="20"/>
          <w:color w:val="auto"/>
        </w:rPr>
      </w:pPr>
      <w:r>
        <w:rPr>
          <w:rFonts w:ascii="Arial" w:cs="Arial" w:eastAsia="Arial" w:hAnsi="Arial"/>
          <w:sz w:val="18"/>
          <w:szCs w:val="18"/>
          <w:color w:val="auto"/>
        </w:rPr>
        <w:t>Per the terms of the Growth Loan and Security Agreement, upon advances after the initial advance, the Company would be required to issue an additional 33,116 warrants to purchase shares of Series C redeemable convertible preferred stock at an exercise price of $4.53 per share. No such warrants were issued as of January 31, 2017, January 31, 2018, or October 31, 2018 (unaudited), as no subsequent advances were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232" w:lineRule="exact"/>
        <w:rPr>
          <w:sz w:val="20"/>
          <w:szCs w:val="20"/>
          <w:color w:val="auto"/>
        </w:rPr>
      </w:pPr>
    </w:p>
    <w:p>
      <w:pPr>
        <w:ind w:right="100" w:firstLine="484"/>
        <w:spacing w:after="0" w:line="239" w:lineRule="auto"/>
        <w:rPr>
          <w:sz w:val="20"/>
          <w:szCs w:val="20"/>
          <w:color w:val="auto"/>
        </w:rPr>
      </w:pPr>
      <w:r>
        <w:rPr>
          <w:rFonts w:ascii="Arial" w:cs="Arial" w:eastAsia="Arial" w:hAnsi="Arial"/>
          <w:sz w:val="18"/>
          <w:szCs w:val="18"/>
          <w:color w:val="auto"/>
        </w:rPr>
        <w:t>The Company's geographical breakdown of loss before provision for income taxes for the years ended January 31, 2017 and January 31, 2018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January 31,</w:t>
            </w:r>
          </w:p>
        </w:tc>
      </w:tr>
      <w:tr>
        <w:trPr>
          <w:trHeight w:val="169"/>
        </w:trPr>
        <w:tc>
          <w:tcPr>
            <w:tcW w:w="11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00"/>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1300" w:type="dxa"/>
            <w:vAlign w:val="bottom"/>
            <w:gridSpan w:val="2"/>
          </w:tcPr>
          <w:p>
            <w:pPr>
              <w:spacing w:after="0"/>
              <w:rPr>
                <w:sz w:val="14"/>
                <w:szCs w:val="14"/>
                <w:color w:val="auto"/>
              </w:rPr>
            </w:pPr>
          </w:p>
        </w:tc>
      </w:tr>
      <w:tr>
        <w:trPr>
          <w:trHeight w:val="203"/>
        </w:trPr>
        <w:tc>
          <w:tcPr>
            <w:tcW w:w="1120" w:type="dxa"/>
            <w:vAlign w:val="bottom"/>
          </w:tcPr>
          <w:p>
            <w:pPr>
              <w:spacing w:after="0"/>
              <w:rPr>
                <w:sz w:val="17"/>
                <w:szCs w:val="17"/>
                <w:color w:val="auto"/>
              </w:rPr>
            </w:pPr>
          </w:p>
        </w:tc>
        <w:tc>
          <w:tcPr>
            <w:tcW w:w="3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Domestic</w:t>
            </w:r>
          </w:p>
        </w:tc>
        <w:tc>
          <w:tcPr>
            <w:tcW w:w="3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(91,331)</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(137,523)</w:t>
            </w: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68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2,962</w:t>
            </w: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3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31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(91,253)</w:t>
            </w:r>
          </w:p>
        </w:tc>
        <w:tc>
          <w:tcPr>
            <w:tcW w:w="2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(134,561)</w:t>
            </w:r>
          </w:p>
        </w:tc>
        <w:tc>
          <w:tcPr>
            <w:tcW w:w="1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60" w:type="dxa"/>
            <w:vAlign w:val="bottom"/>
            <w:gridSpan w:val="2"/>
          </w:tcPr>
          <w:p>
            <w:pPr>
              <w:jc w:val="right"/>
              <w:ind w:right="2160"/>
              <w:spacing w:after="0"/>
              <w:rPr>
                <w:sz w:val="20"/>
                <w:szCs w:val="20"/>
                <w:color w:val="auto"/>
              </w:rPr>
            </w:pPr>
            <w:r>
              <w:rPr>
                <w:rFonts w:ascii="Arial" w:cs="Arial" w:eastAsia="Arial" w:hAnsi="Arial"/>
                <w:sz w:val="18"/>
                <w:szCs w:val="18"/>
                <w:color w:val="auto"/>
              </w:rPr>
              <w:t>F-33</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3680" w:type="dxa"/>
            <w:vAlign w:val="bottom"/>
            <w:tcBorders>
              <w:bottom w:val="single" w:sz="8" w:color="808080"/>
            </w:tcBorders>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the provision for income taxes as of January 31, 2017 and January 31, 2018 are as follows:</w:t>
      </w:r>
    </w:p>
    <w:p>
      <w:pPr>
        <w:spacing w:after="0" w:line="195"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January 31,</w:t>
      </w:r>
    </w:p>
    <w:tbl>
      <w:tblPr>
        <w:tblLayout w:type="fixed"/>
        <w:tblInd w:w="1120" w:type="dxa"/>
        <w:tblCellMar>
          <w:top w:w="0" w:type="dxa"/>
          <w:left w:w="0" w:type="dxa"/>
          <w:bottom w:w="0" w:type="dxa"/>
          <w:right w:w="0" w:type="dxa"/>
        </w:tblCellMar>
      </w:tblPr>
      <w:tr>
        <w:trPr>
          <w:trHeight w:val="176"/>
        </w:trPr>
        <w:tc>
          <w:tcPr>
            <w:tcW w:w="69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35"/>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76"/>
              </w:rPr>
              <w:t>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Current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Federal</w:t>
            </w:r>
          </w:p>
        </w:tc>
        <w:tc>
          <w:tcPr>
            <w:tcW w:w="2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17"/>
                <w:szCs w:val="17"/>
                <w:color w:val="auto"/>
              </w:rPr>
            </w:pPr>
          </w:p>
        </w:tc>
        <w:tc>
          <w:tcPr>
            <w:tcW w:w="8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current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8"/>
              <w:spacing w:after="0" w:line="196" w:lineRule="exact"/>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196"/>
        </w:trPr>
        <w:tc>
          <w:tcPr>
            <w:tcW w:w="69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Deferred</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color w:val="auto"/>
              </w:rPr>
              <w:t>State</w:t>
            </w:r>
          </w:p>
        </w:tc>
        <w:tc>
          <w:tcPr>
            <w:tcW w:w="200" w:type="dxa"/>
            <w:vAlign w:val="bottom"/>
          </w:tcPr>
          <w:p>
            <w:pPr>
              <w:spacing w:after="0"/>
              <w:rPr>
                <w:sz w:val="17"/>
                <w:szCs w:val="17"/>
                <w:color w:val="auto"/>
              </w:rPr>
            </w:pPr>
          </w:p>
        </w:tc>
        <w:tc>
          <w:tcPr>
            <w:tcW w:w="8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380"/>
              <w:spacing w:after="0"/>
              <w:rPr>
                <w:sz w:val="20"/>
                <w:szCs w:val="20"/>
                <w:color w:val="auto"/>
              </w:rPr>
            </w:pPr>
            <w:r>
              <w:rPr>
                <w:rFonts w:ascii="Arial" w:cs="Arial" w:eastAsia="Arial" w:hAnsi="Arial"/>
                <w:sz w:val="18"/>
                <w:szCs w:val="18"/>
                <w:color w:val="auto"/>
              </w:rPr>
              <w:t>Total deferred</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(16)</w:t>
            </w: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8"/>
              <w:spacing w:after="0" w:line="196" w:lineRule="exact"/>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320" w:firstLine="484"/>
        <w:spacing w:after="0" w:line="239" w:lineRule="auto"/>
        <w:rPr>
          <w:sz w:val="20"/>
          <w:szCs w:val="20"/>
          <w:color w:val="auto"/>
        </w:rPr>
      </w:pPr>
      <w:r>
        <w:rPr>
          <w:rFonts w:ascii="Arial" w:cs="Arial" w:eastAsia="Arial" w:hAnsi="Arial"/>
          <w:sz w:val="18"/>
          <w:szCs w:val="18"/>
          <w:color w:val="auto"/>
        </w:rPr>
        <w:t>The following table provides a reconciliation between income taxes computed at the federal statutory rate and the provision for income taxes as of January 31, 2017 and January 31, 2018:</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 at statutory rate</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(31,027)</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(44,265)</w:t>
            </w:r>
          </w:p>
        </w:tc>
        <w:tc>
          <w:tcPr>
            <w:tcW w:w="0" w:type="dxa"/>
            <w:vAlign w:val="bottom"/>
          </w:tcPr>
          <w:p>
            <w:pPr>
              <w:spacing w:after="0"/>
              <w:rPr>
                <w:sz w:val="1"/>
                <w:szCs w:val="1"/>
                <w:color w:val="auto"/>
              </w:rPr>
            </w:pPr>
          </w:p>
        </w:tc>
      </w:tr>
      <w:tr>
        <w:trPr>
          <w:trHeight w:val="202"/>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Foreign earnings at different rates</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Research and other credits</w:t>
            </w:r>
          </w:p>
        </w:tc>
        <w:tc>
          <w:tcPr>
            <w:tcW w:w="200" w:type="dxa"/>
            <w:vAlign w:val="bottom"/>
          </w:tcPr>
          <w:p>
            <w:pPr>
              <w:spacing w:after="0"/>
              <w:rPr>
                <w:sz w:val="17"/>
                <w:szCs w:val="17"/>
                <w:color w:val="auto"/>
              </w:rPr>
            </w:pPr>
          </w:p>
        </w:tc>
        <w:tc>
          <w:tcPr>
            <w:tcW w:w="106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(1,846)</w:t>
            </w:r>
          </w:p>
        </w:tc>
        <w:tc>
          <w:tcPr>
            <w:tcW w:w="22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Non-deductible expenses</w:t>
            </w: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Impact of U.S. tax reform</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36,146</w:t>
            </w:r>
          </w:p>
        </w:tc>
        <w:tc>
          <w:tcPr>
            <w:tcW w:w="0" w:type="dxa"/>
            <w:vAlign w:val="bottom"/>
          </w:tcPr>
          <w:p>
            <w:pPr>
              <w:spacing w:after="0"/>
              <w:rPr>
                <w:sz w:val="1"/>
                <w:szCs w:val="1"/>
                <w:color w:val="auto"/>
              </w:rPr>
            </w:pPr>
          </w:p>
        </w:tc>
      </w:tr>
      <w:tr>
        <w:trPr>
          <w:trHeight w:val="203"/>
        </w:trPr>
        <w:tc>
          <w:tcPr>
            <w:tcW w:w="6620" w:type="dxa"/>
            <w:vAlign w:val="bottom"/>
          </w:tcPr>
          <w:p>
            <w:pPr>
              <w:ind w:left="20"/>
              <w:spacing w:after="0" w:line="202" w:lineRule="exact"/>
              <w:rPr>
                <w:sz w:val="20"/>
                <w:szCs w:val="20"/>
                <w:color w:val="auto"/>
              </w:rPr>
            </w:pPr>
            <w:r>
              <w:rPr>
                <w:rFonts w:ascii="Arial" w:cs="Arial" w:eastAsia="Arial" w:hAnsi="Arial"/>
                <w:sz w:val="18"/>
                <w:szCs w:val="18"/>
                <w:color w:val="auto"/>
              </w:rPr>
              <w:t>Transition tax</w:t>
            </w:r>
          </w:p>
        </w:tc>
        <w:tc>
          <w:tcPr>
            <w:tcW w:w="200" w:type="dxa"/>
            <w:vAlign w:val="bottom"/>
          </w:tcPr>
          <w:p>
            <w:pPr>
              <w:spacing w:after="0"/>
              <w:rPr>
                <w:sz w:val="17"/>
                <w:szCs w:val="17"/>
                <w:color w:val="auto"/>
              </w:rPr>
            </w:pPr>
          </w:p>
        </w:tc>
        <w:tc>
          <w:tcPr>
            <w:tcW w:w="10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31,789</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200" w:type="dxa"/>
            <w:vAlign w:val="bottom"/>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320" w:type="dxa"/>
            <w:vAlign w:val="bottom"/>
          </w:tcPr>
          <w:p>
            <w:pPr>
              <w:spacing w:after="0"/>
              <w:rPr>
                <w:sz w:val="17"/>
                <w:szCs w:val="17"/>
                <w:color w:val="auto"/>
              </w:rPr>
            </w:pPr>
          </w:p>
        </w:tc>
        <w:tc>
          <w:tcPr>
            <w:tcW w:w="220" w:type="dxa"/>
            <w:vAlign w:val="bottom"/>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Significant components of the Company's deferred tax assets and liabilities as of January 31, 2017 and January 31, 2018 are as follows:</w:t>
      </w:r>
    </w:p>
    <w:p>
      <w:pPr>
        <w:spacing w:after="0" w:line="218"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January 31,</w:t>
      </w:r>
    </w:p>
    <w:tbl>
      <w:tblPr>
        <w:tblLayout w:type="fixed"/>
        <w:tblInd w:w="112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rPr>
              <w:t>(in</w:t>
            </w:r>
          </w:p>
        </w:tc>
        <w:tc>
          <w:tcPr>
            <w:tcW w:w="118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w w:val="76"/>
              </w:rPr>
              <w:t>thousands)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62,363</w:t>
            </w:r>
          </w:p>
        </w:tc>
        <w:tc>
          <w:tcPr>
            <w:tcW w:w="220" w:type="dxa"/>
            <w:vAlign w:val="bottom"/>
          </w:tcPr>
          <w:p>
            <w:pPr>
              <w:jc w:val="right"/>
              <w:ind w:right="3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70,878</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credit carryforwards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4,219</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7"/>
                <w:szCs w:val="17"/>
                <w:color w:val="auto"/>
              </w:rPr>
            </w:pPr>
          </w:p>
        </w:tc>
        <w:tc>
          <w:tcPr>
            <w:tcW w:w="9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349</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7"/>
                <w:szCs w:val="17"/>
                <w:color w:val="auto"/>
              </w:rPr>
            </w:pPr>
          </w:p>
        </w:tc>
        <w:tc>
          <w:tcPr>
            <w:tcW w:w="9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5,655</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220" w:type="dxa"/>
            <w:vAlign w:val="bottom"/>
          </w:tcPr>
          <w:p>
            <w:pPr>
              <w:spacing w:after="0"/>
              <w:rPr>
                <w:sz w:val="17"/>
                <w:szCs w:val="17"/>
                <w:color w:val="auto"/>
              </w:rPr>
            </w:pPr>
          </w:p>
        </w:tc>
        <w:tc>
          <w:tcPr>
            <w:tcW w:w="9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139</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Gross deferred tax assets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72,903</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85,594</w:t>
            </w:r>
          </w:p>
        </w:tc>
        <w:tc>
          <w:tcPr>
            <w:tcW w:w="0" w:type="dxa"/>
            <w:vAlign w:val="bottom"/>
          </w:tcPr>
          <w:p>
            <w:pPr>
              <w:spacing w:after="0"/>
              <w:rPr>
                <w:sz w:val="1"/>
                <w:szCs w:val="1"/>
                <w:color w:val="auto"/>
              </w:rPr>
            </w:pPr>
          </w:p>
        </w:tc>
      </w:tr>
      <w:tr>
        <w:trPr>
          <w:trHeight w:val="405"/>
        </w:trPr>
        <w:tc>
          <w:tcPr>
            <w:tcW w:w="666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24"/>
                <w:szCs w:val="24"/>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8"/>
                <w:szCs w:val="18"/>
                <w:color w:val="auto"/>
              </w:rPr>
              <w:t>(72,248)</w:t>
            </w:r>
          </w:p>
        </w:tc>
        <w:tc>
          <w:tcPr>
            <w:tcW w:w="2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(84,369)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655</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196"/>
        </w:trPr>
        <w:tc>
          <w:tcPr>
            <w:tcW w:w="66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7"/>
                <w:szCs w:val="17"/>
                <w:color w:val="auto"/>
              </w:rPr>
            </w:pPr>
          </w:p>
        </w:tc>
        <w:tc>
          <w:tcPr>
            <w:tcW w:w="94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380"/>
              <w:spacing w:after="0"/>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(639)</w:t>
            </w:r>
          </w:p>
        </w:tc>
        <w:tc>
          <w:tcPr>
            <w:tcW w:w="220" w:type="dxa"/>
            <w:vAlign w:val="bottom"/>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Net deferred tax assets</w:t>
            </w:r>
          </w:p>
        </w:tc>
        <w:tc>
          <w:tcPr>
            <w:tcW w:w="2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At each reporting date, the Company has established a valuation allowance against its U.S. net deferred tax assets due to the uncertainty surrounding the realization of those assets. The Company periodically evaluates the recoverability of the deferred tax assets and, when it is determined to be more-likely-than-not that the deferred tax assets are realizable, the valuation allowance is reduced. During the years ended January 31, 2017 and January 31, 2018, the valuation allowance increased by $33.8 million and $12.1 million, respectively. The increase in the valuation allowance during the year ended January 31, 2017 was primarily driven by losses generated in the United States. The increase in the valuation allowance during the year ended January 31, 2018 was also primarily driven by losses generated in the U.S., partially offset by the reduction in our federal corporate tax rate from 34% to 21% as part of the enactment of the Tax Cuts and Jobs Act (the "Tax Act") as detailed below.</w:t>
      </w:r>
    </w:p>
    <w:p>
      <w:pPr>
        <w:spacing w:after="0" w:line="208" w:lineRule="exact"/>
        <w:rPr>
          <w:sz w:val="20"/>
          <w:szCs w:val="20"/>
          <w:color w:val="auto"/>
        </w:rPr>
      </w:pPr>
    </w:p>
    <w:p>
      <w:pPr>
        <w:ind w:right="60" w:firstLine="478"/>
        <w:spacing w:after="0" w:line="238" w:lineRule="auto"/>
        <w:rPr>
          <w:sz w:val="20"/>
          <w:szCs w:val="20"/>
          <w:color w:val="auto"/>
        </w:rPr>
      </w:pPr>
      <w:r>
        <w:rPr>
          <w:rFonts w:ascii="Arial" w:cs="Arial" w:eastAsia="Arial" w:hAnsi="Arial"/>
          <w:sz w:val="18"/>
          <w:szCs w:val="18"/>
          <w:color w:val="auto"/>
        </w:rPr>
        <w:t>At January 31, 2018, the Company had aggregate federal and state net operating loss carryforwards of approximately $282.8 million and $214.7 million, respectively, which may be available to offset future taxable income for income tax purposes. The federal net operating loss carryforwards begin to expire in 2031 and the state carryforwards begin to expire in 2019, if not utilized.</w:t>
      </w:r>
    </w:p>
    <w:p>
      <w:pPr>
        <w:spacing w:after="0" w:line="208" w:lineRule="exact"/>
        <w:rPr>
          <w:sz w:val="20"/>
          <w:szCs w:val="20"/>
          <w:color w:val="auto"/>
        </w:rPr>
      </w:pPr>
    </w:p>
    <w:p>
      <w:pPr>
        <w:ind w:right="40" w:firstLine="478"/>
        <w:spacing w:after="0" w:line="238" w:lineRule="auto"/>
        <w:rPr>
          <w:sz w:val="20"/>
          <w:szCs w:val="20"/>
          <w:color w:val="auto"/>
        </w:rPr>
      </w:pPr>
      <w:r>
        <w:rPr>
          <w:rFonts w:ascii="Arial" w:cs="Arial" w:eastAsia="Arial" w:hAnsi="Arial"/>
          <w:sz w:val="18"/>
          <w:szCs w:val="18"/>
          <w:color w:val="auto"/>
        </w:rPr>
        <w:t>At January 31, 2018, the Company had federal and California research and development ("R&amp;D") credit carryforwards of $4.3 million and $3.8 million, respectively. The federal R&amp;D credit carryforwards will begin to expire in 2031. California R&amp;D credits are carried forward indefinitely.</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43" w:right="4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firstLine="484"/>
        <w:spacing w:after="0" w:line="237" w:lineRule="auto"/>
        <w:rPr>
          <w:sz w:val="20"/>
          <w:szCs w:val="20"/>
          <w:color w:val="auto"/>
        </w:rPr>
      </w:pPr>
      <w:r>
        <w:rPr>
          <w:rFonts w:ascii="Arial" w:cs="Arial" w:eastAsia="Arial" w:hAnsi="Arial"/>
          <w:sz w:val="18"/>
          <w:szCs w:val="18"/>
          <w:color w:val="auto"/>
        </w:rPr>
        <w:t>The Internal Revenue Code imposes limitations on a corporation's ability to utilize net operating loss ("NOLs") and credit carryovers if it experiences an ownership change as defined in Section 382. In general terms, an ownership change may result from transactions increasing the ownership of certain stockholders in the stock of a corporation by more than 50% over a three-year period. If an ownership change has occurred, or were to occur, utilization of the Company's NOLs and credit carryovers could be restricted.</w:t>
      </w:r>
    </w:p>
    <w:p>
      <w:pPr>
        <w:spacing w:after="0" w:line="208" w:lineRule="exact"/>
        <w:rPr>
          <w:sz w:val="20"/>
          <w:szCs w:val="20"/>
          <w:color w:val="auto"/>
        </w:rPr>
      </w:pPr>
    </w:p>
    <w:p>
      <w:pPr>
        <w:ind w:right="20" w:firstLine="484"/>
        <w:spacing w:after="0" w:line="237" w:lineRule="auto"/>
        <w:rPr>
          <w:sz w:val="20"/>
          <w:szCs w:val="20"/>
          <w:color w:val="auto"/>
        </w:rPr>
      </w:pPr>
      <w:r>
        <w:rPr>
          <w:rFonts w:ascii="Arial" w:cs="Arial" w:eastAsia="Arial" w:hAnsi="Arial"/>
          <w:sz w:val="18"/>
          <w:szCs w:val="18"/>
          <w:color w:val="auto"/>
        </w:rPr>
        <w:t>The Company has adopted the authoritative guidance relating to the accounting for uncertainty in income taxes. The guidance clarified the recognition of tax positions taken, or expected to be taken, on a tax return. The impact of an uncertain income tax position on the income tax return must be recognized at the largest amount that is more likely than not to be sustained upon audit by the relevant taxing authority. An uncertain tax position will not be recognized if it has a less than 50% likelihood of being sustained.</w:t>
      </w:r>
    </w:p>
    <w:p>
      <w:pPr>
        <w:spacing w:after="0" w:line="208" w:lineRule="exact"/>
        <w:rPr>
          <w:sz w:val="20"/>
          <w:szCs w:val="20"/>
          <w:color w:val="auto"/>
        </w:rPr>
      </w:pPr>
    </w:p>
    <w:p>
      <w:pPr>
        <w:ind w:right="100" w:firstLine="484"/>
        <w:spacing w:after="0" w:line="236" w:lineRule="auto"/>
        <w:rPr>
          <w:sz w:val="20"/>
          <w:szCs w:val="20"/>
          <w:color w:val="auto"/>
        </w:rPr>
      </w:pPr>
      <w:r>
        <w:rPr>
          <w:rFonts w:ascii="Arial" w:cs="Arial" w:eastAsia="Arial" w:hAnsi="Arial"/>
          <w:sz w:val="18"/>
          <w:szCs w:val="18"/>
          <w:color w:val="auto"/>
        </w:rPr>
        <w:t>Total gross unrecognized tax benefit liabilities as of January 31, 2017 and January 31, 2018 were $5.1 million and $8.1 million, respectively. As of January 31, 2017, and January 31, 2018, the Company had no unrecognized tax benefits, which, if recognized, would affect the Company's effective tax rate due to full valuation allowance. During the year ended January 31, 2018, the Company's unrecognized tax benefits increased by $3.0 million. The Company's policy is to classify interest and penalties related to unrecognized tax benefits as part of the income tax provision in the consolidated statements of operations. The Company had no accrued interest and penalties related to unrecognized tax benefits as of January 31, 2017 and January 31, 2018.</w:t>
      </w:r>
    </w:p>
    <w:p>
      <w:pPr>
        <w:spacing w:after="0" w:line="210" w:lineRule="exact"/>
        <w:rPr>
          <w:sz w:val="20"/>
          <w:szCs w:val="20"/>
          <w:color w:val="auto"/>
        </w:rPr>
      </w:pPr>
    </w:p>
    <w:p>
      <w:pPr>
        <w:ind w:right="100" w:firstLine="484"/>
        <w:spacing w:after="0" w:line="239" w:lineRule="auto"/>
        <w:rPr>
          <w:sz w:val="20"/>
          <w:szCs w:val="20"/>
          <w:color w:val="auto"/>
        </w:rPr>
      </w:pPr>
      <w:r>
        <w:rPr>
          <w:rFonts w:ascii="Arial" w:cs="Arial" w:eastAsia="Arial" w:hAnsi="Arial"/>
          <w:sz w:val="18"/>
          <w:szCs w:val="18"/>
          <w:color w:val="auto"/>
        </w:rPr>
        <w:t>The following is a rollforward schedule of the total gross unrecognized tax benefits for the years ended January 31, 2017 and January 31, 2018 (in thousands):</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February 1, 2016</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2,899</w:t>
            </w: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Increases in current period tax positions</w:t>
            </w:r>
          </w:p>
        </w:tc>
        <w:tc>
          <w:tcPr>
            <w:tcW w:w="2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2,161</w:t>
            </w:r>
          </w:p>
        </w:tc>
      </w:tr>
      <w:tr>
        <w:trPr>
          <w:trHeight w:val="20"/>
        </w:trPr>
        <w:tc>
          <w:tcPr>
            <w:tcW w:w="7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January 31, 2017</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5,060</w:t>
            </w:r>
          </w:p>
        </w:tc>
      </w:tr>
      <w:tr>
        <w:trPr>
          <w:trHeight w:val="203"/>
        </w:trPr>
        <w:tc>
          <w:tcPr>
            <w:tcW w:w="7980" w:type="dxa"/>
            <w:vAlign w:val="bottom"/>
          </w:tcPr>
          <w:p>
            <w:pPr>
              <w:ind w:left="20"/>
              <w:spacing w:after="0" w:line="202" w:lineRule="exact"/>
              <w:rPr>
                <w:sz w:val="20"/>
                <w:szCs w:val="20"/>
                <w:color w:val="auto"/>
              </w:rPr>
            </w:pPr>
            <w:r>
              <w:rPr>
                <w:rFonts w:ascii="Arial" w:cs="Arial" w:eastAsia="Arial" w:hAnsi="Arial"/>
                <w:sz w:val="18"/>
                <w:szCs w:val="18"/>
                <w:color w:val="auto"/>
              </w:rPr>
              <w:t>Increases in current period tax positions</w:t>
            </w:r>
          </w:p>
        </w:tc>
        <w:tc>
          <w:tcPr>
            <w:tcW w:w="26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3,068</w:t>
            </w:r>
          </w:p>
        </w:tc>
      </w:tr>
      <w:tr>
        <w:trPr>
          <w:trHeight w:val="20"/>
        </w:trPr>
        <w:tc>
          <w:tcPr>
            <w:tcW w:w="7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January 31, 2018</w:t>
            </w:r>
          </w:p>
        </w:tc>
        <w:tc>
          <w:tcPr>
            <w:tcW w:w="26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8,128</w:t>
            </w:r>
          </w:p>
        </w:tc>
      </w:tr>
      <w:tr>
        <w:trPr>
          <w:trHeight w:val="20"/>
        </w:trPr>
        <w:tc>
          <w:tcPr>
            <w:tcW w:w="7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60" w:firstLine="484"/>
        <w:spacing w:after="0" w:line="236" w:lineRule="auto"/>
        <w:rPr>
          <w:sz w:val="20"/>
          <w:szCs w:val="20"/>
          <w:color w:val="auto"/>
        </w:rPr>
      </w:pPr>
      <w:r>
        <w:rPr>
          <w:rFonts w:ascii="Arial" w:cs="Arial" w:eastAsia="Arial" w:hAnsi="Arial"/>
          <w:sz w:val="18"/>
          <w:szCs w:val="18"/>
          <w:color w:val="auto"/>
        </w:rPr>
        <w:t>The Company files income tax returns in the U.S. federal jurisdiction and various state jurisdictions. As the Company expands its global operations in the normal course of business, the Company could be subject to examination by taxing authorities throughout the world. These audits could include questioning the timing and amount of deductions; the nexus of income among various tax jurisdictions; and compliance with federal, state, local, and foreign tax laws. The Company is not currently under audit by the Internal Revenue Service or other similar state, local, and foreign authorities. All tax years remain subject to examination by U.S. taxing authorities due to the Company's net operating losses and R&amp;D credit carryforwards.</w:t>
      </w:r>
    </w:p>
    <w:p>
      <w:pPr>
        <w:spacing w:after="0" w:line="210" w:lineRule="exact"/>
        <w:rPr>
          <w:sz w:val="20"/>
          <w:szCs w:val="20"/>
          <w:color w:val="auto"/>
        </w:rPr>
      </w:pPr>
    </w:p>
    <w:p>
      <w:pPr>
        <w:ind w:right="200" w:firstLine="488"/>
        <w:spacing w:after="0" w:line="272" w:lineRule="auto"/>
        <w:rPr>
          <w:sz w:val="20"/>
          <w:szCs w:val="20"/>
          <w:color w:val="auto"/>
        </w:rPr>
      </w:pPr>
      <w:r>
        <w:rPr>
          <w:rFonts w:ascii="Arial" w:cs="Arial" w:eastAsia="Arial" w:hAnsi="Arial"/>
          <w:sz w:val="16"/>
          <w:szCs w:val="16"/>
          <w:color w:val="auto"/>
        </w:rPr>
        <w:t>On December 22, 2017, the U.S. government enacted the Tax Act which makes significant changes to the U.S. tax code. The Tax Act includes several key tax provisions that affect the Company including, but not limited to, lowering the U.S. federal corporate tax rate to 21% for tax years beginning after December 31, 2017, establishing a new provision to currently tax certain global intangible low-taxed income of controlled foreign corporations, and imposing a one-time tax ("Transition Tax") on the mandatory deemed repatriation of cumulative foreign earnings. The Transition Tax is based upon the post-1986 earnings and profits that were previously deferred from U.S. income taxes.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20" w:firstLine="488"/>
        <w:spacing w:after="0" w:line="238" w:lineRule="auto"/>
        <w:rPr>
          <w:sz w:val="20"/>
          <w:szCs w:val="20"/>
          <w:color w:val="auto"/>
        </w:rPr>
      </w:pPr>
      <w:r>
        <w:rPr>
          <w:rFonts w:ascii="Arial" w:cs="Arial" w:eastAsia="Arial" w:hAnsi="Arial"/>
          <w:sz w:val="18"/>
          <w:szCs w:val="18"/>
          <w:color w:val="auto"/>
        </w:rPr>
        <w:t>On December 22, 2017, the Securities and Exchange Commission issued Staff Accounting Bulletin No. 118, Income Tax Accounting Implications of the Tax Cuts and Jobs Act ("SAB 118"), which provides guidance on accounting for the Tax Act's impact and allows registrants to record provisional amounts during a measurement period not to extend beyond one year of the enactment date.</w:t>
      </w:r>
    </w:p>
    <w:p>
      <w:pPr>
        <w:spacing w:after="0" w:line="208"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Company has not completed its accounting assessment for the effects of the Tax Act. In accordance with SAB 118, the Company has made reasonable estimates of the effects and resulting provisional adjustments in connection with the re-measurement of certain deferred tax assets and liabilities. Given the complexity of the Tax Act, the Company may further refine these provisional estimates during the measurement period as further guidance is issued from the U.S. Treasury, state tax authorities, the Securities and Exchange Commission, and the FASB. Subsequent adjustments, if any, will be accounted for in the period such adjustments are identified.</w:t>
      </w:r>
    </w:p>
    <w:p>
      <w:pPr>
        <w:spacing w:after="0" w:line="211" w:lineRule="exact"/>
        <w:rPr>
          <w:sz w:val="20"/>
          <w:szCs w:val="20"/>
          <w:color w:val="auto"/>
        </w:rPr>
      </w:pPr>
    </w:p>
    <w:p>
      <w:pPr>
        <w:ind w:right="120" w:firstLine="488"/>
        <w:spacing w:after="0" w:line="236" w:lineRule="auto"/>
        <w:rPr>
          <w:sz w:val="20"/>
          <w:szCs w:val="20"/>
          <w:color w:val="auto"/>
        </w:rPr>
      </w:pPr>
      <w:r>
        <w:rPr>
          <w:rFonts w:ascii="Arial" w:cs="Arial" w:eastAsia="Arial" w:hAnsi="Arial"/>
          <w:sz w:val="18"/>
          <w:szCs w:val="18"/>
          <w:color w:val="auto"/>
        </w:rPr>
        <w:t>Based on an initial assessment, the Company has determined that the Tax Act did not have a material impact to the financial statements for the year ended January 31, 2018, thereby impacting exclusively the disclosures in the Company's year-end financial statements. The Company currently maintains a full valuation allowance against its U.S. deferred tax assets since the Company continues to incur losses in the U.S. for all fiscal years since inception. There is no tax expense associated with the Transition Tax as a result of the Company's full valuation allowance position.</w:t>
      </w:r>
    </w:p>
    <w:p>
      <w:pPr>
        <w:spacing w:after="0" w:line="211" w:lineRule="exact"/>
        <w:rPr>
          <w:sz w:val="20"/>
          <w:szCs w:val="20"/>
          <w:color w:val="auto"/>
        </w:rPr>
      </w:pPr>
    </w:p>
    <w:p>
      <w:pPr>
        <w:jc w:val="both"/>
        <w:ind w:right="540" w:firstLine="484"/>
        <w:spacing w:after="0" w:line="238" w:lineRule="auto"/>
        <w:rPr>
          <w:sz w:val="20"/>
          <w:szCs w:val="20"/>
          <w:color w:val="auto"/>
        </w:rPr>
      </w:pPr>
      <w:r>
        <w:rPr>
          <w:rFonts w:ascii="Arial" w:cs="Arial" w:eastAsia="Arial" w:hAnsi="Arial"/>
          <w:sz w:val="18"/>
          <w:szCs w:val="18"/>
          <w:color w:val="auto"/>
        </w:rPr>
        <w:t>The Company is still evaluating how the Tax Act will impact the Company's existing assertion of indefinite reinvestment of non-U.S. subsidiary earnings. As such, no change has been made for the year ended Jan 31, 2018. The Company will conclude the analysis on its indefinite reinvestment assertion and record amounts, if necessary, during the measurement period.</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 (unaudited)</w:t>
      </w:r>
    </w:p>
    <w:p>
      <w:pPr>
        <w:spacing w:after="0" w:line="232" w:lineRule="exact"/>
        <w:rPr>
          <w:sz w:val="20"/>
          <w:szCs w:val="20"/>
          <w:color w:val="auto"/>
        </w:rPr>
      </w:pPr>
    </w:p>
    <w:p>
      <w:pPr>
        <w:ind w:right="120" w:firstLine="484"/>
        <w:spacing w:after="0" w:line="236"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if any, that arise during the period. Each quarter, the Company updates the estimate of the annual effective tax rate, and if the estimated annual effective tax rate changes, a cumulative adjustment is made in such period. 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w:t>
      </w:r>
    </w:p>
    <w:p>
      <w:pPr>
        <w:spacing w:after="0" w:line="211" w:lineRule="exact"/>
        <w:rPr>
          <w:sz w:val="20"/>
          <w:szCs w:val="20"/>
          <w:color w:val="auto"/>
        </w:rPr>
      </w:pPr>
    </w:p>
    <w:p>
      <w:pPr>
        <w:ind w:right="100" w:firstLine="484"/>
        <w:spacing w:after="0" w:line="236" w:lineRule="auto"/>
        <w:rPr>
          <w:sz w:val="20"/>
          <w:szCs w:val="20"/>
          <w:color w:val="auto"/>
        </w:rPr>
      </w:pPr>
      <w:r>
        <w:rPr>
          <w:rFonts w:ascii="Arial" w:cs="Arial" w:eastAsia="Arial" w:hAnsi="Arial"/>
          <w:sz w:val="18"/>
          <w:szCs w:val="18"/>
          <w:color w:val="auto"/>
        </w:rPr>
        <w:t>The Company recognized income tax expense of $0.4 million and $1.0 million for the nine months ended October 31, 2017, and October 31, 2018, respectively. The increase in income tax expense in the nine months ended October 31, 2018 as compared to the same period last year was primarily due to an increase in foreign earnings. The effective tax rates of (0.5)% and (0.9)% for the nine months ended October 31, 2017 and October 31, 2018, respectively, differ from our statutory U.S. federal income tax rates of 34% (for the nine months ended October 31, 2017) and 21% (for the nine months ended October 31, 2018) mainly due to the valuation allowance recorded against domestic losses and the tax rate differences between the United States and foreign countries.</w:t>
      </w:r>
    </w:p>
    <w:p>
      <w:pPr>
        <w:spacing w:after="0" w:line="210" w:lineRule="exact"/>
        <w:rPr>
          <w:sz w:val="20"/>
          <w:szCs w:val="20"/>
          <w:color w:val="auto"/>
        </w:rPr>
      </w:pPr>
    </w:p>
    <w:p>
      <w:pPr>
        <w:ind w:right="220" w:firstLine="488"/>
        <w:spacing w:after="0" w:line="238" w:lineRule="auto"/>
        <w:rPr>
          <w:sz w:val="20"/>
          <w:szCs w:val="20"/>
          <w:color w:val="auto"/>
        </w:rPr>
      </w:pPr>
      <w:r>
        <w:rPr>
          <w:rFonts w:ascii="Arial" w:cs="Arial" w:eastAsia="Arial" w:hAnsi="Arial"/>
          <w:sz w:val="18"/>
          <w:szCs w:val="18"/>
          <w:color w:val="auto"/>
        </w:rPr>
        <w:t>No further adjustments were made to the provisional amounts recorded as of January 31, 2018 in accordance with SAB 118 in the nine months ended October 31, 2018. The accounting for the tax effects of the Tax Act will be completed within the measurement period in accordance with SAB 118.</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jc w:val="both"/>
        <w:ind w:right="100" w:firstLine="488"/>
        <w:spacing w:after="0" w:line="238" w:lineRule="auto"/>
        <w:rPr>
          <w:sz w:val="20"/>
          <w:szCs w:val="20"/>
          <w:color w:val="auto"/>
        </w:rPr>
      </w:pPr>
      <w:r>
        <w:rPr>
          <w:rFonts w:ascii="Arial" w:cs="Arial" w:eastAsia="Arial" w:hAnsi="Arial"/>
          <w:sz w:val="18"/>
          <w:szCs w:val="18"/>
          <w:color w:val="auto"/>
        </w:rPr>
        <w:t>During the nine months ended October 31, 2017 and October 31, 2018, the increases in unrecognized tax benefits from the beginning of the respective periods were $1.6 million and $3.3 million. As of October 31, 2017 and October 31, 2018, the Company had no unrecognized tax benefits that, if recognized, would affect the Company's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Redeemable Convertible Preferred Stock</w:t>
      </w:r>
    </w:p>
    <w:p>
      <w:pPr>
        <w:spacing w:after="0" w:line="232"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Company is authorized to issue 119,114,900 shares of redeemable convertible preferred stock, par value $0.0005 per share ("Preferred Stock"), 52,300,000 of which are designated "Series A-1 Redeemable Convertible Preferred Stock" (the "Series A-1 Preferred Stock"), 21,523,118 of which are designated "Series B Redeemable Convertible Preferred Stock" (the "Series B Preferred Stock"), 22,275,128 of which are designated "Series C Redeemable Convertible Preferred Stock" (the "Series C Preferred Stock"), 17,569,969 of which are designated "Series D Redeemable Convertible Preferred Stock" (the "Series D Preferred Stock"), and 5,446,685 of which are designated "Series D-1 Redeemable Convertible Preferred Stock (the "Series D-1 Preferred Stock").</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May 2017, the Company completed the issuance of 17,569,969 shares of its Series D Preferred Stock at a price of $5.69 per share.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October 2017, the Company completed the issuance of 5,393,976 shares of its Series D-1 Preferred Stock at a price of $5.69 per</w:t>
      </w:r>
    </w:p>
    <w:p>
      <w:pPr>
        <w:spacing w:after="0"/>
        <w:rPr>
          <w:sz w:val="20"/>
          <w:szCs w:val="20"/>
          <w:color w:val="auto"/>
        </w:rPr>
      </w:pPr>
      <w:r>
        <w:rPr>
          <w:rFonts w:ascii="Arial" w:cs="Arial" w:eastAsia="Arial" w:hAnsi="Arial"/>
          <w:sz w:val="18"/>
          <w:szCs w:val="18"/>
          <w:color w:val="auto"/>
        </w:rPr>
        <w:t>share.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Series E and Series E-1 Redeemable Convertible Preferred Stock Issuance (unaudited)</w:t>
      </w:r>
    </w:p>
    <w:p>
      <w:pPr>
        <w:spacing w:after="0" w:line="232"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color w:val="auto"/>
        </w:rPr>
        <w:t>In June 2018, the Company completed the issuance of 8,372,573 shares of its Series E redeemable convertible preferred stock ("Series E Preferred Stock") at a price of $16.46 per share and the issuance of 3,777,086 shares of its Series E-1 redeemable convertible preferred stock ("Series E-1 Preferred Stock") at a price of $16.46 per share for net proceeds of $199.9 million. In September 2018, the Company issued an additional 425,238 shares of its Series E Preferred Stock at a price of $16.46 per share for net proceeds of $7.0 million.</w:t>
      </w:r>
    </w:p>
    <w:p>
      <w:pPr>
        <w:spacing w:after="0" w:line="208" w:lineRule="exact"/>
        <w:rPr>
          <w:sz w:val="20"/>
          <w:szCs w:val="20"/>
          <w:color w:val="auto"/>
        </w:rPr>
      </w:pPr>
    </w:p>
    <w:p>
      <w:pPr>
        <w:ind w:right="40" w:firstLine="488"/>
        <w:spacing w:after="0" w:line="237" w:lineRule="auto"/>
        <w:rPr>
          <w:sz w:val="20"/>
          <w:szCs w:val="20"/>
          <w:color w:val="auto"/>
        </w:rPr>
      </w:pPr>
      <w:r>
        <w:rPr>
          <w:rFonts w:ascii="Arial" w:cs="Arial" w:eastAsia="Arial" w:hAnsi="Arial"/>
          <w:sz w:val="18"/>
          <w:szCs w:val="18"/>
          <w:color w:val="auto"/>
        </w:rPr>
        <w:t>Each holder of outstanding shares of Series E Preferred Stock is entitled to cast the number of votes equal to the number of whole shares of common stock into which the shares of Preferred Stock held by such holder are convertible. The holders of outstanding shares of Series E-1 Preferred Stock are not entitled to vote. As of October 31, 2018, all shares of Series E-1 Preferred Stock had been converted into shares of Series E Preferred Stock.</w:t>
      </w:r>
    </w:p>
    <w:p>
      <w:pPr>
        <w:spacing w:after="0" w:line="208" w:lineRule="exact"/>
        <w:rPr>
          <w:sz w:val="20"/>
          <w:szCs w:val="20"/>
          <w:color w:val="auto"/>
        </w:rPr>
      </w:pPr>
    </w:p>
    <w:p>
      <w:pPr>
        <w:ind w:right="80" w:firstLine="488"/>
        <w:spacing w:after="0" w:line="263" w:lineRule="auto"/>
        <w:rPr>
          <w:sz w:val="20"/>
          <w:szCs w:val="20"/>
          <w:color w:val="auto"/>
        </w:rPr>
      </w:pPr>
      <w:r>
        <w:rPr>
          <w:rFonts w:ascii="Arial" w:cs="Arial" w:eastAsia="Arial" w:hAnsi="Arial"/>
          <w:sz w:val="16"/>
          <w:szCs w:val="16"/>
          <w:color w:val="auto"/>
        </w:rPr>
        <w:t>In connection with this preferred stock issuance, the redemption provisions were amended such that the holders of at least 55% of the outstanding shares of Preferred Stock voting together as a single class and on an as-converted basis (a "supermajority"), at any time on or after</w:t>
      </w:r>
    </w:p>
    <w:p>
      <w:pPr>
        <w:spacing w:after="0" w:line="1"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the twelfth (12</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Series A-1 original issue date, upon written notice, have the right to require that all of the outstanding shares of Preferred Stock be redeemed by the Company for cash at a per share price equal to the greater of (i) for each series of Preferred Stock, the original issue price for such series of Preferred Stock, plus any dividends declared but unpaid thereon or (ii) 75% of the fair market value of such series of the Preferred Stock.</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authorized, issued, and outstanding redeemable convertible Preferred Stock of the Company as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2017:</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 Price</w:t>
            </w: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Issued and</w:t>
            </w:r>
          </w:p>
        </w:tc>
        <w:tc>
          <w:tcPr>
            <w:tcW w:w="160" w:type="dxa"/>
            <w:vAlign w:val="bottom"/>
          </w:tcPr>
          <w:p>
            <w:pPr>
              <w:spacing w:after="0"/>
              <w:rPr>
                <w:sz w:val="14"/>
                <w:szCs w:val="14"/>
                <w:color w:val="auto"/>
              </w:rPr>
            </w:pPr>
          </w:p>
        </w:tc>
        <w:tc>
          <w:tcPr>
            <w:tcW w:w="10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Class</w:t>
            </w:r>
          </w:p>
        </w:tc>
        <w:tc>
          <w:tcPr>
            <w:tcW w:w="1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Authorized</w:t>
            </w:r>
          </w:p>
        </w:tc>
        <w:tc>
          <w:tcPr>
            <w:tcW w:w="160" w:type="dxa"/>
            <w:vAlign w:val="bottom"/>
            <w:gridSpan w:val="2"/>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b w:val="1"/>
                <w:bCs w:val="1"/>
                <w:color w:val="auto"/>
                <w:w w:val="81"/>
              </w:rPr>
              <w:t>(in</w:t>
            </w: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thousands,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except per share</w:t>
            </w:r>
          </w:p>
        </w:tc>
        <w:tc>
          <w:tcPr>
            <w:tcW w:w="1200" w:type="dxa"/>
            <w:vAlign w:val="bottom"/>
            <w:gridSpan w:val="3"/>
          </w:tcPr>
          <w:p>
            <w:pPr>
              <w:jc w:val="center"/>
              <w:ind w:right="678"/>
              <w:spacing w:after="0"/>
              <w:rPr>
                <w:sz w:val="20"/>
                <w:szCs w:val="20"/>
                <w:color w:val="auto"/>
              </w:rPr>
            </w:pPr>
            <w:r>
              <w:rPr>
                <w:rFonts w:ascii="Arial" w:cs="Arial" w:eastAsia="Arial" w:hAnsi="Arial"/>
                <w:sz w:val="14"/>
                <w:szCs w:val="14"/>
                <w:b w:val="1"/>
                <w:bCs w:val="1"/>
                <w:color w:val="auto"/>
                <w:w w:val="91"/>
              </w:rPr>
              <w:t>values)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A-1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0.50000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52,300</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52,300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74,302</w:t>
            </w:r>
          </w:p>
        </w:tc>
        <w:tc>
          <w:tcPr>
            <w:tcW w:w="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52,300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106,692</w:t>
            </w:r>
          </w:p>
        </w:tc>
        <w:tc>
          <w:tcPr>
            <w:tcW w:w="0" w:type="dxa"/>
            <w:vAlign w:val="bottom"/>
          </w:tcPr>
          <w:p>
            <w:pPr>
              <w:spacing w:after="0"/>
              <w:rPr>
                <w:sz w:val="1"/>
                <w:szCs w:val="1"/>
                <w:color w:val="auto"/>
              </w:rPr>
            </w:pPr>
          </w:p>
        </w:tc>
      </w:tr>
      <w:tr>
        <w:trPr>
          <w:trHeight w:val="203"/>
        </w:trPr>
        <w:tc>
          <w:tcPr>
            <w:tcW w:w="21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B</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1.40500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21,523</w:t>
            </w:r>
          </w:p>
        </w:tc>
        <w:tc>
          <w:tcPr>
            <w:tcW w:w="140" w:type="dxa"/>
            <w:vAlign w:val="bottom"/>
          </w:tcPr>
          <w:p>
            <w:pPr>
              <w:spacing w:after="0"/>
              <w:rPr>
                <w:sz w:val="17"/>
                <w:szCs w:val="17"/>
                <w:color w:val="auto"/>
              </w:rPr>
            </w:pPr>
          </w:p>
        </w:tc>
        <w:tc>
          <w:tcPr>
            <w:tcW w:w="11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21,352</w:t>
            </w:r>
          </w:p>
        </w:tc>
        <w:tc>
          <w:tcPr>
            <w:tcW w:w="160" w:type="dxa"/>
            <w:vAlign w:val="bottom"/>
          </w:tcPr>
          <w:p>
            <w:pPr>
              <w:spacing w:after="0"/>
              <w:rPr>
                <w:sz w:val="17"/>
                <w:szCs w:val="17"/>
                <w:color w:val="auto"/>
              </w:rPr>
            </w:pPr>
          </w:p>
        </w:tc>
        <w:tc>
          <w:tcPr>
            <w:tcW w:w="10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40,555</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30,000</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46,922</w:t>
            </w: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C</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4.52972</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22,209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22,077</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99,871</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96,032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95,729</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214,728</w:t>
            </w:r>
          </w:p>
        </w:tc>
        <w:tc>
          <w:tcPr>
            <w:tcW w:w="10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182,300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253,614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authorized, issued, and outstanding redeemable convertible preferred stock of the Company as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2018:</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 Price</w:t>
            </w:r>
          </w:p>
        </w:tc>
        <w:tc>
          <w:tcPr>
            <w:tcW w:w="102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Issued and</w:t>
            </w:r>
          </w:p>
        </w:tc>
        <w:tc>
          <w:tcPr>
            <w:tcW w:w="160" w:type="dxa"/>
            <w:vAlign w:val="bottom"/>
          </w:tcPr>
          <w:p>
            <w:pPr>
              <w:spacing w:after="0"/>
              <w:rPr>
                <w:sz w:val="14"/>
                <w:szCs w:val="14"/>
                <w:color w:val="auto"/>
              </w:rPr>
            </w:pPr>
          </w:p>
        </w:tc>
        <w:tc>
          <w:tcPr>
            <w:tcW w:w="10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Class</w:t>
            </w:r>
          </w:p>
        </w:tc>
        <w:tc>
          <w:tcPr>
            <w:tcW w:w="1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Authorized</w:t>
            </w:r>
          </w:p>
        </w:tc>
        <w:tc>
          <w:tcPr>
            <w:tcW w:w="160" w:type="dxa"/>
            <w:vAlign w:val="bottom"/>
            <w:gridSpan w:val="2"/>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b w:val="1"/>
                <w:bCs w:val="1"/>
                <w:color w:val="auto"/>
                <w:w w:val="81"/>
              </w:rPr>
              <w:t>(in</w:t>
            </w: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thousands,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except per share</w:t>
            </w:r>
          </w:p>
        </w:tc>
        <w:tc>
          <w:tcPr>
            <w:tcW w:w="1200" w:type="dxa"/>
            <w:vAlign w:val="bottom"/>
            <w:gridSpan w:val="3"/>
          </w:tcPr>
          <w:p>
            <w:pPr>
              <w:jc w:val="center"/>
              <w:ind w:right="676"/>
              <w:spacing w:after="0"/>
              <w:rPr>
                <w:sz w:val="20"/>
                <w:szCs w:val="20"/>
                <w:color w:val="auto"/>
              </w:rPr>
            </w:pPr>
            <w:r>
              <w:rPr>
                <w:rFonts w:ascii="Arial" w:cs="Arial" w:eastAsia="Arial" w:hAnsi="Arial"/>
                <w:sz w:val="14"/>
                <w:szCs w:val="14"/>
                <w:b w:val="1"/>
                <w:bCs w:val="1"/>
                <w:color w:val="auto"/>
                <w:w w:val="91"/>
              </w:rPr>
              <w:t>values)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A-1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0.50000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52,300</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52,300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76,325</w:t>
            </w:r>
          </w:p>
        </w:tc>
        <w:tc>
          <w:tcPr>
            <w:tcW w:w="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52,300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147,094</w:t>
            </w:r>
          </w:p>
        </w:tc>
        <w:tc>
          <w:tcPr>
            <w:tcW w:w="0" w:type="dxa"/>
            <w:vAlign w:val="bottom"/>
          </w:tcPr>
          <w:p>
            <w:pPr>
              <w:spacing w:after="0"/>
              <w:rPr>
                <w:sz w:val="1"/>
                <w:szCs w:val="1"/>
                <w:color w:val="auto"/>
              </w:rPr>
            </w:pPr>
          </w:p>
        </w:tc>
      </w:tr>
      <w:tr>
        <w:trPr>
          <w:trHeight w:val="203"/>
        </w:trPr>
        <w:tc>
          <w:tcPr>
            <w:tcW w:w="2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B</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1.40500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21,523</w:t>
            </w:r>
          </w:p>
        </w:tc>
        <w:tc>
          <w:tcPr>
            <w:tcW w:w="140" w:type="dxa"/>
            <w:vAlign w:val="bottom"/>
          </w:tcPr>
          <w:p>
            <w:pPr>
              <w:spacing w:after="0"/>
              <w:rPr>
                <w:sz w:val="17"/>
                <w:szCs w:val="17"/>
                <w:color w:val="auto"/>
              </w:rPr>
            </w:pPr>
          </w:p>
        </w:tc>
        <w:tc>
          <w:tcPr>
            <w:tcW w:w="11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21,352</w:t>
            </w:r>
          </w:p>
        </w:tc>
        <w:tc>
          <w:tcPr>
            <w:tcW w:w="160" w:type="dxa"/>
            <w:vAlign w:val="bottom"/>
          </w:tcPr>
          <w:p>
            <w:pPr>
              <w:spacing w:after="0"/>
              <w:rPr>
                <w:sz w:val="17"/>
                <w:szCs w:val="17"/>
                <w:color w:val="auto"/>
              </w:rPr>
            </w:pPr>
          </w:p>
        </w:tc>
        <w:tc>
          <w:tcPr>
            <w:tcW w:w="10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44,320</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30,000</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61,655</w:t>
            </w: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C</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4.52972</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22,275</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22,077</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99,900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3"/>
        </w:trPr>
        <w:tc>
          <w:tcPr>
            <w:tcW w:w="22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D</w:t>
            </w: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5.69153</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17,570</w:t>
            </w:r>
          </w:p>
        </w:tc>
        <w:tc>
          <w:tcPr>
            <w:tcW w:w="140" w:type="dxa"/>
            <w:vAlign w:val="bottom"/>
          </w:tcPr>
          <w:p>
            <w:pPr>
              <w:spacing w:after="0"/>
              <w:rPr>
                <w:sz w:val="17"/>
                <w:szCs w:val="17"/>
                <w:color w:val="auto"/>
              </w:rPr>
            </w:pPr>
          </w:p>
        </w:tc>
        <w:tc>
          <w:tcPr>
            <w:tcW w:w="110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17,570</w:t>
            </w:r>
          </w:p>
        </w:tc>
        <w:tc>
          <w:tcPr>
            <w:tcW w:w="160" w:type="dxa"/>
            <w:vAlign w:val="bottom"/>
          </w:tcPr>
          <w:p>
            <w:pPr>
              <w:spacing w:after="0"/>
              <w:rPr>
                <w:sz w:val="17"/>
                <w:szCs w:val="17"/>
                <w:color w:val="auto"/>
              </w:rPr>
            </w:pPr>
          </w:p>
        </w:tc>
        <w:tc>
          <w:tcPr>
            <w:tcW w:w="10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99,845</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3"/>
        </w:trPr>
        <w:tc>
          <w:tcPr>
            <w:tcW w:w="22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D-1</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5.69153</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8"/>
              <w:spacing w:after="0" w:line="202" w:lineRule="exact"/>
              <w:rPr>
                <w:sz w:val="20"/>
                <w:szCs w:val="20"/>
                <w:color w:val="auto"/>
              </w:rPr>
            </w:pPr>
            <w:r>
              <w:rPr>
                <w:rFonts w:ascii="Arial" w:cs="Arial" w:eastAsia="Arial" w:hAnsi="Arial"/>
                <w:sz w:val="18"/>
                <w:szCs w:val="18"/>
                <w:color w:val="auto"/>
              </w:rPr>
              <w:t>5,394</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30,626</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30,700</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30,700</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119,115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118,693</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351,016</w:t>
            </w:r>
          </w:p>
        </w:tc>
        <w:tc>
          <w:tcPr>
            <w:tcW w:w="10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338,000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439,449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authorized, issued, and outstanding redeemable convertible preferred stock of the Company as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2018 (unaudited):</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Issue Price</w:t>
            </w:r>
          </w:p>
        </w:tc>
        <w:tc>
          <w:tcPr>
            <w:tcW w:w="100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Issued and</w:t>
            </w:r>
          </w:p>
        </w:tc>
        <w:tc>
          <w:tcPr>
            <w:tcW w:w="1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Redemption</w:t>
            </w:r>
          </w:p>
        </w:tc>
      </w:tr>
      <w:tr>
        <w:trPr>
          <w:trHeight w:val="182"/>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Class</w:t>
            </w:r>
          </w:p>
        </w:tc>
        <w:tc>
          <w:tcPr>
            <w:tcW w:w="1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r>
      <w:tr>
        <w:trPr>
          <w:trHeight w:val="162"/>
        </w:trPr>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w w:val="81"/>
              </w:rPr>
              <w:t>(in</w:t>
            </w:r>
          </w:p>
        </w:tc>
        <w:tc>
          <w:tcPr>
            <w:tcW w:w="3440" w:type="dxa"/>
            <w:vAlign w:val="bottom"/>
            <w:gridSpan w:val="8"/>
          </w:tcPr>
          <w:p>
            <w:pPr>
              <w:ind w:left="40"/>
              <w:spacing w:after="0"/>
              <w:rPr>
                <w:sz w:val="20"/>
                <w:szCs w:val="20"/>
                <w:color w:val="auto"/>
              </w:rPr>
            </w:pPr>
            <w:r>
              <w:rPr>
                <w:rFonts w:ascii="Arial" w:cs="Arial" w:eastAsia="Arial" w:hAnsi="Arial"/>
                <w:sz w:val="14"/>
                <w:szCs w:val="14"/>
                <w:b w:val="1"/>
                <w:bCs w:val="1"/>
                <w:color w:val="auto"/>
              </w:rPr>
              <w:t>thousands, except per share values)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2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A-1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0.50000</w:t>
            </w:r>
          </w:p>
        </w:tc>
        <w:tc>
          <w:tcPr>
            <w:tcW w:w="10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52,300</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52,300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76,325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52,300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408,332</w:t>
            </w:r>
          </w:p>
        </w:tc>
      </w:tr>
      <w:tr>
        <w:trPr>
          <w:trHeight w:val="203"/>
        </w:trPr>
        <w:tc>
          <w:tcPr>
            <w:tcW w:w="2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B</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1.40500</w:t>
            </w:r>
          </w:p>
        </w:tc>
        <w:tc>
          <w:tcPr>
            <w:tcW w:w="10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21,523</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21,352</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44,320</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30,000</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166,866</w:t>
            </w:r>
          </w:p>
        </w:tc>
      </w:tr>
      <w:tr>
        <w:trPr>
          <w:trHeight w:val="203"/>
        </w:trPr>
        <w:tc>
          <w:tcPr>
            <w:tcW w:w="2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C</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4.52972</w:t>
            </w:r>
          </w:p>
        </w:tc>
        <w:tc>
          <w:tcPr>
            <w:tcW w:w="10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22,275</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22,077</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99,900</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174,850</w:t>
            </w:r>
          </w:p>
        </w:tc>
      </w:tr>
      <w:tr>
        <w:trPr>
          <w:trHeight w:val="203"/>
        </w:trPr>
        <w:tc>
          <w:tcPr>
            <w:tcW w:w="2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D</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5.69153</w:t>
            </w:r>
          </w:p>
        </w:tc>
        <w:tc>
          <w:tcPr>
            <w:tcW w:w="10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17,570</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17,570</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99,845</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145,611</w:t>
            </w:r>
          </w:p>
        </w:tc>
      </w:tr>
      <w:tr>
        <w:trPr>
          <w:trHeight w:val="203"/>
        </w:trPr>
        <w:tc>
          <w:tcPr>
            <w:tcW w:w="2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Series D-1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5.69153</w:t>
            </w:r>
          </w:p>
        </w:tc>
        <w:tc>
          <w:tcPr>
            <w:tcW w:w="10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5,394</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5,394</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30,626</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30,700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43,368</w:t>
            </w:r>
          </w:p>
        </w:tc>
      </w:tr>
      <w:tr>
        <w:trPr>
          <w:trHeight w:val="203"/>
        </w:trPr>
        <w:tc>
          <w:tcPr>
            <w:tcW w:w="2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Series E</w:t>
            </w:r>
          </w:p>
        </w:tc>
        <w:tc>
          <w:tcPr>
            <w:tcW w:w="12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16.46136</w:t>
            </w:r>
          </w:p>
        </w:tc>
        <w:tc>
          <w:tcPr>
            <w:tcW w:w="10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18,357</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12,575</w:t>
            </w:r>
          </w:p>
        </w:tc>
        <w:tc>
          <w:tcPr>
            <w:tcW w:w="14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206,896</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207,000</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207,000</w:t>
            </w:r>
          </w:p>
        </w:tc>
      </w:tr>
      <w:tr>
        <w:trPr>
          <w:trHeight w:val="20"/>
        </w:trPr>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120" w:type="dxa"/>
            <w:vAlign w:val="bottom"/>
            <w:gridSpan w:val="2"/>
            <w:shd w:val="clear" w:color="auto" w:fill="CCEEFF"/>
          </w:tcPr>
          <w:p>
            <w:pPr>
              <w:ind w:left="380"/>
              <w:spacing w:after="0" w:line="196"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8"/>
              <w:spacing w:after="0" w:line="196" w:lineRule="exact"/>
              <w:rPr>
                <w:sz w:val="20"/>
                <w:szCs w:val="20"/>
                <w:color w:val="auto"/>
              </w:rPr>
            </w:pPr>
            <w:r>
              <w:rPr>
                <w:rFonts w:ascii="Arial" w:cs="Arial" w:eastAsia="Arial" w:hAnsi="Arial"/>
                <w:sz w:val="18"/>
                <w:szCs w:val="18"/>
                <w:color w:val="auto"/>
              </w:rPr>
              <w:t>137,419</w:t>
            </w:r>
          </w:p>
        </w:tc>
        <w:tc>
          <w:tcPr>
            <w:tcW w:w="11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131,268</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557,912</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545,000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1,146,027</w:t>
            </w:r>
          </w:p>
        </w:tc>
      </w:tr>
      <w:tr>
        <w:trPr>
          <w:trHeight w:val="20"/>
        </w:trPr>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rights, preferences, and privileges of the Preferred Stock are as follows: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Voting Rights</w:t>
      </w:r>
    </w:p>
    <w:p>
      <w:pPr>
        <w:spacing w:after="0" w:line="232"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Each holder of outstanding shares of Preferred Stock is entitled to cast the number of votes equal to the number of whole shares of common stock into which the shares of Preferred Stock held by such holder are convertible.</w:t>
      </w: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20"/>
          </w:cols>
          <w:pgMar w:left="320" w:top="143" w:right="65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Noncumulative Dividends</w:t>
      </w:r>
    </w:p>
    <w:p>
      <w:pPr>
        <w:spacing w:after="0" w:line="232"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When and if declared by the Board of Directors, holders of the Preferred Stock are entitled to receive before, or receive simultaneously, a dividend on each outstanding share of Preferred Stock in an amount at least equal to (i) in the case of a dividend on common stock or series that is convertible into common stock, an amount equal to a dividend payable to the holders of common stock on an as-if converted basis; (ii) in the case of a dividend on any class or series that is not convertible into common stock, at a rate per share determined by (a) dividing the amount of the dividend payable on each share of such class or series of capital stock by the original issue price of such class or series of capital and</w:t>
      </w:r>
    </w:p>
    <w:p>
      <w:pPr>
        <w:spacing w:after="0" w:line="1"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multiplying such fraction by an amount equal to original issue price for each respective series of Preferred Stock.</w:t>
      </w:r>
    </w:p>
    <w:p>
      <w:pPr>
        <w:spacing w:after="0" w:line="19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Redemption</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holders of at least 65% of the outstanding shares of Preferred Stock voting together as a single class and on an as-converted basis (a</w:t>
      </w:r>
    </w:p>
    <w:p>
      <w:pPr>
        <w:spacing w:after="0" w:line="18" w:lineRule="exact"/>
        <w:rPr>
          <w:sz w:val="20"/>
          <w:szCs w:val="20"/>
          <w:color w:val="auto"/>
        </w:rPr>
      </w:pPr>
    </w:p>
    <w:p>
      <w:pPr>
        <w:ind w:right="200"/>
        <w:spacing w:after="0" w:line="206" w:lineRule="auto"/>
        <w:rPr>
          <w:sz w:val="20"/>
          <w:szCs w:val="20"/>
          <w:color w:val="auto"/>
        </w:rPr>
      </w:pPr>
      <w:r>
        <w:rPr>
          <w:rFonts w:ascii="Arial" w:cs="Arial" w:eastAsia="Arial" w:hAnsi="Arial"/>
          <w:sz w:val="17"/>
          <w:szCs w:val="17"/>
          <w:color w:val="auto"/>
        </w:rPr>
        <w:t>"supermajority"), at any time on or after the tenth (10</w:t>
      </w:r>
      <w:r>
        <w:rPr>
          <w:rFonts w:ascii="Arial" w:cs="Arial" w:eastAsia="Arial" w:hAnsi="Arial"/>
          <w:sz w:val="28"/>
          <w:szCs w:val="28"/>
          <w:color w:val="auto"/>
          <w:vertAlign w:val="superscript"/>
        </w:rPr>
        <w:t>th</w:t>
      </w:r>
      <w:r>
        <w:rPr>
          <w:rFonts w:ascii="Arial" w:cs="Arial" w:eastAsia="Arial" w:hAnsi="Arial"/>
          <w:sz w:val="17"/>
          <w:szCs w:val="17"/>
          <w:color w:val="auto"/>
        </w:rPr>
        <w:t>) anniversary of the Series A-1 original issue date, upon written notice, have the right to require that all of the outstanding shares of Preferred Stock be redeemed by the Company for cash at a per share price equal to the greater of</w:t>
      </w:r>
    </w:p>
    <w:p>
      <w:pPr>
        <w:spacing w:after="0" w:line="2" w:lineRule="exact"/>
        <w:rPr>
          <w:sz w:val="20"/>
          <w:szCs w:val="20"/>
          <w:color w:val="auto"/>
        </w:rPr>
      </w:pPr>
    </w:p>
    <w:p>
      <w:pPr>
        <w:ind w:right="60" w:firstLine="8"/>
        <w:spacing w:after="0" w:line="263" w:lineRule="auto"/>
        <w:tabs>
          <w:tab w:leader="none" w:pos="20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each series of Preferred Stock, the original issue price for such series of Preferred Stock, plus any dividends declared but unpaid thereon or (ii) 75% of the fair market value of such series of the Preferred Stock. As the Preferred Stock becomes redeemable solely due to the passage of time, and the Company believes there are no events requiring conversion of the Preferred Stock into common stock that currently have a</w:t>
      </w:r>
    </w:p>
    <w:p>
      <w:pPr>
        <w:spacing w:after="0" w:line="2"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sufficiently high likelihood of occurring prior to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anniversary, the Company concluded that the Preferred Stock is considered probable of becoming redeemable as of January 31, 2018. Therefore, the Company has recorded accretion of the Preferred Stock balance to its redemption value using the effective interest method to the extent that 75% of the fair market value of these series of Preferred Stock exceeds the original issue price of such series. The Company will cease accretion of the Preferred Stock balance to its redemption value if the Preferred Stock is no longer probable of becoming redeemable due to there being a sufficiently high likelihood of an initial public offering requiring a conversion of the Preferred Stock into common stock. For the years ended January 31, 2017 and January 31, 2018, the Company recorded accretion of</w:t>
      </w:r>
    </w:p>
    <w:p>
      <w:pPr>
        <w:spacing w:after="0" w:line="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$17.0 million and $5.9 million, respectively, related to its Preferred Stock. For the nine months ended October 31, 2017 (unaudited), the Company recorded accretion of $1.6 million related to the Preferred Stock. The Company did not record any accretion of the Preferred Stock for the nine months ended October 31, 2018 (unaudited) because of the increased likelihood of the Company completing an initial public offering requiring conversion of the Preferred Stock into common stock.</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Liquidation</w:t>
      </w:r>
    </w:p>
    <w:p>
      <w:pPr>
        <w:spacing w:after="0" w:line="232"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In the event of any voluntary or involuntary liquidation, dissolution, or winding up of the Company, the holders of the Series A-1, B, C, D and D-1 Preferred Stock, prior to any distribution to the holders of common stock, are entitled to be paid, on a pari passu basis, a per share liquidation preference in cash in an amount equal to the greater of (a) two (2) times the Series A-1 original issue price, one (1) times the Series B original issue price, one (1) times the Series C original issue price, one and one-quarter (1.25) times the Series D original issue price, and one</w:t>
      </w:r>
    </w:p>
    <w:p>
      <w:pPr>
        <w:ind w:right="80" w:firstLine="8"/>
        <w:spacing w:after="0" w:line="238" w:lineRule="auto"/>
        <w:tabs>
          <w:tab w:leader="none" w:pos="26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times the Series D-1 original issue price for the Series A-1, B, C, D and D-1 Preferred Stock, respectively, plus in each case any dividends declared but unpaid thereon, and (b) such amount per share as would have been payable had all shares of Series A-1, B, C, D or D-1 Preferred Stock,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applicable, been converted into common stock immediately prior to such liquidation, dissolution, or winding up.</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w:t>
      </w:r>
    </w:p>
    <w:p>
      <w:pPr>
        <w:spacing w:after="0" w:line="23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Preferred shares are automatically convertible upon an initial public offering of common stock of the Company which places a pre-money valuation immediately prior to the initial public offering of the Company of at least $400 million and resulting in net proceeds to the Company of at least $75 million ("qualified IPO") or upon a vote of a supermajority of the outstanding shares of Preferred Stock; provided, that in the case of a qualified IPO, the Series C Preferred Stock shall not be subject to automatic conversion unless the price per share of the securities sold to the public is equal to or greater than one (1) times the Series C original issue price without the consent of the holders of a majority of the outstanding Series C Preferred Stock, the Series D Preferred Stock shall not be subject to automatic conversion unless the price per share of the securities sold to the public is equal to or greater than one and one-quarter (1.25) times the Series D original issue price without the consent of the holders of 55% of the outstanding Series D Preferred Stock (including each Accel Partners entity that holds Series D Preferred Stock), and the Series D-1 Preferred Stock shall not be subject to automatic conversion unless the price per share of the securities sold to the public is equal to or greater than one (1) times the Series D-1 original issue price without the consent of the holders of 55% of the outstanding Series D-1 Preferred Stock, voting together as a separate class. Each share of Preferred Stock is convertible, at the option of the holder thereof, at any time and from time to time, and without the payment of additional consideration by the holder thereof, into such number of fully paid and nonassessable shares of common stock as is determined by dividing the Series A-1 original issue price, Series B original issue price, Series C original issue price, Series D original issue price, or Series D-1 original issue price, as applicable, by the Series A-1 conversion price, Series B conversion price, Series C conversion price, Series D conversion price, or Series D-1 conversion price, as applicable, in effect at the time of conversion. The Series A-1 conversion price shall initially be equal to $0.50. The Series B conversion price shall initially be equal to $1.41. The Series C conversion price shall initially by equal to $4.53. The Series D conversion price shall initially by equal to $5.69. The Series D-1 conversion price shall initially by equal to $5.69. The conversion price for Series A-1 Preferred Stock, Series B Preferred Stock, Series C Preferred Stock, Series D Preferred Stock, and Series D-1 Preferred Stock adjusts upon the issuance of additional shares of common stock in the event the Company, at any time after the Series D-1 original issue date, issues additional shares of common stock without consideration or for a consideration per share less than (i) the Series A-1 conversion price in effect immediately prior to such issue, (ii) the Series B conversion price in effect immediately prior to such issue, (iii) the Series C conversion price in effect immediately prior to such issue, (iv) the Series D conversion price in effect immediately prior to such issue, or (v) the Series D-1 conversion price in effect immediately prior to such issue. All shares will convert into common stock on a one-for-one basis. The conversion price of each series of preferred stock is subject to adjustment should the Company later issue any preferred shares of any preferred series at a price less than the conversion price in effect immediately prior to such issuance.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Warrants</w:t>
      </w:r>
    </w:p>
    <w:p>
      <w:pPr>
        <w:spacing w:after="0" w:line="214" w:lineRule="exact"/>
        <w:rPr>
          <w:sz w:val="20"/>
          <w:szCs w:val="20"/>
          <w:color w:val="auto"/>
        </w:rPr>
      </w:pPr>
    </w:p>
    <w:p>
      <w:pPr>
        <w:ind w:right="120" w:firstLine="488"/>
        <w:spacing w:after="0" w:line="243" w:lineRule="auto"/>
        <w:rPr>
          <w:sz w:val="20"/>
          <w:szCs w:val="20"/>
          <w:color w:val="auto"/>
        </w:rPr>
      </w:pPr>
      <w:r>
        <w:rPr>
          <w:rFonts w:ascii="Arial" w:cs="Arial" w:eastAsia="Arial" w:hAnsi="Arial"/>
          <w:sz w:val="18"/>
          <w:szCs w:val="18"/>
          <w:color w:val="auto"/>
        </w:rPr>
        <w:t xml:space="preserve">In January 2015, as part of the Loan and Security Agreement discussed in Note 6, </w:t>
      </w:r>
      <w:r>
        <w:rPr>
          <w:rFonts w:ascii="Arial" w:cs="Arial" w:eastAsia="Arial" w:hAnsi="Arial"/>
          <w:sz w:val="18"/>
          <w:szCs w:val="18"/>
          <w:i w:val="1"/>
          <w:iCs w:val="1"/>
          <w:color w:val="auto"/>
        </w:rPr>
        <w:t>Loans Payable</w:t>
      </w:r>
      <w:r>
        <w:rPr>
          <w:rFonts w:ascii="Arial" w:cs="Arial" w:eastAsia="Arial" w:hAnsi="Arial"/>
          <w:sz w:val="18"/>
          <w:szCs w:val="18"/>
          <w:color w:val="auto"/>
        </w:rPr>
        <w:t>, the Company issued the lender a fully vested warrant to purchase up to 170,818 shares of Series B Preferred Stock at an exercise price of $1.405 per share. The fair value of the warrant upon issuance, determined by using the Black-Scholes option-pricing model, was $0.2 million at the issuance date. The warrant's fair value was $0.5 million as of January 31, 2018 using a Black-</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Scholes option-pricing model with the following assumptions: expected volatility of 40.3%, expected risk-free rate of 2.66%, a term of 7.0 years, and zero expected dividends, and $0.3 million as of January 31, 2017.</w:t>
      </w:r>
    </w:p>
    <w:p>
      <w:pPr>
        <w:spacing w:after="0" w:line="191" w:lineRule="exact"/>
        <w:rPr>
          <w:sz w:val="20"/>
          <w:szCs w:val="20"/>
          <w:color w:val="auto"/>
        </w:rPr>
      </w:pPr>
    </w:p>
    <w:p>
      <w:pPr>
        <w:ind w:right="80" w:firstLine="488"/>
        <w:spacing w:after="0" w:line="241" w:lineRule="auto"/>
        <w:rPr>
          <w:sz w:val="20"/>
          <w:szCs w:val="20"/>
          <w:color w:val="auto"/>
        </w:rPr>
      </w:pPr>
      <w:r>
        <w:rPr>
          <w:rFonts w:ascii="Arial" w:cs="Arial" w:eastAsia="Arial" w:hAnsi="Arial"/>
          <w:sz w:val="18"/>
          <w:szCs w:val="18"/>
          <w:color w:val="auto"/>
        </w:rPr>
        <w:t xml:space="preserve">In December 2016, as part of the Growth Loan and Security Agreement discussed in Note 6, </w:t>
      </w:r>
      <w:r>
        <w:rPr>
          <w:rFonts w:ascii="Arial" w:cs="Arial" w:eastAsia="Arial" w:hAnsi="Arial"/>
          <w:sz w:val="18"/>
          <w:szCs w:val="18"/>
          <w:i w:val="1"/>
          <w:iCs w:val="1"/>
          <w:color w:val="auto"/>
        </w:rPr>
        <w:t>Loans Payable</w:t>
      </w:r>
      <w:r>
        <w:rPr>
          <w:rFonts w:ascii="Arial" w:cs="Arial" w:eastAsia="Arial" w:hAnsi="Arial"/>
          <w:sz w:val="18"/>
          <w:szCs w:val="18"/>
          <w:color w:val="auto"/>
        </w:rPr>
        <w:t>, the Company issued the lender a fully vested warrant to purchase up to 99,343 shares of Series C Preferred Stock at an exercise price of $4.53 per share. The fair value of the warrant, determined by using the Black-Scholes option-pricing model, was $0.3 million at the issuance date. The warrant's fair value was $0.2 million as of January 31, 2018 using a Black-Scholes option-pricing model with the following assumptions: expected volatility of 40.3%, expected risk-free rate of 2.59%, a term of 5.9 years, and zero expected dividends, and $0.2 million as of January 31, 2017.</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In March 2017, as part of the Loan and Security Agreement discussed in Note 6, </w:t>
      </w:r>
      <w:r>
        <w:rPr>
          <w:rFonts w:ascii="Arial" w:cs="Arial" w:eastAsia="Arial" w:hAnsi="Arial"/>
          <w:sz w:val="16"/>
          <w:szCs w:val="16"/>
          <w:i w:val="1"/>
          <w:iCs w:val="1"/>
          <w:color w:val="auto"/>
        </w:rPr>
        <w:t>Loans Payable</w:t>
      </w:r>
      <w:r>
        <w:rPr>
          <w:rFonts w:ascii="Arial" w:cs="Arial" w:eastAsia="Arial" w:hAnsi="Arial"/>
          <w:sz w:val="16"/>
          <w:szCs w:val="16"/>
          <w:color w:val="auto"/>
        </w:rPr>
        <w:t>, the Company issued the lender a 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vested warrant to purchase up to 66,225 shares of Series C Preferred Stock at an exercise price of $4.53 per share. The fair value of the</w:t>
      </w:r>
    </w:p>
    <w:p>
      <w:pPr>
        <w:spacing w:after="0" w:line="234" w:lineRule="auto"/>
        <w:rPr>
          <w:sz w:val="20"/>
          <w:szCs w:val="20"/>
          <w:color w:val="auto"/>
        </w:rPr>
      </w:pPr>
      <w:r>
        <w:rPr>
          <w:rFonts w:ascii="Arial" w:cs="Arial" w:eastAsia="Arial" w:hAnsi="Arial"/>
          <w:sz w:val="18"/>
          <w:szCs w:val="18"/>
          <w:color w:val="auto"/>
        </w:rPr>
        <w:t>warrant, determined by using the Black-Scholes option-pricing model, was $0.1 million at the issuance date. The warrant's fair value was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$0.2 million as of January 31, 2018 using the Black-Scholes option-pricing model that assumed expected volatility of 40.3%, expected risk-free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rate of 2.72%, a term of 9.1 years, and zero expected dividends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Common Stock</w:t>
      </w:r>
    </w:p>
    <w:p>
      <w:pPr>
        <w:spacing w:after="0" w:line="232" w:lineRule="exact"/>
        <w:rPr>
          <w:sz w:val="20"/>
          <w:szCs w:val="20"/>
          <w:color w:val="auto"/>
        </w:rPr>
      </w:pPr>
    </w:p>
    <w:p>
      <w:pPr>
        <w:jc w:val="both"/>
        <w:ind w:right="260" w:firstLine="484"/>
        <w:spacing w:after="0" w:line="238" w:lineRule="auto"/>
        <w:rPr>
          <w:sz w:val="20"/>
          <w:szCs w:val="20"/>
          <w:color w:val="auto"/>
        </w:rPr>
      </w:pPr>
      <w:r>
        <w:rPr>
          <w:rFonts w:ascii="Arial" w:cs="Arial" w:eastAsia="Arial" w:hAnsi="Arial"/>
          <w:sz w:val="18"/>
          <w:szCs w:val="18"/>
          <w:color w:val="auto"/>
        </w:rPr>
        <w:t xml:space="preserve">The Company's authorized capital consists of 160,000,000, 190,000,000, and 220,000,000 shares of common stock, par value $0.0005 per share as of January 31, 2017, January 31, 2018, and October 31, 2018 (unaudited), respectively. The Company has also issued incentive stock options (see Note 10, </w:t>
      </w:r>
      <w:r>
        <w:rPr>
          <w:rFonts w:ascii="Arial" w:cs="Arial" w:eastAsia="Arial" w:hAnsi="Arial"/>
          <w:sz w:val="18"/>
          <w:szCs w:val="18"/>
          <w:i w:val="1"/>
          <w:iCs w:val="1"/>
          <w:color w:val="auto"/>
        </w:rPr>
        <w:t>Stock-Based Compensation</w:t>
      </w:r>
      <w:r>
        <w:rPr>
          <w:rFonts w:ascii="Arial" w:cs="Arial" w:eastAsia="Arial" w:hAnsi="Arial"/>
          <w:sz w:val="18"/>
          <w:szCs w:val="18"/>
          <w:color w:val="auto"/>
        </w:rPr>
        <w:t>) that are exercisable into the Company's common stock.</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reserved shares of common stock for future issuance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January 31,</w:t>
            </w:r>
          </w:p>
        </w:tc>
        <w:tc>
          <w:tcPr>
            <w:tcW w:w="19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Conversion of Series A-1 redeemable convertible preferred stock</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52,300</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52,300</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Conversion of Series B redeemable convertible preferred stock</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21,352</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21,352</w:t>
            </w:r>
          </w:p>
        </w:tc>
        <w:tc>
          <w:tcPr>
            <w:tcW w:w="1940" w:type="dxa"/>
            <w:vAlign w:val="bottom"/>
            <w:gridSpan w:val="2"/>
          </w:tcPr>
          <w:p>
            <w:pPr>
              <w:jc w:val="right"/>
              <w:ind w:right="1120"/>
              <w:spacing w:after="0" w:line="202" w:lineRule="exact"/>
              <w:rPr>
                <w:sz w:val="20"/>
                <w:szCs w:val="20"/>
                <w:color w:val="auto"/>
              </w:rPr>
            </w:pPr>
            <w:r>
              <w:rPr>
                <w:rFonts w:ascii="Arial" w:cs="Arial" w:eastAsia="Arial" w:hAnsi="Arial"/>
                <w:sz w:val="18"/>
                <w:szCs w:val="18"/>
                <w:color w:val="auto"/>
              </w:rPr>
              <w:t>21,352</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Conversion of Series C redeemable convertible preferred stock</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22,077</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22,077</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22,077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Conversion of Series D redeemable convertible preferred stock</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17,570</w:t>
            </w:r>
          </w:p>
        </w:tc>
        <w:tc>
          <w:tcPr>
            <w:tcW w:w="1940" w:type="dxa"/>
            <w:vAlign w:val="bottom"/>
            <w:gridSpan w:val="2"/>
          </w:tcPr>
          <w:p>
            <w:pPr>
              <w:jc w:val="right"/>
              <w:ind w:right="1120"/>
              <w:spacing w:after="0" w:line="202" w:lineRule="exact"/>
              <w:rPr>
                <w:sz w:val="20"/>
                <w:szCs w:val="20"/>
                <w:color w:val="auto"/>
              </w:rPr>
            </w:pPr>
            <w:r>
              <w:rPr>
                <w:rFonts w:ascii="Arial" w:cs="Arial" w:eastAsia="Arial" w:hAnsi="Arial"/>
                <w:sz w:val="18"/>
                <w:szCs w:val="18"/>
                <w:color w:val="auto"/>
              </w:rPr>
              <w:t>17,570</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Conversion of Series D-1 redeemable convertible preferred stock</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5,394</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Conversion of Series E redeemable convertible preferred stock</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120"/>
              <w:spacing w:after="0" w:line="202" w:lineRule="exact"/>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63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Exercise and conversion of Series B redeemable convertible preferred stock</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63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warrants</w:t>
            </w:r>
          </w:p>
        </w:tc>
        <w:tc>
          <w:tcPr>
            <w:tcW w:w="80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171</w:t>
            </w:r>
          </w:p>
        </w:tc>
        <w:tc>
          <w:tcPr>
            <w:tcW w:w="1040" w:type="dxa"/>
            <w:vAlign w:val="bottom"/>
            <w:gridSpan w:val="3"/>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171</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6340" w:type="dxa"/>
            <w:vAlign w:val="bottom"/>
          </w:tcPr>
          <w:p>
            <w:pPr>
              <w:ind w:left="20"/>
              <w:spacing w:after="0" w:line="206" w:lineRule="exact"/>
              <w:rPr>
                <w:sz w:val="20"/>
                <w:szCs w:val="20"/>
                <w:color w:val="auto"/>
              </w:rPr>
            </w:pPr>
            <w:r>
              <w:rPr>
                <w:rFonts w:ascii="Arial" w:cs="Arial" w:eastAsia="Arial" w:hAnsi="Arial"/>
                <w:sz w:val="18"/>
                <w:szCs w:val="18"/>
                <w:color w:val="auto"/>
              </w:rPr>
              <w:t>Exercise and conversion of Series C redeemable convertible preferred stock</w:t>
            </w: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6340" w:type="dxa"/>
            <w:vAlign w:val="bottom"/>
          </w:tcPr>
          <w:p>
            <w:pPr>
              <w:ind w:left="200"/>
              <w:spacing w:after="0" w:line="200" w:lineRule="exact"/>
              <w:rPr>
                <w:sz w:val="20"/>
                <w:szCs w:val="20"/>
                <w:color w:val="auto"/>
              </w:rPr>
            </w:pPr>
            <w:r>
              <w:rPr>
                <w:rFonts w:ascii="Arial" w:cs="Arial" w:eastAsia="Arial" w:hAnsi="Arial"/>
                <w:sz w:val="18"/>
                <w:szCs w:val="18"/>
                <w:color w:val="auto"/>
              </w:rPr>
              <w:t>warrants</w:t>
            </w:r>
          </w:p>
        </w:tc>
        <w:tc>
          <w:tcPr>
            <w:tcW w:w="80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132</w:t>
            </w:r>
          </w:p>
        </w:tc>
        <w:tc>
          <w:tcPr>
            <w:tcW w:w="1040" w:type="dxa"/>
            <w:vAlign w:val="bottom"/>
            <w:gridSpan w:val="3"/>
          </w:tcPr>
          <w:p>
            <w:pPr>
              <w:jc w:val="right"/>
              <w:ind w:right="160"/>
              <w:spacing w:after="0" w:line="200" w:lineRule="exact"/>
              <w:rPr>
                <w:sz w:val="20"/>
                <w:szCs w:val="20"/>
                <w:color w:val="auto"/>
              </w:rPr>
            </w:pPr>
            <w:r>
              <w:rPr>
                <w:rFonts w:ascii="Arial" w:cs="Arial" w:eastAsia="Arial" w:hAnsi="Arial"/>
                <w:sz w:val="18"/>
                <w:szCs w:val="18"/>
                <w:color w:val="auto"/>
              </w:rPr>
              <w:t>165</w:t>
            </w:r>
          </w:p>
        </w:tc>
        <w:tc>
          <w:tcPr>
            <w:tcW w:w="1940" w:type="dxa"/>
            <w:vAlign w:val="bottom"/>
            <w:gridSpan w:val="2"/>
          </w:tcPr>
          <w:p>
            <w:pPr>
              <w:jc w:val="right"/>
              <w:ind w:right="1120"/>
              <w:spacing w:after="0" w:line="200"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Stock options issued and outstanding</w:t>
            </w: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19,347</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23,194</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26,150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RSUs issued and outstanding</w:t>
            </w: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120"/>
              <w:spacing w:after="0" w:line="202" w:lineRule="exact"/>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63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Remaining shares available for future issuance under the 2011 Stock Incentive</w:t>
            </w: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63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Plan</w:t>
            </w:r>
          </w:p>
        </w:tc>
        <w:tc>
          <w:tcPr>
            <w:tcW w:w="80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1,371</w:t>
            </w:r>
          </w:p>
        </w:tc>
        <w:tc>
          <w:tcPr>
            <w:tcW w:w="1040" w:type="dxa"/>
            <w:vAlign w:val="bottom"/>
            <w:gridSpan w:val="3"/>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807</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2,750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340" w:type="dxa"/>
            <w:vAlign w:val="bottom"/>
            <w:vMerge w:val="restart"/>
          </w:tcPr>
          <w:p>
            <w:pPr>
              <w:ind w:left="380"/>
              <w:spacing w:after="0"/>
              <w:rPr>
                <w:sz w:val="20"/>
                <w:szCs w:val="20"/>
                <w:color w:val="auto"/>
              </w:rPr>
            </w:pPr>
            <w:r>
              <w:rPr>
                <w:rFonts w:ascii="Arial" w:cs="Arial" w:eastAsia="Arial" w:hAnsi="Arial"/>
                <w:sz w:val="18"/>
                <w:szCs w:val="18"/>
                <w:color w:val="auto"/>
              </w:rPr>
              <w:t>Total shares of common stock reserved</w:t>
            </w: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6340" w:type="dxa"/>
            <w:vAlign w:val="bottom"/>
            <w:vMerge w:val="continue"/>
          </w:tcPr>
          <w:p>
            <w:pPr>
              <w:spacing w:after="0"/>
              <w:rPr>
                <w:sz w:val="17"/>
                <w:szCs w:val="17"/>
                <w:color w:val="auto"/>
              </w:rPr>
            </w:pPr>
          </w:p>
        </w:tc>
        <w:tc>
          <w:tcPr>
            <w:tcW w:w="8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116,750</w:t>
            </w:r>
          </w:p>
        </w:tc>
        <w:tc>
          <w:tcPr>
            <w:tcW w:w="104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143,030</w:t>
            </w:r>
          </w:p>
        </w:tc>
        <w:tc>
          <w:tcPr>
            <w:tcW w:w="1940" w:type="dxa"/>
            <w:vAlign w:val="bottom"/>
            <w:gridSpan w:val="2"/>
          </w:tcPr>
          <w:p>
            <w:pPr>
              <w:jc w:val="right"/>
              <w:ind w:right="1120"/>
              <w:spacing w:after="0" w:line="196" w:lineRule="exact"/>
              <w:rPr>
                <w:sz w:val="20"/>
                <w:szCs w:val="20"/>
                <w:color w:val="auto"/>
              </w:rPr>
            </w:pPr>
            <w:r>
              <w:rPr>
                <w:rFonts w:ascii="Arial" w:cs="Arial" w:eastAsia="Arial" w:hAnsi="Arial"/>
                <w:sz w:val="18"/>
                <w:szCs w:val="18"/>
                <w:color w:val="auto"/>
              </w:rPr>
              <w:t>164,331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340" w:type="dxa"/>
            <w:vAlign w:val="bottom"/>
            <w:vMerge w:val="restart"/>
          </w:tcPr>
          <w:p>
            <w:pPr>
              <w:ind w:left="4320"/>
              <w:spacing w:after="0"/>
              <w:rPr>
                <w:sz w:val="20"/>
                <w:szCs w:val="20"/>
                <w:color w:val="auto"/>
              </w:rPr>
            </w:pPr>
            <w:r>
              <w:rPr>
                <w:rFonts w:ascii="Arial" w:cs="Arial" w:eastAsia="Arial" w:hAnsi="Arial"/>
                <w:sz w:val="18"/>
                <w:szCs w:val="18"/>
                <w:color w:val="auto"/>
              </w:rPr>
              <w:t>F-42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63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On March 7, 2016, the Company effected a two-for-one forward stock split applicable to all outstanding securities or rights convertible into, or exchangeable or exercisable for, common stock or Preferred Stock of the Company (the "Stock Split"). All share and per share data have been retroactively adjusted to reflect the Stock Split. On May 11, 2017, the Company changed the par value of its common stock and preferred stock from $0.001 to $0.0005, which has been retroactively adjusted. The decrease in par value was recorded as a decrease in common stock with a corresponding increase in additional paid-in capital.</w:t>
      </w:r>
    </w:p>
    <w:p>
      <w:pPr>
        <w:spacing w:after="0" w:line="191" w:lineRule="exact"/>
        <w:rPr>
          <w:sz w:val="20"/>
          <w:szCs w:val="20"/>
          <w:color w:val="auto"/>
        </w:rPr>
      </w:pPr>
    </w:p>
    <w:p>
      <w:pPr>
        <w:ind w:left="540" w:right="8600" w:hanging="532"/>
        <w:spacing w:after="0" w:line="558" w:lineRule="auto"/>
        <w:tabs>
          <w:tab w:leader="none" w:pos="293" w:val="left"/>
        </w:tabs>
        <w:numPr>
          <w:ilvl w:val="0"/>
          <w:numId w:val="10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Stock-Based Compensation Stock Incentive Plan</w:t>
      </w:r>
    </w:p>
    <w:p>
      <w:pPr>
        <w:spacing w:after="0" w:line="1"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Effective November 18, 2011, the Company established the CrowdStrike Holdings, Inc. 2011 Stock Incentive Plan (the "Stock Incentive Plan"). The Stock Incentive Plan provides for the grant of incentive and nonqualified stock options and restricted stock awards ("RSAs") to qualified employees, officers, nonemployee directors, and consultants of the Company. The maximum number of shares of common stock, which may be issued pursuant to the Plan, was 61,216,408, 68,174,148, and 79,498,016 as of January 31, 2017, January 31, 2018, and October 31, 2018 (unaudited), respectively.</w:t>
      </w:r>
    </w:p>
    <w:p>
      <w:pPr>
        <w:spacing w:after="0" w:line="211" w:lineRule="exact"/>
        <w:rPr>
          <w:sz w:val="20"/>
          <w:szCs w:val="20"/>
          <w:color w:val="auto"/>
        </w:rPr>
      </w:pPr>
    </w:p>
    <w:p>
      <w:pPr>
        <w:ind w:right="60" w:firstLine="484"/>
        <w:spacing w:after="0" w:line="268" w:lineRule="auto"/>
        <w:rPr>
          <w:sz w:val="20"/>
          <w:szCs w:val="20"/>
          <w:color w:val="auto"/>
        </w:rPr>
      </w:pPr>
      <w:r>
        <w:rPr>
          <w:rFonts w:ascii="Arial" w:cs="Arial" w:eastAsia="Arial" w:hAnsi="Arial"/>
          <w:sz w:val="16"/>
          <w:szCs w:val="16"/>
          <w:color w:val="auto"/>
        </w:rPr>
        <w:t>The Stock Incentive Plan is administered by the Board of Directors, which determines the terms of the options granted, including the exercise price, stock price, the number of shares subject to options, and the option vesting period. Options generally have a maximum term of ten years and generally have a vesting period of four years with 25% of the award vesting one year from the vesting commencement date and the remainder vesting ratably over the following 36 months. Additionally, the Stock Incentive Plan allows the Company, at its discretion, to repurchase exercised options of any employee no longer with the Company, employed with the Company for less than 30 months and terminated with cause, at the original exercise price (or in the case of a participant who was not an employee, the date on which such participant is no longer acting as a director or officer of, or consultant or advisor to, the Company or any of its subsidiaries). The Company's repurchase right was changed from 30 months to 60 months as part of the Amended and Restated Stock Incentive Plan, effective August 16, 2016. No shares were repurchased during the years ended January 31, 2017, January 31, 2018 or the nine months ended October 31, 2018 (unaudited).</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 Options</w:t>
      </w:r>
    </w:p>
    <w:p>
      <w:pPr>
        <w:spacing w:after="0" w:line="232" w:lineRule="exact"/>
        <w:rPr>
          <w:sz w:val="20"/>
          <w:szCs w:val="20"/>
          <w:color w:val="auto"/>
        </w:rPr>
      </w:pPr>
    </w:p>
    <w:p>
      <w:pPr>
        <w:ind w:right="20" w:firstLine="484"/>
        <w:spacing w:after="0" w:line="236"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each option was estimated on the date of grant using the following assumptions during the period:</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28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 January 31,</w:t>
            </w:r>
          </w:p>
        </w:tc>
        <w:tc>
          <w:tcPr>
            <w:tcW w:w="254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rPr>
              <w:t>Nine Months Ended October 31,</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304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left="939"/>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1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w:t>
            </w:r>
          </w:p>
        </w:tc>
        <w:tc>
          <w:tcPr>
            <w:tcW w:w="1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w:t>
            </w: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jc w:val="right"/>
              <w:ind w:right="2"/>
              <w:spacing w:after="0"/>
              <w:rPr>
                <w:sz w:val="20"/>
                <w:szCs w:val="20"/>
                <w:color w:val="auto"/>
              </w:rPr>
            </w:pPr>
            <w:r>
              <w:rPr>
                <w:rFonts w:ascii="Arial" w:cs="Arial" w:eastAsia="Arial" w:hAnsi="Arial"/>
                <w:sz w:val="8"/>
                <w:szCs w:val="8"/>
                <w:color w:val="auto"/>
                <w:w w:val="73"/>
              </w:rPr>
              <w:t>-</w:t>
            </w:r>
          </w:p>
        </w:tc>
        <w:tc>
          <w:tcPr>
            <w:tcW w:w="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6"/>
              </w:rPr>
              <w:t>7.52</w:t>
            </w:r>
          </w:p>
        </w:tc>
      </w:tr>
      <w:tr>
        <w:trPr>
          <w:trHeight w:val="203"/>
        </w:trPr>
        <w:tc>
          <w:tcPr>
            <w:tcW w:w="3040" w:type="dxa"/>
            <w:vAlign w:val="bottom"/>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- 1.5%</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- 2.2%</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- 2.1%</w:t>
            </w:r>
          </w:p>
        </w:tc>
        <w:tc>
          <w:tcPr>
            <w:tcW w:w="4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- 3.1%</w:t>
            </w:r>
          </w:p>
        </w:tc>
      </w:tr>
      <w:tr>
        <w:trPr>
          <w:trHeight w:val="203"/>
        </w:trPr>
        <w:tc>
          <w:tcPr>
            <w:tcW w:w="3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stock price volatility</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41.7% - 42.8%</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 - 41.4%</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 - 41.4%</w:t>
            </w: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37.8%</w:t>
            </w:r>
          </w:p>
        </w:tc>
        <w:tc>
          <w:tcPr>
            <w:tcW w:w="80" w:type="dxa"/>
            <w:vAlign w:val="bottom"/>
            <w:shd w:val="clear" w:color="auto" w:fill="CCEEFF"/>
          </w:tcPr>
          <w:p>
            <w:pPr>
              <w:jc w:val="right"/>
              <w:ind w:right="2"/>
              <w:spacing w:after="0"/>
              <w:rPr>
                <w:sz w:val="20"/>
                <w:szCs w:val="20"/>
                <w:color w:val="auto"/>
              </w:rPr>
            </w:pPr>
            <w:r>
              <w:rPr>
                <w:rFonts w:ascii="Arial" w:cs="Arial" w:eastAsia="Arial" w:hAnsi="Arial"/>
                <w:sz w:val="8"/>
                <w:szCs w:val="8"/>
                <w:color w:val="auto"/>
                <w:w w:val="73"/>
              </w:rPr>
              <w:t>-</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38.9%</w:t>
            </w:r>
          </w:p>
        </w:tc>
      </w:tr>
      <w:tr>
        <w:trPr>
          <w:trHeight w:val="214"/>
        </w:trPr>
        <w:tc>
          <w:tcPr>
            <w:tcW w:w="30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360" w:firstLine="484"/>
        <w:spacing w:after="0" w:line="239" w:lineRule="auto"/>
        <w:rPr>
          <w:sz w:val="20"/>
          <w:szCs w:val="20"/>
          <w:color w:val="auto"/>
        </w:rPr>
      </w:pPr>
      <w:r>
        <w:rPr>
          <w:rFonts w:ascii="Arial" w:cs="Arial" w:eastAsia="Arial" w:hAnsi="Arial"/>
          <w:sz w:val="18"/>
          <w:szCs w:val="18"/>
          <w:color w:val="auto"/>
        </w:rPr>
        <w:t>The following table is a summary of common stock option activity for the years ended January 31, 2017 and January 31, 2018 and the nine months ended October 31, 2018 (unaudited):</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6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5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2"/>
        </w:trPr>
        <w:tc>
          <w:tcPr>
            <w:tcW w:w="654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2"/>
        </w:trPr>
        <w:tc>
          <w:tcPr>
            <w:tcW w:w="654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outstanding at February 1, 2016</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15,105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8,104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Canceled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(2,007)</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outstanding at January 31, 2017</w:t>
            </w: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19,347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Granted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line="20" w:lineRule="exact"/>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6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9,691</w:t>
            </w:r>
          </w:p>
        </w:tc>
        <w:tc>
          <w:tcPr>
            <w:tcW w:w="1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(3,733)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Canceled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(2,111)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outstanding at January 31, 2018</w:t>
            </w: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23,194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Granted (unaudited)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line="20" w:lineRule="exact"/>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6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7,047</w:t>
            </w:r>
          </w:p>
        </w:tc>
        <w:tc>
          <w:tcPr>
            <w:tcW w:w="1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 (unaudited)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(2,456)</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Canceled (unaudited)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(1,635)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outstanding at October 31, 2018 (unaudited)</w:t>
            </w: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26,150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Options vested and expected to vest at January 31, 2018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line="20" w:lineRule="exact"/>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60" w:type="dxa"/>
            <w:vAlign w:val="bottom"/>
            <w:gridSpan w:val="2"/>
          </w:tcPr>
          <w:p>
            <w:pPr>
              <w:jc w:val="right"/>
              <w:ind w:right="160"/>
              <w:spacing w:after="0" w:line="183" w:lineRule="exact"/>
              <w:rPr>
                <w:sz w:val="20"/>
                <w:szCs w:val="20"/>
                <w:color w:val="auto"/>
              </w:rPr>
            </w:pPr>
            <w:r>
              <w:rPr>
                <w:rFonts w:ascii="Arial" w:cs="Arial" w:eastAsia="Arial" w:hAnsi="Arial"/>
                <w:sz w:val="18"/>
                <w:szCs w:val="18"/>
                <w:color w:val="auto"/>
              </w:rPr>
              <w:t>22,093</w:t>
            </w:r>
          </w:p>
        </w:tc>
        <w:tc>
          <w:tcPr>
            <w:tcW w:w="16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exercisable at January 31, 2018</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11,387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05"/>
        </w:trPr>
        <w:tc>
          <w:tcPr>
            <w:tcW w:w="6540" w:type="dxa"/>
            <w:vAlign w:val="bottom"/>
          </w:tcPr>
          <w:p>
            <w:pPr>
              <w:ind w:left="20"/>
              <w:spacing w:after="0"/>
              <w:rPr>
                <w:sz w:val="20"/>
                <w:szCs w:val="20"/>
                <w:color w:val="auto"/>
              </w:rPr>
            </w:pPr>
            <w:r>
              <w:rPr>
                <w:rFonts w:ascii="Arial" w:cs="Arial" w:eastAsia="Arial" w:hAnsi="Arial"/>
                <w:sz w:val="18"/>
                <w:szCs w:val="18"/>
                <w:color w:val="auto"/>
              </w:rPr>
              <w:t>Options vested and expected to vest at October 31, 2018 (unaudited)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26,150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exercisable at October 31, 2018 (unaudited)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14,047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880" w:firstLine="488"/>
        <w:spacing w:after="0" w:line="239" w:lineRule="auto"/>
        <w:rPr>
          <w:sz w:val="20"/>
          <w:szCs w:val="20"/>
          <w:color w:val="auto"/>
        </w:rPr>
      </w:pPr>
      <w:r>
        <w:rPr>
          <w:rFonts w:ascii="Arial" w:cs="Arial" w:eastAsia="Arial" w:hAnsi="Arial"/>
          <w:sz w:val="18"/>
          <w:szCs w:val="18"/>
          <w:color w:val="auto"/>
        </w:rPr>
        <w:t>Options exercisable include 1,488,857 and 2,675,147 options that were unvested as of January 31, 2018 and October 31, 2018 (unaudited), respectively.</w:t>
      </w:r>
    </w:p>
    <w:p>
      <w:pPr>
        <w:spacing w:after="0" w:line="209" w:lineRule="exact"/>
        <w:rPr>
          <w:sz w:val="20"/>
          <w:szCs w:val="20"/>
          <w:color w:val="auto"/>
        </w:rPr>
      </w:pPr>
    </w:p>
    <w:p>
      <w:pPr>
        <w:ind w:right="60" w:firstLine="484"/>
        <w:spacing w:after="0" w:line="281" w:lineRule="auto"/>
        <w:rPr>
          <w:sz w:val="20"/>
          <w:szCs w:val="20"/>
          <w:color w:val="auto"/>
        </w:rPr>
      </w:pPr>
      <w:r>
        <w:rPr>
          <w:rFonts w:ascii="Arial" w:cs="Arial" w:eastAsia="Arial" w:hAnsi="Arial"/>
          <w:sz w:val="16"/>
          <w:szCs w:val="16"/>
          <w:color w:val="auto"/>
        </w:rPr>
        <w:t>The aggregate intrinsic value of options vested and exercisable was $9.8 million, $17.9 million, and $147.7 million as of January 31, 2017, January 31, 2018 and October 31, 2018 (unaudited), respectively. The weighted-average remaining contractual term of options vested and exercisable was 7.0 years, 6.6 years, and 6.8 years as of January 31, 2017, January 31, 2018, and October 31, 2018 (unaudited), respectively.</w:t>
      </w:r>
    </w:p>
    <w:p>
      <w:pPr>
        <w:spacing w:after="0" w:line="177" w:lineRule="exact"/>
        <w:rPr>
          <w:sz w:val="20"/>
          <w:szCs w:val="20"/>
          <w:color w:val="auto"/>
        </w:rPr>
      </w:pPr>
    </w:p>
    <w:p>
      <w:pPr>
        <w:ind w:firstLine="484"/>
        <w:spacing w:after="0" w:line="239" w:lineRule="auto"/>
        <w:rPr>
          <w:sz w:val="20"/>
          <w:szCs w:val="20"/>
          <w:color w:val="auto"/>
        </w:rPr>
      </w:pPr>
      <w:r>
        <w:rPr>
          <w:rFonts w:ascii="Arial" w:cs="Arial" w:eastAsia="Arial" w:hAnsi="Arial"/>
          <w:sz w:val="18"/>
          <w:szCs w:val="18"/>
          <w:color w:val="auto"/>
        </w:rPr>
        <w:t>The weighted-average grant date fair values of all options granted was $0.71 and $0.90 per share during the year ended January 31, 2017 and January 31, 2018, respectively, and $0.78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$5.59 per share for the nine months ended October 31, 2017 (unaudited) and October 31, 2018 (unaudited), respectively. The total intrinsic value of all options exercised was $2.4 million and $4.0 million during the year ended January 31, 2017 and January 31, 2018, respectively, and $2.3 million and $19.9 million for the nine months ended October 31, 2017 (unaudited) and October 31, 2018 (unaudited), respectively. The total fair value of all options vested was $1.7 million and $3.2 million during the year ended January 31, 2017 and January 31, 2018, respectively, and $2.1 million and $3.9 million for the nine months ended October 31, 2017 (unaudited) and October 31, 2018 (unaudited), respectively.</w:t>
      </w:r>
    </w:p>
    <w:p>
      <w:pPr>
        <w:spacing w:after="0" w:line="186"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aggregate intrinsic value of stock options outstanding as of January 31, 2017, January 31, 2018, and October 31, 2018 (unaudited) was $12.8 million, $26.1 million, and $245.6 million, respectively, which represents the excess of the fair value of the Company's common stock over the exercise price of the options multiplied by the number of options outstanding. The weighted-average remaining contractual term of stock options outstanding is 8.2 years, 8.0 years, and 8.0 years as of January 31, 2017, January 31, 2018, and October 31, 2018 (unaudited), respectively.</w:t>
      </w:r>
    </w:p>
    <w:p>
      <w:pPr>
        <w:spacing w:after="0" w:line="211" w:lineRule="exact"/>
        <w:rPr>
          <w:sz w:val="20"/>
          <w:szCs w:val="20"/>
          <w:color w:val="auto"/>
        </w:rPr>
      </w:pPr>
    </w:p>
    <w:p>
      <w:pPr>
        <w:ind w:right="20" w:firstLine="484"/>
        <w:spacing w:after="0" w:line="236" w:lineRule="auto"/>
        <w:rPr>
          <w:sz w:val="20"/>
          <w:szCs w:val="20"/>
          <w:color w:val="auto"/>
        </w:rPr>
      </w:pPr>
      <w:r>
        <w:rPr>
          <w:rFonts w:ascii="Arial" w:cs="Arial" w:eastAsia="Arial" w:hAnsi="Arial"/>
          <w:sz w:val="18"/>
          <w:szCs w:val="18"/>
          <w:color w:val="auto"/>
        </w:rPr>
        <w:t>Total unrecognized stock-based compensation expense related to unvested options was $6.1 million as of January 31, 2017. This expense is expected to be amortized on a straight-line basis over a weighted-average vesting period of 3.1 years. Total unrecognized stock-based compensation expense related to unvested options was $9.9 million as of January 31, 2018. This expense is expected to be amortized on a straight-line basis over a weighted-average vesting period of 3.0 years. Total unrecognized stock-based compensation expense related to unvested options was $42.0 million as of October 31, 2018 (unaudited). This expense is expected to be amortized on a straight-line basis over a weighted-average vesting period of 3.5 years.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32" w:lineRule="exact"/>
        <w:rPr>
          <w:sz w:val="20"/>
          <w:szCs w:val="20"/>
          <w:color w:val="auto"/>
        </w:rPr>
      </w:pPr>
    </w:p>
    <w:p>
      <w:pPr>
        <w:ind w:firstLine="484"/>
        <w:spacing w:after="0" w:line="264" w:lineRule="auto"/>
        <w:rPr>
          <w:sz w:val="20"/>
          <w:szCs w:val="20"/>
          <w:color w:val="auto"/>
        </w:rPr>
      </w:pPr>
      <w:r>
        <w:rPr>
          <w:rFonts w:ascii="Arial" w:cs="Arial" w:eastAsia="Arial" w:hAnsi="Arial"/>
          <w:sz w:val="16"/>
          <w:szCs w:val="16"/>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During the year ended January 31, 2018, the Company issued 1,370,000 shares of common stock for total proceeds of $2.3 million related to early exercised stock options. As of January 31, 2018, the number of shares of common stock related to early exercised stock options subject to repurchase was 872,086 shares for $1.7 million. During the nine months ended October 31, 2018 (unaudited), the Company issued 38,000 shares of common stock for total proceeds of $74,000 related to early exercised stock options. As of October 31, 2018 (unaudited), the number of shares of common stock related to early exercised stock options subject to repurchase was 712,082 shares for $1.5 million. The liability for early exercised options was immaterial as of</w:t>
      </w:r>
    </w:p>
    <w:p>
      <w:pPr>
        <w:spacing w:after="0" w:line="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January 31, 2017. Common stock purchased pursuant to an early exercise of stock options is not deemed to be outstanding for accounting purposes until those shares vest. The Company includes unvested shares subject to repurchase in the number of shares outstanding on the statement of redeemable convertible preferred stock and stockholders' deficit.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Notes Receivable from Stockholders</w:t>
      </w:r>
    </w:p>
    <w:p>
      <w:pPr>
        <w:spacing w:after="0" w:line="23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February 2016, the Company extended a secured promissory note (the "Note") to an officer for the exercise of stock options. The Note includes a market interest rate and was documented with an agreement that includes repayment provisions. The outstanding principal balance, together with all accrued and unpaid interest, are due in one lump sum payment on the due date, which is defined as the earliest to occur of the following: (i) twenty-four (24) months from the date of issuance; (ii) borrower's termination as an employee; (iii) a bankruptcy or insolvency proceeding instituted by or against a borrower; (iv) consummation of a change in control; or (v) initial filing of a registration statement with the Securities and Exchange Commission. The loan was made pursuant to a recourse promissory note. This note receivable was $0.2 million as of both January 31, 2017 and January 31, 2018 as reflected in the consolidated balance sheets. The note was paid in full in February 2018 (unaudited).</w:t>
      </w:r>
    </w:p>
    <w:p>
      <w:pPr>
        <w:spacing w:after="0" w:line="208"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March 2017, the Company extended a secured promissory note (the "Note") to an officer for the exercise of stock options. The Note includes a market interest rate and was documented with an agreement that includes repayment provisions. The outstanding principal balance, together with all accrued and unpaid interest, were due in one lump sum payment on the due date, which is defined as the earliest to occur of the following: (i) twenty-four (24) months from the date of issuance; (ii) borrower's termination as an employee; (iii) a bankruptcy or insolvency proceeding instituted by or against a borrower; (iv) consummation of a change in control; or (v) initial filing of a registration statement with the Securities and Exchange Commission. The loan was made pursuant to a recourse promissory note. This note receivable was $0.4 million. The note was paid in full in April 2017.</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Secondary Stock Sale</w:t>
      </w:r>
    </w:p>
    <w:p>
      <w:pPr>
        <w:spacing w:after="0" w:line="232" w:lineRule="exact"/>
        <w:rPr>
          <w:sz w:val="20"/>
          <w:szCs w:val="20"/>
          <w:color w:val="auto"/>
        </w:rPr>
      </w:pPr>
    </w:p>
    <w:p>
      <w:pPr>
        <w:ind w:right="280" w:firstLine="488"/>
        <w:spacing w:after="0" w:line="236" w:lineRule="auto"/>
        <w:rPr>
          <w:sz w:val="20"/>
          <w:szCs w:val="20"/>
          <w:color w:val="auto"/>
        </w:rPr>
      </w:pPr>
      <w:r>
        <w:rPr>
          <w:rFonts w:ascii="Arial" w:cs="Arial" w:eastAsia="Arial" w:hAnsi="Arial"/>
          <w:sz w:val="18"/>
          <w:szCs w:val="18"/>
          <w:color w:val="auto"/>
        </w:rPr>
        <w:t>In October 2017, the Company facilitated a secondary stock sale of its common stock. Under the terms of the sale, certain Series D-1 Preferred Stock investors and certain other new investors purchased 3.3 million shares of common stock from certain eligible employees for prices ranging from $5.12 to $5.69 per share for an aggregate purchase price of $17.5 million. The Company recognized stock-based compensation expense of $8.8 million in connection with the sale, which represented the difference between the purchase price and the fair value of the common stock on the date of the sale.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Tender Offer Transaction (unaudited)</w:t>
      </w:r>
    </w:p>
    <w:p>
      <w:pPr>
        <w:spacing w:after="0" w:line="232" w:lineRule="exact"/>
        <w:rPr>
          <w:sz w:val="20"/>
          <w:szCs w:val="20"/>
          <w:color w:val="auto"/>
        </w:rPr>
      </w:pPr>
    </w:p>
    <w:p>
      <w:pPr>
        <w:ind w:right="420" w:firstLine="488"/>
        <w:spacing w:after="0" w:line="264" w:lineRule="auto"/>
        <w:rPr>
          <w:sz w:val="20"/>
          <w:szCs w:val="20"/>
          <w:color w:val="auto"/>
        </w:rPr>
      </w:pPr>
      <w:r>
        <w:rPr>
          <w:rFonts w:ascii="Arial" w:cs="Arial" w:eastAsia="Arial" w:hAnsi="Arial"/>
          <w:sz w:val="16"/>
          <w:szCs w:val="16"/>
          <w:color w:val="auto"/>
        </w:rPr>
        <w:t>In October 2018, the Company facilitated a tender offer of its common stock. Under the terms of the offer, certain existing Series E Preferred Stock investors purchased an aggregate of 2.4 million shares of common stock from certain eligible employees and directors for $15.64 per share for an aggregate purchase price of $37.6 million. The Company recognized stock-based compensation expense of</w:t>
      </w:r>
    </w:p>
    <w:p>
      <w:pPr>
        <w:spacing w:after="0" w:line="239" w:lineRule="auto"/>
        <w:rPr>
          <w:sz w:val="20"/>
          <w:szCs w:val="20"/>
          <w:color w:val="auto"/>
        </w:rPr>
      </w:pPr>
      <w:r>
        <w:rPr>
          <w:rFonts w:ascii="Arial" w:cs="Arial" w:eastAsia="Arial" w:hAnsi="Arial"/>
          <w:sz w:val="18"/>
          <w:szCs w:val="18"/>
          <w:color w:val="auto"/>
        </w:rPr>
        <w:t>$10.8 million in connection with the tender offer, which represented the difference between the purchase price and the fair value of the common stock on the date of the sale.</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stock awards ("RSAs") vest ratably over 36 months.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20"/>
          </w:cols>
          <w:pgMar w:left="320" w:top="143" w:right="45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RSA activity for the nine months ended October 31, 2018 (unaudited):</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5700" w:type="dxa"/>
            <w:vAlign w:val="bottom"/>
          </w:tcPr>
          <w:p>
            <w:pPr>
              <w:spacing w:after="0"/>
              <w:rPr>
                <w:sz w:val="15"/>
                <w:szCs w:val="15"/>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58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RSAs outstanding at February 1, 2018 (unaudited)</w:t>
            </w:r>
          </w:p>
        </w:tc>
        <w:tc>
          <w:tcPr>
            <w:tcW w:w="1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Granted (unaudited)</w:t>
            </w:r>
          </w:p>
        </w:tc>
        <w:tc>
          <w:tcPr>
            <w:tcW w:w="1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Vested (unaudited)</w:t>
            </w:r>
          </w:p>
        </w:tc>
        <w:tc>
          <w:tcPr>
            <w:tcW w:w="1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Forfeited (unaudited)</w:t>
            </w: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RSAs outstanding at October 31, 2018 (unaudited)</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RSAs expected to vest at October 31, 2018 (unaudited)</w:t>
            </w: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vMerge w:val="restart"/>
          </w:tcPr>
          <w:p>
            <w:pPr>
              <w:jc w:val="right"/>
              <w:ind w:right="35"/>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line="20" w:lineRule="exact"/>
              <w:rPr>
                <w:sz w:val="1"/>
                <w:szCs w:val="1"/>
                <w:color w:val="auto"/>
              </w:rPr>
            </w:pPr>
          </w:p>
        </w:tc>
      </w:tr>
      <w:tr>
        <w:trPr>
          <w:trHeight w:val="194"/>
        </w:trPr>
        <w:tc>
          <w:tcPr>
            <w:tcW w:w="5700" w:type="dxa"/>
            <w:vAlign w:val="bottom"/>
            <w:vMerge w:val="continue"/>
          </w:tcPr>
          <w:p>
            <w:pPr>
              <w:spacing w:after="0"/>
              <w:rPr>
                <w:sz w:val="16"/>
                <w:szCs w:val="16"/>
                <w:color w:val="auto"/>
              </w:rPr>
            </w:pPr>
          </w:p>
        </w:tc>
        <w:tc>
          <w:tcPr>
            <w:tcW w:w="174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28</w:t>
            </w:r>
          </w:p>
        </w:tc>
        <w:tc>
          <w:tcPr>
            <w:tcW w:w="2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40" w:firstLine="484"/>
        <w:spacing w:after="0" w:line="238" w:lineRule="auto"/>
        <w:rPr>
          <w:sz w:val="20"/>
          <w:szCs w:val="20"/>
          <w:color w:val="auto"/>
        </w:rPr>
      </w:pPr>
      <w:r>
        <w:rPr>
          <w:rFonts w:ascii="Arial" w:cs="Arial" w:eastAsia="Arial" w:hAnsi="Arial"/>
          <w:sz w:val="18"/>
          <w:szCs w:val="18"/>
          <w:color w:val="auto"/>
        </w:rPr>
        <w:t>The total fair value of RSAs vested was $0.1 million during the nine months ended October 31, 2018 (unaudited). There was $0.3 million of unrecognized compensation expense related to unvested RSAs as of October 31, 2018 (unaudited), which is expected to be recognized over the next 2.3 years.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nine months ended October 31, 2018 (unaudited), the Company issued RSUs to certain employees. These RSUs include a</w:t>
      </w:r>
    </w:p>
    <w:p>
      <w:pPr>
        <w:spacing w:after="0"/>
        <w:rPr>
          <w:sz w:val="20"/>
          <w:szCs w:val="20"/>
          <w:color w:val="auto"/>
        </w:rPr>
      </w:pPr>
      <w:r>
        <w:rPr>
          <w:rFonts w:ascii="Arial" w:cs="Arial" w:eastAsia="Arial" w:hAnsi="Arial"/>
          <w:sz w:val="16"/>
          <w:szCs w:val="16"/>
          <w:color w:val="auto"/>
        </w:rPr>
        <w:t>service-based vesting condition and a performance-based vesting condition. The service-based vesting condition is generally satisfied based 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one of three vesting schedules: (i) vesting of one-fourth of the RSUs on the first "Company vest date" (defined as March 20, June 20,</w:t>
      </w:r>
    </w:p>
    <w:p>
      <w:pPr>
        <w:spacing w:after="0"/>
        <w:rPr>
          <w:sz w:val="20"/>
          <w:szCs w:val="20"/>
          <w:color w:val="auto"/>
        </w:rPr>
      </w:pPr>
      <w:r>
        <w:rPr>
          <w:rFonts w:ascii="Arial" w:cs="Arial" w:eastAsia="Arial" w:hAnsi="Arial"/>
          <w:sz w:val="16"/>
          <w:szCs w:val="16"/>
          <w:color w:val="auto"/>
        </w:rPr>
        <w:t>September 20, or December 20) on or following the one-year anniversary of the vesting commencement date and the remainder of the RSUs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vest quarterly thereafter over the next 36 months, subject to continued service, (ii) sixteen equal quarterly installments beginning on</w:t>
      </w:r>
    </w:p>
    <w:p>
      <w:pPr>
        <w:spacing w:after="0"/>
        <w:rPr>
          <w:sz w:val="20"/>
          <w:szCs w:val="20"/>
          <w:color w:val="auto"/>
        </w:rPr>
      </w:pPr>
      <w:r>
        <w:rPr>
          <w:rFonts w:ascii="Arial" w:cs="Arial" w:eastAsia="Arial" w:hAnsi="Arial"/>
          <w:sz w:val="16"/>
          <w:szCs w:val="16"/>
          <w:color w:val="auto"/>
        </w:rPr>
        <w:t>December 20, 2018, subject to continued service, or (iii) vesting of RSUs through eight equal quarterly installments beginning on December 20,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2022, subject to continued service. The performance-based vesting condition is satisfied on the earlier of (i) a change in control, in which the</w:t>
      </w:r>
    </w:p>
    <w:p>
      <w:pPr>
        <w:spacing w:after="0"/>
        <w:rPr>
          <w:sz w:val="20"/>
          <w:szCs w:val="20"/>
          <w:color w:val="auto"/>
        </w:rPr>
      </w:pPr>
      <w:r>
        <w:rPr>
          <w:rFonts w:ascii="Arial" w:cs="Arial" w:eastAsia="Arial" w:hAnsi="Arial"/>
          <w:sz w:val="16"/>
          <w:szCs w:val="16"/>
          <w:color w:val="auto"/>
        </w:rPr>
        <w:t>consideration paid to holders of shares is either cash, publicly traded securities, or a combination thereof, or (ii) the first Company vest date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occur following the expiration of the lock-up period upon an IPO, subject to continued service through such change in control or lock-up</w:t>
      </w:r>
    </w:p>
    <w:p>
      <w:pPr>
        <w:spacing w:after="0"/>
        <w:rPr>
          <w:sz w:val="20"/>
          <w:szCs w:val="20"/>
          <w:color w:val="auto"/>
        </w:rPr>
      </w:pPr>
      <w:r>
        <w:rPr>
          <w:rFonts w:ascii="Arial" w:cs="Arial" w:eastAsia="Arial" w:hAnsi="Arial"/>
          <w:sz w:val="16"/>
          <w:szCs w:val="16"/>
          <w:color w:val="auto"/>
        </w:rPr>
        <w:t>expiration, as applicable. None of the RSUs vest unless the performance-based vesting condition is satisfied. The performance-based vesting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condition is not deemed probable of occurring as of October 31, 2018 (unaudited), thus no stock-based compensation has been recognized.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quarter in which the performance-based vesting condition becomes probable, the Company will begin recording stock-based compensation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expense using the accelerated attribution method based on the grant date fair value of the RSUs.</w:t>
      </w:r>
    </w:p>
    <w:p>
      <w:pPr>
        <w:spacing w:after="0" w:line="212"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8"/>
          <w:szCs w:val="18"/>
          <w:color w:val="auto"/>
        </w:rPr>
        <w:t>Had the performance-based vesting condition been probable as of October 31, 2018, the Company would have recognized $2.4 million of stock-based compensation expense during the nine months ended October 31, 2018 (unaudited) for all RSUs with a performance-based vesting condition that had satisfied the applicable service-based vesting condition on that date.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is a summary of RSU activity for the nine months ended October 31, 2018 (unaudited):</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618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2"/>
        </w:trPr>
        <w:tc>
          <w:tcPr>
            <w:tcW w:w="618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RSUs outstanding at February 1, 2018 (unaudited)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Granted (unaudited)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3,828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Vested (unaudited)</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Forfeited (unaudited)</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RSUs outstanding at October 31, 2018 (unaudited)</w:t>
            </w:r>
          </w:p>
        </w:tc>
        <w:tc>
          <w:tcPr>
            <w:tcW w:w="11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3,827</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20"/>
              <w:spacing w:after="0"/>
              <w:rPr>
                <w:sz w:val="20"/>
                <w:szCs w:val="20"/>
                <w:color w:val="auto"/>
              </w:rPr>
            </w:pPr>
            <w:r>
              <w:rPr>
                <w:rFonts w:ascii="Arial" w:cs="Arial" w:eastAsia="Arial" w:hAnsi="Arial"/>
                <w:sz w:val="18"/>
                <w:szCs w:val="18"/>
                <w:color w:val="auto"/>
              </w:rPr>
              <w:t>RSUs expected to vest at October 31, 2018 (unaudited)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line="20" w:lineRule="exact"/>
              <w:rPr>
                <w:sz w:val="1"/>
                <w:szCs w:val="1"/>
                <w:color w:val="auto"/>
              </w:rPr>
            </w:pPr>
          </w:p>
        </w:tc>
      </w:tr>
      <w:tr>
        <w:trPr>
          <w:trHeight w:val="194"/>
        </w:trPr>
        <w:tc>
          <w:tcPr>
            <w:tcW w:w="6180" w:type="dxa"/>
            <w:vAlign w:val="bottom"/>
            <w:vMerge w:val="continue"/>
          </w:tcPr>
          <w:p>
            <w:pPr>
              <w:spacing w:after="0"/>
              <w:rPr>
                <w:sz w:val="16"/>
                <w:szCs w:val="16"/>
                <w:color w:val="auto"/>
              </w:rPr>
            </w:pPr>
          </w:p>
        </w:tc>
        <w:tc>
          <w:tcPr>
            <w:tcW w:w="116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3,827</w:t>
            </w:r>
          </w:p>
        </w:tc>
        <w:tc>
          <w:tcPr>
            <w:tcW w:w="12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included in the consolidated statements of operations is as follows: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5"/>
                <w:szCs w:val="15"/>
                <w:color w:val="auto"/>
              </w:rPr>
            </w:pPr>
          </w:p>
        </w:tc>
        <w:tc>
          <w:tcPr>
            <w:tcW w:w="17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5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149"/>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(unaudited)</w:t>
            </w:r>
          </w:p>
        </w:tc>
      </w:tr>
      <w:tr>
        <w:trPr>
          <w:trHeight w:val="175"/>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690</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638</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1,386</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933</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3,942</w:t>
            </w:r>
          </w:p>
        </w:tc>
      </w:tr>
      <w:tr>
        <w:trPr>
          <w:trHeight w:val="203"/>
        </w:trPr>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3,429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3,062</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7,230</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704</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7,187</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6,891</w:t>
            </w:r>
          </w:p>
        </w:tc>
        <w:tc>
          <w:tcPr>
            <w:tcW w:w="1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5,541</w:t>
            </w:r>
          </w:p>
        </w:tc>
      </w:tr>
      <w:tr>
        <w:trPr>
          <w:trHeight w:val="20"/>
        </w:trPr>
        <w:tc>
          <w:tcPr>
            <w:tcW w:w="5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stock-based compensation expense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1,994</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12,343</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11,005</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17,403</w:t>
            </w:r>
          </w:p>
        </w:tc>
      </w:tr>
      <w:tr>
        <w:trPr>
          <w:trHeight w:val="20"/>
        </w:trPr>
        <w:tc>
          <w:tcPr>
            <w:tcW w:w="5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Employee Benefit Plan</w:t>
      </w:r>
    </w:p>
    <w:p>
      <w:pPr>
        <w:spacing w:after="0" w:line="232"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Company's employees participate in a contributory 401(k) plan sponsored by the Company entitled the CrowdStrike Holdings, Inc. 401(k) Plan (the "Plan"). The Plan is available to all employees over 18 years of age. Employees are eligible to participate in the Plan at date of hire and may elect to contribute from 0% to 100% of their base salary limited to the amount allowed by tax laws. There were no matching contributions by the Company for the years ended January 31, 2017, January 31, 2018, or the nine months ended October 31, 2018 (unaudited), respectively.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left="540" w:right="8060" w:hanging="532"/>
        <w:spacing w:after="0" w:line="558" w:lineRule="auto"/>
        <w:tabs>
          <w:tab w:leader="none" w:pos="293" w:val="left"/>
        </w:tabs>
        <w:numPr>
          <w:ilvl w:val="0"/>
          <w:numId w:val="10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Commitments and Contingencies Lease Commitments</w:t>
      </w:r>
    </w:p>
    <w:p>
      <w:pPr>
        <w:spacing w:after="0" w:line="1" w:lineRule="exact"/>
        <w:rPr>
          <w:sz w:val="20"/>
          <w:szCs w:val="20"/>
          <w:color w:val="auto"/>
        </w:rPr>
      </w:pPr>
    </w:p>
    <w:p>
      <w:pPr>
        <w:ind w:right="80" w:firstLine="484"/>
        <w:spacing w:after="0" w:line="299" w:lineRule="auto"/>
        <w:rPr>
          <w:sz w:val="20"/>
          <w:szCs w:val="20"/>
          <w:color w:val="auto"/>
        </w:rPr>
      </w:pPr>
      <w:r>
        <w:rPr>
          <w:rFonts w:ascii="Arial" w:cs="Arial" w:eastAsia="Arial" w:hAnsi="Arial"/>
          <w:sz w:val="16"/>
          <w:szCs w:val="16"/>
          <w:color w:val="auto"/>
        </w:rPr>
        <w:t>The Company leases its office space under various non-cancelable operating lease agreements. Leases expire at various dates through fiscal year 2027. The aggregate future minimum payments under noncancelable operating leases as of January 31, 2018 are as follows:</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Operating</w:t>
            </w:r>
          </w:p>
        </w:tc>
      </w:tr>
      <w:tr>
        <w:trPr>
          <w:trHeight w:val="182"/>
        </w:trPr>
        <w:tc>
          <w:tcPr>
            <w:tcW w:w="7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Leases</w:t>
            </w:r>
          </w:p>
        </w:tc>
      </w:tr>
      <w:tr>
        <w:trPr>
          <w:trHeight w:val="162"/>
        </w:trPr>
        <w:tc>
          <w:tcPr>
            <w:tcW w:w="75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3,865</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3,693</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2,991</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2,672</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1,674</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1,006</w:t>
            </w:r>
          </w:p>
        </w:tc>
      </w:tr>
      <w:tr>
        <w:trPr>
          <w:trHeight w:val="20"/>
        </w:trPr>
        <w:tc>
          <w:tcPr>
            <w:tcW w:w="7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52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minimum lease payments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15,901</w:t>
            </w:r>
          </w:p>
        </w:tc>
      </w:tr>
      <w:tr>
        <w:trPr>
          <w:trHeight w:val="20"/>
        </w:trPr>
        <w:tc>
          <w:tcPr>
            <w:tcW w:w="7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aggregate future minimum payments under noncancelable operating leases as of October 31, 2018 (unaudited) are as follows: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Operating</w:t>
            </w:r>
          </w:p>
        </w:tc>
      </w:tr>
      <w:tr>
        <w:trPr>
          <w:trHeight w:val="182"/>
        </w:trPr>
        <w:tc>
          <w:tcPr>
            <w:tcW w:w="7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Leases</w:t>
            </w:r>
          </w:p>
        </w:tc>
      </w:tr>
      <w:tr>
        <w:trPr>
          <w:trHeight w:val="162"/>
        </w:trPr>
        <w:tc>
          <w:tcPr>
            <w:tcW w:w="75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 (remaining 3 months)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1,287</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5,091</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4,447</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4,179</w:t>
            </w:r>
          </w:p>
        </w:tc>
      </w:tr>
      <w:tr>
        <w:trPr>
          <w:trHeight w:val="203"/>
        </w:trPr>
        <w:tc>
          <w:tcPr>
            <w:tcW w:w="7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3,285</w:t>
            </w: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4,137</w:t>
            </w:r>
          </w:p>
        </w:tc>
      </w:tr>
      <w:tr>
        <w:trPr>
          <w:trHeight w:val="20"/>
        </w:trPr>
        <w:tc>
          <w:tcPr>
            <w:tcW w:w="7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52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minimum lease payments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22,426</w:t>
            </w:r>
          </w:p>
        </w:tc>
      </w:tr>
      <w:tr>
        <w:trPr>
          <w:trHeight w:val="20"/>
        </w:trPr>
        <w:tc>
          <w:tcPr>
            <w:tcW w:w="7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80" w:firstLine="488"/>
        <w:spacing w:after="0" w:line="299" w:lineRule="auto"/>
        <w:rPr>
          <w:sz w:val="20"/>
          <w:szCs w:val="20"/>
          <w:color w:val="auto"/>
        </w:rPr>
      </w:pPr>
      <w:r>
        <w:rPr>
          <w:rFonts w:ascii="Arial" w:cs="Arial" w:eastAsia="Arial" w:hAnsi="Arial"/>
          <w:sz w:val="16"/>
          <w:szCs w:val="16"/>
          <w:color w:val="auto"/>
        </w:rPr>
        <w:t>Rent expense was $1.9 million and $4.6 million for the years ended January 31, 2017 and January 31, 2018, respectively. Rent expense was $3.2 million and $5.0 million for the nine months ended October 31, 2017 (unaudited) and October 31, 2018 (unaudited), respectively.</w:t>
      </w:r>
    </w:p>
    <w:p>
      <w:pPr>
        <w:spacing w:after="0" w:line="163" w:lineRule="exact"/>
        <w:rPr>
          <w:sz w:val="20"/>
          <w:szCs w:val="20"/>
          <w:color w:val="auto"/>
        </w:rPr>
      </w:pPr>
    </w:p>
    <w:p>
      <w:pPr>
        <w:jc w:val="both"/>
        <w:ind w:firstLine="488"/>
        <w:spacing w:after="0" w:line="238" w:lineRule="auto"/>
        <w:rPr>
          <w:sz w:val="20"/>
          <w:szCs w:val="20"/>
          <w:color w:val="auto"/>
        </w:rPr>
      </w:pPr>
      <w:r>
        <w:rPr>
          <w:rFonts w:ascii="Arial" w:cs="Arial" w:eastAsia="Arial" w:hAnsi="Arial"/>
          <w:sz w:val="18"/>
          <w:szCs w:val="18"/>
          <w:color w:val="auto"/>
        </w:rPr>
        <w:t>During the nine months ended October 31, 2018 (unaudited), the Company entered into lease agreements that would expand its facilities in Austin, Texas; Kirkland, Washington; Columbia, Maryland; Bucharest, Romania; and Minneapolis, Minnesota. Total lease commitments under these expanded facilities amount to $9.8 million through fiscal year 2027.</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32" w:lineRule="exact"/>
        <w:rPr>
          <w:sz w:val="20"/>
          <w:szCs w:val="20"/>
          <w:color w:val="auto"/>
        </w:rPr>
      </w:pPr>
    </w:p>
    <w:p>
      <w:pPr>
        <w:ind w:right="40" w:firstLine="484"/>
        <w:spacing w:after="0" w:line="237" w:lineRule="auto"/>
        <w:rPr>
          <w:sz w:val="20"/>
          <w:szCs w:val="20"/>
          <w:color w:val="auto"/>
        </w:rPr>
      </w:pPr>
      <w:r>
        <w:rPr>
          <w:rFonts w:ascii="Arial" w:cs="Arial" w:eastAsia="Arial" w:hAnsi="Arial"/>
          <w:sz w:val="18"/>
          <w:szCs w:val="18"/>
          <w:color w:val="auto"/>
        </w:rPr>
        <w:t>The Company enters into long-term non-cancelable agreements with providers to purchase data center capacity, such as bandwidth and colocation space, for the Company's cloud platform. The Company is committed to spend $197.0 million on such agreements through February 2023. Bandwidth and colocation costs are recorded to cost of revenue in the consolidated statements of operations. These obligations are included in purchase obligations below.</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43" w:right="4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580" w:firstLine="488"/>
        <w:spacing w:after="0" w:line="238" w:lineRule="auto"/>
        <w:rPr>
          <w:sz w:val="20"/>
          <w:szCs w:val="20"/>
          <w:color w:val="auto"/>
        </w:rPr>
      </w:pPr>
      <w:r>
        <w:rPr>
          <w:rFonts w:ascii="Arial" w:cs="Arial" w:eastAsia="Arial" w:hAnsi="Arial"/>
          <w:sz w:val="18"/>
          <w:szCs w:val="18"/>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as of January 31, 2018 with expected date of payment is as follows:</w:t>
      </w:r>
    </w:p>
    <w:p>
      <w:pPr>
        <w:spacing w:after="0" w:line="191"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182"/>
        </w:trPr>
        <w:tc>
          <w:tcPr>
            <w:tcW w:w="7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Commitments</w:t>
            </w:r>
          </w:p>
        </w:tc>
        <w:tc>
          <w:tcPr>
            <w:tcW w:w="160" w:type="dxa"/>
            <w:vAlign w:val="bottom"/>
          </w:tcPr>
          <w:p>
            <w:pPr>
              <w:spacing w:after="0"/>
              <w:rPr>
                <w:sz w:val="15"/>
                <w:szCs w:val="15"/>
                <w:color w:val="auto"/>
              </w:rPr>
            </w:pPr>
          </w:p>
        </w:tc>
      </w:tr>
      <w:tr>
        <w:trPr>
          <w:trHeight w:val="203"/>
        </w:trPr>
        <w:tc>
          <w:tcPr>
            <w:tcW w:w="7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33,389</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33,528</w:t>
            </w:r>
          </w:p>
        </w:tc>
      </w:tr>
      <w:tr>
        <w:trPr>
          <w:trHeight w:val="203"/>
        </w:trPr>
        <w:tc>
          <w:tcPr>
            <w:tcW w:w="7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46,680</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59,836</w:t>
            </w:r>
          </w:p>
        </w:tc>
      </w:tr>
      <w:tr>
        <w:trPr>
          <w:trHeight w:val="203"/>
        </w:trPr>
        <w:tc>
          <w:tcPr>
            <w:tcW w:w="7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27,102</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557</w:t>
            </w:r>
          </w:p>
        </w:tc>
      </w:tr>
      <w:tr>
        <w:trPr>
          <w:trHeight w:val="20"/>
        </w:trPr>
        <w:tc>
          <w:tcPr>
            <w:tcW w:w="7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56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purchase commitments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201,092</w:t>
            </w:r>
          </w:p>
        </w:tc>
      </w:tr>
      <w:tr>
        <w:trPr>
          <w:trHeight w:val="20"/>
        </w:trPr>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noncancelable purchase obligations as of October 31, 2018 (unaudited) with expected date of payment is as follows: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r>
      <w:tr>
        <w:trPr>
          <w:trHeight w:val="182"/>
        </w:trPr>
        <w:tc>
          <w:tcPr>
            <w:tcW w:w="7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Commitments</w:t>
            </w:r>
          </w:p>
        </w:tc>
        <w:tc>
          <w:tcPr>
            <w:tcW w:w="160" w:type="dxa"/>
            <w:vAlign w:val="bottom"/>
          </w:tcPr>
          <w:p>
            <w:pPr>
              <w:spacing w:after="0"/>
              <w:rPr>
                <w:sz w:val="15"/>
                <w:szCs w:val="15"/>
                <w:color w:val="auto"/>
              </w:rPr>
            </w:pPr>
          </w:p>
        </w:tc>
      </w:tr>
      <w:tr>
        <w:trPr>
          <w:trHeight w:val="203"/>
        </w:trPr>
        <w:tc>
          <w:tcPr>
            <w:tcW w:w="7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2019 (remaining 3 months)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14,056</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2020</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56,726</w:t>
            </w:r>
          </w:p>
        </w:tc>
      </w:tr>
      <w:tr>
        <w:trPr>
          <w:trHeight w:val="203"/>
        </w:trPr>
        <w:tc>
          <w:tcPr>
            <w:tcW w:w="7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70,355</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2022</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47,598</w:t>
            </w:r>
          </w:p>
        </w:tc>
      </w:tr>
      <w:tr>
        <w:trPr>
          <w:trHeight w:val="203"/>
        </w:trPr>
        <w:tc>
          <w:tcPr>
            <w:tcW w:w="7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7,513</w:t>
            </w: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7,319</w:t>
            </w:r>
          </w:p>
        </w:tc>
      </w:tr>
      <w:tr>
        <w:trPr>
          <w:trHeight w:val="20"/>
        </w:trPr>
        <w:tc>
          <w:tcPr>
            <w:tcW w:w="7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56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Total purchase commitments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203,567</w:t>
            </w:r>
          </w:p>
        </w:tc>
      </w:tr>
      <w:tr>
        <w:trPr>
          <w:trHeight w:val="20"/>
        </w:trPr>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32" w:lineRule="exact"/>
        <w:rPr>
          <w:sz w:val="20"/>
          <w:szCs w:val="20"/>
          <w:color w:val="auto"/>
        </w:rPr>
      </w:pPr>
    </w:p>
    <w:p>
      <w:pPr>
        <w:ind w:right="280" w:firstLine="478"/>
        <w:spacing w:after="0" w:line="238" w:lineRule="auto"/>
        <w:rPr>
          <w:sz w:val="20"/>
          <w:szCs w:val="20"/>
          <w:color w:val="auto"/>
        </w:rPr>
      </w:pPr>
      <w:r>
        <w:rPr>
          <w:rFonts w:ascii="Arial" w:cs="Arial" w:eastAsia="Arial" w:hAnsi="Arial"/>
          <w:sz w:val="18"/>
          <w:szCs w:val="18"/>
          <w:color w:val="auto"/>
        </w:rPr>
        <w:t>As of January 31, 2018, the Company had an unused standby letter of credit for $0.5 million securing its headquarters facility in Sunnyvale, California. As of October 31, 2018 (unaudited), the Company had unused standby letters of credit totaling $1.3 million securing its headquarters facility in Sunnyvale, California and its facility in Austin, Texas.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Litigation</w:t>
      </w:r>
    </w:p>
    <w:p>
      <w:pPr>
        <w:spacing w:after="0" w:line="232"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Company is currently involved with a patent infringement case before the Trademark Trial and Appeal Board of the U.S. Patent and Trademark Office (the "USPTO"). Fair Isaac Corporation ("Fair Issac") has a registered trademark for "Falcon" from 2007 claiming its first use in 1992, primarily in the area of fraud prevention. CrowdStrike has a registered trademark for "CrowdStrike Falcon" from 2014 with a first use in 2013 in the area of cybersecurity consulting and SaaS services. In November 2016, Fair Isaac filed a petition with the USPTO against the CrowdStrike Falcon registration claiming "natural expansion" into the area of cybersecurity. In addition, Fair Isaac filed a Petition of Opposition to the Company's application for registration of the mark "Falcon OverWatch." The matter is pending before the USPTO and the deadline to request an oral hearing is September 7, 2019. The Company is vigorously defending the case, but given the early stage,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although a loss may reasonably be possible, the Company is unable to predict the likelihood of success of Fair Issac's claims or estimate a loss or range of loss. As a result, no liability has been recorded as of January 31, 2017, January 31, 2018, or October 31, 2018 (unaudited).</w:t>
      </w:r>
    </w:p>
    <w:p>
      <w:pPr>
        <w:spacing w:after="0" w:line="209" w:lineRule="exact"/>
        <w:rPr>
          <w:sz w:val="20"/>
          <w:szCs w:val="20"/>
          <w:color w:val="auto"/>
        </w:rPr>
      </w:pPr>
    </w:p>
    <w:p>
      <w:pPr>
        <w:ind w:firstLine="488"/>
        <w:spacing w:after="0" w:line="269" w:lineRule="auto"/>
        <w:rPr>
          <w:sz w:val="20"/>
          <w:szCs w:val="20"/>
          <w:color w:val="auto"/>
        </w:rPr>
      </w:pPr>
      <w:r>
        <w:rPr>
          <w:rFonts w:ascii="Arial" w:cs="Arial" w:eastAsia="Arial" w:hAnsi="Arial"/>
          <w:sz w:val="16"/>
          <w:szCs w:val="16"/>
          <w:color w:val="auto"/>
        </w:rPr>
        <w:t>In addition, from time to time the Company is a party to various litigation matters and subject to claims that arise in the ordinary course of business. In addition, third parties may from time to time assert claims against the Company in the form of letters and other communications.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results of operations.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232" w:lineRule="exact"/>
        <w:rPr>
          <w:sz w:val="20"/>
          <w:szCs w:val="20"/>
          <w:color w:val="auto"/>
        </w:rPr>
      </w:pPr>
    </w:p>
    <w:p>
      <w:pPr>
        <w:ind w:right="180" w:firstLine="484"/>
        <w:spacing w:after="0" w:line="299" w:lineRule="auto"/>
        <w:rPr>
          <w:sz w:val="20"/>
          <w:szCs w:val="20"/>
          <w:color w:val="auto"/>
        </w:rPr>
      </w:pPr>
      <w:r>
        <w:rPr>
          <w:rFonts w:ascii="Arial" w:cs="Arial" w:eastAsia="Arial" w:hAnsi="Arial"/>
          <w:sz w:val="16"/>
          <w:szCs w:val="16"/>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63" w:lineRule="exact"/>
        <w:rPr>
          <w:sz w:val="20"/>
          <w:szCs w:val="20"/>
          <w:color w:val="auto"/>
        </w:rPr>
      </w:pPr>
    </w:p>
    <w:p>
      <w:pPr>
        <w:ind w:firstLine="484"/>
        <w:spacing w:after="0" w:line="238"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To date, the Company has not incurred any material costs because of such obligations and has not accrued any liabilities related to such obligations in the consolidated financial statements.</w:t>
      </w:r>
    </w:p>
    <w:p>
      <w:pPr>
        <w:spacing w:after="0" w:line="208" w:lineRule="exact"/>
        <w:rPr>
          <w:sz w:val="20"/>
          <w:szCs w:val="20"/>
          <w:color w:val="auto"/>
        </w:rPr>
      </w:pPr>
    </w:p>
    <w:p>
      <w:pPr>
        <w:ind w:firstLine="484"/>
        <w:spacing w:after="0" w:line="236"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January 31, 2017, January 31, 2018, or October 31, 2018 (unaudited).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Geographic Information</w:t>
      </w:r>
    </w:p>
    <w:p>
      <w:pPr>
        <w:spacing w:after="0" w:line="232" w:lineRule="exact"/>
        <w:rPr>
          <w:sz w:val="20"/>
          <w:szCs w:val="20"/>
          <w:color w:val="auto"/>
        </w:rPr>
      </w:pPr>
    </w:p>
    <w:p>
      <w:pPr>
        <w:ind w:right="280" w:firstLine="484"/>
        <w:spacing w:after="0" w:line="299" w:lineRule="auto"/>
        <w:rPr>
          <w:sz w:val="20"/>
          <w:szCs w:val="20"/>
          <w:color w:val="auto"/>
        </w:rPr>
      </w:pPr>
      <w:r>
        <w:rPr>
          <w:rFonts w:ascii="Arial" w:cs="Arial" w:eastAsia="Arial" w:hAnsi="Arial"/>
          <w:sz w:val="16"/>
          <w:szCs w:val="16"/>
          <w:color w:val="auto"/>
        </w:rPr>
        <w:t>The Company sells its products and services in the United States and internationally. The Company considers all billings to customers located outside the United States, including foreign subsidiaries of customers that have headquarters in the United States, to be international</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customers. The breakdown of total revenue between United States and international customers is as follows:</w:t>
      </w:r>
    </w:p>
    <w:p>
      <w:pPr>
        <w:spacing w:after="0" w:line="209" w:lineRule="exact"/>
        <w:rPr>
          <w:sz w:val="20"/>
          <w:szCs w:val="20"/>
          <w:color w:val="auto"/>
        </w:rPr>
      </w:pPr>
    </w:p>
    <w:tbl>
      <w:tblPr>
        <w:tblLayout w:type="fixed"/>
        <w:tblInd w:w="1120"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Year Ended January 31,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Nine Months Ended October 31,</w:t>
            </w:r>
          </w:p>
        </w:tc>
        <w:tc>
          <w:tcPr>
            <w:tcW w:w="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Revenue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Revenue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Revenue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Revenue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6"/>
                <w:szCs w:val="16"/>
                <w:color w:val="auto"/>
              </w:rPr>
            </w:pPr>
          </w:p>
        </w:tc>
        <w:tc>
          <w:tcPr>
            <w:tcW w:w="20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1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United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States</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45,981</w:t>
            </w:r>
          </w:p>
        </w:tc>
        <w:tc>
          <w:tcPr>
            <w:tcW w:w="1140" w:type="dxa"/>
            <w:vAlign w:val="bottom"/>
            <w:gridSpan w:val="3"/>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87%$</w:t>
            </w:r>
          </w:p>
        </w:tc>
        <w:tc>
          <w:tcPr>
            <w:tcW w:w="88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99,209</w:t>
            </w:r>
          </w:p>
        </w:tc>
        <w:tc>
          <w:tcPr>
            <w:tcW w:w="1140" w:type="dxa"/>
            <w:vAlign w:val="bottom"/>
            <w:gridSpan w:val="3"/>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84%$</w:t>
            </w:r>
          </w:p>
        </w:tc>
        <w:tc>
          <w:tcPr>
            <w:tcW w:w="70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69,326</w:t>
            </w:r>
          </w:p>
        </w:tc>
        <w:tc>
          <w:tcPr>
            <w:tcW w:w="1280" w:type="dxa"/>
            <w:vAlign w:val="bottom"/>
            <w:gridSpan w:val="4"/>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87%$</w:t>
            </w:r>
          </w:p>
        </w:tc>
        <w:tc>
          <w:tcPr>
            <w:tcW w:w="8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131,036</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6,764</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19,543</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10,709</w:t>
            </w: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38,333</w:t>
            </w:r>
          </w:p>
        </w:tc>
        <w:tc>
          <w:tcPr>
            <w:tcW w:w="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9"/>
        </w:trPr>
        <w:tc>
          <w:tcPr>
            <w:tcW w:w="11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4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52,745</w:t>
            </w:r>
          </w:p>
        </w:tc>
        <w:tc>
          <w:tcPr>
            <w:tcW w:w="1140" w:type="dxa"/>
            <w:vAlign w:val="bottom"/>
            <w:gridSpan w:val="3"/>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118,752</w:t>
            </w:r>
          </w:p>
        </w:tc>
        <w:tc>
          <w:tcPr>
            <w:tcW w:w="1140" w:type="dxa"/>
            <w:vAlign w:val="bottom"/>
            <w:gridSpan w:val="3"/>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80,035</w:t>
            </w:r>
          </w:p>
        </w:tc>
        <w:tc>
          <w:tcPr>
            <w:tcW w:w="1280" w:type="dxa"/>
            <w:vAlign w:val="bottom"/>
            <w:gridSpan w:val="4"/>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169,369</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long-lived assets are composed of property and equipment, net, and are summarized by geographic area as follows:</w:t>
      </w:r>
    </w:p>
    <w:p>
      <w:pPr>
        <w:spacing w:after="0" w:line="365" w:lineRule="exact"/>
        <w:rPr>
          <w:sz w:val="20"/>
          <w:szCs w:val="20"/>
          <w:color w:val="auto"/>
        </w:rPr>
      </w:pPr>
    </w:p>
    <w:tbl>
      <w:tblPr>
        <w:tblLayout w:type="fixed"/>
        <w:tblInd w:w="112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900" w:type="dxa"/>
            <w:vAlign w:val="bottom"/>
          </w:tcPr>
          <w:p>
            <w:pPr>
              <w:jc w:val="center"/>
              <w:ind w:right="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14,754</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39,333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56,641</w:t>
            </w:r>
          </w:p>
        </w:tc>
        <w:tc>
          <w:tcPr>
            <w:tcW w:w="0" w:type="dxa"/>
            <w:vAlign w:val="bottom"/>
          </w:tcPr>
          <w:p>
            <w:pPr>
              <w:spacing w:after="0"/>
              <w:rPr>
                <w:sz w:val="1"/>
                <w:szCs w:val="1"/>
                <w:color w:val="auto"/>
              </w:rPr>
            </w:pPr>
          </w:p>
        </w:tc>
      </w:tr>
      <w:tr>
        <w:trPr>
          <w:trHeight w:val="203"/>
        </w:trPr>
        <w:tc>
          <w:tcPr>
            <w:tcW w:w="5720" w:type="dxa"/>
            <w:vAlign w:val="bottom"/>
          </w:tcPr>
          <w:p>
            <w:pPr>
              <w:ind w:left="20"/>
              <w:spacing w:after="0" w:line="202" w:lineRule="exact"/>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326</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1,421</w:t>
            </w:r>
          </w:p>
        </w:tc>
        <w:tc>
          <w:tcPr>
            <w:tcW w:w="12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property and equipment, net</w:t>
            </w: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15,080</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40,754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59,805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Related Party Transactions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Subscription and Professional Services Revenue from Investors</w:t>
      </w:r>
    </w:p>
    <w:p>
      <w:pPr>
        <w:spacing w:after="0" w:line="232" w:lineRule="exact"/>
        <w:rPr>
          <w:sz w:val="20"/>
          <w:szCs w:val="20"/>
          <w:color w:val="auto"/>
        </w:rPr>
      </w:pPr>
    </w:p>
    <w:p>
      <w:pPr>
        <w:ind w:right="240" w:firstLine="488"/>
        <w:spacing w:after="0" w:line="236" w:lineRule="auto"/>
        <w:rPr>
          <w:sz w:val="20"/>
          <w:szCs w:val="20"/>
          <w:color w:val="auto"/>
        </w:rPr>
      </w:pPr>
      <w:r>
        <w:rPr>
          <w:rFonts w:ascii="Arial" w:cs="Arial" w:eastAsia="Arial" w:hAnsi="Arial"/>
          <w:sz w:val="18"/>
          <w:szCs w:val="18"/>
          <w:color w:val="auto"/>
        </w:rPr>
        <w:t>During the years ended January 31, 2017 and January 31, 2018 and during the nine months ended October 31, 2017 (unaudited) and October 31, 2018 (unaudited), certain investors and companies with whom the Company's Board of Directors are affiliated with, purchased subscriptions and professional services. The Company recorded revenue from subscriptions and professional services from related parties of $1.1 million and $2.5 million during the years ended January 31, 2017 and January 31, 2018, respectively, and $1.6 million and $4.1 million during the nine months ended October 31, 2017 (unaudited) and October 31, 2018 (unaudited), respectively. Accounts receivable associated with these related parties was $0.1 million, $2.3 million, and $5.2 million as of January 31, 2017, January 31, 2018, and October 31, 2018 (unaudited), respectively.</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232" w:lineRule="exact"/>
        <w:rPr>
          <w:sz w:val="20"/>
          <w:szCs w:val="20"/>
          <w:color w:val="auto"/>
        </w:rPr>
      </w:pPr>
    </w:p>
    <w:p>
      <w:pPr>
        <w:ind w:right="220" w:firstLine="488"/>
        <w:spacing w:after="0" w:line="275" w:lineRule="auto"/>
        <w:rPr>
          <w:sz w:val="20"/>
          <w:szCs w:val="20"/>
          <w:color w:val="auto"/>
        </w:rPr>
      </w:pPr>
      <w:r>
        <w:rPr>
          <w:rFonts w:ascii="Arial" w:cs="Arial" w:eastAsia="Arial" w:hAnsi="Arial"/>
          <w:sz w:val="16"/>
          <w:szCs w:val="16"/>
          <w:color w:val="auto"/>
        </w:rPr>
        <w:t>During the year ended January 31, 2017 and January 31, 2018, the Company purchased goods and services totaling $0.3 million and $1.1 million, respectively, and $0.3 million and $1.3 million during the nine months ended October 31, 2017 (unaudited) and October 31, 2018 (unaudited), respectively, from certain investors and companies with whom its Board of Directors are affiliated with. Accounts payable to such vendors was $0, $0.5 million, and $0 as of January 31, 2017, January 31, 2018, and October 31, 2018 (unaudited), respectively.</w:t>
      </w:r>
    </w:p>
    <w:p>
      <w:pPr>
        <w:spacing w:after="0" w:line="183"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In September 2018, the Company entered into an agreement under which a related party has agreed to provide a minimum of $8.8 million of services over the following 66 months (unaudited).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Notes Receivable from Related Parties</w:t>
      </w:r>
    </w:p>
    <w:p>
      <w:pPr>
        <w:spacing w:after="0" w:line="232" w:lineRule="exact"/>
        <w:rPr>
          <w:sz w:val="20"/>
          <w:szCs w:val="20"/>
          <w:color w:val="auto"/>
        </w:rPr>
      </w:pPr>
    </w:p>
    <w:p>
      <w:pPr>
        <w:ind w:firstLine="488"/>
        <w:spacing w:after="0" w:line="269" w:lineRule="auto"/>
        <w:rPr>
          <w:sz w:val="20"/>
          <w:szCs w:val="20"/>
          <w:color w:val="auto"/>
        </w:rPr>
      </w:pPr>
      <w:r>
        <w:rPr>
          <w:rFonts w:ascii="Arial" w:cs="Arial" w:eastAsia="Arial" w:hAnsi="Arial"/>
          <w:sz w:val="16"/>
          <w:szCs w:val="16"/>
          <w:color w:val="auto"/>
        </w:rPr>
        <w:t>In November 2015, the Company extended full recourse secured promissory notes (the "Notes") to its founders. These notes were not used for the purpose of exercising options. The Notes include market interest rates and were documented with agreements that include repayment provisions. The outstanding principal balance, together with all accrued and unpaid interest, are due in one lump sum payment on the due date, which is defined as the earliest to occur of the following: (i) thirty-six (36) months from the date of issuance; (ii) the borrower's termination as an employee; (iii) a bankruptcy or insolvency proceeding instituted by or against a borrower; (iv) consummation of a change in control; or (v) initial filing of a registration statement with the Securities and Exchange Commission. The Notes receivable from related parties balance was $2.0 million as of January 31, 2017. These notes receivable from related parties were paid in full as of January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Net Loss Per Share Attributable to Common Stockholders</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2"/>
        </w:trPr>
        <w:tc>
          <w:tcPr>
            <w:tcW w:w="4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15"/>
                <w:szCs w:val="15"/>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5"/>
          </w:tcPr>
          <w:p>
            <w:pPr>
              <w:jc w:val="right"/>
              <w:ind w:right="760"/>
              <w:spacing w:after="0" w:line="149"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40" w:type="dxa"/>
            <w:vAlign w:val="bottom"/>
            <w:gridSpan w:val="9"/>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(91,340)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(135,490)</w:t>
            </w:r>
          </w:p>
        </w:tc>
        <w:tc>
          <w:tcPr>
            <w:tcW w:w="2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(97,997)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(108,817)</w:t>
            </w: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(17,012)</w:t>
            </w: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(5,853)</w:t>
            </w:r>
          </w:p>
        </w:tc>
        <w:tc>
          <w:tcPr>
            <w:tcW w:w="2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(1,629)</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(108,352)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(141,343)</w:t>
            </w:r>
          </w:p>
        </w:tc>
        <w:tc>
          <w:tcPr>
            <w:tcW w:w="2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(99,626)</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(108,817)</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in computing net loss per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200"/>
              <w:spacing w:after="0" w:line="202" w:lineRule="exact"/>
              <w:rPr>
                <w:sz w:val="20"/>
                <w:szCs w:val="20"/>
                <w:color w:val="auto"/>
              </w:rPr>
            </w:pPr>
            <w:r>
              <w:rPr>
                <w:rFonts w:ascii="Arial" w:cs="Arial" w:eastAsia="Arial" w:hAnsi="Arial"/>
                <w:sz w:val="18"/>
                <w:szCs w:val="18"/>
                <w:color w:val="auto"/>
              </w:rPr>
              <w:t>share atttributable to common shareholders, basic and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tcPr>
          <w:p>
            <w:pPr>
              <w:ind w:left="200"/>
              <w:spacing w:after="0" w:line="200" w:lineRule="exact"/>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39,706</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41,876</w:t>
            </w: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41,483</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44,344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68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Net loss per share attributable to common shareholders,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80" w:firstLine="488"/>
        <w:spacing w:after="0" w:line="299" w:lineRule="auto"/>
        <w:rPr>
          <w:sz w:val="20"/>
          <w:szCs w:val="20"/>
          <w:color w:val="auto"/>
        </w:rPr>
      </w:pPr>
      <w:r>
        <w:rPr>
          <w:rFonts w:ascii="Arial" w:cs="Arial" w:eastAsia="Arial" w:hAnsi="Arial"/>
          <w:sz w:val="16"/>
          <w:szCs w:val="16"/>
          <w:color w:val="auto"/>
        </w:rPr>
        <w:t>Since the Company was in a loss position for all periods presented, basic net loss per share is the same as diluted net loss per share as the inclusion of all potential common shares outstanding would have been antidilutive. The potential shares of common stock that were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excluded from the computation of diluted net loss per share attributable to common stockholders for the periods presented because including them would have been antidilutive are as follows: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21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82"/>
        </w:trPr>
        <w:tc>
          <w:tcPr>
            <w:tcW w:w="5040" w:type="dxa"/>
            <w:vAlign w:val="bottom"/>
          </w:tcPr>
          <w:p>
            <w:pPr>
              <w:spacing w:after="0"/>
              <w:rPr>
                <w:sz w:val="15"/>
                <w:szCs w:val="15"/>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January 31,</w:t>
            </w:r>
          </w:p>
        </w:tc>
        <w:tc>
          <w:tcPr>
            <w:tcW w:w="21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October 31,</w:t>
            </w:r>
          </w:p>
        </w:tc>
      </w:tr>
      <w:tr>
        <w:trPr>
          <w:trHeight w:val="169"/>
        </w:trPr>
        <w:tc>
          <w:tcPr>
            <w:tcW w:w="50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4"/>
          </w:tcPr>
          <w:p>
            <w:pPr>
              <w:jc w:val="right"/>
              <w:ind w:right="720"/>
              <w:spacing w:after="0" w:line="149" w:lineRule="exact"/>
              <w:rPr>
                <w:sz w:val="20"/>
                <w:szCs w:val="20"/>
                <w:color w:val="auto"/>
              </w:rPr>
            </w:pPr>
            <w:r>
              <w:rPr>
                <w:rFonts w:ascii="Arial" w:cs="Arial" w:eastAsia="Arial" w:hAnsi="Arial"/>
                <w:sz w:val="14"/>
                <w:szCs w:val="14"/>
                <w:b w:val="1"/>
                <w:bCs w:val="1"/>
                <w:color w:val="auto"/>
              </w:rPr>
              <w:t>(unaudited)</w:t>
            </w:r>
          </w:p>
        </w:tc>
      </w:tr>
      <w:tr>
        <w:trPr>
          <w:trHeight w:val="175"/>
        </w:trPr>
        <w:tc>
          <w:tcPr>
            <w:tcW w:w="5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ind w:left="48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6"/>
        </w:trPr>
        <w:tc>
          <w:tcPr>
            <w:tcW w:w="5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Shares of common stock issuable upon conversion of</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50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redeemable convertible preferred stock</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95,729</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118,693</w:t>
            </w:r>
          </w:p>
        </w:tc>
        <w:tc>
          <w:tcPr>
            <w:tcW w:w="10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118,693</w:t>
            </w:r>
          </w:p>
        </w:tc>
        <w:tc>
          <w:tcPr>
            <w:tcW w:w="104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131,268</w:t>
            </w:r>
          </w:p>
        </w:tc>
      </w:tr>
      <w:tr>
        <w:trPr>
          <w:trHeight w:val="206"/>
        </w:trPr>
        <w:tc>
          <w:tcPr>
            <w:tcW w:w="5040" w:type="dxa"/>
            <w:vAlign w:val="bottom"/>
          </w:tcPr>
          <w:p>
            <w:pPr>
              <w:ind w:left="20"/>
              <w:spacing w:after="0" w:line="206" w:lineRule="exact"/>
              <w:rPr>
                <w:sz w:val="20"/>
                <w:szCs w:val="20"/>
                <w:color w:val="auto"/>
              </w:rPr>
            </w:pPr>
            <w:r>
              <w:rPr>
                <w:rFonts w:ascii="Arial" w:cs="Arial" w:eastAsia="Arial" w:hAnsi="Arial"/>
                <w:sz w:val="18"/>
                <w:szCs w:val="18"/>
                <w:color w:val="auto"/>
              </w:rPr>
              <w:t>Shares of common stock issuable upon conversion of</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5040" w:type="dxa"/>
            <w:vAlign w:val="bottom"/>
          </w:tcPr>
          <w:p>
            <w:pPr>
              <w:ind w:left="200"/>
              <w:spacing w:after="0" w:line="200" w:lineRule="exact"/>
              <w:rPr>
                <w:sz w:val="20"/>
                <w:szCs w:val="20"/>
                <w:color w:val="auto"/>
              </w:rPr>
            </w:pPr>
            <w:r>
              <w:rPr>
                <w:rFonts w:ascii="Arial" w:cs="Arial" w:eastAsia="Arial" w:hAnsi="Arial"/>
                <w:sz w:val="18"/>
                <w:szCs w:val="18"/>
                <w:color w:val="auto"/>
              </w:rPr>
              <w:t>redeemable convertible preferred stock warrants</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270</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336</w:t>
            </w:r>
          </w:p>
        </w:tc>
        <w:tc>
          <w:tcPr>
            <w:tcW w:w="10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336</w:t>
            </w:r>
          </w:p>
        </w:tc>
        <w:tc>
          <w:tcPr>
            <w:tcW w:w="10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336</w:t>
            </w:r>
          </w:p>
        </w:tc>
      </w:tr>
      <w:tr>
        <w:trPr>
          <w:trHeight w:val="206"/>
        </w:trPr>
        <w:tc>
          <w:tcPr>
            <w:tcW w:w="50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Shares of common stock subject to repurchase from</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50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outstanding stock options</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872</w:t>
            </w:r>
          </w:p>
        </w:tc>
        <w:tc>
          <w:tcPr>
            <w:tcW w:w="10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565</w:t>
            </w:r>
          </w:p>
        </w:tc>
        <w:tc>
          <w:tcPr>
            <w:tcW w:w="104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712</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RSAs subject to future vesting</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of common stock issuable from stock options</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19,347</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23,194</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21,066</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26,150</w:t>
            </w:r>
          </w:p>
        </w:tc>
      </w:tr>
      <w:tr>
        <w:trPr>
          <w:trHeight w:val="199"/>
        </w:trPr>
        <w:tc>
          <w:tcPr>
            <w:tcW w:w="5040" w:type="dxa"/>
            <w:vAlign w:val="bottom"/>
          </w:tcPr>
          <w:p>
            <w:pPr>
              <w:ind w:left="380"/>
              <w:spacing w:after="0" w:line="199" w:lineRule="exact"/>
              <w:rPr>
                <w:sz w:val="20"/>
                <w:szCs w:val="20"/>
                <w:color w:val="auto"/>
              </w:rPr>
            </w:pPr>
            <w:r>
              <w:rPr>
                <w:rFonts w:ascii="Arial" w:cs="Arial" w:eastAsia="Arial" w:hAnsi="Arial"/>
                <w:sz w:val="18"/>
                <w:szCs w:val="18"/>
                <w:color w:val="auto"/>
              </w:rPr>
              <w:t>Potential common shares excluded from diluted net loss</w:t>
            </w: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5040" w:type="dxa"/>
            <w:vAlign w:val="bottom"/>
          </w:tcPr>
          <w:p>
            <w:pPr>
              <w:ind w:left="560"/>
              <w:spacing w:after="0" w:line="200" w:lineRule="exact"/>
              <w:rPr>
                <w:sz w:val="20"/>
                <w:szCs w:val="20"/>
                <w:color w:val="auto"/>
              </w:rPr>
            </w:pPr>
            <w:r>
              <w:rPr>
                <w:rFonts w:ascii="Arial" w:cs="Arial" w:eastAsia="Arial" w:hAnsi="Arial"/>
                <w:sz w:val="18"/>
                <w:szCs w:val="18"/>
                <w:color w:val="auto"/>
              </w:rPr>
              <w:t>per share</w:t>
            </w: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115,347</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143,095</w:t>
            </w:r>
          </w:p>
        </w:tc>
        <w:tc>
          <w:tcPr>
            <w:tcW w:w="10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140,660</w:t>
            </w:r>
          </w:p>
        </w:tc>
        <w:tc>
          <w:tcPr>
            <w:tcW w:w="10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158,494</w:t>
            </w:r>
          </w:p>
        </w:tc>
      </w:tr>
      <w:tr>
        <w:trPr>
          <w:trHeight w:val="20"/>
        </w:trPr>
        <w:tc>
          <w:tcPr>
            <w:tcW w:w="5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60" w:firstLine="484"/>
        <w:spacing w:after="0" w:line="238" w:lineRule="auto"/>
        <w:rPr>
          <w:sz w:val="20"/>
          <w:szCs w:val="20"/>
          <w:color w:val="auto"/>
        </w:rPr>
      </w:pPr>
      <w:r>
        <w:rPr>
          <w:rFonts w:ascii="Arial" w:cs="Arial" w:eastAsia="Arial" w:hAnsi="Arial"/>
          <w:sz w:val="18"/>
          <w:szCs w:val="18"/>
          <w:color w:val="auto"/>
        </w:rPr>
        <w:t>The table above does not include 3,826,547 RSUs outstanding as of October 31, 2018 (unaudited), as these RSUs are subject to a performance-based vesting condition that was not considered probable as of that date. No RSUs were outstanding as of January 31, 2017, October 31, 2017 (unaudited), or January 31, 2018.</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unaudited pro forma basic and diluted net loss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8"/>
              </w:rPr>
              <w:t>Nine</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6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January 31,</w:t>
            </w:r>
          </w:p>
        </w:tc>
        <w:tc>
          <w:tcPr>
            <w:tcW w:w="222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80" w:type="dxa"/>
            <w:vAlign w:val="bottom"/>
            <w:gridSpan w:val="6"/>
          </w:tcPr>
          <w:p>
            <w:pPr>
              <w:jc w:val="center"/>
              <w:ind w:right="1400"/>
              <w:spacing w:after="0" w:line="149" w:lineRule="exact"/>
              <w:rPr>
                <w:sz w:val="20"/>
                <w:szCs w:val="20"/>
                <w:color w:val="auto"/>
              </w:rPr>
            </w:pPr>
            <w:r>
              <w:rPr>
                <w:rFonts w:ascii="Arial" w:cs="Arial" w:eastAsia="Arial" w:hAnsi="Arial"/>
                <w:sz w:val="14"/>
                <w:szCs w:val="14"/>
                <w:b w:val="1"/>
                <w:bCs w:val="1"/>
                <w:color w:val="auto"/>
              </w:rPr>
              <w:t>(in thousands, except per</w:t>
            </w: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6"/>
          </w:tcPr>
          <w:p>
            <w:pPr>
              <w:jc w:val="center"/>
              <w:ind w:right="1400"/>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Net loss attributable to common shareholders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(141,343)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(108,817)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5,853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Change in fair value of redeemable convertible preferred stock warrants</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264</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2,935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(135,226)</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(105,882)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2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68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Weighted-average shares used in computing net loss per share attributable to</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68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common shareholders, basic and diluted</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41,876</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44,344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6820" w:type="dxa"/>
            <w:vAlign w:val="bottom"/>
          </w:tcPr>
          <w:p>
            <w:pPr>
              <w:ind w:left="20"/>
              <w:spacing w:after="0" w:line="206" w:lineRule="exact"/>
              <w:rPr>
                <w:sz w:val="20"/>
                <w:szCs w:val="20"/>
                <w:color w:val="auto"/>
              </w:rPr>
            </w:pPr>
            <w:r>
              <w:rPr>
                <w:rFonts w:ascii="Arial" w:cs="Arial" w:eastAsia="Arial" w:hAnsi="Arial"/>
                <w:sz w:val="18"/>
                <w:szCs w:val="18"/>
                <w:color w:val="auto"/>
              </w:rPr>
              <w:t>Pro forma weighted adjustment to reflect assumed conversion of redeemable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6820" w:type="dxa"/>
            <w:vAlign w:val="bottom"/>
          </w:tcPr>
          <w:p>
            <w:pPr>
              <w:ind w:left="200"/>
              <w:spacing w:after="0" w:line="200" w:lineRule="exact"/>
              <w:rPr>
                <w:sz w:val="20"/>
                <w:szCs w:val="20"/>
                <w:color w:val="auto"/>
              </w:rPr>
            </w:pPr>
            <w:r>
              <w:rPr>
                <w:rFonts w:ascii="Arial" w:cs="Arial" w:eastAsia="Arial" w:hAnsi="Arial"/>
                <w:sz w:val="18"/>
                <w:szCs w:val="18"/>
                <w:color w:val="auto"/>
              </w:rPr>
              <w:t>convertible preferred stock</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110,173</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124,679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6820" w:type="dxa"/>
            <w:vAlign w:val="bottom"/>
            <w:shd w:val="clear" w:color="auto" w:fill="CCEEFF"/>
          </w:tcPr>
          <w:p>
            <w:pPr>
              <w:ind w:left="560"/>
              <w:spacing w:after="0" w:line="199" w:lineRule="exact"/>
              <w:rPr>
                <w:sz w:val="20"/>
                <w:szCs w:val="20"/>
                <w:color w:val="auto"/>
              </w:rPr>
            </w:pPr>
            <w:r>
              <w:rPr>
                <w:rFonts w:ascii="Arial" w:cs="Arial" w:eastAsia="Arial" w:hAnsi="Arial"/>
                <w:sz w:val="18"/>
                <w:szCs w:val="18"/>
                <w:color w:val="auto"/>
              </w:rPr>
              <w:t>Weighted-average shares used in computing pro forma net loss per share,</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20" w:type="dxa"/>
            <w:vAlign w:val="bottom"/>
          </w:tcPr>
          <w:p>
            <w:pPr>
              <w:spacing w:after="0"/>
              <w:rPr>
                <w:sz w:val="17"/>
                <w:szCs w:val="17"/>
                <w:color w:val="auto"/>
              </w:rPr>
            </w:pPr>
          </w:p>
        </w:tc>
        <w:tc>
          <w:tcPr>
            <w:tcW w:w="6820" w:type="dxa"/>
            <w:vAlign w:val="bottom"/>
            <w:shd w:val="clear" w:color="auto" w:fill="CCEEFF"/>
          </w:tcPr>
          <w:p>
            <w:pPr>
              <w:ind w:left="740"/>
              <w:spacing w:after="0" w:line="200" w:lineRule="exact"/>
              <w:rPr>
                <w:sz w:val="20"/>
                <w:szCs w:val="20"/>
                <w:color w:val="auto"/>
              </w:rPr>
            </w:pPr>
            <w:r>
              <w:rPr>
                <w:rFonts w:ascii="Arial" w:cs="Arial" w:eastAsia="Arial" w:hAnsi="Arial"/>
                <w:sz w:val="18"/>
                <w:szCs w:val="18"/>
                <w:color w:val="auto"/>
              </w:rPr>
              <w:t>basic and diluted</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152,049</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169,023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20" w:type="dxa"/>
            <w:vAlign w:val="bottom"/>
            <w:vMerge w:val="restart"/>
          </w:tcPr>
          <w:p>
            <w:pPr>
              <w:ind w:left="20"/>
              <w:spacing w:after="0"/>
              <w:rPr>
                <w:sz w:val="20"/>
                <w:szCs w:val="20"/>
                <w:color w:val="auto"/>
              </w:rPr>
            </w:pPr>
            <w:r>
              <w:rPr>
                <w:rFonts w:ascii="Arial" w:cs="Arial" w:eastAsia="Arial" w:hAnsi="Arial"/>
                <w:sz w:val="18"/>
                <w:szCs w:val="18"/>
                <w:color w:val="auto"/>
              </w:rPr>
              <w:t>Pro forma net loss per share,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6820" w:type="dxa"/>
            <w:vAlign w:val="bottom"/>
            <w:vMerge w:val="continue"/>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(0.89)</w:t>
            </w:r>
          </w:p>
        </w:tc>
        <w:tc>
          <w:tcPr>
            <w:tcW w:w="160" w:type="dxa"/>
            <w:vAlign w:val="bottom"/>
          </w:tcPr>
          <w:p>
            <w:pPr>
              <w:jc w:val="right"/>
              <w:spacing w:after="0" w:line="183"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(0.63)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20" w:type="dxa"/>
            <w:vAlign w:val="bottom"/>
            <w:vMerge w:val="restart"/>
          </w:tcPr>
          <w:p>
            <w:pPr>
              <w:ind w:left="4320"/>
              <w:spacing w:after="0"/>
              <w:rPr>
                <w:sz w:val="20"/>
                <w:szCs w:val="20"/>
                <w:color w:val="auto"/>
              </w:rPr>
            </w:pPr>
            <w:r>
              <w:rPr>
                <w:rFonts w:ascii="Arial" w:cs="Arial" w:eastAsia="Arial" w:hAnsi="Arial"/>
                <w:sz w:val="18"/>
                <w:szCs w:val="18"/>
                <w:color w:val="auto"/>
              </w:rPr>
              <w:t>F-54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68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Subsequent Events</w:t>
      </w:r>
    </w:p>
    <w:p>
      <w:pPr>
        <w:spacing w:after="0" w:line="232" w:lineRule="exact"/>
        <w:rPr>
          <w:sz w:val="20"/>
          <w:szCs w:val="20"/>
          <w:color w:val="auto"/>
        </w:rPr>
      </w:pPr>
    </w:p>
    <w:p>
      <w:pPr>
        <w:ind w:right="540" w:firstLine="484"/>
        <w:spacing w:after="0" w:line="239" w:lineRule="auto"/>
        <w:rPr>
          <w:sz w:val="20"/>
          <w:szCs w:val="20"/>
          <w:color w:val="auto"/>
        </w:rPr>
      </w:pPr>
      <w:r>
        <w:rPr>
          <w:rFonts w:ascii="Arial" w:cs="Arial" w:eastAsia="Arial" w:hAnsi="Arial"/>
          <w:sz w:val="18"/>
          <w:szCs w:val="18"/>
          <w:color w:val="auto"/>
        </w:rPr>
        <w:t>The Company has evaluated events subsequent through February 25, 2019, the date these consolidated financial statements were available to be issued.</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Series E and Series E-1 Redeemable Convertible Preferred Stock Issuance</w:t>
      </w:r>
    </w:p>
    <w:p>
      <w:pPr>
        <w:spacing w:after="0" w:line="232"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In June 2018, the Company completed the issuance of 8,372,573 shares of its Series E redeemable convertible preferred stock ("Series E Preferred Stock") at a price of $16.46 per share and the issuance of 3,777,086 shares of its Series E-1 redeemable convertible preferred stock ("Series E-1 Preferred Stock") at a price of $16.46 per share for net proceeds of $199.9 million. In September 2018, the Company issued an additional 425,238 shares of its Series E Preferred Stock at a price of $16.46 per share for net proceeds of $7.0 million.</w:t>
      </w:r>
    </w:p>
    <w:p>
      <w:pPr>
        <w:spacing w:after="0" w:line="208" w:lineRule="exact"/>
        <w:rPr>
          <w:sz w:val="20"/>
          <w:szCs w:val="20"/>
          <w:color w:val="auto"/>
        </w:rPr>
      </w:pPr>
    </w:p>
    <w:p>
      <w:pPr>
        <w:ind w:firstLine="488"/>
        <w:spacing w:after="0" w:line="266" w:lineRule="auto"/>
        <w:rPr>
          <w:sz w:val="20"/>
          <w:szCs w:val="20"/>
          <w:color w:val="auto"/>
        </w:rPr>
      </w:pPr>
      <w:r>
        <w:rPr>
          <w:rFonts w:ascii="Arial" w:cs="Arial" w:eastAsia="Arial" w:hAnsi="Arial"/>
          <w:sz w:val="16"/>
          <w:szCs w:val="16"/>
          <w:color w:val="auto"/>
        </w:rPr>
        <w:t>In connection with these financings, the Company amended and restated its certificate of incorporation to, among other things, (i) increase the number of shares of common stock that the Company is authorized to issue to an aggregate of 220,000,000 shares, (ii) increase the number of shares of Preferred Stock that the Company is authorized to issue to an aggregate of 137,418,875 shares, (iii) authorize and create two new series of redeemable convertible preferred stock designated as "Series E Convertible Preferred Stock" and "Series E-1 Convertible Preferred Stock," consisting of 14,579,598 and 3,777,086 shares authorized for issuance, respectively, (iv) provide that each holder of outstanding shares of Series E Preferred Stock is entitled to cast the number of votes equal to the number of whole shares of common stock into which the shares of Preferred Stock held by such holder are convertible, and that the holders of outstanding shares of Series E-1 Preferred Stock are not entitled to vote except to the extent specified in the certificate of incorporation or required under applicable law, (v) establish that holders of the Series E and E-1 Preferred Stock are entitled to receive dividends, when and if declared by the Board of Directors, consistent with the terms of the other series of Preferred Stock, (vi) provide that in the event of any voluntary or involuntary liquidation, dissolution, or winding up of the Company, the holders of the Series E and E-1 Preferred Stock, prior to any distribution to the holders of common stock, are entitled to paid a per share liquidation preference in cash in an amount equal to the greater of (a) one (1) times the Series E or E-1 original issue price, plus in each case any dividends declared but unpaid thereon, and (b) such amount per share as would have been payable had all shares of Series E or Series E-1 Preferred Stock, as applicable, been converted into common stock immediately prior to such liquidation, dissolution, or winding up, (vii) change the supermajority definition, which impacts among other things redemption and automatic conversion of the Preferred Stock, to 55% (from 65%) of the outstanding shares of Preferred Stock voting together as a single class and on an as-converted basis, and the redemption timeframe for the Preferred Stock to any time on or after the twelfth (12th) anniversary (from the 10th anniversary) of the Series A-1 Preferred Stock original issue date, and (viii) establish the other rights, preferences, and privileges of the Preferred Stock. As of October 31, 2018, all shares of Series E-1 Preferred Stock had been converted into shares of Series E Preferred Stock.</w:t>
      </w:r>
    </w:p>
    <w:p>
      <w:pPr>
        <w:spacing w:after="0" w:line="3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Tender Offer Transaction</w:t>
      </w:r>
    </w:p>
    <w:p>
      <w:pPr>
        <w:spacing w:after="0" w:line="232" w:lineRule="exact"/>
        <w:rPr>
          <w:sz w:val="20"/>
          <w:szCs w:val="20"/>
          <w:color w:val="auto"/>
        </w:rPr>
      </w:pPr>
    </w:p>
    <w:p>
      <w:pPr>
        <w:ind w:right="500" w:firstLine="488"/>
        <w:spacing w:after="0" w:line="237" w:lineRule="auto"/>
        <w:rPr>
          <w:sz w:val="20"/>
          <w:szCs w:val="20"/>
          <w:color w:val="auto"/>
        </w:rPr>
      </w:pPr>
      <w:r>
        <w:rPr>
          <w:rFonts w:ascii="Arial" w:cs="Arial" w:eastAsia="Arial" w:hAnsi="Arial"/>
          <w:sz w:val="18"/>
          <w:szCs w:val="18"/>
          <w:color w:val="auto"/>
        </w:rPr>
        <w:t>In October 2018, the Company facilitated a tender offer of its common stock. Under the terms of the offer, certain existing Series E Preferred Stock investors purchased an aggregate of 2.4 million shares of common stock from certain eligible employees and directors for $15.64 per share for an aggregate purchase price of $37.6 million. The Company recognized stock-based compensation expense of $10.8 million in connection with the tender offer, which represented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43" w:right="37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difference between the purchase price and the fair value of the common stock on the date of the sale.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32"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In July 2018, the Company repaid the entire balance due as of January 31, 2018 on its revolving line of credit of $10.0 million and the entire balance due as of January 31, 2018 on its term loan of $6.2 million. No further amounts are available for borrowing under the term loan. A total of $20.0 million is still available for borrowing under the revolving line of credit.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32" w:lineRule="exact"/>
        <w:rPr>
          <w:sz w:val="20"/>
          <w:szCs w:val="20"/>
          <w:color w:val="auto"/>
        </w:rPr>
      </w:pPr>
    </w:p>
    <w:p>
      <w:pPr>
        <w:ind w:right="280" w:firstLine="488"/>
        <w:spacing w:after="0" w:line="238" w:lineRule="auto"/>
        <w:rPr>
          <w:sz w:val="20"/>
          <w:szCs w:val="20"/>
          <w:color w:val="auto"/>
        </w:rPr>
      </w:pPr>
      <w:r>
        <w:rPr>
          <w:rFonts w:ascii="Arial" w:cs="Arial" w:eastAsia="Arial" w:hAnsi="Arial"/>
          <w:sz w:val="18"/>
          <w:szCs w:val="18"/>
          <w:color w:val="auto"/>
        </w:rPr>
        <w:t>During the nine months ended October 31, 2018, the Company entered into lease agreements that would expand its facilities in Austin, Texas; Kirkland, Washington; Columbia, Maryland; Bucharest, Romania; and Minneapolis, Minnesota. Total lease commitments under these expanded facilities amount to $9.8 million through fiscal year 2027.</w:t>
      </w:r>
    </w:p>
    <w:p>
      <w:pPr>
        <w:spacing w:after="0" w:line="208" w:lineRule="exact"/>
        <w:rPr>
          <w:sz w:val="20"/>
          <w:szCs w:val="20"/>
          <w:color w:val="auto"/>
        </w:rPr>
      </w:pPr>
    </w:p>
    <w:p>
      <w:pPr>
        <w:ind w:right="300" w:firstLine="488"/>
        <w:spacing w:after="0" w:line="239" w:lineRule="auto"/>
        <w:rPr>
          <w:sz w:val="20"/>
          <w:szCs w:val="20"/>
          <w:color w:val="auto"/>
        </w:rPr>
      </w:pPr>
      <w:r>
        <w:rPr>
          <w:rFonts w:ascii="Arial" w:cs="Arial" w:eastAsia="Arial" w:hAnsi="Arial"/>
          <w:sz w:val="18"/>
          <w:szCs w:val="18"/>
          <w:color w:val="auto"/>
        </w:rPr>
        <w:t>In November 2018, the Company entered into a lease agreement that would expand its facility in Sunnyvale, California. The total lease commitment under this facility amounts to $3.7 million through fiscal year 2024.</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 Awards and Option Grants</w:t>
      </w:r>
    </w:p>
    <w:p>
      <w:pPr>
        <w:spacing w:after="0" w:line="232"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From February 1, 2018 through February 25, 2019, the Company granted stock options to purchase an aggregate of 8,233,136 shares of common stock with a weighted-average exercise price of $9.24 per share. These options have an aggregate grant date fair value of $45.6 million that is expected to be recognized over a weighted-average requisite service period of four years.</w:t>
      </w:r>
    </w:p>
    <w:p>
      <w:pPr>
        <w:spacing w:after="0" w:line="208" w:lineRule="exact"/>
        <w:rPr>
          <w:sz w:val="20"/>
          <w:szCs w:val="20"/>
          <w:color w:val="auto"/>
        </w:rPr>
      </w:pPr>
    </w:p>
    <w:p>
      <w:pPr>
        <w:ind w:right="160" w:firstLine="488"/>
        <w:spacing w:after="0" w:line="269" w:lineRule="auto"/>
        <w:rPr>
          <w:sz w:val="20"/>
          <w:szCs w:val="20"/>
          <w:color w:val="auto"/>
        </w:rPr>
      </w:pPr>
      <w:r>
        <w:rPr>
          <w:rFonts w:ascii="Arial" w:cs="Arial" w:eastAsia="Arial" w:hAnsi="Arial"/>
          <w:sz w:val="16"/>
          <w:szCs w:val="16"/>
          <w:color w:val="auto"/>
        </w:rPr>
        <w:t>From February 1, 2018 through February 25, 2019, the Company granted 4,063,983 RSUs with an aggregate grant date fair value of $45.6 million. In addition to a service-based vesting condition, these RSUs also include a performance-based vesting condition whereby a portion of the award will vest upon (i) a change in control, in which the consideration paid to holders of shares is either cash, publicly traded securities, or a combination thereof, or (ii) the first vesting date (defined as March 20, June 20, September 20, or December 20) to occur following the expiration of the lock-up period upon an IPO, subject to continued service through such change in control or lock-up expiration, as applicable. None of the RSUs vest unless the performance-based vesting condition is satisfied. The Company will record stock-based compensation expense related to these RSUs beginning in the period when its IPO is completed for the portion of the awards for which the relevant service-based vesting condition has been satisfied with the remaining expense recognized over the remaining requisite service period.</w:t>
      </w:r>
    </w:p>
    <w:p>
      <w:pPr>
        <w:spacing w:after="0" w:line="186" w:lineRule="exact"/>
        <w:rPr>
          <w:sz w:val="20"/>
          <w:szCs w:val="20"/>
          <w:color w:val="auto"/>
        </w:rPr>
      </w:pPr>
    </w:p>
    <w:p>
      <w:pPr>
        <w:ind w:right="720" w:firstLine="488"/>
        <w:spacing w:after="0" w:line="239" w:lineRule="auto"/>
        <w:rPr>
          <w:sz w:val="20"/>
          <w:szCs w:val="20"/>
          <w:color w:val="auto"/>
        </w:rPr>
      </w:pPr>
      <w:r>
        <w:rPr>
          <w:rFonts w:ascii="Arial" w:cs="Arial" w:eastAsia="Arial" w:hAnsi="Arial"/>
          <w:sz w:val="18"/>
          <w:szCs w:val="18"/>
          <w:color w:val="auto"/>
        </w:rPr>
        <w:t>From February 1, 2018 through February 25, 2019, the Company granted 36,000 RSAs with an aggregate grant date fair value of $0.4 million that is expected to be recognized over a weighted-average requisite service period of three years.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431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80"/>
        <w:spacing w:after="0"/>
        <w:rPr>
          <w:sz w:val="20"/>
          <w:szCs w:val="20"/>
          <w:color w:val="auto"/>
        </w:rPr>
      </w:pPr>
      <w:r>
        <w:rPr>
          <w:rFonts w:ascii="Arial" w:cs="Arial" w:eastAsia="Arial" w:hAnsi="Arial"/>
          <w:sz w:val="24"/>
          <w:szCs w:val="24"/>
          <w:color w:val="auto"/>
        </w:rPr>
        <w:t>Shares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CrowdStrike Holdings, Inc.</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144145</wp:posOffset>
            </wp:positionV>
            <wp:extent cx="15087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1507490</wp:posOffset>
            </wp:positionV>
            <wp:extent cx="15087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163195</wp:posOffset>
            </wp:positionV>
            <wp:extent cx="15087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87"/>
        <w:spacing w:after="0" w:line="249" w:lineRule="auto"/>
        <w:rPr>
          <w:sz w:val="20"/>
          <w:szCs w:val="20"/>
          <w:color w:val="auto"/>
        </w:rPr>
      </w:pPr>
      <w:r>
        <w:rPr>
          <w:rFonts w:ascii="Arial" w:cs="Arial" w:eastAsia="Arial" w:hAnsi="Arial"/>
          <w:sz w:val="18"/>
          <w:szCs w:val="18"/>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492125</wp:posOffset>
            </wp:positionV>
            <wp:extent cx="713613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43" w:right="4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34" w:lineRule="exact"/>
        <w:rPr>
          <w:sz w:val="20"/>
          <w:szCs w:val="20"/>
          <w:color w:val="auto"/>
        </w:rPr>
      </w:pPr>
    </w:p>
    <w:p>
      <w:pPr>
        <w:ind w:right="180" w:firstLine="484"/>
        <w:spacing w:after="0" w:line="238" w:lineRule="auto"/>
        <w:rPr>
          <w:sz w:val="20"/>
          <w:szCs w:val="20"/>
          <w:color w:val="auto"/>
        </w:rPr>
      </w:pPr>
      <w:r>
        <w:rPr>
          <w:rFonts w:ascii="Arial" w:cs="Arial" w:eastAsia="Arial" w:hAnsi="Arial"/>
          <w:sz w:val="18"/>
          <w:szCs w:val="18"/>
          <w:color w:val="auto"/>
        </w:rPr>
        <w:t>The following table sets forth all expenses to be paid by the Registrant, other than underwriting discounts and commissions, upon the completion of this offering. All amounts shown are estimates except for the SEC registration fee, the FINRA filing fee and the exchange listing fee.</w:t>
      </w:r>
    </w:p>
    <w:p>
      <w:pPr>
        <w:sectPr>
          <w:pgSz w:w="11900" w:h="16838" w:orient="portrait"/>
          <w:cols w:equalWidth="0" w:num="1">
            <w:col w:w="11140"/>
          </w:cols>
          <w:pgMar w:left="320" w:top="143" w:right="4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-130175</wp:posOffset>
            </wp:positionV>
            <wp:extent cx="5700395"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wp:posOffset>
            </wp:positionV>
            <wp:extent cx="5700395"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Exchange listing fee</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9525</wp:posOffset>
            </wp:positionV>
            <wp:extent cx="5700395"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Legal fees and expenses</w:t>
      </w:r>
    </w:p>
    <w:p>
      <w:pPr>
        <w:ind w:left="1140"/>
        <w:spacing w:after="0" w:line="234"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wp:posOffset>
            </wp:positionV>
            <wp:extent cx="5700395"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Transfer agent and registrar fees</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3810</wp:posOffset>
            </wp:positionV>
            <wp:extent cx="5700395"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89535</wp:posOffset>
            </wp:positionV>
            <wp:extent cx="5911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1195"/>
        <w:spacing w:after="0"/>
        <w:rPr>
          <w:sz w:val="20"/>
          <w:szCs w:val="20"/>
          <w:color w:val="auto"/>
        </w:rPr>
      </w:pPr>
      <w:r>
        <w:rPr>
          <w:rFonts w:ascii="Arial" w:cs="Arial" w:eastAsia="Arial" w:hAnsi="Arial"/>
          <w:sz w:val="14"/>
          <w:szCs w:val="14"/>
          <w:b w:val="1"/>
          <w:bCs w:val="1"/>
          <w:color w:val="auto"/>
        </w:rPr>
        <w:t>Amount</w:t>
      </w:r>
    </w:p>
    <w:p>
      <w:pPr>
        <w:spacing w:after="0" w:line="19" w:lineRule="exact"/>
        <w:rPr>
          <w:sz w:val="20"/>
          <w:szCs w:val="20"/>
          <w:color w:val="auto"/>
        </w:rPr>
      </w:pPr>
    </w:p>
    <w:p>
      <w:pPr>
        <w:jc w:val="center"/>
        <w:ind w:right="1195"/>
        <w:spacing w:after="0"/>
        <w:rPr>
          <w:sz w:val="20"/>
          <w:szCs w:val="20"/>
          <w:color w:val="auto"/>
        </w:rPr>
      </w:pPr>
      <w:r>
        <w:rPr>
          <w:rFonts w:ascii="Arial" w:cs="Arial" w:eastAsia="Arial" w:hAnsi="Arial"/>
          <w:sz w:val="14"/>
          <w:szCs w:val="14"/>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8229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2960" cy="17145"/>
                    </a:xfrm>
                    <a:prstGeom prst="rect">
                      <a:avLst/>
                    </a:prstGeom>
                    <a:noFill/>
                  </pic:spPr>
                </pic:pic>
              </a:graphicData>
            </a:graphic>
          </wp:anchor>
        </w:drawing>
      </w:r>
    </w:p>
    <w:p>
      <w:pPr>
        <w:spacing w:after="0" w:line="2" w:lineRule="exact"/>
        <w:rPr>
          <w:sz w:val="20"/>
          <w:szCs w:val="20"/>
          <w:color w:val="auto"/>
        </w:rPr>
      </w:pPr>
    </w:p>
    <w:p>
      <w:pPr>
        <w:ind w:left="765" w:hanging="765"/>
        <w:spacing w:after="0"/>
        <w:tabs>
          <w:tab w:leader="none" w:pos="76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p>
    <w:p>
      <w:pPr>
        <w:ind w:left="765"/>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765"/>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765"/>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765"/>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765"/>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765"/>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765"/>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8229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765" w:hanging="765"/>
        <w:spacing w:after="0"/>
        <w:tabs>
          <w:tab w:leader="none" w:pos="7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8229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8229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35" w:space="720"/>
            <w:col w:w="2485"/>
          </w:cols>
          <w:pgMar w:left="320" w:top="143" w:right="439" w:bottom="1440" w:gutter="0" w:footer="0" w:header="0"/>
          <w:type w:val="continuous"/>
        </w:sectPr>
      </w:pPr>
    </w:p>
    <w:p>
      <w:pPr>
        <w:spacing w:after="0" w:line="175" w:lineRule="exact"/>
        <w:rPr>
          <w:sz w:val="20"/>
          <w:szCs w:val="20"/>
          <w:color w:val="auto"/>
        </w:rPr>
      </w:pPr>
    </w:p>
    <w:p>
      <w:pPr>
        <w:ind w:left="1680" w:hanging="549"/>
        <w:spacing w:after="0"/>
        <w:tabs>
          <w:tab w:leader="none" w:pos="16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4" w:lineRule="exact"/>
        <w:rPr>
          <w:sz w:val="20"/>
          <w:szCs w:val="20"/>
          <w:color w:val="auto"/>
        </w:rPr>
      </w:pPr>
    </w:p>
    <w:p>
      <w:pPr>
        <w:ind w:right="300" w:firstLine="488"/>
        <w:spacing w:after="0" w:line="239"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209"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On the completion of this offering, as permitted by Section 102(b)(7) of the Delaware General Corporation Law, the Registrant's amended and restated certificate of incorporation will include provisions that eliminate the personal liability of its directors and officers for monetary damages for breach of their fiduciary duty as directors and officers.</w:t>
      </w:r>
    </w:p>
    <w:p>
      <w:pPr>
        <w:spacing w:after="0" w:line="208" w:lineRule="exact"/>
        <w:rPr>
          <w:sz w:val="20"/>
          <w:szCs w:val="20"/>
          <w:color w:val="auto"/>
        </w:rPr>
      </w:pPr>
    </w:p>
    <w:p>
      <w:pPr>
        <w:ind w:right="80" w:firstLine="488"/>
        <w:spacing w:after="0" w:line="239" w:lineRule="auto"/>
        <w:rPr>
          <w:sz w:val="20"/>
          <w:szCs w:val="20"/>
          <w:color w:val="auto"/>
        </w:rPr>
      </w:pPr>
      <w:r>
        <w:rPr>
          <w:rFonts w:ascii="Arial" w:cs="Arial" w:eastAsia="Arial" w:hAnsi="Arial"/>
          <w:sz w:val="18"/>
          <w:szCs w:val="18"/>
          <w:color w:val="auto"/>
        </w:rPr>
        <w:t>In addition, as permitted by Section 145 of the Delaware General Corporation Law, the amended and restated certificate of incorporation and amended and restated bylaws of the Registrant will provide that:</w:t>
      </w:r>
    </w:p>
    <w:p>
      <w:pPr>
        <w:spacing w:after="0" w:line="209" w:lineRule="exact"/>
        <w:rPr>
          <w:sz w:val="20"/>
          <w:szCs w:val="20"/>
          <w:color w:val="auto"/>
        </w:rPr>
      </w:pPr>
    </w:p>
    <w:p>
      <w:pPr>
        <w:ind w:left="1080" w:right="20" w:hanging="532"/>
        <w:spacing w:after="0" w:line="236"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10" w:lineRule="exact"/>
        <w:rPr>
          <w:rFonts w:ascii="Arial" w:cs="Arial" w:eastAsia="Arial" w:hAnsi="Arial"/>
          <w:sz w:val="18"/>
          <w:szCs w:val="18"/>
          <w:color w:val="auto"/>
        </w:rPr>
      </w:pPr>
    </w:p>
    <w:p>
      <w:pPr>
        <w:ind w:left="1080" w:right="80" w:hanging="532"/>
        <w:spacing w:after="0" w:line="23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permitted by applicable law.</w:t>
      </w:r>
    </w:p>
    <w:p>
      <w:pPr>
        <w:spacing w:after="0" w:line="195" w:lineRule="exact"/>
        <w:rPr>
          <w:rFonts w:ascii="Arial" w:cs="Arial" w:eastAsia="Arial" w:hAnsi="Arial"/>
          <w:sz w:val="18"/>
          <w:szCs w:val="18"/>
          <w:color w:val="auto"/>
        </w:rPr>
      </w:pPr>
    </w:p>
    <w:p>
      <w:pPr>
        <w:ind w:left="1080" w:right="380" w:hanging="532"/>
        <w:spacing w:after="0" w:line="238"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43" w:right="439" w:bottom="1440" w:gutter="0" w:footer="0" w:header="0"/>
          <w:type w:val="continuous"/>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540" w:hanging="532"/>
        <w:spacing w:after="0" w:line="23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 will not be obligated pursuant to the amended and restated bylaws to indemnify a person with respect to proceedings initiated by that person, except with respect to proceedings authorized by the Registrant's board of directors or brought to enforce a right to indemnification.</w:t>
      </w:r>
    </w:p>
    <w:p>
      <w:pPr>
        <w:spacing w:after="0" w:line="207" w:lineRule="exact"/>
        <w:rPr>
          <w:rFonts w:ascii="Arial" w:cs="Arial" w:eastAsia="Arial" w:hAnsi="Arial"/>
          <w:sz w:val="18"/>
          <w:szCs w:val="18"/>
          <w:color w:val="auto"/>
        </w:rPr>
      </w:pPr>
    </w:p>
    <w:p>
      <w:pPr>
        <w:jc w:val="both"/>
        <w:ind w:left="1080" w:right="20" w:hanging="532"/>
        <w:spacing w:after="0" w:line="23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rights conferred in the amended and restated certificate of incorporation and amended and restated bylaws are not exclusive, and the Registrant is authorized to enter into indemnification agreements with its directors, officers, employees, and agents and to obtain insurance to indemnify such persons.</w:t>
      </w:r>
    </w:p>
    <w:p>
      <w:pPr>
        <w:spacing w:after="0" w:line="194" w:lineRule="exact"/>
        <w:rPr>
          <w:rFonts w:ascii="Arial" w:cs="Arial" w:eastAsia="Arial" w:hAnsi="Arial"/>
          <w:sz w:val="18"/>
          <w:szCs w:val="18"/>
          <w:color w:val="auto"/>
        </w:rPr>
      </w:pPr>
    </w:p>
    <w:p>
      <w:pPr>
        <w:ind w:left="1080" w:right="320" w:hanging="532"/>
        <w:spacing w:after="0" w:line="23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209" w:lineRule="exact"/>
        <w:rPr>
          <w:sz w:val="20"/>
          <w:szCs w:val="20"/>
          <w:color w:val="auto"/>
        </w:rPr>
      </w:pPr>
    </w:p>
    <w:p>
      <w:pPr>
        <w:ind w:right="20" w:firstLine="484"/>
        <w:spacing w:after="0" w:line="237" w:lineRule="auto"/>
        <w:rPr>
          <w:sz w:val="20"/>
          <w:szCs w:val="20"/>
          <w:color w:val="auto"/>
        </w:rPr>
      </w:pPr>
      <w:r>
        <w:rPr>
          <w:rFonts w:ascii="Arial" w:cs="Arial" w:eastAsia="Arial" w:hAnsi="Arial"/>
          <w:sz w:val="18"/>
          <w:szCs w:val="18"/>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to provide for certain additional procedural protections. The Registrant also maintains directors and officers insurance to insure such persons against certain liabilities.</w:t>
      </w:r>
    </w:p>
    <w:p>
      <w:pPr>
        <w:spacing w:after="0" w:line="208" w:lineRule="exact"/>
        <w:rPr>
          <w:sz w:val="20"/>
          <w:szCs w:val="20"/>
          <w:color w:val="auto"/>
        </w:rPr>
      </w:pPr>
    </w:p>
    <w:p>
      <w:pPr>
        <w:jc w:val="both"/>
        <w:ind w:right="180" w:firstLine="484"/>
        <w:spacing w:after="0" w:line="238"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 of 1933, as amended, or the Securities Act.</w:t>
      </w:r>
    </w:p>
    <w:p>
      <w:pPr>
        <w:spacing w:after="0" w:line="208" w:lineRule="exact"/>
        <w:rPr>
          <w:sz w:val="20"/>
          <w:szCs w:val="20"/>
          <w:color w:val="auto"/>
        </w:rPr>
      </w:pPr>
    </w:p>
    <w:p>
      <w:pPr>
        <w:ind w:right="360" w:firstLine="488"/>
        <w:spacing w:after="0" w:line="239" w:lineRule="auto"/>
        <w:rPr>
          <w:sz w:val="20"/>
          <w:szCs w:val="20"/>
          <w:color w:val="auto"/>
        </w:rPr>
      </w:pPr>
      <w:r>
        <w:rPr>
          <w:rFonts w:ascii="Arial" w:cs="Arial" w:eastAsia="Arial" w:hAnsi="Arial"/>
          <w:sz w:val="18"/>
          <w:szCs w:val="18"/>
          <w:color w:val="auto"/>
        </w:rPr>
        <w:t>See the section titled "Certain Relationships and Related Party Transactions—Limitation of Liability and Indemnification Matters" for a more detailed description.</w:t>
      </w:r>
    </w:p>
    <w:p>
      <w:pPr>
        <w:spacing w:after="0" w:line="209" w:lineRule="exact"/>
        <w:rPr>
          <w:sz w:val="20"/>
          <w:szCs w:val="20"/>
          <w:color w:val="auto"/>
        </w:rPr>
      </w:pPr>
    </w:p>
    <w:p>
      <w:pPr>
        <w:ind w:right="200" w:firstLine="484"/>
        <w:spacing w:after="0" w:line="239" w:lineRule="auto"/>
        <w:rPr>
          <w:sz w:val="20"/>
          <w:szCs w:val="20"/>
          <w:color w:val="auto"/>
        </w:rPr>
      </w:pPr>
      <w:r>
        <w:rPr>
          <w:rFonts w:ascii="Arial" w:cs="Arial" w:eastAsia="Arial" w:hAnsi="Arial"/>
          <w:sz w:val="18"/>
          <w:szCs w:val="18"/>
          <w:color w:val="auto"/>
        </w:rPr>
        <w:t>The underwriting agreement to be filed as Exhibit 1.1 to this registration statement will provide for indemnification by the underwriters of the Registrant and its officers and directors for certain liabilities arising under the Securities Act and otherwise.</w:t>
      </w:r>
    </w:p>
    <w:p>
      <w:pPr>
        <w:spacing w:after="0" w:line="1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RECENT SALES OF UNREGISTERED SECURITIES.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Since January 31, 2016, the Registrant issued the following unregistered securities: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Preferred Stock Issuances</w:t>
      </w:r>
    </w:p>
    <w:p>
      <w:pPr>
        <w:spacing w:after="0" w:line="232" w:lineRule="exact"/>
        <w:rPr>
          <w:sz w:val="20"/>
          <w:szCs w:val="20"/>
          <w:color w:val="auto"/>
        </w:rPr>
      </w:pPr>
    </w:p>
    <w:p>
      <w:pPr>
        <w:ind w:right="380" w:firstLine="488"/>
        <w:spacing w:after="0" w:line="239" w:lineRule="auto"/>
        <w:rPr>
          <w:sz w:val="20"/>
          <w:szCs w:val="20"/>
          <w:color w:val="auto"/>
        </w:rPr>
      </w:pPr>
      <w:r>
        <w:rPr>
          <w:rFonts w:ascii="Arial" w:cs="Arial" w:eastAsia="Arial" w:hAnsi="Arial"/>
          <w:sz w:val="18"/>
          <w:szCs w:val="18"/>
          <w:color w:val="auto"/>
        </w:rPr>
        <w:t>In May 2017, we sold an aggregate of 17,569,969 shares of our Series D convertible preferred stock at a purchase price of $5.69 per share, for an aggregate purchase price of approximately $100 million.</w:t>
      </w:r>
    </w:p>
    <w:p>
      <w:pPr>
        <w:spacing w:after="0" w:line="209" w:lineRule="exact"/>
        <w:rPr>
          <w:sz w:val="20"/>
          <w:szCs w:val="20"/>
          <w:color w:val="auto"/>
        </w:rPr>
      </w:pPr>
    </w:p>
    <w:p>
      <w:pPr>
        <w:ind w:right="40" w:firstLine="488"/>
        <w:spacing w:after="0" w:line="239" w:lineRule="auto"/>
        <w:rPr>
          <w:sz w:val="20"/>
          <w:szCs w:val="20"/>
          <w:color w:val="auto"/>
        </w:rPr>
      </w:pPr>
      <w:r>
        <w:rPr>
          <w:rFonts w:ascii="Arial" w:cs="Arial" w:eastAsia="Arial" w:hAnsi="Arial"/>
          <w:sz w:val="18"/>
          <w:szCs w:val="18"/>
          <w:color w:val="auto"/>
        </w:rPr>
        <w:t>In October 2017, we sold an aggregate of 5,393,976 shares of our Series D-1 convertible preferred stock at a purchase price of $5.69 per share, for an aggregate purchase price of approximately $30.7 million.</w:t>
      </w:r>
    </w:p>
    <w:p>
      <w:pPr>
        <w:spacing w:after="0" w:line="209"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From June 2018 to September 2018, we sold an aggregate of 8,797,811 shares of our Series E convertible preferred stock and 3,777,086 shares of our Series E-1 convertible preferred stock at a purchase price of $16.46 per share, for an aggregate purchase price of approximately $207.0 million.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232" w:lineRule="exact"/>
        <w:rPr>
          <w:sz w:val="20"/>
          <w:szCs w:val="20"/>
          <w:color w:val="auto"/>
        </w:rPr>
      </w:pPr>
    </w:p>
    <w:p>
      <w:pPr>
        <w:ind w:right="320" w:firstLine="488"/>
        <w:spacing w:after="0" w:line="239" w:lineRule="auto"/>
        <w:rPr>
          <w:sz w:val="20"/>
          <w:szCs w:val="20"/>
          <w:color w:val="auto"/>
        </w:rPr>
      </w:pPr>
      <w:r>
        <w:rPr>
          <w:rFonts w:ascii="Arial" w:cs="Arial" w:eastAsia="Arial" w:hAnsi="Arial"/>
          <w:sz w:val="18"/>
          <w:szCs w:val="18"/>
          <w:color w:val="auto"/>
        </w:rPr>
        <w:t>In December 2016, we issued a warrant to purchase an aggregate of 99,343 shares of our Series C redeemable convertible preferred stock at an exercise price of $4.53 per share.</w:t>
      </w:r>
    </w:p>
    <w:p>
      <w:pPr>
        <w:spacing w:after="0" w:line="209"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In March 2017, we issued a warrant to purchase an aggregate of 66,225 shares of our Series C redeemable convertible preferred stock at an exercise price of $4.53 per share.</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43" w:right="39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Option and Common Stock Issuances</w:t>
      </w:r>
    </w:p>
    <w:p>
      <w:pPr>
        <w:spacing w:after="0" w:line="232" w:lineRule="exact"/>
        <w:rPr>
          <w:sz w:val="20"/>
          <w:szCs w:val="20"/>
          <w:color w:val="auto"/>
        </w:rPr>
      </w:pPr>
    </w:p>
    <w:p>
      <w:pPr>
        <w:ind w:right="320" w:firstLine="488"/>
        <w:spacing w:after="0" w:line="239" w:lineRule="auto"/>
        <w:rPr>
          <w:sz w:val="20"/>
          <w:szCs w:val="20"/>
          <w:color w:val="auto"/>
        </w:rPr>
      </w:pPr>
      <w:r>
        <w:rPr>
          <w:rFonts w:ascii="Arial" w:cs="Arial" w:eastAsia="Arial" w:hAnsi="Arial"/>
          <w:sz w:val="18"/>
          <w:szCs w:val="18"/>
          <w:color w:val="auto"/>
        </w:rPr>
        <w:t>From January 31, 2016 to January 31, 2019, we granted to our directors, officers, employees, consultants, and other service providers under our 2011 Plan:</w:t>
      </w:r>
    </w:p>
    <w:p>
      <w:pPr>
        <w:spacing w:after="0" w:line="209" w:lineRule="exact"/>
        <w:rPr>
          <w:sz w:val="20"/>
          <w:szCs w:val="20"/>
          <w:color w:val="auto"/>
        </w:rPr>
      </w:pPr>
    </w:p>
    <w:p>
      <w:pPr>
        <w:ind w:left="1080" w:right="120" w:hanging="532"/>
        <w:spacing w:after="0" w:line="23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options to purchase an aggregate of 26,028,659 shares of our common stock at exercise prices ranging from $1.66 to $12.82 per share;</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aggregate of 4,063,983 RSUs to be settled in shares of our common stock;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148,000 shares of our common stock issued in connection with stock awards.</w:t>
      </w:r>
    </w:p>
    <w:p>
      <w:pPr>
        <w:spacing w:after="0" w:line="212" w:lineRule="exact"/>
        <w:rPr>
          <w:sz w:val="20"/>
          <w:szCs w:val="20"/>
          <w:color w:val="auto"/>
        </w:rPr>
      </w:pPr>
    </w:p>
    <w:p>
      <w:pPr>
        <w:ind w:right="140" w:firstLine="488"/>
        <w:spacing w:after="0" w:line="236"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8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14"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32" w:lineRule="exact"/>
        <w:rPr>
          <w:sz w:val="20"/>
          <w:szCs w:val="20"/>
          <w:color w:val="auto"/>
        </w:rPr>
      </w:pPr>
    </w:p>
    <w:p>
      <w:pPr>
        <w:ind w:right="700" w:firstLine="484"/>
        <w:spacing w:after="0" w:line="239" w:lineRule="auto"/>
        <w:rPr>
          <w:sz w:val="20"/>
          <w:szCs w:val="20"/>
          <w:color w:val="auto"/>
        </w:rPr>
      </w:pPr>
      <w:r>
        <w:rPr>
          <w:rFonts w:ascii="Arial" w:cs="Arial" w:eastAsia="Arial" w:hAnsi="Arial"/>
          <w:sz w:val="18"/>
          <w:szCs w:val="18"/>
          <w:color w:val="auto"/>
        </w:rPr>
        <w:t>The Registrant filed the exhibits listed on the accompanying Exhibit Index of this Registration Statement, which is incorporated by reference herein.</w:t>
      </w:r>
    </w:p>
    <w:p>
      <w:pPr>
        <w:spacing w:after="0" w:line="202"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232" w:lineRule="exact"/>
        <w:rPr>
          <w:sz w:val="20"/>
          <w:szCs w:val="20"/>
          <w:color w:val="auto"/>
        </w:rPr>
      </w:pPr>
    </w:p>
    <w:p>
      <w:pPr>
        <w:ind w:right="480" w:firstLine="478"/>
        <w:spacing w:after="0" w:line="239"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1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34" w:lineRule="exact"/>
        <w:rPr>
          <w:sz w:val="20"/>
          <w:szCs w:val="20"/>
          <w:color w:val="auto"/>
        </w:rPr>
      </w:pPr>
    </w:p>
    <w:p>
      <w:pPr>
        <w:ind w:right="280" w:firstLine="484"/>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3"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undersigned Registrant hereby undertakes that:</w:t>
      </w:r>
    </w:p>
    <w:p>
      <w:pPr>
        <w:spacing w:after="0" w:line="212" w:lineRule="exact"/>
        <w:rPr>
          <w:sz w:val="20"/>
          <w:szCs w:val="20"/>
          <w:color w:val="auto"/>
        </w:rPr>
      </w:pPr>
    </w:p>
    <w:p>
      <w:pPr>
        <w:ind w:left="540" w:firstLine="496"/>
        <w:spacing w:after="0" w:line="237" w:lineRule="auto"/>
        <w:tabs>
          <w:tab w:leader="none" w:pos="14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8" w:lineRule="exact"/>
        <w:rPr>
          <w:rFonts w:ascii="Arial" w:cs="Arial" w:eastAsia="Arial" w:hAnsi="Arial"/>
          <w:sz w:val="18"/>
          <w:szCs w:val="18"/>
          <w:color w:val="auto"/>
        </w:rPr>
      </w:pPr>
    </w:p>
    <w:p>
      <w:pPr>
        <w:jc w:val="both"/>
        <w:ind w:left="540" w:right="140" w:firstLine="496"/>
        <w:spacing w:after="0" w:line="238" w:lineRule="auto"/>
        <w:tabs>
          <w:tab w:leader="none" w:pos="14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43" w:right="35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tbl>
      <w:tblPr>
        <w:tblLayout w:type="fixed"/>
        <w:tblInd w:w="1120" w:type="dxa"/>
        <w:tblCellMar>
          <w:top w:w="0" w:type="dxa"/>
          <w:left w:w="0" w:type="dxa"/>
          <w:bottom w:w="0" w:type="dxa"/>
          <w:right w:w="0" w:type="dxa"/>
        </w:tblCellMar>
      </w:tblPr>
      <w:tr>
        <w:trPr>
          <w:trHeight w:val="233"/>
        </w:trPr>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60" w:type="dxa"/>
            <w:vAlign w:val="bottom"/>
          </w:tcPr>
          <w:p>
            <w:pPr>
              <w:ind w:left="29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8060" w:type="dxa"/>
            <w:vAlign w:val="bottom"/>
          </w:tcPr>
          <w:p>
            <w:pPr>
              <w:spacing w:after="0"/>
              <w:rPr>
                <w:sz w:val="24"/>
                <w:szCs w:val="24"/>
                <w:color w:val="auto"/>
              </w:rPr>
            </w:pPr>
          </w:p>
        </w:tc>
      </w:tr>
      <w:tr>
        <w:trPr>
          <w:trHeight w:val="182"/>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806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Description</w:t>
            </w:r>
          </w:p>
        </w:tc>
      </w:tr>
      <w:tr>
        <w:trPr>
          <w:trHeight w:val="214"/>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3"/>
              </w:rPr>
              <w:t>1.1*</w:t>
            </w:r>
          </w:p>
        </w:tc>
        <w:tc>
          <w:tcPr>
            <w:tcW w:w="806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05"/>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806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r>
      <w:tr>
        <w:trPr>
          <w:trHeight w:val="397"/>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3"/>
              </w:rPr>
              <w:t>3.2*</w:t>
            </w:r>
          </w:p>
        </w:tc>
        <w:tc>
          <w:tcPr>
            <w:tcW w:w="8060" w:type="dxa"/>
            <w:vAlign w:val="bottom"/>
          </w:tcPr>
          <w:p>
            <w:pPr>
              <w:spacing w:after="0"/>
              <w:rPr>
                <w:sz w:val="20"/>
                <w:szCs w:val="20"/>
                <w:color w:val="auto"/>
              </w:rPr>
            </w:pPr>
            <w:r>
              <w:rPr>
                <w:rFonts w:ascii="Arial" w:cs="Arial" w:eastAsia="Arial" w:hAnsi="Arial"/>
                <w:sz w:val="18"/>
                <w:szCs w:val="18"/>
                <w:color w:val="auto"/>
              </w:rPr>
              <w:t>Form of Amended and Restated Certificate of Incorporation of the Registrant, to be in effect upon the</w:t>
            </w: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completion of this offering.</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3"/>
              </w:rPr>
              <w:t>3.3*</w:t>
            </w:r>
          </w:p>
        </w:tc>
        <w:tc>
          <w:tcPr>
            <w:tcW w:w="8060" w:type="dxa"/>
            <w:vAlign w:val="bottom"/>
          </w:tcPr>
          <w:p>
            <w:pPr>
              <w:spacing w:after="0"/>
              <w:rPr>
                <w:sz w:val="20"/>
                <w:szCs w:val="20"/>
                <w:color w:val="auto"/>
              </w:rPr>
            </w:pPr>
            <w:r>
              <w:rPr>
                <w:rFonts w:ascii="Arial" w:cs="Arial" w:eastAsia="Arial" w:hAnsi="Arial"/>
                <w:sz w:val="18"/>
                <w:szCs w:val="18"/>
                <w:color w:val="auto"/>
              </w:rPr>
              <w:t>Bylaws of the Registrant, as currently in effect.</w:t>
            </w:r>
          </w:p>
        </w:tc>
      </w:tr>
      <w:tr>
        <w:trPr>
          <w:trHeight w:val="397"/>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3"/>
              </w:rPr>
              <w:t>3.4*</w:t>
            </w:r>
          </w:p>
        </w:tc>
        <w:tc>
          <w:tcPr>
            <w:tcW w:w="8060" w:type="dxa"/>
            <w:vAlign w:val="bottom"/>
          </w:tcPr>
          <w:p>
            <w:pPr>
              <w:spacing w:after="0"/>
              <w:rPr>
                <w:sz w:val="20"/>
                <w:szCs w:val="20"/>
                <w:color w:val="auto"/>
              </w:rPr>
            </w:pPr>
            <w:r>
              <w:rPr>
                <w:rFonts w:ascii="Arial" w:cs="Arial" w:eastAsia="Arial" w:hAnsi="Arial"/>
                <w:sz w:val="18"/>
                <w:szCs w:val="18"/>
                <w:color w:val="auto"/>
              </w:rPr>
              <w:t>Form of Amended and Restated Bylaws of the Registrant, to be in effect upon the completion of this</w:t>
            </w: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offering.</w:t>
            </w:r>
          </w:p>
        </w:tc>
      </w:tr>
      <w:tr>
        <w:trPr>
          <w:trHeight w:val="397"/>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8060" w:type="dxa"/>
            <w:vAlign w:val="bottom"/>
          </w:tcPr>
          <w:p>
            <w:pPr>
              <w:spacing w:after="0"/>
              <w:rPr>
                <w:sz w:val="20"/>
                <w:szCs w:val="20"/>
                <w:color w:val="auto"/>
              </w:rPr>
            </w:pPr>
            <w:r>
              <w:rPr>
                <w:rFonts w:ascii="Arial" w:cs="Arial" w:eastAsia="Arial" w:hAnsi="Arial"/>
                <w:sz w:val="18"/>
                <w:szCs w:val="18"/>
                <w:color w:val="auto"/>
                <w:w w:val="97"/>
              </w:rPr>
              <w:t>Amended and Restated Stockholders Agreement among the Registrant and certain holders of its capital</w:t>
            </w: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stock, dated as of June 21, 2018, as amended on September 25, 2018.</w:t>
            </w:r>
          </w:p>
        </w:tc>
      </w:tr>
      <w:tr>
        <w:trPr>
          <w:trHeight w:val="397"/>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8060" w:type="dxa"/>
            <w:vAlign w:val="bottom"/>
          </w:tcPr>
          <w:p>
            <w:pPr>
              <w:spacing w:after="0"/>
              <w:rPr>
                <w:sz w:val="20"/>
                <w:szCs w:val="20"/>
                <w:color w:val="auto"/>
              </w:rPr>
            </w:pPr>
            <w:r>
              <w:rPr>
                <w:rFonts w:ascii="Arial" w:cs="Arial" w:eastAsia="Arial" w:hAnsi="Arial"/>
                <w:sz w:val="18"/>
                <w:szCs w:val="18"/>
                <w:color w:val="auto"/>
                <w:w w:val="98"/>
              </w:rPr>
              <w:t>Amended and Restated Registration Rights Agreement among the Registrant and certain holders of its</w:t>
            </w: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capital stock, dated as of June 21, 2018.</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3"/>
              </w:rPr>
              <w:t>4.3*</w:t>
            </w:r>
          </w:p>
        </w:tc>
        <w:tc>
          <w:tcPr>
            <w:tcW w:w="8060" w:type="dxa"/>
            <w:vAlign w:val="bottom"/>
          </w:tcPr>
          <w:p>
            <w:pPr>
              <w:spacing w:after="0"/>
              <w:rPr>
                <w:sz w:val="20"/>
                <w:szCs w:val="20"/>
                <w:color w:val="auto"/>
              </w:rPr>
            </w:pPr>
            <w:r>
              <w:rPr>
                <w:rFonts w:ascii="Arial" w:cs="Arial" w:eastAsia="Arial" w:hAnsi="Arial"/>
                <w:sz w:val="18"/>
                <w:szCs w:val="18"/>
                <w:color w:val="auto"/>
              </w:rPr>
              <w:t>Form of common stock certificate of the Registrant.</w:t>
            </w:r>
          </w:p>
        </w:tc>
      </w:tr>
      <w:tr>
        <w:trPr>
          <w:trHeight w:val="397"/>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8060" w:type="dxa"/>
            <w:vAlign w:val="bottom"/>
          </w:tcPr>
          <w:p>
            <w:pPr>
              <w:spacing w:after="0"/>
              <w:rPr>
                <w:sz w:val="20"/>
                <w:szCs w:val="20"/>
                <w:color w:val="auto"/>
              </w:rPr>
            </w:pPr>
            <w:r>
              <w:rPr>
                <w:rFonts w:ascii="Arial" w:cs="Arial" w:eastAsia="Arial" w:hAnsi="Arial"/>
                <w:sz w:val="18"/>
                <w:szCs w:val="18"/>
                <w:color w:val="auto"/>
                <w:w w:val="99"/>
              </w:rPr>
              <w:t>Plain English Warrant Agreement between the Registrant and TriplePoint Venture Growth BDC Corp.,</w:t>
            </w: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dated as of December 29, 2016.</w:t>
            </w:r>
          </w:p>
        </w:tc>
      </w:tr>
      <w:tr>
        <w:trPr>
          <w:trHeight w:val="397"/>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8060" w:type="dxa"/>
            <w:vAlign w:val="bottom"/>
          </w:tcPr>
          <w:p>
            <w:pPr>
              <w:spacing w:after="0"/>
              <w:rPr>
                <w:sz w:val="20"/>
                <w:szCs w:val="20"/>
                <w:color w:val="auto"/>
              </w:rPr>
            </w:pPr>
            <w:r>
              <w:rPr>
                <w:rFonts w:ascii="Arial" w:cs="Arial" w:eastAsia="Arial" w:hAnsi="Arial"/>
                <w:sz w:val="18"/>
                <w:szCs w:val="18"/>
                <w:color w:val="auto"/>
              </w:rPr>
              <w:t>Warrant to Purchase Stock between the Registrant and Silicon Valley Bank, dated as of January 21,</w:t>
            </w: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2015.</w:t>
            </w:r>
          </w:p>
        </w:tc>
      </w:tr>
      <w:tr>
        <w:trPr>
          <w:trHeight w:val="405"/>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8060" w:type="dxa"/>
            <w:vAlign w:val="bottom"/>
          </w:tcPr>
          <w:p>
            <w:pPr>
              <w:spacing w:after="0"/>
              <w:rPr>
                <w:sz w:val="20"/>
                <w:szCs w:val="20"/>
                <w:color w:val="auto"/>
              </w:rPr>
            </w:pPr>
            <w:r>
              <w:rPr>
                <w:rFonts w:ascii="Arial" w:cs="Arial" w:eastAsia="Arial" w:hAnsi="Arial"/>
                <w:sz w:val="18"/>
                <w:szCs w:val="18"/>
                <w:color w:val="auto"/>
                <w:w w:val="97"/>
              </w:rPr>
              <w:t>Warrant to Purchase Stock between the Registrant and Silicon Valley Bank, dated as of March 1, 2017.</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3"/>
              </w:rPr>
              <w:t>5.1*</w:t>
            </w:r>
          </w:p>
        </w:tc>
        <w:tc>
          <w:tcPr>
            <w:tcW w:w="8060" w:type="dxa"/>
            <w:vAlign w:val="bottom"/>
          </w:tcPr>
          <w:p>
            <w:pPr>
              <w:spacing w:after="0"/>
              <w:rPr>
                <w:sz w:val="20"/>
                <w:szCs w:val="20"/>
                <w:color w:val="auto"/>
              </w:rPr>
            </w:pPr>
            <w:r>
              <w:rPr>
                <w:rFonts w:ascii="Arial" w:cs="Arial" w:eastAsia="Arial" w:hAnsi="Arial"/>
                <w:sz w:val="18"/>
                <w:szCs w:val="18"/>
                <w:color w:val="auto"/>
              </w:rPr>
              <w:t>Opinion of Davis Polk &amp; Wardwell LLP</w:t>
            </w:r>
          </w:p>
        </w:tc>
      </w:tr>
      <w:tr>
        <w:trPr>
          <w:trHeight w:val="397"/>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5"/>
              </w:rPr>
              <w:t>10.1+*</w:t>
            </w:r>
          </w:p>
        </w:tc>
        <w:tc>
          <w:tcPr>
            <w:tcW w:w="8060" w:type="dxa"/>
            <w:vAlign w:val="bottom"/>
          </w:tcPr>
          <w:p>
            <w:pPr>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w:t>
            </w: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officers.</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5"/>
              </w:rPr>
              <w:t>10.2+*</w:t>
            </w:r>
          </w:p>
        </w:tc>
        <w:tc>
          <w:tcPr>
            <w:tcW w:w="8060" w:type="dxa"/>
            <w:vAlign w:val="bottom"/>
          </w:tcPr>
          <w:p>
            <w:pPr>
              <w:spacing w:after="0"/>
              <w:rPr>
                <w:sz w:val="20"/>
                <w:szCs w:val="20"/>
                <w:color w:val="auto"/>
              </w:rPr>
            </w:pPr>
            <w:r>
              <w:rPr>
                <w:rFonts w:ascii="Arial" w:cs="Arial" w:eastAsia="Arial" w:hAnsi="Arial"/>
                <w:sz w:val="18"/>
                <w:szCs w:val="18"/>
                <w:color w:val="auto"/>
              </w:rPr>
              <w:t>2019 Equity Incentive Plan and related form agreements.</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5"/>
              </w:rPr>
              <w:t>10.3+*</w:t>
            </w:r>
          </w:p>
        </w:tc>
        <w:tc>
          <w:tcPr>
            <w:tcW w:w="8060" w:type="dxa"/>
            <w:vAlign w:val="bottom"/>
          </w:tcPr>
          <w:p>
            <w:pPr>
              <w:spacing w:after="0"/>
              <w:rPr>
                <w:sz w:val="20"/>
                <w:szCs w:val="20"/>
                <w:color w:val="auto"/>
              </w:rPr>
            </w:pPr>
            <w:r>
              <w:rPr>
                <w:rFonts w:ascii="Arial" w:cs="Arial" w:eastAsia="Arial" w:hAnsi="Arial"/>
                <w:sz w:val="18"/>
                <w:szCs w:val="18"/>
                <w:color w:val="auto"/>
              </w:rPr>
              <w:t>2019 Employee Stock Purchase Plan and related form agreements.</w:t>
            </w:r>
          </w:p>
        </w:tc>
      </w:tr>
      <w:tr>
        <w:trPr>
          <w:trHeight w:val="405"/>
        </w:trPr>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8060" w:type="dxa"/>
            <w:vAlign w:val="bottom"/>
          </w:tcPr>
          <w:p>
            <w:pPr>
              <w:spacing w:after="0"/>
              <w:rPr>
                <w:sz w:val="20"/>
                <w:szCs w:val="20"/>
                <w:color w:val="auto"/>
              </w:rPr>
            </w:pPr>
            <w:r>
              <w:rPr>
                <w:rFonts w:ascii="Arial" w:cs="Arial" w:eastAsia="Arial" w:hAnsi="Arial"/>
                <w:sz w:val="18"/>
                <w:szCs w:val="18"/>
                <w:color w:val="auto"/>
              </w:rPr>
              <w:t>Amended and Restated 2011 Stock Incentive Plan and related form agreements.</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5"/>
              </w:rPr>
              <w:t>10.5+*</w:t>
            </w:r>
          </w:p>
        </w:tc>
        <w:tc>
          <w:tcPr>
            <w:tcW w:w="8060" w:type="dxa"/>
            <w:vAlign w:val="bottom"/>
          </w:tcPr>
          <w:p>
            <w:pPr>
              <w:spacing w:after="0"/>
              <w:rPr>
                <w:sz w:val="20"/>
                <w:szCs w:val="20"/>
                <w:color w:val="auto"/>
              </w:rPr>
            </w:pPr>
            <w:r>
              <w:rPr>
                <w:rFonts w:ascii="Arial" w:cs="Arial" w:eastAsia="Arial" w:hAnsi="Arial"/>
                <w:sz w:val="18"/>
                <w:szCs w:val="18"/>
                <w:color w:val="auto"/>
              </w:rPr>
              <w:t>Executive Incentive Compensation Plan.</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5"/>
              </w:rPr>
              <w:t>10.6+*</w:t>
            </w:r>
          </w:p>
        </w:tc>
        <w:tc>
          <w:tcPr>
            <w:tcW w:w="8060" w:type="dxa"/>
            <w:vAlign w:val="bottom"/>
          </w:tcPr>
          <w:p>
            <w:pPr>
              <w:spacing w:after="0"/>
              <w:rPr>
                <w:sz w:val="20"/>
                <w:szCs w:val="20"/>
                <w:color w:val="auto"/>
              </w:rPr>
            </w:pPr>
            <w:r>
              <w:rPr>
                <w:rFonts w:ascii="Arial" w:cs="Arial" w:eastAsia="Arial" w:hAnsi="Arial"/>
                <w:sz w:val="18"/>
                <w:szCs w:val="18"/>
                <w:color w:val="auto"/>
              </w:rPr>
              <w:t>Employment Agreement between the Registrant and George Kurtz, dated as of November 18, 2011.</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5"/>
              </w:rPr>
              <w:t>10.7+*</w:t>
            </w:r>
          </w:p>
        </w:tc>
        <w:tc>
          <w:tcPr>
            <w:tcW w:w="8060" w:type="dxa"/>
            <w:vAlign w:val="bottom"/>
          </w:tcPr>
          <w:p>
            <w:pPr>
              <w:spacing w:after="0"/>
              <w:rPr>
                <w:sz w:val="20"/>
                <w:szCs w:val="20"/>
                <w:color w:val="auto"/>
              </w:rPr>
            </w:pPr>
            <w:r>
              <w:rPr>
                <w:rFonts w:ascii="Arial" w:cs="Arial" w:eastAsia="Arial" w:hAnsi="Arial"/>
                <w:sz w:val="18"/>
                <w:szCs w:val="18"/>
                <w:color w:val="auto"/>
              </w:rPr>
              <w:t>Offer Letter between the Registrant and Colin Black, dated as of October 3, 2015.</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5"/>
              </w:rPr>
              <w:t>10.8+*</w:t>
            </w:r>
          </w:p>
        </w:tc>
        <w:tc>
          <w:tcPr>
            <w:tcW w:w="8060" w:type="dxa"/>
            <w:vAlign w:val="bottom"/>
          </w:tcPr>
          <w:p>
            <w:pPr>
              <w:spacing w:after="0"/>
              <w:rPr>
                <w:sz w:val="20"/>
                <w:szCs w:val="20"/>
                <w:color w:val="auto"/>
              </w:rPr>
            </w:pPr>
            <w:r>
              <w:rPr>
                <w:rFonts w:ascii="Arial" w:cs="Arial" w:eastAsia="Arial" w:hAnsi="Arial"/>
                <w:sz w:val="18"/>
                <w:szCs w:val="18"/>
                <w:color w:val="auto"/>
              </w:rPr>
              <w:t>Offer Letter between the Registrant and Burt W. Podbere, dated as of August 13, 2015.</w:t>
            </w:r>
          </w:p>
        </w:tc>
      </w:tr>
      <w:tr>
        <w:trPr>
          <w:trHeight w:val="405"/>
        </w:trPr>
        <w:tc>
          <w:tcPr>
            <w:tcW w:w="920" w:type="dxa"/>
            <w:vAlign w:val="bottom"/>
            <w:gridSpan w:val="2"/>
          </w:tcPr>
          <w:p>
            <w:pPr>
              <w:jc w:val="center"/>
              <w:ind w:left="174"/>
              <w:spacing w:after="0"/>
              <w:rPr>
                <w:sz w:val="20"/>
                <w:szCs w:val="20"/>
                <w:color w:val="auto"/>
              </w:rPr>
            </w:pPr>
            <w:r>
              <w:rPr>
                <w:rFonts w:ascii="Arial" w:cs="Arial" w:eastAsia="Arial" w:hAnsi="Arial"/>
                <w:sz w:val="18"/>
                <w:szCs w:val="18"/>
                <w:color w:val="auto"/>
                <w:w w:val="95"/>
              </w:rPr>
              <w:t>10.9+*</w:t>
            </w:r>
          </w:p>
        </w:tc>
        <w:tc>
          <w:tcPr>
            <w:tcW w:w="8060" w:type="dxa"/>
            <w:vAlign w:val="bottom"/>
          </w:tcPr>
          <w:p>
            <w:pPr>
              <w:spacing w:after="0"/>
              <w:rPr>
                <w:sz w:val="20"/>
                <w:szCs w:val="20"/>
                <w:color w:val="auto"/>
              </w:rPr>
            </w:pPr>
            <w:r>
              <w:rPr>
                <w:rFonts w:ascii="Arial" w:cs="Arial" w:eastAsia="Arial" w:hAnsi="Arial"/>
                <w:sz w:val="18"/>
                <w:szCs w:val="18"/>
                <w:color w:val="auto"/>
              </w:rPr>
              <w:t>Offer Letter between the Registrant and Roxanne S. Austin dated as of September 10, 2018.</w:t>
            </w:r>
          </w:p>
        </w:tc>
      </w:tr>
      <w:tr>
        <w:trPr>
          <w:trHeight w:val="405"/>
        </w:trPr>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c>
          <w:tcPr>
            <w:tcW w:w="8060" w:type="dxa"/>
            <w:vAlign w:val="bottom"/>
          </w:tcPr>
          <w:p>
            <w:pPr>
              <w:spacing w:after="0"/>
              <w:rPr>
                <w:sz w:val="20"/>
                <w:szCs w:val="20"/>
                <w:color w:val="auto"/>
              </w:rPr>
            </w:pPr>
            <w:r>
              <w:rPr>
                <w:rFonts w:ascii="Arial" w:cs="Arial" w:eastAsia="Arial" w:hAnsi="Arial"/>
                <w:sz w:val="18"/>
                <w:szCs w:val="18"/>
                <w:color w:val="auto"/>
              </w:rPr>
              <w:t>Offer Letter between the Registrant and Godfrey R. Sullivan, undated.</w:t>
            </w:r>
          </w:p>
        </w:tc>
      </w:tr>
      <w:tr>
        <w:trPr>
          <w:trHeight w:val="397"/>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10.11</w:t>
            </w:r>
          </w:p>
        </w:tc>
        <w:tc>
          <w:tcPr>
            <w:tcW w:w="8060" w:type="dxa"/>
            <w:vAlign w:val="bottom"/>
          </w:tcPr>
          <w:p>
            <w:pPr>
              <w:spacing w:after="0"/>
              <w:rPr>
                <w:sz w:val="20"/>
                <w:szCs w:val="20"/>
                <w:color w:val="auto"/>
              </w:rPr>
            </w:pPr>
            <w:r>
              <w:rPr>
                <w:rFonts w:ascii="Arial" w:cs="Arial" w:eastAsia="Arial" w:hAnsi="Arial"/>
                <w:sz w:val="18"/>
                <w:szCs w:val="18"/>
                <w:color w:val="auto"/>
                <w:w w:val="97"/>
              </w:rPr>
              <w:t>Office Lease between CrowdStrike, Inc. and SPF Mathilda, LLC, dated as of April 4, 2017, as amended</w:t>
            </w: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on September 18, 2017.</w:t>
            </w:r>
          </w:p>
        </w:tc>
      </w:tr>
    </w:tbl>
    <w:p>
      <w:pPr>
        <w:spacing w:after="0" w:line="200" w:lineRule="exact"/>
        <w:rPr>
          <w:sz w:val="20"/>
          <w:szCs w:val="20"/>
          <w:color w:val="auto"/>
        </w:rPr>
      </w:pPr>
    </w:p>
    <w:p>
      <w:pPr>
        <w:spacing w:after="0" w:line="21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43" w:right="1440"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r>
      <w:tr>
        <w:trPr>
          <w:trHeight w:val="182"/>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40" w:type="dxa"/>
            <w:vAlign w:val="bottom"/>
            <w:tcBorders>
              <w:bottom w:val="single" w:sz="8" w:color="auto"/>
            </w:tcBorders>
          </w:tcPr>
          <w:p>
            <w:pPr>
              <w:ind w:left="3620"/>
              <w:spacing w:after="0"/>
              <w:rPr>
                <w:sz w:val="20"/>
                <w:szCs w:val="20"/>
                <w:color w:val="auto"/>
              </w:rPr>
            </w:pPr>
            <w:r>
              <w:rPr>
                <w:rFonts w:ascii="Arial" w:cs="Arial" w:eastAsia="Arial" w:hAnsi="Arial"/>
                <w:sz w:val="14"/>
                <w:szCs w:val="14"/>
                <w:b w:val="1"/>
                <w:bCs w:val="1"/>
                <w:color w:val="auto"/>
              </w:rPr>
              <w:t>Description</w:t>
            </w:r>
          </w:p>
        </w:tc>
      </w:tr>
      <w:tr>
        <w:trPr>
          <w:trHeight w:val="214"/>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8060" w:type="dxa"/>
            <w:vAlign w:val="bottom"/>
            <w:gridSpan w:val="2"/>
          </w:tcPr>
          <w:p>
            <w:pPr>
              <w:spacing w:after="0"/>
              <w:rPr>
                <w:sz w:val="20"/>
                <w:szCs w:val="20"/>
                <w:color w:val="auto"/>
              </w:rPr>
            </w:pPr>
            <w:r>
              <w:rPr>
                <w:rFonts w:ascii="Arial" w:cs="Arial" w:eastAsia="Arial" w:hAnsi="Arial"/>
                <w:sz w:val="18"/>
                <w:szCs w:val="18"/>
                <w:color w:val="auto"/>
                <w:w w:val="98"/>
              </w:rPr>
              <w:t>Sublease by and between CrowdStrike, Inc. and Knowles Electronics, LLC, dated December 17, 2015.</w:t>
            </w:r>
          </w:p>
        </w:tc>
      </w:tr>
      <w:tr>
        <w:trPr>
          <w:trHeight w:val="405"/>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10.13</w:t>
            </w:r>
          </w:p>
        </w:tc>
        <w:tc>
          <w:tcPr>
            <w:tcW w:w="8060" w:type="dxa"/>
            <w:vAlign w:val="bottom"/>
            <w:gridSpan w:val="2"/>
          </w:tcPr>
          <w:p>
            <w:pPr>
              <w:spacing w:after="0"/>
              <w:rPr>
                <w:sz w:val="20"/>
                <w:szCs w:val="20"/>
                <w:color w:val="auto"/>
              </w:rPr>
            </w:pPr>
            <w:r>
              <w:rPr>
                <w:rFonts w:ascii="Arial" w:cs="Arial" w:eastAsia="Arial" w:hAnsi="Arial"/>
                <w:sz w:val="18"/>
                <w:szCs w:val="18"/>
                <w:color w:val="auto"/>
              </w:rPr>
              <w:t>Sublease by and between CrowdStrike, Inc. and LANDesk Software Inc., dated November 1, 2016.</w:t>
            </w:r>
          </w:p>
        </w:tc>
      </w:tr>
      <w:tr>
        <w:trPr>
          <w:trHeight w:val="397"/>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8060" w:type="dxa"/>
            <w:vAlign w:val="bottom"/>
            <w:gridSpan w:val="2"/>
          </w:tcPr>
          <w:p>
            <w:pPr>
              <w:spacing w:after="0"/>
              <w:rPr>
                <w:sz w:val="20"/>
                <w:szCs w:val="20"/>
                <w:color w:val="auto"/>
              </w:rPr>
            </w:pPr>
            <w:r>
              <w:rPr>
                <w:rFonts w:ascii="Arial" w:cs="Arial" w:eastAsia="Arial" w:hAnsi="Arial"/>
                <w:sz w:val="18"/>
                <w:szCs w:val="18"/>
                <w:color w:val="auto"/>
                <w:w w:val="97"/>
              </w:rPr>
              <w:t>Amended and Restated Loan and Security Agreement between the Registrant and Silicon Valley Bank,</w:t>
            </w:r>
          </w:p>
        </w:tc>
      </w:tr>
      <w:tr>
        <w:trPr>
          <w:trHeight w:val="211"/>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dated as of March 1, 2017.</w:t>
            </w:r>
          </w:p>
        </w:tc>
      </w:tr>
      <w:tr>
        <w:trPr>
          <w:trHeight w:val="405"/>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8060" w:type="dxa"/>
            <w:vAlign w:val="bottom"/>
            <w:gridSpan w:val="2"/>
          </w:tcPr>
          <w:p>
            <w:pPr>
              <w:spacing w:after="0"/>
              <w:rPr>
                <w:sz w:val="20"/>
                <w:szCs w:val="20"/>
                <w:color w:val="auto"/>
              </w:rPr>
            </w:pPr>
            <w:r>
              <w:rPr>
                <w:rFonts w:ascii="Arial" w:cs="Arial" w:eastAsia="Arial" w:hAnsi="Arial"/>
                <w:sz w:val="18"/>
                <w:szCs w:val="18"/>
                <w:color w:val="auto"/>
              </w:rPr>
              <w:t>List of subsidiaries of the Registrant.</w:t>
            </w:r>
          </w:p>
        </w:tc>
      </w:tr>
      <w:tr>
        <w:trPr>
          <w:trHeight w:val="405"/>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806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405"/>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8060" w:type="dxa"/>
            <w:vAlign w:val="bottom"/>
            <w:gridSpan w:val="2"/>
          </w:tcPr>
          <w:p>
            <w:pPr>
              <w:spacing w:after="0"/>
              <w:rPr>
                <w:sz w:val="20"/>
                <w:szCs w:val="20"/>
                <w:color w:val="auto"/>
              </w:rPr>
            </w:pPr>
            <w:r>
              <w:rPr>
                <w:rFonts w:ascii="Arial" w:cs="Arial" w:eastAsia="Arial" w:hAnsi="Arial"/>
                <w:sz w:val="18"/>
                <w:szCs w:val="18"/>
                <w:color w:val="auto"/>
              </w:rPr>
              <w:t>Consent of Davis Polk &amp; Wardwell LLP (included in Exhibit 5.1).</w:t>
            </w:r>
          </w:p>
        </w:tc>
      </w:tr>
      <w:tr>
        <w:trPr>
          <w:trHeight w:val="405"/>
        </w:trPr>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8060" w:type="dxa"/>
            <w:vAlign w:val="bottom"/>
            <w:gridSpan w:val="2"/>
          </w:tcPr>
          <w:p>
            <w:pPr>
              <w:spacing w:after="0"/>
              <w:rPr>
                <w:sz w:val="20"/>
                <w:szCs w:val="20"/>
                <w:color w:val="auto"/>
              </w:rPr>
            </w:pPr>
            <w:r>
              <w:rPr>
                <w:rFonts w:ascii="Arial" w:cs="Arial" w:eastAsia="Arial" w:hAnsi="Arial"/>
                <w:sz w:val="18"/>
                <w:szCs w:val="18"/>
                <w:color w:val="auto"/>
              </w:rPr>
              <w:t>Power of Attorney (see the signature page to this Registration Statement on Form S-1).</w:t>
            </w:r>
          </w:p>
        </w:tc>
      </w:tr>
      <w:tr>
        <w:trPr>
          <w:trHeight w:val="97"/>
        </w:trPr>
        <w:tc>
          <w:tcPr>
            <w:tcW w:w="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r>
    </w:tbl>
    <w:p>
      <w:pPr>
        <w:spacing w:after="0" w:line="221" w:lineRule="exact"/>
        <w:rPr>
          <w:sz w:val="20"/>
          <w:szCs w:val="20"/>
          <w:color w:val="auto"/>
        </w:rPr>
      </w:pPr>
    </w:p>
    <w:p>
      <w:pPr>
        <w:ind w:left="1680" w:hanging="549"/>
        <w:spacing w:after="0"/>
        <w:tabs>
          <w:tab w:leader="none" w:pos="168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63" w:lineRule="exact"/>
        <w:rPr>
          <w:sz w:val="20"/>
          <w:szCs w:val="20"/>
          <w:color w:val="auto"/>
        </w:rPr>
      </w:pPr>
    </w:p>
    <w:p>
      <w:pPr>
        <w:ind w:left="1680" w:hanging="549"/>
        <w:spacing w:after="0"/>
        <w:tabs>
          <w:tab w:leader="none" w:pos="16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43" w:right="1440"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180" w:type="dxa"/>
            <w:vAlign w:val="bottom"/>
            <w:gridSpan w:val="2"/>
          </w:tcPr>
          <w:p>
            <w:pPr>
              <w:spacing w:after="0"/>
              <w:rPr>
                <w:sz w:val="20"/>
                <w:szCs w:val="20"/>
                <w:color w:val="auto"/>
              </w:rPr>
            </w:pPr>
            <w:r>
              <w:rPr>
                <w:rFonts w:ascii="Arial" w:cs="Arial" w:eastAsia="Arial" w:hAnsi="Arial"/>
                <w:sz w:val="18"/>
                <w:szCs w:val="18"/>
                <w:color w:val="auto"/>
              </w:rPr>
              <w:t>signed on its behalf by the undersigned, thereunto duly authorized, in Sunnyvale, California, on the day of</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418"/>
        </w:trPr>
        <w:tc>
          <w:tcPr>
            <w:tcW w:w="9180" w:type="dxa"/>
            <w:vAlign w:val="bottom"/>
            <w:gridSpan w:val="2"/>
          </w:tcPr>
          <w:p>
            <w:pPr>
              <w:ind w:left="5600"/>
              <w:spacing w:after="0"/>
              <w:rPr>
                <w:sz w:val="20"/>
                <w:szCs w:val="20"/>
                <w:color w:val="auto"/>
              </w:rPr>
            </w:pPr>
            <w:r>
              <w:rPr>
                <w:rFonts w:ascii="Arial" w:cs="Arial" w:eastAsia="Arial" w:hAnsi="Arial"/>
                <w:sz w:val="18"/>
                <w:szCs w:val="18"/>
                <w:b w:val="1"/>
                <w:bCs w:val="1"/>
                <w:color w:val="auto"/>
              </w:rPr>
              <w:t>CROWDSTRIKE HOLDINGS, INC.</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6"/>
        </w:trPr>
        <w:tc>
          <w:tcPr>
            <w:tcW w:w="9180" w:type="dxa"/>
            <w:vAlign w:val="bottom"/>
            <w:gridSpan w:val="2"/>
          </w:tcPr>
          <w:p>
            <w:pPr>
              <w:ind w:left="5600"/>
              <w:spacing w:after="0"/>
              <w:rPr>
                <w:sz w:val="20"/>
                <w:szCs w:val="20"/>
                <w:color w:val="auto"/>
              </w:rPr>
            </w:pPr>
            <w:r>
              <w:rPr>
                <w:rFonts w:ascii="Arial" w:cs="Arial" w:eastAsia="Arial" w:hAnsi="Arial"/>
                <w:sz w:val="18"/>
                <w:szCs w:val="18"/>
                <w:color w:val="auto"/>
              </w:rPr>
              <w:t>By:</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83"/>
        </w:trPr>
        <w:tc>
          <w:tcPr>
            <w:tcW w:w="5980" w:type="dxa"/>
            <w:vAlign w:val="bottom"/>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r>
      <w:tr>
        <w:trPr>
          <w:trHeight w:val="262"/>
        </w:trPr>
        <w:tc>
          <w:tcPr>
            <w:tcW w:w="5980" w:type="dxa"/>
            <w:vAlign w:val="bottom"/>
          </w:tcPr>
          <w:p>
            <w:pPr>
              <w:spacing w:after="0"/>
              <w:rPr>
                <w:sz w:val="22"/>
                <w:szCs w:val="22"/>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George Kurtz</w:t>
            </w: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29"/>
        </w:trPr>
        <w:tc>
          <w:tcPr>
            <w:tcW w:w="598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right="40" w:firstLine="488"/>
        <w:spacing w:after="0" w:line="23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George Kurtz and Burt W. Podbere, and each of them, as his or her true and lawful attorney-in-fact and agent with full power of substitution, for him or her in any and all capacities, to sign any and all amendments to this registration statement (including post-effective amendments or any abbreviated registration statement and any amendments thereto filed pursuant to Rule 462(b) under the Securities Act of 1933 increasing the number of securities for which registration is sought),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214" w:lineRule="exact"/>
        <w:rPr>
          <w:sz w:val="20"/>
          <w:szCs w:val="20"/>
          <w:color w:val="auto"/>
        </w:rPr>
      </w:pPr>
    </w:p>
    <w:p>
      <w:pPr>
        <w:ind w:right="520" w:firstLine="488"/>
        <w:spacing w:after="0" w:line="239"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92" w:lineRule="exact"/>
        <w:rPr>
          <w:sz w:val="20"/>
          <w:szCs w:val="20"/>
          <w:color w:val="auto"/>
        </w:rPr>
      </w:pPr>
    </w:p>
    <w:p>
      <w:pPr>
        <w:ind w:left="2460"/>
        <w:spacing w:after="0"/>
        <w:tabs>
          <w:tab w:leader="none" w:pos="6140" w:val="left"/>
          <w:tab w:leader="none" w:pos="89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President, Chief Executive Officer and</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7"/>
              </w:rPr>
              <w:t>George Kurtz</w:t>
            </w:r>
          </w:p>
        </w:tc>
        <w:tc>
          <w:tcPr>
            <w:tcW w:w="6760" w:type="dxa"/>
            <w:vAlign w:val="bottom"/>
          </w:tcPr>
          <w:p>
            <w:pPr>
              <w:ind w:left="160"/>
              <w:spacing w:after="0" w:line="194" w:lineRule="exact"/>
              <w:rPr>
                <w:sz w:val="20"/>
                <w:szCs w:val="20"/>
                <w:color w:val="auto"/>
              </w:rPr>
            </w:pPr>
            <w:r>
              <w:rPr>
                <w:rFonts w:ascii="Arial" w:cs="Arial" w:eastAsia="Arial" w:hAnsi="Arial"/>
                <w:sz w:val="18"/>
                <w:szCs w:val="18"/>
                <w:color w:val="auto"/>
              </w:rPr>
              <w:t>Director (Principal Executive Officer)</w:t>
            </w:r>
          </w:p>
        </w:tc>
        <w:tc>
          <w:tcPr>
            <w:tcW w:w="0" w:type="dxa"/>
            <w:vAlign w:val="bottom"/>
          </w:tcPr>
          <w:p>
            <w:pPr>
              <w:spacing w:after="0"/>
              <w:rPr>
                <w:sz w:val="1"/>
                <w:szCs w:val="1"/>
                <w:color w:val="auto"/>
              </w:rPr>
            </w:pPr>
          </w:p>
        </w:tc>
      </w:tr>
      <w:tr>
        <w:trPr>
          <w:trHeight w:val="95"/>
        </w:trPr>
        <w:tc>
          <w:tcPr>
            <w:tcW w:w="112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6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8"/>
        </w:trPr>
        <w:tc>
          <w:tcPr>
            <w:tcW w:w="11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Chief Financial Officer (Principal Financial</w:t>
            </w:r>
          </w:p>
        </w:tc>
        <w:tc>
          <w:tcPr>
            <w:tcW w:w="0" w:type="dxa"/>
            <w:vAlign w:val="bottom"/>
          </w:tcPr>
          <w:p>
            <w:pPr>
              <w:spacing w:after="0"/>
              <w:rPr>
                <w:sz w:val="1"/>
                <w:szCs w:val="1"/>
                <w:color w:val="auto"/>
              </w:rPr>
            </w:pPr>
          </w:p>
        </w:tc>
      </w:tr>
      <w:tr>
        <w:trPr>
          <w:trHeight w:val="194"/>
        </w:trPr>
        <w:tc>
          <w:tcPr>
            <w:tcW w:w="1120" w:type="dxa"/>
            <w:vAlign w:val="bottom"/>
          </w:tcPr>
          <w:p>
            <w:pPr>
              <w:spacing w:after="0"/>
              <w:rPr>
                <w:sz w:val="16"/>
                <w:szCs w:val="16"/>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6"/>
              </w:rPr>
              <w:t>Burt W. Podbere</w:t>
            </w:r>
          </w:p>
        </w:tc>
        <w:tc>
          <w:tcPr>
            <w:tcW w:w="6760" w:type="dxa"/>
            <w:vAlign w:val="bottom"/>
          </w:tcPr>
          <w:p>
            <w:pPr>
              <w:ind w:left="160"/>
              <w:spacing w:after="0" w:line="194" w:lineRule="exact"/>
              <w:rPr>
                <w:sz w:val="20"/>
                <w:szCs w:val="20"/>
                <w:color w:val="auto"/>
              </w:rPr>
            </w:pPr>
            <w:r>
              <w:rPr>
                <w:rFonts w:ascii="Arial" w:cs="Arial" w:eastAsia="Arial" w:hAnsi="Arial"/>
                <w:sz w:val="18"/>
                <w:szCs w:val="18"/>
                <w:color w:val="auto"/>
              </w:rPr>
              <w:t>and Accounting Officer)</w:t>
            </w: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6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8"/>
        </w:trPr>
        <w:tc>
          <w:tcPr>
            <w:tcW w:w="11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76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7"/>
              </w:rPr>
              <w:t>Roxanne S. Austin</w:t>
            </w:r>
          </w:p>
        </w:tc>
        <w:tc>
          <w:tcPr>
            <w:tcW w:w="6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6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8"/>
        </w:trPr>
        <w:tc>
          <w:tcPr>
            <w:tcW w:w="11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76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color w:val="auto"/>
                <w:w w:val="97"/>
              </w:rPr>
              <w:t>Cary J. Davis</w:t>
            </w:r>
          </w:p>
        </w:tc>
        <w:tc>
          <w:tcPr>
            <w:tcW w:w="6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6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760" w:type="dxa"/>
            <w:vAlign w:val="bottom"/>
          </w:tcPr>
          <w:p>
            <w:pPr>
              <w:ind w:left="1020"/>
              <w:spacing w:after="0"/>
              <w:rPr>
                <w:sz w:val="20"/>
                <w:szCs w:val="20"/>
                <w:color w:val="auto"/>
              </w:rPr>
            </w:pPr>
            <w:r>
              <w:rPr>
                <w:rFonts w:ascii="Arial" w:cs="Arial" w:eastAsia="Arial" w:hAnsi="Arial"/>
                <w:sz w:val="18"/>
                <w:szCs w:val="18"/>
                <w:color w:val="auto"/>
              </w:rPr>
              <w:t>II-7</w:t>
            </w:r>
          </w:p>
        </w:tc>
        <w:tc>
          <w:tcPr>
            <w:tcW w:w="0" w:type="dxa"/>
            <w:vAlign w:val="bottom"/>
          </w:tcPr>
          <w:p>
            <w:pPr>
              <w:spacing w:after="0"/>
              <w:rPr>
                <w:sz w:val="1"/>
                <w:szCs w:val="1"/>
                <w:color w:val="auto"/>
              </w:rPr>
            </w:pPr>
          </w:p>
        </w:tc>
      </w:tr>
      <w:tr>
        <w:trPr>
          <w:trHeight w:val="215"/>
        </w:trPr>
        <w:tc>
          <w:tcPr>
            <w:tcW w:w="1120" w:type="dxa"/>
            <w:vAlign w:val="bottom"/>
            <w:tcBorders>
              <w:bottom w:val="single" w:sz="8" w:color="808080"/>
            </w:tcBorders>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67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43" w:right="33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jc w:val="both"/>
        <w:ind w:left="2460"/>
        <w:spacing w:after="0"/>
        <w:tabs>
          <w:tab w:leader="none" w:pos="6140" w:val="left"/>
          <w:tab w:leader="none" w:pos="89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-61595</wp:posOffset>
            </wp:positionV>
            <wp:extent cx="21259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Sameer K. Gandhi</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-61595</wp:posOffset>
            </wp:positionV>
            <wp:extent cx="21259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8"/>
          <w:szCs w:val="18"/>
          <w:color w:val="auto"/>
        </w:rPr>
        <w:t>Joseph P. Landy</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-61595</wp:posOffset>
            </wp:positionV>
            <wp:extent cx="21259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2140"/>
        <w:spacing w:after="0"/>
        <w:rPr>
          <w:sz w:val="20"/>
          <w:szCs w:val="20"/>
          <w:color w:val="auto"/>
        </w:rPr>
      </w:pPr>
      <w:r>
        <w:rPr>
          <w:rFonts w:ascii="Arial" w:cs="Arial" w:eastAsia="Arial" w:hAnsi="Arial"/>
          <w:sz w:val="18"/>
          <w:szCs w:val="18"/>
          <w:color w:val="auto"/>
        </w:rPr>
        <w:t>Denis J. O'Leary</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-61595</wp:posOffset>
            </wp:positionV>
            <wp:extent cx="21259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8"/>
          <w:szCs w:val="18"/>
          <w:color w:val="auto"/>
        </w:rPr>
        <w:t>Joseph E. Sexton</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-61595</wp:posOffset>
            </wp:positionV>
            <wp:extent cx="21259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8"/>
          <w:szCs w:val="18"/>
          <w:color w:val="auto"/>
        </w:rPr>
        <w:t>Godfrey R. Sullivan</w:t>
      </w:r>
    </w:p>
    <w:p>
      <w:pPr>
        <w:spacing w:after="0" w:line="200" w:lineRule="exact"/>
        <w:rPr>
          <w:sz w:val="20"/>
          <w:szCs w:val="20"/>
          <w:color w:val="auto"/>
        </w:rPr>
      </w:pPr>
    </w:p>
    <w:p>
      <w:pPr>
        <w:spacing w:after="0" w:line="2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-61595</wp:posOffset>
            </wp:positionV>
            <wp:extent cx="21259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Gerhard Watzinger</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43" w:right="1440" w:bottom="1440" w:gutter="0" w:footer="0" w:header="0"/>
        </w:sectPr>
      </w:pPr>
    </w:p>
    <w:bookmarkStart w:id="248" w:name="page249"/>
    <w:bookmarkEnd w:id="2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11"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CrowdStrike Holdings, Inc., a corporation organized and existing under and by virtue of the provisions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hereby certifies as follows:</w:t>
      </w:r>
    </w:p>
    <w:p>
      <w:pPr>
        <w:spacing w:after="0" w:line="170" w:lineRule="exact"/>
        <w:rPr>
          <w:sz w:val="20"/>
          <w:szCs w:val="20"/>
          <w:color w:val="auto"/>
        </w:rPr>
      </w:pPr>
    </w:p>
    <w:p>
      <w:pPr>
        <w:ind w:right="420" w:firstLine="656"/>
        <w:spacing w:after="0" w:line="277" w:lineRule="auto"/>
        <w:tabs>
          <w:tab w:leader="none" w:pos="12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name of the corporation is CrowdStrike Holdings, Inc. The corporation’s original Certificate of Incorporation was filed with the Secretary of State of the State of Delaware on November 7, 2011.</w:t>
      </w:r>
    </w:p>
    <w:p>
      <w:pPr>
        <w:spacing w:after="0" w:line="170" w:lineRule="exact"/>
        <w:rPr>
          <w:rFonts w:ascii="Arial" w:cs="Arial" w:eastAsia="Arial" w:hAnsi="Arial"/>
          <w:sz w:val="18"/>
          <w:szCs w:val="18"/>
          <w:color w:val="auto"/>
        </w:rPr>
      </w:pPr>
    </w:p>
    <w:p>
      <w:pPr>
        <w:ind w:right="280" w:firstLine="656"/>
        <w:spacing w:after="0" w:line="263" w:lineRule="auto"/>
        <w:tabs>
          <w:tab w:leader="none" w:pos="12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DGCL.</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text of the Certificate of Incorporation is hereby amended and restated to read in its entirety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is: CrowdStrike Holdings,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The address of the registered office of the Corporation in the State of Delaware is Corporation Service Company, 251 Little Falls Drive, Wilmington, in the county of New Castle, Delaware 19808. The name of the registered agent of the Corporation at such address is Corporation Service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DGCL.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180" w:firstLine="1296"/>
        <w:spacing w:after="0" w:line="254" w:lineRule="auto"/>
        <w:rPr>
          <w:sz w:val="20"/>
          <w:szCs w:val="20"/>
          <w:color w:val="auto"/>
        </w:rPr>
      </w:pPr>
      <w:r>
        <w:rPr>
          <w:rFonts w:ascii="Arial" w:cs="Arial" w:eastAsia="Arial" w:hAnsi="Arial"/>
          <w:sz w:val="18"/>
          <w:szCs w:val="18"/>
          <w:color w:val="auto"/>
        </w:rPr>
        <w:t>The total number of shares of all classes of stock which the Corporation shall have authority to issue is 220,000,000 shares of common stock, par value $0.0005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 137,418,875 shares of preferred stock, par value $0.0005 per share (“</w:t>
      </w:r>
      <w:r>
        <w:rPr>
          <w:rFonts w:ascii="Arial" w:cs="Arial" w:eastAsia="Arial" w:hAnsi="Arial"/>
          <w:sz w:val="18"/>
          <w:szCs w:val="18"/>
          <w:u w:val="single" w:color="auto"/>
          <w:color w:val="auto"/>
        </w:rPr>
        <w:t>Preferred Stock</w:t>
      </w:r>
      <w:r>
        <w:rPr>
          <w:rFonts w:ascii="Arial" w:cs="Arial" w:eastAsia="Arial" w:hAnsi="Arial"/>
          <w:sz w:val="18"/>
          <w:szCs w:val="18"/>
          <w:color w:val="auto"/>
        </w:rPr>
        <w:t>”), 52,300,000 of which are designated “Series A-1 Convertible Preferred Stock” (the “</w:t>
      </w:r>
      <w:r>
        <w:rPr>
          <w:rFonts w:ascii="Arial" w:cs="Arial" w:eastAsia="Arial" w:hAnsi="Arial"/>
          <w:sz w:val="18"/>
          <w:szCs w:val="18"/>
          <w:u w:val="single" w:color="auto"/>
          <w:color w:val="auto"/>
        </w:rPr>
        <w:t>Series A-1 Preferred Stock</w:t>
      </w:r>
      <w:r>
        <w:rPr>
          <w:rFonts w:ascii="Arial" w:cs="Arial" w:eastAsia="Arial" w:hAnsi="Arial"/>
          <w:sz w:val="18"/>
          <w:szCs w:val="18"/>
          <w:color w:val="auto"/>
        </w:rPr>
        <w:t>”), 21,523,118 of which are designated “Series B Convertible Preferred Stock” (the “</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22,275,128 of which are designated “Series C Convertible Preferred Stock” (the “</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17,569,969 of which are designated “Series D Convertible Preferred Stock” (the “</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5,393,976 of which are designated “Series D-1 Convertible Preferred Stock” (the “</w:t>
      </w:r>
      <w:r>
        <w:rPr>
          <w:rFonts w:ascii="Arial" w:cs="Arial" w:eastAsia="Arial" w:hAnsi="Arial"/>
          <w:sz w:val="18"/>
          <w:szCs w:val="18"/>
          <w:u w:val="single" w:color="auto"/>
          <w:color w:val="auto"/>
        </w:rPr>
        <w:t>Series D-1 Preferred Stock</w:t>
      </w:r>
      <w:r>
        <w:rPr>
          <w:rFonts w:ascii="Arial" w:cs="Arial" w:eastAsia="Arial" w:hAnsi="Arial"/>
          <w:sz w:val="18"/>
          <w:szCs w:val="18"/>
          <w:color w:val="auto"/>
        </w:rPr>
        <w:t>”), 14,579,598 of which are designated “Series E Convertible Preferred Stock” (the “</w:t>
      </w:r>
      <w:r>
        <w:rPr>
          <w:rFonts w:ascii="Arial" w:cs="Arial" w:eastAsia="Arial" w:hAnsi="Arial"/>
          <w:sz w:val="18"/>
          <w:szCs w:val="18"/>
          <w:u w:val="single" w:color="auto"/>
          <w:color w:val="auto"/>
        </w:rPr>
        <w:t>Series E Preferred Stock</w:t>
      </w:r>
      <w:r>
        <w:rPr>
          <w:rFonts w:ascii="Arial" w:cs="Arial" w:eastAsia="Arial" w:hAnsi="Arial"/>
          <w:sz w:val="18"/>
          <w:szCs w:val="18"/>
          <w:color w:val="auto"/>
        </w:rPr>
        <w:t>”) and 3,777,086 of which are designated “Series E-1 Convertible Preferred Stock” (the “</w:t>
      </w:r>
      <w:r>
        <w:rPr>
          <w:rFonts w:ascii="Arial" w:cs="Arial" w:eastAsia="Arial" w:hAnsi="Arial"/>
          <w:sz w:val="18"/>
          <w:szCs w:val="18"/>
          <w:u w:val="single" w:color="auto"/>
          <w:color w:val="auto"/>
        </w:rPr>
        <w:t>Series E-1 Preferred Stock</w:t>
      </w:r>
      <w:r>
        <w:rPr>
          <w:rFonts w:ascii="Arial" w:cs="Arial" w:eastAsia="Arial" w:hAnsi="Arial"/>
          <w:sz w:val="18"/>
          <w:szCs w:val="18"/>
          <w:color w:val="auto"/>
        </w:rPr>
        <w:t>”).</w:t>
      </w:r>
    </w:p>
    <w:p>
      <w:pPr>
        <w:spacing w:after="0" w:line="188"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rFonts w:ascii="Arial" w:cs="Arial" w:eastAsia="Arial" w:hAnsi="Arial"/>
          <w:sz w:val="18"/>
          <w:szCs w:val="18"/>
          <w:b w:val="1"/>
          <w:bCs w:val="1"/>
          <w:color w:val="auto"/>
        </w:rPr>
      </w:pPr>
    </w:p>
    <w:p>
      <w:pPr>
        <w:ind w:right="540" w:firstLine="656"/>
        <w:spacing w:after="0" w:line="277" w:lineRule="auto"/>
        <w:tabs>
          <w:tab w:leader="none" w:pos="1296"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0" w:name="page251"/>
    <w:bookmarkEnd w:id="250"/>
    <w:p>
      <w:pPr>
        <w:ind w:right="60" w:firstLine="656"/>
        <w:spacing w:after="0" w:line="291" w:lineRule="auto"/>
        <w:tabs>
          <w:tab w:leader="none" w:pos="1296"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xml:space="preserve">. The holders of Common Stock are entitled to one vote for each share of Common Stock held by them at all meetings of stockholders (and actions taken by written consent in lieu of meetings) at which holders of Common Stock are entitled to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DGCL, and the holders of Common Stock shall not be entitled to any separate class vote in connection with any such increase or decrease of the aggregate number of authorized shares of Common Stock.</w:t>
      </w:r>
    </w:p>
    <w:p>
      <w:pPr>
        <w:spacing w:after="0" w:line="162" w:lineRule="exact"/>
        <w:rPr>
          <w:rFonts w:ascii="Arial" w:cs="Arial" w:eastAsia="Arial" w:hAnsi="Arial"/>
          <w:sz w:val="16"/>
          <w:szCs w:val="16"/>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Preferred Stock has the following rights, preferences, powers, privileges and restrictions, qualifications and limitations.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indicated, references to “Sections” or “Subsections” in this Part B of this Article IV refer to sections and subsections of Part B of this Article IV.</w:t>
      </w:r>
    </w:p>
    <w:p>
      <w:pPr>
        <w:spacing w:after="0" w:line="222" w:lineRule="exact"/>
        <w:rPr>
          <w:sz w:val="20"/>
          <w:szCs w:val="20"/>
          <w:color w:val="auto"/>
        </w:rPr>
      </w:pPr>
    </w:p>
    <w:p>
      <w:pPr>
        <w:ind w:firstLine="656"/>
        <w:spacing w:after="0" w:line="284" w:lineRule="auto"/>
        <w:tabs>
          <w:tab w:leader="none" w:pos="1296"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The Corporation shall not declare, pay or set aside any dividends on shares of Common Stock (other than dividends on shares of Common Stock payable solely in shares of Common Stock) unless (in addition to the obtaining of any consents required elsewhere in the Certificate of Incorporation)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and (b) the number of shares of Common Stock issuable upon conversion of one share of Preferred Stock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(i) with respect to the Series A-1 Preferred Stock, the Series A-1 Original Issue Price, (ii) with respect to the Series B Preferred Stock, the Series B Original Issue Price, (iii) with respect to the Series C Preferred Stock, the Series C Original Issue Price, (iv) with respect to the Series D Preferred Stock, the Series D Original Issue Price, (v) with respect to the Series D-1 Preferred Stock, the Series D-1 Original Issue Price, and (vi) with respect to the Series E Preferred Stock and the Series E-1 Preferred Stock, the Series E/E-1 Original Issue Price. The “</w:t>
      </w:r>
      <w:r>
        <w:rPr>
          <w:rFonts w:ascii="Arial" w:cs="Arial" w:eastAsia="Arial" w:hAnsi="Arial"/>
          <w:sz w:val="16"/>
          <w:szCs w:val="16"/>
          <w:u w:val="single" w:color="auto"/>
          <w:color w:val="auto"/>
        </w:rPr>
        <w:t>Series A-1 Original Issue Price</w:t>
      </w:r>
      <w:r>
        <w:rPr>
          <w:rFonts w:ascii="Arial" w:cs="Arial" w:eastAsia="Arial" w:hAnsi="Arial"/>
          <w:sz w:val="16"/>
          <w:szCs w:val="16"/>
          <w:color w:val="auto"/>
        </w:rPr>
        <w:t>” shall mean $0.50 per share, subject to appropriate adjustment in the event of any stock dividend, stock split, stock distribution or combination, subdivision, reclassification or other corporate actions having the similar effect with respect to the Series A-1 Preferred Stock. The “</w:t>
      </w:r>
      <w:r>
        <w:rPr>
          <w:rFonts w:ascii="Arial" w:cs="Arial" w:eastAsia="Arial" w:hAnsi="Arial"/>
          <w:sz w:val="16"/>
          <w:szCs w:val="16"/>
          <w:u w:val="single" w:color="auto"/>
          <w:color w:val="auto"/>
        </w:rPr>
        <w:t>Series B Original Issue Price</w:t>
      </w:r>
      <w:r>
        <w:rPr>
          <w:rFonts w:ascii="Arial" w:cs="Arial" w:eastAsia="Arial" w:hAnsi="Arial"/>
          <w:sz w:val="16"/>
          <w:szCs w:val="16"/>
          <w:color w:val="auto"/>
        </w:rPr>
        <w:t>” shall mean $1.405000075 per share, subject to appropriate adjustment in the event of any stock dividend, stock split, stock distribution or combination, subdivision, reclassification or other corporate actions having the similar effect with respect to the Series B Preferred Stock. The “</w:t>
      </w:r>
      <w:r>
        <w:rPr>
          <w:rFonts w:ascii="Arial" w:cs="Arial" w:eastAsia="Arial" w:hAnsi="Arial"/>
          <w:sz w:val="16"/>
          <w:szCs w:val="16"/>
          <w:u w:val="single" w:color="auto"/>
          <w:color w:val="auto"/>
        </w:rPr>
        <w:t>Series C Original Issue Price</w:t>
      </w:r>
      <w:r>
        <w:rPr>
          <w:rFonts w:ascii="Arial" w:cs="Arial" w:eastAsia="Arial" w:hAnsi="Arial"/>
          <w:sz w:val="16"/>
          <w:szCs w:val="16"/>
          <w:color w:val="auto"/>
        </w:rPr>
        <w:t>” shall mean $4.529715 per share, subject to appropriate adjustment in the event of any stock dividend, stock split, stock distribution or combination, subdivision, reclassification or other corporate actions having the similar effect with respect to the Series C Preferred Stock. The “</w:t>
      </w:r>
      <w:r>
        <w:rPr>
          <w:rFonts w:ascii="Arial" w:cs="Arial" w:eastAsia="Arial" w:hAnsi="Arial"/>
          <w:sz w:val="16"/>
          <w:szCs w:val="16"/>
          <w:u w:val="single" w:color="auto"/>
          <w:color w:val="auto"/>
        </w:rPr>
        <w:t>Series D Original Issue Price</w:t>
      </w:r>
      <w:r>
        <w:rPr>
          <w:rFonts w:ascii="Arial" w:cs="Arial" w:eastAsia="Arial" w:hAnsi="Arial"/>
          <w:sz w:val="16"/>
          <w:szCs w:val="16"/>
          <w:color w:val="auto"/>
        </w:rPr>
        <w:t>” shall mean $5.69153 per share, subject to appropriate adjustment in the event of any stock dividend, stock split, stock distribution or combination, subdivision, reclassification or other corporate actions having the similar effect with respect to the Series D Preferred Stock. The “</w:t>
      </w:r>
      <w:r>
        <w:rPr>
          <w:rFonts w:ascii="Arial" w:cs="Arial" w:eastAsia="Arial" w:hAnsi="Arial"/>
          <w:sz w:val="16"/>
          <w:szCs w:val="16"/>
          <w:u w:val="single" w:color="auto"/>
          <w:color w:val="auto"/>
        </w:rPr>
        <w:t>Series D-1 Original Issue Price</w:t>
      </w:r>
      <w:r>
        <w:rPr>
          <w:rFonts w:ascii="Arial" w:cs="Arial" w:eastAsia="Arial" w:hAnsi="Arial"/>
          <w:sz w:val="16"/>
          <w:szCs w:val="16"/>
          <w:color w:val="auto"/>
        </w:rPr>
        <w:t>” shall mean $5.69153 per share, subject to appropriate adjustment in the event of any stock dividend, stock split, stock distribution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1" w:name="page252"/>
    <w:bookmarkEnd w:id="251"/>
    <w:p>
      <w:pPr>
        <w:spacing w:after="0"/>
        <w:rPr>
          <w:sz w:val="20"/>
          <w:szCs w:val="20"/>
          <w:color w:val="auto"/>
        </w:rPr>
      </w:pPr>
      <w:r>
        <w:rPr>
          <w:rFonts w:ascii="Arial" w:cs="Arial" w:eastAsia="Arial" w:hAnsi="Arial"/>
          <w:sz w:val="17"/>
          <w:szCs w:val="17"/>
          <w:color w:val="auto"/>
        </w:rPr>
        <w:t>or combination, subdivision, reclassification or other corporate actions having the similar effect with respect to the Series D-1 Preferred Stock. The</w:t>
      </w:r>
    </w:p>
    <w:p>
      <w:pPr>
        <w:spacing w:after="0" w:line="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E/E-1 Original Issue Price</w:t>
      </w:r>
      <w:r>
        <w:rPr>
          <w:rFonts w:ascii="Arial" w:cs="Arial" w:eastAsia="Arial" w:hAnsi="Arial"/>
          <w:sz w:val="16"/>
          <w:szCs w:val="16"/>
          <w:color w:val="auto"/>
        </w:rPr>
        <w:t>” shall mean $16.46136 per share, subject to appropriate adjustment in the event of any stock dividend, stock split, stock distribution or combination, subdivision, reclassification or other corporate actions having the similar effect with respect to the Series E Preferred Stock and Series E-1 Preferred Stock. The Series A-1 Original Issue Price, the Series B Original Issue Price, the Series C Original Issue Price, the Series D Original Issue Price, the Series D-1 Original Issue Price and the Series E/E-1 Original Issue Price are each an “</w:t>
      </w:r>
      <w:r>
        <w:rPr>
          <w:rFonts w:ascii="Arial" w:cs="Arial" w:eastAsia="Arial" w:hAnsi="Arial"/>
          <w:sz w:val="16"/>
          <w:szCs w:val="16"/>
          <w:u w:val="single" w:color="auto"/>
          <w:color w:val="auto"/>
        </w:rPr>
        <w:t>Original Issue Price</w:t>
      </w:r>
      <w:r>
        <w:rPr>
          <w:rFonts w:ascii="Arial" w:cs="Arial" w:eastAsia="Arial" w:hAnsi="Arial"/>
          <w:sz w:val="16"/>
          <w:szCs w:val="16"/>
          <w:color w:val="auto"/>
        </w:rPr>
        <w:t>.”</w:t>
      </w:r>
    </w:p>
    <w:p>
      <w:pPr>
        <w:spacing w:after="0" w:line="161"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Preferred Stock Liquidation Preference</w:t>
      </w:r>
      <w:r>
        <w:rPr>
          <w:rFonts w:ascii="Arial" w:cs="Arial" w:eastAsia="Arial" w:hAnsi="Arial"/>
          <w:sz w:val="18"/>
          <w:szCs w:val="18"/>
          <w:color w:val="auto"/>
        </w:rPr>
        <w:t>. In the event of any voluntary or involuntary liquidation, dissolution or winding up of the Corporation (including a Deemed Liquidation Event (as defined below)), the assets of the Corporation available for distribution to the stockholders shall be distributed to the holders of Preferred Stock as follows:</w:t>
      </w:r>
    </w:p>
    <w:p>
      <w:pPr>
        <w:spacing w:after="0" w:line="184" w:lineRule="exact"/>
        <w:rPr>
          <w:sz w:val="20"/>
          <w:szCs w:val="20"/>
          <w:color w:val="auto"/>
        </w:rPr>
      </w:pPr>
    </w:p>
    <w:p>
      <w:pPr>
        <w:ind w:right="20" w:firstLine="1944"/>
        <w:spacing w:after="0" w:line="283" w:lineRule="auto"/>
        <w:rPr>
          <w:sz w:val="20"/>
          <w:szCs w:val="20"/>
          <w:color w:val="auto"/>
        </w:rPr>
      </w:pPr>
      <w:r>
        <w:rPr>
          <w:rFonts w:ascii="Arial" w:cs="Arial" w:eastAsia="Arial" w:hAnsi="Arial"/>
          <w:sz w:val="16"/>
          <w:szCs w:val="16"/>
          <w:color w:val="auto"/>
        </w:rPr>
        <w:t xml:space="preserve">2.1.1 The holders of Series A-1 Preferred Stock then outstanding shall be entitled to be paid on a senior basis to all other shares of capital stock (but on a pari passu basis with the other holders of Preferred Stock) out of the assets of the Corporation available for distribution to its stockholders before any payment shall be made to the holders of other shares of capital stock by reason of their ownership thereof, a per share amount in cash equal to the greater of (a) two (2) times the Series A-1 Original Issue Price, plus any dividends declared but unpaid thereon and (b) such amount per share as would have been payable had all shares of Series A-1 Preferred Stock been converted into Common Stock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immediately prior to such liquidation, dissolution or winding up (the amount payable pursuant to this sentence is hereinafter referred to as the “</w:t>
      </w:r>
      <w:r>
        <w:rPr>
          <w:rFonts w:ascii="Arial" w:cs="Arial" w:eastAsia="Arial" w:hAnsi="Arial"/>
          <w:sz w:val="16"/>
          <w:szCs w:val="16"/>
          <w:u w:val="single" w:color="auto"/>
          <w:color w:val="auto"/>
        </w:rPr>
        <w:t>Series A-1 Liquidation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The holders of Series B Preferred Stock then outstanding shall be entitled to be paid on a senior basis to all other shares of capital stock (but on a pari passu basis with the other holders of Preferred Stock) out of the assets of the Corporation available for distribution to its stockholders before any payment shall be made to the holders of other shares of capital stock by reason of their ownership thereof, a per share amount in cash equal to the greater of</w:t>
      </w:r>
    </w:p>
    <w:p>
      <w:pPr>
        <w:spacing w:after="0" w:line="6" w:lineRule="exact"/>
        <w:rPr>
          <w:sz w:val="20"/>
          <w:szCs w:val="20"/>
          <w:color w:val="auto"/>
        </w:rPr>
      </w:pPr>
    </w:p>
    <w:p>
      <w:pPr>
        <w:ind w:firstLine="8"/>
        <w:spacing w:after="0" w:line="284" w:lineRule="auto"/>
        <w:tabs>
          <w:tab w:leader="none" w:pos="24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one (1) times the Series B Original Issue Price, plus any dividends declared but unpaid thereon and (b) such amount per share as would have been payable had all shares of Series B Preferred Stock been converted into Common Stock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immediately prior to such liquidation, dissolution or winding up (the amount payable pursuant to this sentence is hereinafter referred to as the “</w:t>
      </w:r>
      <w:r>
        <w:rPr>
          <w:rFonts w:ascii="Arial" w:cs="Arial" w:eastAsia="Arial" w:hAnsi="Arial"/>
          <w:sz w:val="16"/>
          <w:szCs w:val="16"/>
          <w:u w:val="single" w:color="auto"/>
          <w:color w:val="auto"/>
        </w:rPr>
        <w:t>Series B Liquidation Amount</w:t>
      </w:r>
      <w:r>
        <w:rPr>
          <w:rFonts w:ascii="Arial" w:cs="Arial" w:eastAsia="Arial" w:hAnsi="Arial"/>
          <w:sz w:val="16"/>
          <w:szCs w:val="16"/>
          <w:color w:val="auto"/>
        </w:rPr>
        <w:t xml:space="preserve">”). The holders of Series C Preferred Stock then outstanding shall be entitled to be paid on a senior basis to all other shares of capital stock (but on a pari passu basis with the other holders of Preferred Stock) out of the assets of the Corporation available for distribution to its stockholders before any payment shall be made to the holders of other shares of capital stock by reason of their ownership thereof, a per share amount in cash equal to the greater of (a) one (1) times the Series C Original Issue Price, plus any dividends declared but unpaid thereon and (b) such amount per share as would have been payable had all shares of Series C Preferred Stock been converted into Common Stock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immediately prior to such liquidation, dissolution or winding up (the amount payable pursuant to this sentence is hereinafter referred to as the “</w:t>
      </w:r>
      <w:r>
        <w:rPr>
          <w:rFonts w:ascii="Arial" w:cs="Arial" w:eastAsia="Arial" w:hAnsi="Arial"/>
          <w:sz w:val="16"/>
          <w:szCs w:val="16"/>
          <w:u w:val="single" w:color="auto"/>
          <w:color w:val="auto"/>
        </w:rPr>
        <w:t>Series C Liquidation Amount</w:t>
      </w:r>
      <w:r>
        <w:rPr>
          <w:rFonts w:ascii="Arial" w:cs="Arial" w:eastAsia="Arial" w:hAnsi="Arial"/>
          <w:sz w:val="16"/>
          <w:szCs w:val="16"/>
          <w:color w:val="auto"/>
        </w:rPr>
        <w:t xml:space="preserve">”). The holders of Series D Preferred Stock then outstanding shall be entitled to be paid on a senior basis to all other shares of capital stock (but on a pari passu basis with the other holders of Preferred Stock) out of the assets of the Corporation available for distribution to its stockholders before any payment shall be made to the holders of other shares of capital stock by reason of their ownership thereof, a per share amount in cash equal to the greater of (a) one and one-quarter (1.25) times the Series D Original Issue Price, plus any dividends declared but unpaid thereon and (b) such amount per share as would have been payable had all shares of Series D Preferred Stock been converted into Common Stock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immediately prior to such liquidation, dissolution or winding up (the amount payable pursuant to this sentence is hereinafter referred to as the “</w:t>
      </w:r>
      <w:r>
        <w:rPr>
          <w:rFonts w:ascii="Arial" w:cs="Arial" w:eastAsia="Arial" w:hAnsi="Arial"/>
          <w:sz w:val="16"/>
          <w:szCs w:val="16"/>
          <w:u w:val="single" w:color="auto"/>
          <w:color w:val="auto"/>
        </w:rPr>
        <w:t>Series D Liquidation Amount</w:t>
      </w:r>
      <w:r>
        <w:rPr>
          <w:rFonts w:ascii="Arial" w:cs="Arial" w:eastAsia="Arial" w:hAnsi="Arial"/>
          <w:sz w:val="16"/>
          <w:szCs w:val="16"/>
          <w:color w:val="auto"/>
        </w:rPr>
        <w:t>”). The holders of Series D-1 Preferred Stock then outstanding shall be entitled to be paid on a senior basis to all other shares of capital stock (but on a pari passu basis with the other holders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2" w:name="page253"/>
    <w:bookmarkEnd w:id="252"/>
    <w:p>
      <w:pPr>
        <w:spacing w:after="0"/>
        <w:rPr>
          <w:sz w:val="20"/>
          <w:szCs w:val="20"/>
          <w:color w:val="auto"/>
        </w:rPr>
      </w:pPr>
      <w:r>
        <w:rPr>
          <w:rFonts w:ascii="Arial" w:cs="Arial" w:eastAsia="Arial" w:hAnsi="Arial"/>
          <w:sz w:val="16"/>
          <w:szCs w:val="16"/>
          <w:color w:val="auto"/>
        </w:rPr>
        <w:t>Preferred Stock) out of the assets of the Corporation available for distribution to its stockholders before any payment shall be made to the holders of other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of capital stock by reason of their ownership thereof, a per share amount in cash equal to the greater of (a) one (1) times the Series D-1 Original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 Price, plus any dividends declared but unpaid thereon and (b) such amount per share as would have been payable had all shares of Series D-1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Preferred Stock been converted into Common Stock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immediately prior to such liquidation, dissolution or winding up (the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pursuant to this sentence is hereinafter referred to as the “</w:t>
      </w:r>
      <w:r>
        <w:rPr>
          <w:rFonts w:ascii="Arial" w:cs="Arial" w:eastAsia="Arial" w:hAnsi="Arial"/>
          <w:sz w:val="16"/>
          <w:szCs w:val="16"/>
          <w:u w:val="single" w:color="auto"/>
          <w:color w:val="auto"/>
        </w:rPr>
        <w:t>Series D-1 Liquidation Amount</w:t>
      </w:r>
      <w:r>
        <w:rPr>
          <w:rFonts w:ascii="Arial" w:cs="Arial" w:eastAsia="Arial" w:hAnsi="Arial"/>
          <w:sz w:val="16"/>
          <w:szCs w:val="16"/>
          <w:color w:val="auto"/>
        </w:rPr>
        <w:t>”). The holders of Series E Preferred Stock and Series E-1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then outstanding shall be entitled to be paid on a senior basis to all other shares of capital stock (but on a pari passu basis with the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of Preferred Stock) out of the assets of the Corporation available for distribution to its stockholders before any payment shall be made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holders of other shares of capital stock by reason of their ownership thereof, a per share amount in cash equal to the greater of (a) one (1) times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E/E-1 Original Issue Price, plus any dividends declared but unpaid thereon and (b) such amount per share as would have been payable had all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of Series E Preferred Stock and Series E-1 Preferred Stock been converted into Common Stock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immediately prior to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liquidation, dissolution or winding up (the amount payable pursuant to this sentence is hereinafter referred to as the “</w:t>
      </w:r>
      <w:r>
        <w:rPr>
          <w:rFonts w:ascii="Arial" w:cs="Arial" w:eastAsia="Arial" w:hAnsi="Arial"/>
          <w:sz w:val="16"/>
          <w:szCs w:val="16"/>
          <w:u w:val="single" w:color="auto"/>
          <w:color w:val="auto"/>
        </w:rPr>
        <w:t>Series E/E-1 Liquidation Amount</w:t>
      </w:r>
      <w:r>
        <w:rPr>
          <w:rFonts w:ascii="Arial" w:cs="Arial" w:eastAsia="Arial" w:hAnsi="Arial"/>
          <w:sz w:val="16"/>
          <w:szCs w:val="16"/>
          <w:color w:val="auto"/>
        </w:rPr>
        <w:t>”).</w:t>
      </w:r>
    </w:p>
    <w:p>
      <w:pPr>
        <w:spacing w:after="0" w:line="234" w:lineRule="exact"/>
        <w:rPr>
          <w:sz w:val="20"/>
          <w:szCs w:val="20"/>
          <w:color w:val="auto"/>
        </w:rPr>
      </w:pPr>
    </w:p>
    <w:p>
      <w:pPr>
        <w:ind w:right="100" w:firstLine="1944"/>
        <w:spacing w:after="0" w:line="259" w:lineRule="auto"/>
        <w:rPr>
          <w:sz w:val="20"/>
          <w:szCs w:val="20"/>
          <w:color w:val="auto"/>
        </w:rPr>
      </w:pPr>
      <w:r>
        <w:rPr>
          <w:rFonts w:ascii="Arial" w:cs="Arial" w:eastAsia="Arial" w:hAnsi="Arial"/>
          <w:sz w:val="18"/>
          <w:szCs w:val="18"/>
          <w:color w:val="auto"/>
        </w:rPr>
        <w:t xml:space="preserve">2.1.2 Notwithstanding the provisions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above, if upon any such liquidation, dissolution or winding up of the Corporation (including a Deemed Liquidation Event), the assets of the Corporation available for distribution to its stockholders shall be insufficient to pay the holders of Preferred Stock the full amount to which they shall be entitled under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above, the assets available for distribution shall be distributed as follows:</w:t>
      </w:r>
    </w:p>
    <w:p>
      <w:pPr>
        <w:spacing w:after="0" w:line="187" w:lineRule="exact"/>
        <w:rPr>
          <w:sz w:val="20"/>
          <w:szCs w:val="20"/>
          <w:color w:val="auto"/>
        </w:rPr>
      </w:pPr>
    </w:p>
    <w:p>
      <w:pPr>
        <w:ind w:right="60" w:firstLine="1304"/>
        <w:spacing w:after="0" w:line="290" w:lineRule="auto"/>
        <w:tabs>
          <w:tab w:leader="none" w:pos="194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first, the holders of Series A-1 Preferred Stock, the holders of Series B Preferred Stock, the holders of Series C Preferred Stock, the holders of Series D Preferred Stock, the holders of Series D-1 Preferred Stock, the holders of Series E Preferred Stock and the holders of Series E-1 Preferred Stock shall share ratably in any distribution of the assets available for distribution in proportion to (1) the aggregate Original Issue Price paid for all shares of Preferred Stock (using for purposes of this calculation, one and one-quarter (1.25) times the Series D Original Issue Price in the case of shares of Series D Preferred Stock) held by such holder immediately prior to such liquidation, dissolution or winding up to (2) the aggregate Original Issue Price for all outstanding shares of Preferred Stock (using for purposes of this calculation, one and one-quarter (1.25) times the Series D Original Issue Price in the case of shares of Series D Preferred Stock) (the “</w:t>
      </w:r>
      <w:r>
        <w:rPr>
          <w:rFonts w:ascii="Arial" w:cs="Arial" w:eastAsia="Arial" w:hAnsi="Arial"/>
          <w:sz w:val="16"/>
          <w:szCs w:val="16"/>
          <w:u w:val="single" w:color="auto"/>
          <w:color w:val="auto"/>
        </w:rPr>
        <w:t>Aggregate Outstanding Original Issue Price</w:t>
      </w:r>
      <w:r>
        <w:rPr>
          <w:rFonts w:ascii="Arial" w:cs="Arial" w:eastAsia="Arial" w:hAnsi="Arial"/>
          <w:sz w:val="16"/>
          <w:szCs w:val="16"/>
          <w:color w:val="auto"/>
        </w:rPr>
        <w:t>”) immediately prior to such liquidation, dissolution or winding up; provided, that, the total amount payable under this Section 2.1.2(a) shall not exceed the Aggregate Outstanding Original Issue Price; and</w:t>
      </w:r>
    </w:p>
    <w:p>
      <w:pPr>
        <w:spacing w:after="0" w:line="165" w:lineRule="exact"/>
        <w:rPr>
          <w:rFonts w:ascii="Arial" w:cs="Arial" w:eastAsia="Arial" w:hAnsi="Arial"/>
          <w:sz w:val="16"/>
          <w:szCs w:val="16"/>
          <w:color w:val="auto"/>
        </w:rPr>
      </w:pPr>
    </w:p>
    <w:p>
      <w:pPr>
        <w:jc w:val="both"/>
        <w:ind w:right="660" w:firstLine="1304"/>
        <w:spacing w:after="0" w:line="291" w:lineRule="auto"/>
        <w:tabs>
          <w:tab w:leader="none" w:pos="195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second, once an amount equal to the Aggregate Outstanding Original Issue Price is paid pursuant to 2.1.2(a) above, the remaining assets available for distribution to the stockholders shall be paid to the holders of Series A-1 Preferred Stock ratably in proportion to the</w:t>
      </w:r>
    </w:p>
    <w:p>
      <w:pPr>
        <w:ind w:right="140" w:firstLine="8"/>
        <w:spacing w:after="0" w:line="253" w:lineRule="auto"/>
        <w:tabs>
          <w:tab w:leader="none" w:pos="2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number of shares of Series A-1 Preferred Stock held by such holder immediately prior to such liquidation, dissolution or winding up to (2) the number of outstanding shares of Series A-1 Preferred Stock immediately prior to such liquidation, dissolution or winding up; provided, that, as a result of distributions pursuant to Section 2.1.2(a) above and this Section 2.1.2(b), the holders of shares of Series A-1 Preferred Stock shall not receive more than two (2) times the Series A-1 Original Issue Price per share.</w:t>
      </w:r>
    </w:p>
    <w:p>
      <w:pPr>
        <w:spacing w:after="0" w:line="192" w:lineRule="exact"/>
        <w:rPr>
          <w:rFonts w:ascii="Arial" w:cs="Arial" w:eastAsia="Arial" w:hAnsi="Arial"/>
          <w:sz w:val="18"/>
          <w:szCs w:val="18"/>
          <w:color w:val="auto"/>
        </w:rPr>
      </w:pPr>
    </w:p>
    <w:p>
      <w:pPr>
        <w:ind w:firstLine="1304"/>
        <w:spacing w:after="0" w:line="291" w:lineRule="auto"/>
        <w:tabs>
          <w:tab w:leader="none" w:pos="195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obligation to pay the Series A-1 Liquidation Amount, Series B Liquidation Amount, Series C Liquidation Amount, Series D Liquidation Amount, Series D-1 Liquidation Amount and Series E/E-1 Liquidation Amount in cash may be waived in writing by the holders of at least</w:t>
      </w:r>
    </w:p>
    <w:p>
      <w:pPr>
        <w:spacing w:after="0" w:line="253" w:lineRule="auto"/>
        <w:rPr>
          <w:rFonts w:ascii="Arial" w:cs="Arial" w:eastAsia="Arial" w:hAnsi="Arial"/>
          <w:sz w:val="16"/>
          <w:szCs w:val="16"/>
          <w:color w:val="auto"/>
        </w:rPr>
      </w:pPr>
      <w:r>
        <w:rPr>
          <w:rFonts w:ascii="Arial" w:cs="Arial" w:eastAsia="Arial" w:hAnsi="Arial"/>
          <w:sz w:val="18"/>
          <w:szCs w:val="18"/>
          <w:color w:val="auto"/>
        </w:rPr>
        <w:t>55% of the outstanding shares of Preferred Stock voting together as a single class and on an as-converted basis (a “</w:t>
      </w:r>
      <w:r>
        <w:rPr>
          <w:rFonts w:ascii="Arial" w:cs="Arial" w:eastAsia="Arial" w:hAnsi="Arial"/>
          <w:sz w:val="18"/>
          <w:szCs w:val="18"/>
          <w:u w:val="single" w:color="auto"/>
          <w:color w:val="auto"/>
        </w:rPr>
        <w:t>Supermajority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if such waiver would result in payment to the holders of Series C Preferred Stock of an amount less than one (1) times the Series C Original Issue Price in respect of such shares of Series C Preferred Stock, then such waiver shall also require the written consent of the holders of at least a majority of the outstanding shares of Series C Preferred Stock, (ii) if such waiver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3" w:name="page254"/>
    <w:bookmarkEnd w:id="253"/>
    <w:p>
      <w:pPr>
        <w:spacing w:after="0" w:line="284" w:lineRule="auto"/>
        <w:rPr>
          <w:sz w:val="20"/>
          <w:szCs w:val="20"/>
          <w:color w:val="auto"/>
        </w:rPr>
      </w:pPr>
      <w:r>
        <w:rPr>
          <w:rFonts w:ascii="Arial" w:cs="Arial" w:eastAsia="Arial" w:hAnsi="Arial"/>
          <w:sz w:val="16"/>
          <w:szCs w:val="16"/>
          <w:color w:val="auto"/>
        </w:rPr>
        <w:t>would result in payment to the holders of Series D Preferred Stock of an amount less than one and one-quarter (1.25) times the Series D Original Issue Price in respect of such shares of Series D Preferred Stock, then such waiver shall also require the written consent of the holders of at least 55% of the outstanding shares of Series D Preferred Stock, voting as a separate class, which holders must include each of the Accel Partners Entities that hold Series D Preferred Stock (the “</w:t>
      </w:r>
      <w:r>
        <w:rPr>
          <w:rFonts w:ascii="Arial" w:cs="Arial" w:eastAsia="Arial" w:hAnsi="Arial"/>
          <w:sz w:val="16"/>
          <w:szCs w:val="16"/>
          <w:u w:val="single" w:color="auto"/>
          <w:color w:val="auto"/>
        </w:rPr>
        <w:t>Series D Supermajority</w:t>
      </w:r>
      <w:r>
        <w:rPr>
          <w:rFonts w:ascii="Arial" w:cs="Arial" w:eastAsia="Arial" w:hAnsi="Arial"/>
          <w:sz w:val="16"/>
          <w:szCs w:val="16"/>
          <w:color w:val="auto"/>
        </w:rPr>
        <w:t>”), (iii) if such waiver would result in payment to the holders of Series D-1 Preferred Stock of an amount less than one (1) times the Series D-1 Original Issue Price in respect of such shares of Series D-1 Preferred Stock, then such waiver shall also require the written consent of the holders of at least 55% of the outstanding shares of Series D-1 Preferred Stock, voting as a separate class (the “</w:t>
      </w:r>
      <w:r>
        <w:rPr>
          <w:rFonts w:ascii="Arial" w:cs="Arial" w:eastAsia="Arial" w:hAnsi="Arial"/>
          <w:sz w:val="16"/>
          <w:szCs w:val="16"/>
          <w:u w:val="single" w:color="auto"/>
          <w:color w:val="auto"/>
        </w:rPr>
        <w:t>Series D-1 Supermajority</w:t>
      </w:r>
      <w:r>
        <w:rPr>
          <w:rFonts w:ascii="Arial" w:cs="Arial" w:eastAsia="Arial" w:hAnsi="Arial"/>
          <w:sz w:val="16"/>
          <w:szCs w:val="16"/>
          <w:color w:val="auto"/>
        </w:rPr>
        <w:t>”), and (iv) if such waiver would result in payment to the holders of Series E Preferred Stock or Series E-1 Preferred Stock of an amount less than one</w:t>
      </w:r>
    </w:p>
    <w:p>
      <w:pPr>
        <w:spacing w:after="0" w:line="2" w:lineRule="exact"/>
        <w:rPr>
          <w:sz w:val="20"/>
          <w:szCs w:val="20"/>
          <w:color w:val="auto"/>
        </w:rPr>
      </w:pPr>
    </w:p>
    <w:p>
      <w:pPr>
        <w:jc w:val="both"/>
        <w:ind w:right="240" w:firstLine="8"/>
        <w:spacing w:after="0" w:line="255"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times the Series E/E-1 Original Issue Price in respect of such shares of Series E Preferred Stock or Series E-1 Preferred Stock, then such waiver shall also require the written consent of the holders of at least a majority of the outstanding shares of Series E Preferred Stock and Series E-1 Preferred Stock, voting together as a separate class.</w:t>
      </w:r>
    </w:p>
    <w:p>
      <w:pPr>
        <w:spacing w:after="0" w:line="190" w:lineRule="exact"/>
        <w:rPr>
          <w:sz w:val="20"/>
          <w:szCs w:val="20"/>
          <w:color w:val="auto"/>
        </w:rPr>
      </w:pPr>
    </w:p>
    <w:p>
      <w:pPr>
        <w:ind w:firstLine="1296"/>
        <w:spacing w:after="0" w:line="30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Distribution of Remaining Assets</w:t>
      </w:r>
      <w:r>
        <w:rPr>
          <w:rFonts w:ascii="Arial" w:cs="Arial" w:eastAsia="Arial" w:hAnsi="Arial"/>
          <w:sz w:val="16"/>
          <w:szCs w:val="16"/>
          <w:color w:val="auto"/>
        </w:rPr>
        <w:t>. In the event of any voluntary or involuntary liquidation, dissolution or winding up of the Corporation (including a Deemed Liquidation Event), after the payment of all preferential amounts required to be paid to the holders of Preferred Stock, the remaining assets of the Corporation available for distribution to its stockholders shall be distributed among the holders of Common Stock (which shall include shares of restricted Common Stock only to the extent such shares are vested), pro rata based on the number of shares held by each such holder.</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225" w:lineRule="exact"/>
        <w:rPr>
          <w:sz w:val="20"/>
          <w:szCs w:val="20"/>
          <w:color w:val="auto"/>
        </w:rPr>
      </w:pPr>
    </w:p>
    <w:p>
      <w:pPr>
        <w:ind w:right="20" w:firstLine="1944"/>
        <w:spacing w:after="0" w:line="253"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Definition</w:t>
      </w:r>
      <w:r>
        <w:rPr>
          <w:rFonts w:ascii="Arial" w:cs="Arial" w:eastAsia="Arial" w:hAnsi="Arial"/>
          <w:sz w:val="18"/>
          <w:szCs w:val="18"/>
          <w:color w:val="auto"/>
        </w:rPr>
        <w:t>. Unless waived in writing (i) by the holders of a Supermajority of the outstanding shares of Preferred Stock voting together as a single class and on an as-converted basis, (ii) in the event of a waiver with respect to a transaction that would result in payment to the holders of Series D Preferred Stock of an amount less than one and one-quarter (1.25) times the Series D Original Issue Price in respect of such shares of Series D Preferred Stock, also by the Series D Supermajority, (iii) in the event of a waiver with respect to a transaction that would result in payment to the holders of Series D-1 Preferred Stock of an amount less than one (1) times the Series D-1 Original Issue Price in respect of such shares of Series D-1 Preferred Stock, also by the Series D-1 Supermajority, and (iv) in the event of a waiver with respect to a transaction that would result in payment to the holders of Series E Preferred Stock or Series E-1 Preferred Stock of an amount less than one (1) times the Series E/E-1 Original Issue Price in respect of such shares of Series E Preferred Stock or Series E-1 Preferred Stock, also by the holders of at least a majority of the outstanding shares of Series E Preferred Stock and Series E-1 Preferred Stock, voting together as a separate class, each of the following events shall be considered a “</w:t>
      </w:r>
      <w:r>
        <w:rPr>
          <w:rFonts w:ascii="Arial" w:cs="Arial" w:eastAsia="Arial" w:hAnsi="Arial"/>
          <w:sz w:val="18"/>
          <w:szCs w:val="18"/>
          <w:u w:val="single" w:color="auto"/>
          <w:color w:val="auto"/>
        </w:rPr>
        <w:t>Deemed Liquidation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w:t>
      </w:r>
    </w:p>
    <w:p>
      <w:pPr>
        <w:spacing w:after="0" w:line="194" w:lineRule="exact"/>
        <w:rPr>
          <w:sz w:val="20"/>
          <w:szCs w:val="20"/>
          <w:color w:val="auto"/>
        </w:rPr>
      </w:pPr>
    </w:p>
    <w:p>
      <w:pPr>
        <w:ind w:right="100" w:firstLine="1304"/>
        <w:spacing w:after="0" w:line="271" w:lineRule="auto"/>
        <w:tabs>
          <w:tab w:leader="none" w:pos="194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merger or consolidation in which (i) the Corporation is a constituent party or (ii) a subsidiary of the Corporation is a constituent party and the Corporation issues shares of its capital stock or other securities pursuant to such merger or consolidation, except any such merger or consolidation involving the Corporation or a subsidiary of the Corporation in which the shares of capital stock of the Corporation outstanding immediately prior to such merger or consolidation continue to represent, or are converted into or exchanged for shares of capital stock or other equity securities that represent, immediately following such merger or consolidation, at least a majority, by voting power, of the capital stock or other equity securities of (1) the surviving or resulting corporation, limited liability company, partnership, association, joint-stock corporation, trust or other form of business entity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or “</w:t>
      </w:r>
      <w:r>
        <w:rPr>
          <w:rFonts w:ascii="Arial" w:cs="Arial" w:eastAsia="Arial" w:hAnsi="Arial"/>
          <w:sz w:val="17"/>
          <w:szCs w:val="17"/>
          <w:u w:val="single" w:color="auto"/>
          <w:color w:val="auto"/>
        </w:rPr>
        <w:t>Person</w:t>
      </w:r>
      <w:r>
        <w:rPr>
          <w:rFonts w:ascii="Arial" w:cs="Arial" w:eastAsia="Arial" w:hAnsi="Arial"/>
          <w:sz w:val="17"/>
          <w:szCs w:val="17"/>
          <w:color w:val="auto"/>
        </w:rPr>
        <w:t>”) or (2) if the surviving or resulting Party is a wholly owned subsidiary of another Party immediately following such merger or consolidation, the parent entity of such surviving or resulting Party; or</w:t>
      </w:r>
    </w:p>
    <w:p>
      <w:pPr>
        <w:spacing w:after="0" w:line="178" w:lineRule="exact"/>
        <w:rPr>
          <w:rFonts w:ascii="Arial" w:cs="Arial" w:eastAsia="Arial" w:hAnsi="Arial"/>
          <w:sz w:val="17"/>
          <w:szCs w:val="17"/>
          <w:color w:val="auto"/>
        </w:rPr>
      </w:pPr>
    </w:p>
    <w:p>
      <w:pPr>
        <w:ind w:right="420" w:firstLine="1304"/>
        <w:spacing w:after="0" w:line="277" w:lineRule="auto"/>
        <w:tabs>
          <w:tab w:leader="none" w:pos="195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Corporation or any subsidiary of the Corporation of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4" w:name="page255"/>
    <w:bookmarkEnd w:id="254"/>
    <w:p>
      <w:pPr>
        <w:ind w:right="100"/>
        <w:spacing w:after="0" w:line="259" w:lineRule="auto"/>
        <w:rPr>
          <w:sz w:val="20"/>
          <w:szCs w:val="20"/>
          <w:color w:val="auto"/>
        </w:rPr>
      </w:pPr>
      <w:r>
        <w:rPr>
          <w:rFonts w:ascii="Arial" w:cs="Arial" w:eastAsia="Arial" w:hAnsi="Arial"/>
          <w:sz w:val="18"/>
          <w:szCs w:val="18"/>
          <w:color w:val="auto"/>
        </w:rPr>
        <w:t>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direct or indirect wholly owned subsidiary of the Corporation.</w:t>
      </w:r>
    </w:p>
    <w:p>
      <w:pPr>
        <w:spacing w:after="0" w:line="187" w:lineRule="exact"/>
        <w:rPr>
          <w:sz w:val="20"/>
          <w:szCs w:val="20"/>
          <w:color w:val="auto"/>
        </w:rPr>
      </w:pPr>
    </w:p>
    <w:p>
      <w:pPr>
        <w:ind w:right="80" w:firstLine="1944"/>
        <w:spacing w:after="0" w:line="27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liquidation, dissolution or winding up of the Corporation, including any Deemed Liquidation Event, shall be the cash or the value of the property, rights or securities paid or distributed to such holders by the Corporation or the acquiring individual or Person. The value of such property, rights or securities shall be determined in good faith by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without giving effect to any discount for lack of liquidity, control or any similar matter or any transfer or other contractual or other restrictions applicable thereto.</w:t>
      </w:r>
    </w:p>
    <w:p>
      <w:pPr>
        <w:spacing w:after="0" w:line="176" w:lineRule="exact"/>
        <w:rPr>
          <w:sz w:val="20"/>
          <w:szCs w:val="20"/>
          <w:color w:val="auto"/>
        </w:rPr>
      </w:pPr>
    </w:p>
    <w:p>
      <w:pPr>
        <w:ind w:right="20" w:firstLine="1944"/>
        <w:spacing w:after="0" w:line="271"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Allocation of Escrow</w:t>
      </w:r>
      <w:r>
        <w:rPr>
          <w:rFonts w:ascii="Arial" w:cs="Arial" w:eastAsia="Arial" w:hAnsi="Arial"/>
          <w:sz w:val="17"/>
          <w:szCs w:val="17"/>
          <w:color w:val="auto"/>
        </w:rPr>
        <w:t xml:space="preserve">. In the event of a Deemed Liquidation Event pursuant to </w:t>
      </w:r>
      <w:r>
        <w:rPr>
          <w:rFonts w:ascii="Arial" w:cs="Arial" w:eastAsia="Arial" w:hAnsi="Arial"/>
          <w:sz w:val="17"/>
          <w:szCs w:val="17"/>
          <w:u w:val="single" w:color="auto"/>
          <w:color w:val="auto"/>
        </w:rPr>
        <w:t>Section 2.3.1(a)(i)</w:t>
      </w:r>
      <w:r>
        <w:rPr>
          <w:rFonts w:ascii="Arial" w:cs="Arial" w:eastAsia="Arial" w:hAnsi="Arial"/>
          <w:sz w:val="17"/>
          <w:szCs w:val="17"/>
          <w:color w:val="auto"/>
        </w:rPr>
        <w:t>, if any portion of the consideration payable to the stockholders of the Corporation is placed into escrow and/or is payable to the stockholders of the Corporation subject to contingencies, the merger agreement for such transaction shall provide that (a) the portion of such consideration that is not placed in escrow and not subject to any contingencies (the “</w:t>
      </w:r>
      <w:r>
        <w:rPr>
          <w:rFonts w:ascii="Arial" w:cs="Arial" w:eastAsia="Arial" w:hAnsi="Arial"/>
          <w:sz w:val="17"/>
          <w:szCs w:val="17"/>
          <w:u w:val="single" w:color="auto"/>
          <w:color w:val="auto"/>
        </w:rPr>
        <w:t>Initial Consideration</w:t>
      </w:r>
      <w:r>
        <w:rPr>
          <w:rFonts w:ascii="Arial" w:cs="Arial" w:eastAsia="Arial" w:hAnsi="Arial"/>
          <w:sz w:val="17"/>
          <w:szCs w:val="17"/>
          <w:color w:val="auto"/>
        </w:rPr>
        <w:t xml:space="preserve">”) shall be allocated among the holders of capital stock of the Corporation in accordance with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2.2</w:t>
      </w:r>
      <w:r>
        <w:rPr>
          <w:rFonts w:ascii="Arial" w:cs="Arial" w:eastAsia="Arial" w:hAnsi="Arial"/>
          <w:sz w:val="17"/>
          <w:szCs w:val="17"/>
          <w:color w:val="auto"/>
        </w:rPr>
        <w:t xml:space="preserve"> as if the Initial Consideration were the only consideration payable in connection with such Deemed Liquidation Event and (b) any additional consideration which becomes payable to the stockholders of the Corporation upon release from escrow or satisfaction of contingencies shall be allocated among the holders of capital stock of the Corporation in accordance with </w:t>
      </w:r>
      <w:r>
        <w:rPr>
          <w:rFonts w:ascii="Arial" w:cs="Arial" w:eastAsia="Arial" w:hAnsi="Arial"/>
          <w:sz w:val="17"/>
          <w:szCs w:val="17"/>
          <w:u w:val="single" w:color="auto"/>
          <w:color w:val="auto"/>
        </w:rPr>
        <w:t>Sections 2.1 and 2.2</w:t>
      </w:r>
      <w:r>
        <w:rPr>
          <w:rFonts w:ascii="Arial" w:cs="Arial" w:eastAsia="Arial" w:hAnsi="Arial"/>
          <w:sz w:val="17"/>
          <w:szCs w:val="17"/>
          <w:color w:val="auto"/>
        </w:rPr>
        <w:t xml:space="preserve"> after taking into account the previous payment of the Initial Consideration as part of the same transaction.</w:t>
      </w:r>
    </w:p>
    <w:p>
      <w:pPr>
        <w:spacing w:after="0" w:line="178"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a meeting), each holder of outstanding shares of Series A-1 Preferred Stock, Series B Preferred Stock, Series C Preferred Stock, Series D Preferred Stock, Series D-1 Preferred Stock and Series E Preferred Stock (the “</w:t>
      </w:r>
      <w:r>
        <w:rPr>
          <w:rFonts w:ascii="Arial" w:cs="Arial" w:eastAsia="Arial" w:hAnsi="Arial"/>
          <w:sz w:val="16"/>
          <w:szCs w:val="16"/>
          <w:u w:val="single" w:color="auto"/>
          <w:color w:val="auto"/>
        </w:rPr>
        <w:t>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shall be entitled to cast the number of votes equal to the number of whole shares of Common Stock into which the shares of Voting Preferred Stock held by such holder are convertible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as of the record date for determining stockholders entitled to vote on such matter. Except as provided by the DGCL or other applicable law or by the other provisions of this Certificate of Incorporation, holders of Voting Preferred Stock shall vote together with the holders of Common Stock as a single class on all matters. For the avoidance of doubt, the Series E-1 Preferred Stock shall be non-voting shares and shall not be entitled to vote on any matter that this Certificate of Incorporation shall specify that only the holders of Voting Preferred Stock are entitled to vote, except to the extent that the holders of Series E-1 Preferred Stock are required to vote on such matter under applicable law. For further clarity, the holders of Series E-1 Preferred Stock shall be entitled to vote on any matter for which this Certificate of Incorporation shall specify that the holders of Preferred Stock are entitled to vote, unless explicitly provided otherwise in this Certificate of Incorporation (and in such case, only unless otherwise required under applicable law). With respect to any matter on which the holders of Series E-1 Preferred Stock are entitled to vote under this Certificate of Incorporation or required to vote under applicable law, each holder of outstanding shares of Series E-1 Preferred Stock shall be entitled to cast the number of votes equal to the number of whole shares of Common Stock into which the shares of Series E-1 Preferred Stock held by such holder are convertible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as of the record date for determining stockholders entitled to vote on such matter.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5" w:name="page256"/>
    <w:bookmarkEnd w:id="255"/>
    <w:p>
      <w:pPr>
        <w:ind w:left="1300"/>
        <w:spacing w:after="0"/>
        <w:tabs>
          <w:tab w:leader="none" w:pos="1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Election of Directors</w:t>
      </w:r>
      <w:r>
        <w:rPr>
          <w:rFonts w:ascii="Arial" w:cs="Arial" w:eastAsia="Arial" w:hAnsi="Arial"/>
          <w:sz w:val="16"/>
          <w:szCs w:val="16"/>
          <w:color w:val="auto"/>
        </w:rPr>
        <w:t>.</w:t>
      </w:r>
    </w:p>
    <w:p>
      <w:pPr>
        <w:spacing w:after="0" w:line="225" w:lineRule="exact"/>
        <w:rPr>
          <w:sz w:val="20"/>
          <w:szCs w:val="20"/>
          <w:color w:val="auto"/>
        </w:rPr>
      </w:pPr>
    </w:p>
    <w:p>
      <w:pPr>
        <w:ind w:right="20" w:firstLine="1944"/>
        <w:spacing w:after="0" w:line="257" w:lineRule="auto"/>
        <w:rPr>
          <w:sz w:val="20"/>
          <w:szCs w:val="20"/>
          <w:color w:val="auto"/>
        </w:rPr>
      </w:pPr>
      <w:r>
        <w:rPr>
          <w:rFonts w:ascii="Arial" w:cs="Arial" w:eastAsia="Arial" w:hAnsi="Arial"/>
          <w:sz w:val="18"/>
          <w:szCs w:val="18"/>
          <w:color w:val="auto"/>
        </w:rPr>
        <w:t xml:space="preserve">3.2.1 The number of directors that constitute the Board shall be determined in the manner provided in Article VI of this Certificate of Incorporation;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a Redemption Default Event (as defined herein), the number of directors that may serve on the Board shall be expanded to such number of directors required such that the holders of a majority of the voting power of the outstanding shares of Voting Preferred Stock shall have the right, but not the obligation, exclusively and as a separate class, at any time while the Redemption Default Event is continuing, to elect a majority of the directors of the Corporation.</w:t>
      </w:r>
    </w:p>
    <w:p>
      <w:pPr>
        <w:spacing w:after="0" w:line="188" w:lineRule="exact"/>
        <w:rPr>
          <w:sz w:val="20"/>
          <w:szCs w:val="20"/>
          <w:color w:val="auto"/>
        </w:rPr>
      </w:pPr>
    </w:p>
    <w:p>
      <w:pPr>
        <w:ind w:right="20" w:firstLine="1944"/>
        <w:spacing w:after="0" w:line="342" w:lineRule="auto"/>
        <w:rPr>
          <w:sz w:val="20"/>
          <w:szCs w:val="20"/>
          <w:color w:val="auto"/>
        </w:rPr>
      </w:pPr>
      <w:r>
        <w:rPr>
          <w:rFonts w:ascii="Arial" w:cs="Arial" w:eastAsia="Arial" w:hAnsi="Arial"/>
          <w:sz w:val="16"/>
          <w:szCs w:val="16"/>
          <w:color w:val="auto"/>
        </w:rPr>
        <w:t>3.2.2 The holders of record of at least a majority of the outstanding shares of Series A-1 Preferred Stock, exclusively and as a separate class, shall be entitled to elect three (3) directors of the Corporation (each a “</w:t>
      </w:r>
      <w:r>
        <w:rPr>
          <w:rFonts w:ascii="Arial" w:cs="Arial" w:eastAsia="Arial" w:hAnsi="Arial"/>
          <w:sz w:val="16"/>
          <w:szCs w:val="16"/>
          <w:u w:val="single" w:color="auto"/>
          <w:color w:val="auto"/>
        </w:rPr>
        <w:t>Series A-1 Director</w:t>
      </w:r>
      <w:r>
        <w:rPr>
          <w:rFonts w:ascii="Arial" w:cs="Arial" w:eastAsia="Arial" w:hAnsi="Arial"/>
          <w:sz w:val="16"/>
          <w:szCs w:val="16"/>
          <w:color w:val="auto"/>
        </w:rPr>
        <w:t>” and together the “</w:t>
      </w:r>
      <w:r>
        <w:rPr>
          <w:rFonts w:ascii="Arial" w:cs="Arial" w:eastAsia="Arial" w:hAnsi="Arial"/>
          <w:sz w:val="16"/>
          <w:szCs w:val="16"/>
          <w:u w:val="single" w:color="auto"/>
          <w:color w:val="auto"/>
        </w:rPr>
        <w:t>Series A-1 Directors</w:t>
      </w:r>
      <w:r>
        <w:rPr>
          <w:rFonts w:ascii="Arial" w:cs="Arial" w:eastAsia="Arial" w:hAnsi="Arial"/>
          <w:sz w:val="16"/>
          <w:szCs w:val="16"/>
          <w:color w:val="auto"/>
        </w:rPr>
        <w:t>”).</w:t>
      </w:r>
    </w:p>
    <w:p>
      <w:pPr>
        <w:spacing w:after="0" w:line="124" w:lineRule="exact"/>
        <w:rPr>
          <w:sz w:val="20"/>
          <w:szCs w:val="20"/>
          <w:color w:val="auto"/>
        </w:rPr>
      </w:pPr>
    </w:p>
    <w:p>
      <w:pPr>
        <w:ind w:right="160" w:firstLine="1944"/>
        <w:spacing w:after="0" w:line="277" w:lineRule="auto"/>
        <w:rPr>
          <w:sz w:val="20"/>
          <w:szCs w:val="20"/>
          <w:color w:val="auto"/>
        </w:rPr>
      </w:pPr>
      <w:r>
        <w:rPr>
          <w:rFonts w:ascii="Arial" w:cs="Arial" w:eastAsia="Arial" w:hAnsi="Arial"/>
          <w:sz w:val="18"/>
          <w:szCs w:val="18"/>
          <w:color w:val="auto"/>
        </w:rPr>
        <w:t>3.2.3 The holders of record of at least a majority of the outstanding shares of Series B Preferred Stock, exclusively and as a separate class, shall be entitled to elect one (1) director of the Corporation (the “</w:t>
      </w:r>
      <w:r>
        <w:rPr>
          <w:rFonts w:ascii="Arial" w:cs="Arial" w:eastAsia="Arial" w:hAnsi="Arial"/>
          <w:sz w:val="18"/>
          <w:szCs w:val="18"/>
          <w:u w:val="single" w:color="auto"/>
          <w:color w:val="auto"/>
        </w:rPr>
        <w:t>Series B Director</w:t>
      </w:r>
      <w:r>
        <w:rPr>
          <w:rFonts w:ascii="Arial" w:cs="Arial" w:eastAsia="Arial" w:hAnsi="Arial"/>
          <w:sz w:val="18"/>
          <w:szCs w:val="18"/>
          <w:color w:val="auto"/>
        </w:rPr>
        <w:t>”).</w:t>
      </w:r>
    </w:p>
    <w:p>
      <w:pPr>
        <w:spacing w:after="0" w:line="170" w:lineRule="exact"/>
        <w:rPr>
          <w:sz w:val="20"/>
          <w:szCs w:val="20"/>
          <w:color w:val="auto"/>
        </w:rPr>
      </w:pPr>
    </w:p>
    <w:p>
      <w:pPr>
        <w:ind w:right="60" w:firstLine="1944"/>
        <w:spacing w:after="0" w:line="257" w:lineRule="auto"/>
        <w:rPr>
          <w:sz w:val="20"/>
          <w:szCs w:val="20"/>
          <w:color w:val="auto"/>
        </w:rPr>
      </w:pPr>
      <w:r>
        <w:rPr>
          <w:rFonts w:ascii="Arial" w:cs="Arial" w:eastAsia="Arial" w:hAnsi="Arial"/>
          <w:sz w:val="18"/>
          <w:szCs w:val="18"/>
          <w:color w:val="auto"/>
        </w:rPr>
        <w:t>3.2.4 The holders of record of a majority of the voting power of the outstanding shares of Common Stock and Voting Preferred Stock and of any other class or series of voting stock (excluding, for the avoidance of doubt, the Series E-1 Preferred Stock), voting together as a single class, shall be entitled to elect the balance of the total number of directors of the Corporation (the “</w:t>
      </w:r>
      <w:r>
        <w:rPr>
          <w:rFonts w:ascii="Arial" w:cs="Arial" w:eastAsia="Arial" w:hAnsi="Arial"/>
          <w:sz w:val="18"/>
          <w:szCs w:val="18"/>
          <w:u w:val="single" w:color="auto"/>
          <w:color w:val="auto"/>
        </w:rPr>
        <w:t>Additional Directors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a Redemption Default Event, the number of Additional Directors may not be increased to a number of Additional Directors in excess of the Additional Directors existing prior to the Redemption Default Event.</w:t>
      </w:r>
    </w:p>
    <w:p>
      <w:pPr>
        <w:spacing w:after="0" w:line="188" w:lineRule="exact"/>
        <w:rPr>
          <w:sz w:val="20"/>
          <w:szCs w:val="20"/>
          <w:color w:val="auto"/>
        </w:rPr>
      </w:pPr>
    </w:p>
    <w:p>
      <w:pPr>
        <w:ind w:firstLine="1944"/>
        <w:spacing w:after="0" w:line="286" w:lineRule="auto"/>
        <w:rPr>
          <w:sz w:val="20"/>
          <w:szCs w:val="20"/>
          <w:color w:val="auto"/>
        </w:rPr>
      </w:pPr>
      <w:r>
        <w:rPr>
          <w:rFonts w:ascii="Arial" w:cs="Arial" w:eastAsia="Arial" w:hAnsi="Arial"/>
          <w:sz w:val="16"/>
          <w:szCs w:val="16"/>
          <w:color w:val="auto"/>
        </w:rPr>
        <w:t xml:space="preserve">3.2.5 Any director elected pursuant to Sections 3.2.2, 3.2.3 or 3.2.4 may be removed with or without cause by, and only by, the affirmative vote of the holders of the shares of capital stock entitled to elect such director or directors, given either at a special meeting of such stockholders duly called for that purpose or pursuant to a written consent of such stockholders. If the holders of shares of a class, classes or series of capital stock fail to elect a sufficient number of directors to fill all directorships for which they are entitled to elect directors, voting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any directorship not so filled shall remain vacant until such time as the holders of such class, classes or series of capital stock elect a person to fill such directorship by vote or written consent in lieu of a meeting; and no such directorship may be filled by the Board or the stockholders of the Corporation other than by the stockholders of the Corporation that are entitled to elect a person to fill such directorship, voting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There shall be no cumulative voting. The Corporation and each stockholder of the Corporation shall be obligated to take or cause to be taken all action necessary to ensure at all times following the Series A-1 Original Issue Date that the organizational documents of the Corporation and its subsidiaries (including this Certification of Incorporation and the Bylaws of the Corporation) are not inconsistent with or in any way limit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171" w:lineRule="exact"/>
        <w:rPr>
          <w:sz w:val="20"/>
          <w:szCs w:val="20"/>
          <w:color w:val="auto"/>
        </w:rPr>
      </w:pPr>
    </w:p>
    <w:p>
      <w:pPr>
        <w:ind w:right="120" w:firstLine="1296"/>
        <w:spacing w:after="0" w:line="30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 The Corporation shall not, and shall not permit any subsidiary to, either directly or indirectly, by amendment, merger, consolidation or otherwise, do any of the following without (in addition to any other vote required by the DGCL or this Certificate of Incorporation) the written consent or affirmative vote of the holders of at least a Supermajority of the then outstanding shares of Preferred Stock, given in writing or by vote at a meeting, consenting or voting (as the case may be) together as a single class and on an as-converted basis: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6" w:name="page257"/>
    <w:bookmarkEnd w:id="256"/>
    <w:p>
      <w:pPr>
        <w:ind w:right="440" w:firstLine="1304"/>
        <w:spacing w:after="0" w:line="277" w:lineRule="auto"/>
        <w:tabs>
          <w:tab w:leader="none" w:pos="194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liquidate, dissolve or wind-up the business and affairs of the Corporation or any subsidiary, effect any Deemed Liquidation Event or any reorganization, recapitalization, reclassification, consolidation or merger or consent to any of the foregoing;</w:t>
      </w:r>
    </w:p>
    <w:p>
      <w:pPr>
        <w:spacing w:after="0" w:line="170" w:lineRule="exact"/>
        <w:rPr>
          <w:rFonts w:ascii="Arial" w:cs="Arial" w:eastAsia="Arial" w:hAnsi="Arial"/>
          <w:sz w:val="18"/>
          <w:szCs w:val="18"/>
          <w:color w:val="auto"/>
        </w:rPr>
      </w:pPr>
    </w:p>
    <w:p>
      <w:pPr>
        <w:jc w:val="both"/>
        <w:ind w:right="120" w:firstLine="1304"/>
        <w:spacing w:after="0" w:line="286" w:lineRule="auto"/>
        <w:tabs>
          <w:tab w:leader="none" w:pos="195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make any acquisition (whether by merger, stock purchase, asset purchase or otherwise) of another business or Person involving the payment, contribution or assignment by or to the Corporation or its subsidiaries of money or assets (i) greater than $500,000 but less than $5,000,000, unless approved by the Board, including the approval of at least one Series A-1 Director, or (ii) greater than $5,000,000;</w:t>
      </w:r>
    </w:p>
    <w:p>
      <w:pPr>
        <w:spacing w:after="0" w:line="165" w:lineRule="exact"/>
        <w:rPr>
          <w:rFonts w:ascii="Arial" w:cs="Arial" w:eastAsia="Arial" w:hAnsi="Arial"/>
          <w:sz w:val="17"/>
          <w:szCs w:val="17"/>
          <w:color w:val="auto"/>
        </w:rPr>
      </w:pPr>
    </w:p>
    <w:p>
      <w:pPr>
        <w:ind w:right="160" w:firstLine="1304"/>
        <w:spacing w:after="0" w:line="277" w:lineRule="auto"/>
        <w:tabs>
          <w:tab w:leader="none" w:pos="19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amend, change, waive, alter or repeal any provision of this Certificate of Incorporation or the Bylaws of the Corporation or the organizational documents of any subsidiary;</w:t>
      </w:r>
    </w:p>
    <w:p>
      <w:pPr>
        <w:spacing w:after="0" w:line="170" w:lineRule="exact"/>
        <w:rPr>
          <w:rFonts w:ascii="Arial" w:cs="Arial" w:eastAsia="Arial" w:hAnsi="Arial"/>
          <w:sz w:val="18"/>
          <w:szCs w:val="18"/>
          <w:color w:val="auto"/>
        </w:rPr>
      </w:pPr>
    </w:p>
    <w:p>
      <w:pPr>
        <w:ind w:firstLine="1304"/>
        <w:spacing w:after="0" w:line="270" w:lineRule="auto"/>
        <w:tabs>
          <w:tab w:leader="none" w:pos="195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create, or authorize the creation of, or issue or obligate itself to issue shares of capital stock or any securities convertible or exchangeable into capital stock, including any additional class or series of capital stock or any additional shares of Preferred Stock, or any debt security (except (i) as contemplated by the Securities Purchase Agreement, dated on or about the Series E/E-1 Original Issue Date, by and among the Corporation and certain stockholders of the Corporation (as the same may be amended from time to time,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(ii) for the issuance of additional shares of Common Stock pursuant to the exercise of stock options granted pursuant to stock option, stock bonus, stock incentive or similar plans that have been approved by the Board (including the approval of least one Series A-1 Director) or (iii) in the case of a direct or indirect wholly owned subsidiary of the Corporation, for the issuance of shares of capital stock or other securities to the Corporation or another direct or indirect wholly owned subsidiary of the Corporation), or increase or decrease the authorized number of shares of any class or series of capital stock or other securities or reclassify, alter or amend any security of the Corporation or any subsidiary;</w:t>
      </w:r>
    </w:p>
    <w:p>
      <w:pPr>
        <w:spacing w:after="0" w:line="180" w:lineRule="exact"/>
        <w:rPr>
          <w:rFonts w:ascii="Arial" w:cs="Arial" w:eastAsia="Arial" w:hAnsi="Arial"/>
          <w:sz w:val="17"/>
          <w:szCs w:val="17"/>
          <w:color w:val="auto"/>
        </w:rPr>
      </w:pPr>
    </w:p>
    <w:p>
      <w:pPr>
        <w:ind w:right="20" w:firstLine="1304"/>
        <w:spacing w:after="0" w:line="301" w:lineRule="auto"/>
        <w:tabs>
          <w:tab w:leader="none" w:pos="195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create, or hold capital stock or other securities in, any subsidiary or other Person that is not wholly owned (whether directly or through one or more other subsidiaries) by the Corporation or permit any subsidiary to create, or authorize the creation of, or issue or obligate itself to issue shares of, any class or series of capital stock or other securities (except in the case of a direct or indirect wholly owned subsidiary of the Corporation, for the issuance of shares of capital stock or other securities to the Corporation or another direct or indirect wholly owned subsidiary of the Corporation);</w:t>
      </w:r>
    </w:p>
    <w:p>
      <w:pPr>
        <w:spacing w:after="0" w:line="157" w:lineRule="exact"/>
        <w:rPr>
          <w:rFonts w:ascii="Arial" w:cs="Arial" w:eastAsia="Arial" w:hAnsi="Arial"/>
          <w:sz w:val="16"/>
          <w:szCs w:val="16"/>
          <w:color w:val="auto"/>
        </w:rPr>
      </w:pPr>
    </w:p>
    <w:p>
      <w:pPr>
        <w:ind w:firstLine="1304"/>
        <w:spacing w:after="0" w:line="255" w:lineRule="auto"/>
        <w:tabs>
          <w:tab w:leader="none" w:pos="194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purchase or redeem (or permit any subsidiary to purchase or redeem) or pay or declare any dividend or make any distribution on, any debt security or shares of capital stock or other securities of the Corporation or any subsidiary other than (i) as required to consummate the Redemption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or (iii) as approved by the Board, including the approval of at least one Series A-1 Director ((i), (ii) and (iii) above together, the “</w:t>
      </w:r>
      <w:r>
        <w:rPr>
          <w:rFonts w:ascii="Arial" w:cs="Arial" w:eastAsia="Arial" w:hAnsi="Arial"/>
          <w:sz w:val="18"/>
          <w:szCs w:val="18"/>
          <w:u w:val="single" w:color="auto"/>
          <w:color w:val="auto"/>
        </w:rPr>
        <w:t>Permitted Repurchases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120" w:firstLine="1304"/>
        <w:spacing w:after="0" w:line="273" w:lineRule="auto"/>
        <w:tabs>
          <w:tab w:leader="none" w:pos="196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except as contemplated by the annual budget approved by the Board, including the approval of at least one Series A-1 Director, create, or authorize the creation of, or issue, or authorize the issuance of or guarantee any debt security, or permit any subsidiary to take any such action with respect to any debt security, or (ii) incur or agree to incur or enter into any agreement permitting the Corporation or its subsidiaries to incur or guarantee, indebtedness for borrowed money in excess of $10,000,000 in the aggregate, or (iii) amend, modify, waive or otherwise alter the terms of any agreement governing the terms of any material indebtedness of the Corporation or any subsidiary, unless such amendment, modification, waiver or alteration has been approved by the Board, including the approval of at least one Series A-1 Director;</w:t>
      </w:r>
    </w:p>
    <w:p>
      <w:pPr>
        <w:spacing w:after="0" w:line="177" w:lineRule="exact"/>
        <w:rPr>
          <w:rFonts w:ascii="Arial" w:cs="Arial" w:eastAsia="Arial" w:hAnsi="Arial"/>
          <w:sz w:val="17"/>
          <w:szCs w:val="17"/>
          <w:color w:val="auto"/>
        </w:rPr>
      </w:pPr>
    </w:p>
    <w:p>
      <w:pPr>
        <w:ind w:right="400" w:firstLine="1304"/>
        <w:spacing w:after="0" w:line="277" w:lineRule="auto"/>
        <w:tabs>
          <w:tab w:leader="none" w:pos="19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permitted by the annual budget approved by the Board, including the approval of at least one Series A-1 Director, spend or commit to spend in excess of an aggregate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7" w:name="page258"/>
    <w:bookmarkEnd w:id="257"/>
    <w:p>
      <w:pPr>
        <w:ind w:right="320"/>
        <w:spacing w:after="0" w:line="277" w:lineRule="auto"/>
        <w:rPr>
          <w:sz w:val="20"/>
          <w:szCs w:val="20"/>
          <w:color w:val="auto"/>
        </w:rPr>
      </w:pPr>
      <w:r>
        <w:rPr>
          <w:rFonts w:ascii="Arial" w:cs="Arial" w:eastAsia="Arial" w:hAnsi="Arial"/>
          <w:sz w:val="18"/>
          <w:szCs w:val="18"/>
          <w:color w:val="auto"/>
        </w:rPr>
        <w:t>$500,000 in expenditures that are or should be classified as “capital expenditures” for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in any fiscal year;</w:t>
      </w:r>
    </w:p>
    <w:p>
      <w:pPr>
        <w:spacing w:after="0" w:line="170" w:lineRule="exact"/>
        <w:rPr>
          <w:sz w:val="20"/>
          <w:szCs w:val="20"/>
          <w:color w:val="auto"/>
        </w:rPr>
      </w:pPr>
    </w:p>
    <w:p>
      <w:pPr>
        <w:ind w:right="240" w:firstLine="1304"/>
        <w:spacing w:after="0" w:line="311" w:lineRule="auto"/>
        <w:tabs>
          <w:tab w:leader="none" w:pos="196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increase the number of shares reserved for issuance under any of the Corporation’s 2011 Stock Incentive Plan or other stock option, stock bonus or stock incentive plans or adopt, authorize or approve any stock option, stock bonus, stock incentive or similar plan or arrangement (other than the 2011 Stock Incentive Plan) for the benefit of employees or other service providers of the Corporation or any subsidiary;</w:t>
      </w:r>
    </w:p>
    <w:p>
      <w:pPr>
        <w:spacing w:after="0" w:line="148" w:lineRule="exact"/>
        <w:rPr>
          <w:rFonts w:ascii="Arial" w:cs="Arial" w:eastAsia="Arial" w:hAnsi="Arial"/>
          <w:sz w:val="16"/>
          <w:szCs w:val="16"/>
          <w:color w:val="auto"/>
        </w:rPr>
      </w:pPr>
    </w:p>
    <w:p>
      <w:pPr>
        <w:ind w:right="20" w:firstLine="1304"/>
        <w:spacing w:after="0" w:line="277" w:lineRule="auto"/>
        <w:tabs>
          <w:tab w:leader="none" w:pos="19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approve or effect any changes in the Corporation’s or any subsidiary’s accounting methods or policies (other than as required by GAAP), or change the auditors of the Corporation or any subsidiary;</w:t>
      </w:r>
    </w:p>
    <w:p>
      <w:pPr>
        <w:spacing w:after="0" w:line="170" w:lineRule="exact"/>
        <w:rPr>
          <w:rFonts w:ascii="Arial" w:cs="Arial" w:eastAsia="Arial" w:hAnsi="Arial"/>
          <w:sz w:val="18"/>
          <w:szCs w:val="18"/>
          <w:color w:val="auto"/>
        </w:rPr>
      </w:pPr>
    </w:p>
    <w:p>
      <w:pPr>
        <w:ind w:firstLine="1304"/>
        <w:spacing w:after="0" w:line="277" w:lineRule="auto"/>
        <w:tabs>
          <w:tab w:leader="none" w:pos="19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pledge, mortgage or otherwise subject to any charge, lien, security interest or other encumbrance on all or substantially all of the assets of the Corporation or any of its subsidiaries;</w:t>
      </w:r>
    </w:p>
    <w:p>
      <w:pPr>
        <w:spacing w:after="0" w:line="170" w:lineRule="exact"/>
        <w:rPr>
          <w:rFonts w:ascii="Arial" w:cs="Arial" w:eastAsia="Arial" w:hAnsi="Arial"/>
          <w:sz w:val="18"/>
          <w:szCs w:val="18"/>
          <w:color w:val="auto"/>
        </w:rPr>
      </w:pPr>
    </w:p>
    <w:p>
      <w:pPr>
        <w:ind w:right="80" w:firstLine="1304"/>
        <w:spacing w:after="0" w:line="259" w:lineRule="auto"/>
        <w:tabs>
          <w:tab w:leader="none" w:pos="19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sell, transfer or otherwise dispose of any capital stock or other securities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(other than to a wholly owned subsidiary of the Corporation or its wholly owned subsidiaries);</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authorize or effect any sale, lease, transfer or other disposition of any assets of the Corporation or any subsidiary in excess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$500,000 (individually or in the aggregate), except (a) for transactions in the ordinary course of the business of the Corporation and its subsidiaries and</w:t>
      </w:r>
    </w:p>
    <w:p>
      <w:pPr>
        <w:spacing w:after="0" w:line="32" w:lineRule="exact"/>
        <w:rPr>
          <w:sz w:val="20"/>
          <w:szCs w:val="20"/>
          <w:color w:val="auto"/>
        </w:rPr>
      </w:pPr>
    </w:p>
    <w:p>
      <w:pPr>
        <w:ind w:left="260" w:hanging="252"/>
        <w:spacing w:after="0"/>
        <w:tabs>
          <w:tab w:leader="none" w:pos="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 permitted by the annual budget approved by the Board, including the approval of at least one Series A-1 Director; or</w:t>
      </w:r>
    </w:p>
    <w:p>
      <w:pPr>
        <w:spacing w:after="0" w:line="210" w:lineRule="exact"/>
        <w:rPr>
          <w:rFonts w:ascii="Arial" w:cs="Arial" w:eastAsia="Arial" w:hAnsi="Arial"/>
          <w:sz w:val="18"/>
          <w:szCs w:val="18"/>
          <w:color w:val="auto"/>
        </w:rPr>
      </w:pPr>
    </w:p>
    <w:p>
      <w:pPr>
        <w:ind w:right="360" w:firstLine="1304"/>
        <w:spacing w:after="0" w:line="263" w:lineRule="auto"/>
        <w:tabs>
          <w:tab w:leader="none" w:pos="195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except as contemplated in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in connection with a Redemption Default Event to permit the election of additional directors by the holders of a majority of the outstanding shares of Voting Preferred Stock, increase or decrease the authorized number of directors constituting the Board to greater than or less than seven (7).</w:t>
      </w:r>
    </w:p>
    <w:p>
      <w:pPr>
        <w:spacing w:after="0" w:line="184" w:lineRule="exact"/>
        <w:rPr>
          <w:sz w:val="20"/>
          <w:szCs w:val="20"/>
          <w:color w:val="auto"/>
        </w:rPr>
      </w:pPr>
    </w:p>
    <w:p>
      <w:pPr>
        <w:ind w:right="60" w:firstLine="1296"/>
        <w:spacing w:after="0" w:line="27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Series B Preferred Stock Protective Provisions</w:t>
      </w:r>
      <w:r>
        <w:rPr>
          <w:rFonts w:ascii="Arial" w:cs="Arial" w:eastAsia="Arial" w:hAnsi="Arial"/>
          <w:sz w:val="17"/>
          <w:szCs w:val="17"/>
          <w:color w:val="auto"/>
        </w:rPr>
        <w:t>. The Corporation shall not, and shall not permit any subsidiary to, either directly or indirectly, by amendment, merger, consolidation or otherwise, do any of the following without (in addition to any other vote required by the DGCL or this Certificate of Incorporation) the written consent or affirmative vote of the holders of a majority of the then outstanding shares of Series B Preferred Stock, given in writing or by vote at a meeting, consenting or voting (as the case may be) as a separate class:</w:t>
      </w:r>
    </w:p>
    <w:p>
      <w:pPr>
        <w:spacing w:after="0" w:line="171" w:lineRule="exact"/>
        <w:rPr>
          <w:sz w:val="20"/>
          <w:szCs w:val="20"/>
          <w:color w:val="auto"/>
        </w:rPr>
      </w:pPr>
    </w:p>
    <w:p>
      <w:pPr>
        <w:ind w:right="100" w:firstLine="1304"/>
        <w:spacing w:after="0" w:line="277" w:lineRule="auto"/>
        <w:tabs>
          <w:tab w:leader="none" w:pos="19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amend or waive any provision of this Certificate of Incorporation or the Bylaws of the Corporation so as to adversely affect the rights, powers or preferences of the Series B Preferred Stock;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issue shares of, or increase or decrease the number of authorized shares of, Series B Preferred Stock.</w:t>
      </w:r>
    </w:p>
    <w:p>
      <w:pPr>
        <w:spacing w:after="0" w:line="225" w:lineRule="exact"/>
        <w:rPr>
          <w:sz w:val="20"/>
          <w:szCs w:val="20"/>
          <w:color w:val="auto"/>
        </w:rPr>
      </w:pPr>
    </w:p>
    <w:p>
      <w:pPr>
        <w:ind w:right="60" w:firstLine="1296"/>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Series C Preferred Stock Protective Provisions</w:t>
      </w:r>
      <w:r>
        <w:rPr>
          <w:rFonts w:ascii="Arial" w:cs="Arial" w:eastAsia="Arial" w:hAnsi="Arial"/>
          <w:sz w:val="17"/>
          <w:szCs w:val="17"/>
          <w:color w:val="auto"/>
        </w:rPr>
        <w:t>. The Corporation shall not, and shall not permit any subsidiary to, either directly or indirectly, by amendment, merger, consolidation or otherwise, do any of the following without (in addition to any other vote required by the DGCL or this Certificate of Incorporation) the written consent or affirmative vote of the holders of a majority of the then outstanding shares of Series C Preferred Stock, given in writing or by vote at a meeting, consenting or voting (as the case may be) as a separate class:</w:t>
      </w:r>
    </w:p>
    <w:p>
      <w:pPr>
        <w:spacing w:after="0" w:line="171" w:lineRule="exact"/>
        <w:rPr>
          <w:sz w:val="20"/>
          <w:szCs w:val="20"/>
          <w:color w:val="auto"/>
        </w:rPr>
      </w:pPr>
    </w:p>
    <w:p>
      <w:pPr>
        <w:ind w:right="100" w:firstLine="1304"/>
        <w:spacing w:after="0" w:line="277" w:lineRule="auto"/>
        <w:tabs>
          <w:tab w:leader="none" w:pos="194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amend or waive any provision of this Certificate of Incorporation or the Bylaws of the Corporation so as to adversely affect the rights, powers or preferences of the Series C Preferred Stock;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58" w:name="page259"/>
    <w:bookmarkEnd w:id="258"/>
    <w:p>
      <w:pPr>
        <w:spacing w:after="0" w:line="36" w:lineRule="exact"/>
        <w:rPr>
          <w:sz w:val="20"/>
          <w:szCs w:val="20"/>
          <w:color w:val="auto"/>
        </w:rPr>
      </w:pPr>
    </w:p>
    <w:p>
      <w:pPr>
        <w:ind w:left="1960" w:hanging="656"/>
        <w:spacing w:after="0"/>
        <w:tabs>
          <w:tab w:leader="none" w:pos="1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issue shares of, or increase or decrease the number of authorized shares of, Series C Preferred Stock.</w:t>
      </w:r>
    </w:p>
    <w:p>
      <w:pPr>
        <w:spacing w:after="0" w:line="225"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Series D Preferred Stock Protective Provisions</w:t>
      </w:r>
      <w:r>
        <w:rPr>
          <w:rFonts w:ascii="Arial" w:cs="Arial" w:eastAsia="Arial" w:hAnsi="Arial"/>
          <w:sz w:val="18"/>
          <w:szCs w:val="18"/>
          <w:color w:val="auto"/>
        </w:rPr>
        <w:t>. The Corporation shall not, and shall not permit any subsidiary to, either directly or indirectly, by amendment, merger, consolidation or otherwise, do any of the following without (in addition to any other vote required by the DGCL or this Certificate of Incorporation) the written consent or affirmative vote of the Series D Supermajority, given in writing or by vote at a meeting, consenting or voting (as the case may be) as a separate class:</w:t>
      </w:r>
    </w:p>
    <w:p>
      <w:pPr>
        <w:spacing w:after="0" w:line="187" w:lineRule="exact"/>
        <w:rPr>
          <w:sz w:val="20"/>
          <w:szCs w:val="20"/>
          <w:color w:val="auto"/>
        </w:rPr>
      </w:pPr>
    </w:p>
    <w:p>
      <w:pPr>
        <w:ind w:right="140" w:firstLine="1304"/>
        <w:spacing w:after="0" w:line="277" w:lineRule="auto"/>
        <w:tabs>
          <w:tab w:leader="none" w:pos="194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amend or waive any provision of this Certificate of Incorporation or the Bylaws of the Corporation so as to adversely affect the rights, powers or preferences of the Series D Preferred Stock;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issue shares of, or increase or decrease the number of authorized shares of, Series D Preferred Stock.</w:t>
      </w:r>
    </w:p>
    <w:p>
      <w:pPr>
        <w:spacing w:after="0" w:line="225"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Series D-1 Preferred Stock Protective Provisions</w:t>
      </w:r>
      <w:r>
        <w:rPr>
          <w:rFonts w:ascii="Arial" w:cs="Arial" w:eastAsia="Arial" w:hAnsi="Arial"/>
          <w:sz w:val="18"/>
          <w:szCs w:val="18"/>
          <w:color w:val="auto"/>
        </w:rPr>
        <w:t>. The Corporation shall not, and shall not permit any subsidiary to, either directly or indirectly, by amendment, merger, consolidation or otherwise, do any of the following without (in addition to any other vote required by the DGCL or this Certificate of Incorporation) the written consent or affirmative vote of the Series D-1 Supermajority, given in writing or by vote at a meeting, consenting or voting (as the case may be) as a separate class:</w:t>
      </w:r>
    </w:p>
    <w:p>
      <w:pPr>
        <w:spacing w:after="0" w:line="187" w:lineRule="exact"/>
        <w:rPr>
          <w:sz w:val="20"/>
          <w:szCs w:val="20"/>
          <w:color w:val="auto"/>
        </w:rPr>
      </w:pPr>
    </w:p>
    <w:p>
      <w:pPr>
        <w:ind w:right="140" w:firstLine="1304"/>
        <w:spacing w:after="0" w:line="277" w:lineRule="auto"/>
        <w:tabs>
          <w:tab w:leader="none" w:pos="194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amend or waive any provision of this Certificate of Incorporation or the Bylaws of the Corporation so as to adversely affect the rights, powers or preferences of the Series D-1 Preferred Stock;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issue shares of, or increase or decrease the number of authorized shares of, Series D-1 Preferred Stock.</w:t>
      </w:r>
    </w:p>
    <w:p>
      <w:pPr>
        <w:spacing w:after="0" w:line="225" w:lineRule="exact"/>
        <w:rPr>
          <w:sz w:val="20"/>
          <w:szCs w:val="20"/>
          <w:color w:val="auto"/>
        </w:rPr>
      </w:pPr>
    </w:p>
    <w:p>
      <w:pPr>
        <w:ind w:right="240" w:firstLine="1296"/>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Series E/E-1 Preferred Stock Protective Provisions</w:t>
      </w:r>
      <w:r>
        <w:rPr>
          <w:rFonts w:ascii="Arial" w:cs="Arial" w:eastAsia="Arial" w:hAnsi="Arial"/>
          <w:sz w:val="18"/>
          <w:szCs w:val="18"/>
          <w:color w:val="auto"/>
        </w:rPr>
        <w:t>. The Corporation shall not, and shall not permit any subsidiary to, either directly or indirectly, by amendment, merger, consolidation or otherwise, do any of the following without (in addition to any other vote required by the DGCL or this Certificate of Incorporation) the written consent or affirmative vote of the holders of at least a majority of the then outstanding shares of Series E Preferred Stock and Series E-1 Preferred Stock, given in writing or by vote at a meeting, consenting or voting (as the case may be) together as a separate class and on an as-converted to Common Stock basis:</w:t>
      </w:r>
    </w:p>
    <w:p>
      <w:pPr>
        <w:spacing w:after="0" w:line="188" w:lineRule="exact"/>
        <w:rPr>
          <w:sz w:val="20"/>
          <w:szCs w:val="20"/>
          <w:color w:val="auto"/>
        </w:rPr>
      </w:pPr>
    </w:p>
    <w:p>
      <w:pPr>
        <w:ind w:right="140" w:firstLine="1304"/>
        <w:spacing w:after="0" w:line="277" w:lineRule="auto"/>
        <w:tabs>
          <w:tab w:leader="none" w:pos="1941" w:val="left"/>
        </w:tabs>
        <w:numPr>
          <w:ilvl w:val="2"/>
          <w:numId w:val="135"/>
        </w:numPr>
        <w:rPr>
          <w:rFonts w:ascii="Arial" w:cs="Arial" w:eastAsia="Arial" w:hAnsi="Arial"/>
          <w:sz w:val="18"/>
          <w:szCs w:val="18"/>
          <w:color w:val="auto"/>
        </w:rPr>
      </w:pPr>
      <w:r>
        <w:rPr>
          <w:rFonts w:ascii="Arial" w:cs="Arial" w:eastAsia="Arial" w:hAnsi="Arial"/>
          <w:sz w:val="18"/>
          <w:szCs w:val="18"/>
          <w:color w:val="auto"/>
        </w:rPr>
        <w:t>amend or waive any provision of this Certificate of Incorporation or the Bylaws of the Corporation so as to adversely affect the rights, powers or preferences of the Series E Preferred Stock or Series E-1 Preferred Stock; or</w:t>
      </w:r>
    </w:p>
    <w:p>
      <w:pPr>
        <w:spacing w:after="0" w:line="170" w:lineRule="exact"/>
        <w:rPr>
          <w:rFonts w:ascii="Arial" w:cs="Arial" w:eastAsia="Arial" w:hAnsi="Arial"/>
          <w:sz w:val="18"/>
          <w:szCs w:val="18"/>
          <w:color w:val="auto"/>
        </w:rPr>
      </w:pPr>
    </w:p>
    <w:p>
      <w:pPr>
        <w:ind w:right="200" w:firstLine="1304"/>
        <w:spacing w:after="0" w:line="291" w:lineRule="auto"/>
        <w:tabs>
          <w:tab w:leader="none" w:pos="1951" w:val="left"/>
        </w:tabs>
        <w:numPr>
          <w:ilvl w:val="2"/>
          <w:numId w:val="135"/>
        </w:numPr>
        <w:rPr>
          <w:rFonts w:ascii="Arial" w:cs="Arial" w:eastAsia="Arial" w:hAnsi="Arial"/>
          <w:sz w:val="16"/>
          <w:szCs w:val="16"/>
          <w:color w:val="auto"/>
        </w:rPr>
      </w:pPr>
      <w:r>
        <w:rPr>
          <w:rFonts w:ascii="Arial" w:cs="Arial" w:eastAsia="Arial" w:hAnsi="Arial"/>
          <w:sz w:val="16"/>
          <w:szCs w:val="16"/>
          <w:color w:val="auto"/>
        </w:rPr>
        <w:t>issue shares of, or increase or decrease the number of authorized shares of, Series E Preferred Stock or Series E-1 Preferred Stock, other than (i) the issuance of shares of Series E Preferred Stock and Series E-1 Preferred Stock pursuant to the Securities Purchase Agreement and</w:t>
      </w:r>
    </w:p>
    <w:p>
      <w:pPr>
        <w:ind w:left="280" w:hanging="272"/>
        <w:spacing w:after="0"/>
        <w:tabs>
          <w:tab w:leader="none" w:pos="2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issuance of shares of Series E Preferred Stock upon the conversion of Series E-1 Preferred Stock.</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Conversion Ratio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4"/>
        <w:spacing w:after="0" w:line="286" w:lineRule="auto"/>
        <w:tabs>
          <w:tab w:leader="none" w:pos="1941" w:val="left"/>
        </w:tabs>
        <w:numPr>
          <w:ilvl w:val="2"/>
          <w:numId w:val="136"/>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A-1 Original Issue Price, Series B Original Issue Price, Series 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Original Issue Price, Series D Original Issue Price, Series D-1 Original Issue Price, or Series E/E-1 Original Issue Price, as applicable, by the Series A-1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Conversion Price, Series B Conversion Price, Series C Conversion Price, Series D Conversion Price, Series D-1 Conversion Price, or Series E/E-1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Conversion Price, as applicable (as defined below) in effect at the time of conversion.</w:t>
      </w:r>
    </w:p>
    <w:p>
      <w:pPr>
        <w:spacing w:after="0" w:line="211" w:lineRule="exact"/>
        <w:rPr>
          <w:sz w:val="20"/>
          <w:szCs w:val="20"/>
          <w:color w:val="auto"/>
        </w:rPr>
      </w:pPr>
    </w:p>
    <w:p>
      <w:pPr>
        <w:ind w:right="180" w:firstLine="1304"/>
        <w:spacing w:after="0" w:line="259" w:lineRule="auto"/>
        <w:tabs>
          <w:tab w:leader="none" w:pos="195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Series E-1 Preferred Stock</w:t>
      </w:r>
      <w:r>
        <w:rPr>
          <w:rFonts w:ascii="Arial" w:cs="Arial" w:eastAsia="Arial" w:hAnsi="Arial"/>
          <w:sz w:val="18"/>
          <w:szCs w:val="18"/>
          <w:color w:val="auto"/>
        </w:rPr>
        <w:t>. In addition to the rights set forth in paragraph (a) above, each share of Series E-1 Preferred Stock shall be convertible, at the option of the holder thereof, at any time and from time to time, and without the payment of additional consideration by the holder thereof, and in lieu of conversion into shares of Common Stock pursuant to paragraph (a) above, into one (1) fully paid and nonassessable share of Series E Preferred Stock.</w:t>
      </w:r>
    </w:p>
    <w:p>
      <w:pPr>
        <w:spacing w:after="0" w:line="186" w:lineRule="exact"/>
        <w:rPr>
          <w:rFonts w:ascii="Arial" w:cs="Arial" w:eastAsia="Arial" w:hAnsi="Arial"/>
          <w:sz w:val="18"/>
          <w:szCs w:val="18"/>
          <w:color w:val="auto"/>
        </w:rPr>
      </w:pPr>
    </w:p>
    <w:p>
      <w:pPr>
        <w:ind w:firstLine="1304"/>
        <w:spacing w:after="0" w:line="286" w:lineRule="auto"/>
        <w:tabs>
          <w:tab w:leader="none" w:pos="195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Conversion Price</w:t>
      </w:r>
      <w:r>
        <w:rPr>
          <w:rFonts w:ascii="Arial" w:cs="Arial" w:eastAsia="Arial" w:hAnsi="Arial"/>
          <w:sz w:val="16"/>
          <w:szCs w:val="16"/>
          <w:color w:val="auto"/>
        </w:rPr>
        <w:t>. The “</w:t>
      </w:r>
      <w:r>
        <w:rPr>
          <w:rFonts w:ascii="Arial" w:cs="Arial" w:eastAsia="Arial" w:hAnsi="Arial"/>
          <w:sz w:val="16"/>
          <w:szCs w:val="16"/>
          <w:u w:val="single" w:color="auto"/>
          <w:color w:val="auto"/>
        </w:rPr>
        <w:t>Series A-1 Conversion Price</w:t>
      </w:r>
      <w:r>
        <w:rPr>
          <w:rFonts w:ascii="Arial" w:cs="Arial" w:eastAsia="Arial" w:hAnsi="Arial"/>
          <w:sz w:val="16"/>
          <w:szCs w:val="16"/>
          <w:color w:val="auto"/>
        </w:rPr>
        <w:t>” shall initially be equal to $0.50. Such initial Series A-1 Conversion Price, and the rate at which shares of Series A-1 Preferred Stock may be converted into shares of Common Stock, shall be subject to adjustment as provided below. The “</w:t>
      </w:r>
      <w:r>
        <w:rPr>
          <w:rFonts w:ascii="Arial" w:cs="Arial" w:eastAsia="Arial" w:hAnsi="Arial"/>
          <w:sz w:val="16"/>
          <w:szCs w:val="16"/>
          <w:u w:val="single" w:color="auto"/>
          <w:color w:val="auto"/>
        </w:rPr>
        <w:t>Series B Conversion Price</w:t>
      </w:r>
      <w:r>
        <w:rPr>
          <w:rFonts w:ascii="Arial" w:cs="Arial" w:eastAsia="Arial" w:hAnsi="Arial"/>
          <w:sz w:val="16"/>
          <w:szCs w:val="16"/>
          <w:color w:val="auto"/>
        </w:rPr>
        <w:t>” shall initially be equal to $1.405000075. Such initial Series B Conversion Price, and the rate at which shares of Series B Preferred Stock may be converted into shares of Common Stock, shall be subject to adjustment as provided below. The “</w:t>
      </w:r>
      <w:r>
        <w:rPr>
          <w:rFonts w:ascii="Arial" w:cs="Arial" w:eastAsia="Arial" w:hAnsi="Arial"/>
          <w:sz w:val="16"/>
          <w:szCs w:val="16"/>
          <w:u w:val="single" w:color="auto"/>
          <w:color w:val="auto"/>
        </w:rPr>
        <w:t>Series C Conversion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 shall initially be equal to $4.529715. Such initial Series C Conversion Price, and the rate at which shares of Series C Preferred Stock may be converted into shares of Common Stock, shall be subject to adjustment as provided below. The “</w:t>
      </w:r>
      <w:r>
        <w:rPr>
          <w:rFonts w:ascii="Arial" w:cs="Arial" w:eastAsia="Arial" w:hAnsi="Arial"/>
          <w:sz w:val="16"/>
          <w:szCs w:val="16"/>
          <w:u w:val="single" w:color="auto"/>
          <w:color w:val="auto"/>
        </w:rPr>
        <w:t>Series D Conversion Price</w:t>
      </w:r>
      <w:r>
        <w:rPr>
          <w:rFonts w:ascii="Arial" w:cs="Arial" w:eastAsia="Arial" w:hAnsi="Arial"/>
          <w:sz w:val="16"/>
          <w:szCs w:val="16"/>
          <w:color w:val="auto"/>
        </w:rPr>
        <w:t>” shall initially be equal to $5.69153. Such initial Series D Conversion Price, and the rate at which shares of Series D Preferred Stock may be converted into shares of Common Stock, shall be subject to adjustment as provided below. The “</w:t>
      </w:r>
      <w:r>
        <w:rPr>
          <w:rFonts w:ascii="Arial" w:cs="Arial" w:eastAsia="Arial" w:hAnsi="Arial"/>
          <w:sz w:val="16"/>
          <w:szCs w:val="16"/>
          <w:u w:val="single" w:color="auto"/>
          <w:color w:val="auto"/>
        </w:rPr>
        <w:t>Series D-1 Conversion Price</w:t>
      </w:r>
      <w:r>
        <w:rPr>
          <w:rFonts w:ascii="Arial" w:cs="Arial" w:eastAsia="Arial" w:hAnsi="Arial"/>
          <w:sz w:val="16"/>
          <w:szCs w:val="16"/>
          <w:color w:val="auto"/>
        </w:rPr>
        <w:t>” shall initially be equal to $5.69153. Such initial Series D-1 Conversion Price, and the rate at which shares of Series D-1 Preferred Stock may be converted into shares of Common Stock, shall be subject to adjustment as provided below. The “</w:t>
      </w:r>
      <w:r>
        <w:rPr>
          <w:rFonts w:ascii="Arial" w:cs="Arial" w:eastAsia="Arial" w:hAnsi="Arial"/>
          <w:sz w:val="16"/>
          <w:szCs w:val="16"/>
          <w:u w:val="single" w:color="auto"/>
          <w:color w:val="auto"/>
        </w:rPr>
        <w:t>Series E/E-1 Conversion Price</w:t>
      </w:r>
      <w:r>
        <w:rPr>
          <w:rFonts w:ascii="Arial" w:cs="Arial" w:eastAsia="Arial" w:hAnsi="Arial"/>
          <w:sz w:val="16"/>
          <w:szCs w:val="16"/>
          <w:color w:val="auto"/>
        </w:rPr>
        <w:t>” shall initially be equal to $16.46136. Such initial Series E/E-1 Conversion Price, and the rate at which shares of Series E Preferred Stock and Series E-1 Preferred Stock may be converted into shares of Common Stock, shall be subject to adjustment as provided below. The “</w:t>
      </w:r>
      <w:r>
        <w:rPr>
          <w:rFonts w:ascii="Arial" w:cs="Arial" w:eastAsia="Arial" w:hAnsi="Arial"/>
          <w:sz w:val="16"/>
          <w:szCs w:val="16"/>
          <w:u w:val="single" w:color="auto"/>
          <w:color w:val="auto"/>
        </w:rPr>
        <w:t>applicable Conversion Price</w:t>
      </w:r>
      <w:r>
        <w:rPr>
          <w:rFonts w:ascii="Arial" w:cs="Arial" w:eastAsia="Arial" w:hAnsi="Arial"/>
          <w:sz w:val="16"/>
          <w:szCs w:val="16"/>
          <w:color w:val="auto"/>
        </w:rPr>
        <w:t>” shall mean the Series A-1 Conversion Price, the Series B Conversion Price, the Series C Conversion Price, the Series D Conversion Price, the Series D-1 Conversion Price, or the Series E/E-1 Conversion Price, as the case may be.</w:t>
      </w:r>
    </w:p>
    <w:p>
      <w:pPr>
        <w:spacing w:after="0" w:line="174" w:lineRule="exact"/>
        <w:rPr>
          <w:sz w:val="20"/>
          <w:szCs w:val="20"/>
          <w:color w:val="auto"/>
        </w:rPr>
      </w:pPr>
    </w:p>
    <w:p>
      <w:pPr>
        <w:ind w:right="180" w:firstLine="1863"/>
        <w:spacing w:after="0" w:line="34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Termination of Conversion Rights</w:t>
      </w:r>
      <w:r>
        <w:rPr>
          <w:rFonts w:ascii="Arial" w:cs="Arial" w:eastAsia="Arial" w:hAnsi="Arial"/>
          <w:sz w:val="16"/>
          <w:szCs w:val="16"/>
          <w:color w:val="auto"/>
        </w:rPr>
        <w:t xml:space="preserve">. In the event of a notice of redemption of any shares of Preferred Stock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the Conversion Rights of the shares designated for redemption shall terminate at the close of business on the last full day preceding the date</w:t>
      </w:r>
    </w:p>
    <w:p>
      <w:pPr>
        <w:sectPr>
          <w:pgSz w:w="11900" w:h="16875" w:orient="portrait"/>
          <w:cols w:equalWidth="0" w:num="1">
            <w:col w:w="11240"/>
          </w:cols>
          <w:pgMar w:left="320" w:top="341" w:right="339" w:bottom="0" w:gutter="0" w:footer="0" w:header="0"/>
        </w:sectPr>
      </w:pPr>
    </w:p>
    <w:bookmarkStart w:id="259" w:name="page260"/>
    <w:bookmarkEnd w:id="259"/>
    <w:p>
      <w:pPr>
        <w:spacing w:after="0" w:line="259" w:lineRule="auto"/>
        <w:rPr>
          <w:sz w:val="20"/>
          <w:szCs w:val="20"/>
          <w:color w:val="auto"/>
        </w:rPr>
      </w:pPr>
      <w:r>
        <w:rPr>
          <w:rFonts w:ascii="Arial" w:cs="Arial" w:eastAsia="Arial" w:hAnsi="Arial"/>
          <w:sz w:val="18"/>
          <w:szCs w:val="18"/>
          <w:color w:val="auto"/>
        </w:rPr>
        <w:t>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7" w:lineRule="exact"/>
        <w:rPr>
          <w:sz w:val="20"/>
          <w:szCs w:val="20"/>
          <w:color w:val="auto"/>
        </w:rPr>
      </w:pPr>
    </w:p>
    <w:p>
      <w:pPr>
        <w:jc w:val="both"/>
        <w:ind w:right="80" w:firstLine="129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225" w:lineRule="exact"/>
        <w:rPr>
          <w:sz w:val="20"/>
          <w:szCs w:val="20"/>
          <w:color w:val="auto"/>
        </w:rPr>
      </w:pPr>
    </w:p>
    <w:p>
      <w:pPr>
        <w:ind w:right="280" w:firstLine="1944"/>
        <w:spacing w:after="0" w:line="259"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In order for a holder of Preferred Stock to voluntarily convert shares of Preferred Stock into shares of Common Stock or Series E Preferred Stock, as applicable, such holder shall surrender the certificate or certificates representing such shares of Preferred Stock (or, if such registered holder alleges that such certificate has been lost, stolen or destroyed, a lost certificate affidavit and agreement reasonably acceptable to the Corporation to indemnify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0" w:name="page261"/>
    <w:bookmarkEnd w:id="260"/>
    <w:p>
      <w:pPr>
        <w:ind w:right="40"/>
        <w:spacing w:after="0" w:line="285" w:lineRule="auto"/>
        <w:rPr>
          <w:sz w:val="20"/>
          <w:szCs w:val="20"/>
          <w:color w:val="auto"/>
        </w:rPr>
      </w:pPr>
      <w:r>
        <w:rPr>
          <w:rFonts w:ascii="Arial" w:cs="Arial" w:eastAsia="Arial" w:hAnsi="Arial"/>
          <w:sz w:val="16"/>
          <w:szCs w:val="16"/>
          <w:color w:val="auto"/>
        </w:rPr>
        <w:t>the Corporation against any claim that may be made against the Corporation on account of the alleged loss, theft or destruction of such certificate which agreement shall not require the posting of a bond),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representing shares of Common Stock or Series E Preferred Stock, as applicable, to be issued. For any notice containing an election of a holder to convert one or more shares of Series E-1 Preferred Stock, such notice shall additionally state whether the holder is electing to convert such shares into Series E Preferred Stock and/or Common Stock and the relative amounts thereof. If required by the Corporation, certificates surrendered for conversion shall be endorsed or accompanied by a written instrument or instruments of transfer, in form reasonably satisfactory to the Corporation, duly executed by the registered holder or his, her or its attorney-in-fact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u w:val="single" w:color="auto"/>
          <w:color w:val="auto"/>
        </w:rPr>
        <w:t>Conversion Time</w:t>
      </w:r>
      <w:r>
        <w:rPr>
          <w:rFonts w:ascii="Arial" w:cs="Arial" w:eastAsia="Arial" w:hAnsi="Arial"/>
          <w:sz w:val="16"/>
          <w:szCs w:val="16"/>
          <w:color w:val="auto"/>
        </w:rPr>
        <w:t xml:space="preserve">”), and the shares of Common Stock or Series E Preferred Stock, as applicable, issuable upon conversion of the shares represented by such certificate shall be deemed to be outstanding of record as of such date. The Corporation shall, promptly following the Conversion Time, (i) issue and deliver to such holder of Preferred Stock, or to his, her or its nominees, a certificate or certificates representing the number of full shares of Common Stock or Series E Preferred Stock, as applicable, issuable upon such conversion in accordance with the provisions hereof and a certificate representing the number (if any) of the shares of Preferred Stock represented by the surrendered certificate that were not converted into Common Stock or Series E Preferred Stock, as applicable, and (ii) pay in cash such amount as provided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in lieu of any fraction of a share of Common Stock otherwise issuable upon such conversion.</w:t>
      </w:r>
    </w:p>
    <w:p>
      <w:pPr>
        <w:spacing w:after="0" w:line="174" w:lineRule="exact"/>
        <w:rPr>
          <w:sz w:val="20"/>
          <w:szCs w:val="20"/>
          <w:color w:val="auto"/>
        </w:rPr>
      </w:pPr>
    </w:p>
    <w:p>
      <w:pPr>
        <w:ind w:firstLine="1944"/>
        <w:spacing w:after="0" w:line="287"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(i) such number of its duly authorized shares of Common Stock as shall from time to time be sufficient to effect the conversion of all outstanding Preferred Stock, and (ii) such number of its duly authorized shares of Series E Preferred Stock as shall from time to time be sufficient to effect the conversion of all outstanding Series E-1 Preferred Stock; and if at any time the number of authorized but unissued shares of Series E Preferred Stock or Common Stock, as applicable, shall not be sufficient to effect the conversion of all then outstanding shares of the Preferred Stock or Series E-1 Preferred Stock, as applicable, the Corporation shall take such corporate action as may be necessary to increase its authorized but unissued shares of Series E Preferred Stock or Common Stock, as applicable,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68" w:lineRule="exact"/>
        <w:rPr>
          <w:sz w:val="20"/>
          <w:szCs w:val="20"/>
          <w:color w:val="auto"/>
        </w:rPr>
      </w:pPr>
    </w:p>
    <w:p>
      <w:pPr>
        <w:ind w:firstLine="1944"/>
        <w:spacing w:after="0" w:line="275"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u w:val="single" w:color="auto"/>
          <w:color w:val="auto"/>
        </w:rPr>
        <w:t>Effect of Conversion</w:t>
      </w:r>
      <w:r>
        <w:rPr>
          <w:rFonts w:ascii="Arial" w:cs="Arial" w:eastAsia="Arial" w:hAnsi="Arial"/>
          <w:sz w:val="17"/>
          <w:szCs w:val="17"/>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Series E Preferred Stock or Common Stock, as applicable, in exchange therefor and to receive payment in lieu of any fraction of a share otherwise issuable upon such conversion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Any shares of Preferred Stock so converted shall be retired and cancelled and may not be reissued as shares of such series or any other class or series,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1" w:name="page262"/>
    <w:bookmarkEnd w:id="261"/>
    <w:p>
      <w:pPr>
        <w:ind w:right="300"/>
        <w:spacing w:after="0" w:line="277" w:lineRule="auto"/>
        <w:rPr>
          <w:sz w:val="20"/>
          <w:szCs w:val="20"/>
          <w:color w:val="auto"/>
        </w:rPr>
      </w:pPr>
      <w:r>
        <w:rPr>
          <w:rFonts w:ascii="Arial" w:cs="Arial" w:eastAsia="Arial" w:hAnsi="Arial"/>
          <w:sz w:val="18"/>
          <w:szCs w:val="18"/>
          <w:color w:val="auto"/>
        </w:rPr>
        <w:t>and the Corporation may thereafter take such appropriate action (without the need for stockholder action) as may be necessary to reduce the authorized number of shares of Preferred Stock accordingly.</w:t>
      </w:r>
    </w:p>
    <w:p>
      <w:pPr>
        <w:spacing w:after="0" w:line="170" w:lineRule="exact"/>
        <w:rPr>
          <w:sz w:val="20"/>
          <w:szCs w:val="20"/>
          <w:color w:val="auto"/>
        </w:rPr>
      </w:pPr>
    </w:p>
    <w:p>
      <w:pPr>
        <w:jc w:val="both"/>
        <w:ind w:right="20" w:firstLine="1944"/>
        <w:spacing w:after="0" w:line="263"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Dividend Rights</w:t>
      </w:r>
      <w:r>
        <w:rPr>
          <w:rFonts w:ascii="Arial" w:cs="Arial" w:eastAsia="Arial" w:hAnsi="Arial"/>
          <w:sz w:val="18"/>
          <w:szCs w:val="18"/>
          <w:color w:val="auto"/>
        </w:rPr>
        <w:t xml:space="preserve">. Upon an optional conversion to Common Stock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 a mandatory conversion to Common Stock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any dividends payable on such Preferred Stock that have been declared but remain unpaid, shall be payable to the holder of such shares of Preferred Stock being converted.</w:t>
      </w:r>
    </w:p>
    <w:p>
      <w:pPr>
        <w:spacing w:after="0" w:line="184" w:lineRule="exact"/>
        <w:rPr>
          <w:sz w:val="20"/>
          <w:szCs w:val="20"/>
          <w:color w:val="auto"/>
        </w:rPr>
      </w:pPr>
    </w:p>
    <w:p>
      <w:pPr>
        <w:ind w:right="160" w:firstLine="1944"/>
        <w:spacing w:after="0" w:line="293" w:lineRule="auto"/>
        <w:rPr>
          <w:sz w:val="20"/>
          <w:szCs w:val="20"/>
          <w:color w:val="auto"/>
        </w:rPr>
      </w:pPr>
      <w:r>
        <w:rPr>
          <w:rFonts w:ascii="Arial" w:cs="Arial" w:eastAsia="Arial" w:hAnsi="Arial"/>
          <w:sz w:val="16"/>
          <w:szCs w:val="16"/>
          <w:color w:val="auto"/>
        </w:rPr>
        <w:t xml:space="preserve">4.3.5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The Corporation shall pay any and all issue and other similar taxes that may be payable in respect of any issuance or delivery of shares of Common Stock or Series E Preferred Stock, as applicable, upon conversion of shares of Preferred Stock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shall not, however, be required to pay any tax which may be payable in respect of any transfer involved in the issuance and delivery of shares of Common Stock or Series E Preferred Stock, as applicable,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6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IV, the following definitions shall apply:</w:t>
      </w:r>
    </w:p>
    <w:p>
      <w:pPr>
        <w:spacing w:after="0" w:line="225" w:lineRule="exact"/>
        <w:rPr>
          <w:sz w:val="20"/>
          <w:szCs w:val="20"/>
          <w:color w:val="auto"/>
        </w:rPr>
      </w:pPr>
    </w:p>
    <w:p>
      <w:pPr>
        <w:ind w:right="40" w:firstLine="1304"/>
        <w:spacing w:after="0" w:line="311" w:lineRule="auto"/>
        <w:tabs>
          <w:tab w:leader="none" w:pos="194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below, deemed to be issued) by the Corporation after the Series E/E-1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6"/>
          <w:szCs w:val="16"/>
          <w:u w:val="single" w:color="auto"/>
          <w:color w:val="auto"/>
        </w:rPr>
        <w:t>Exempted Securities</w:t>
      </w:r>
      <w:r>
        <w:rPr>
          <w:rFonts w:ascii="Arial" w:cs="Arial" w:eastAsia="Arial" w:hAnsi="Arial"/>
          <w:sz w:val="16"/>
          <w:szCs w:val="16"/>
          <w:color w:val="auto"/>
        </w:rPr>
        <w:t>”):</w:t>
      </w:r>
    </w:p>
    <w:p>
      <w:pPr>
        <w:spacing w:after="0" w:line="149" w:lineRule="exact"/>
        <w:rPr>
          <w:sz w:val="20"/>
          <w:szCs w:val="20"/>
          <w:color w:val="auto"/>
        </w:rPr>
      </w:pPr>
    </w:p>
    <w:p>
      <w:pPr>
        <w:ind w:left="1980" w:hanging="676"/>
        <w:spacing w:after="0"/>
        <w:tabs>
          <w:tab w:leader="none" w:pos="19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shares of Common Stock issued or issuable upon conversion of outstanding shares of Preferred Stock;</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9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shares of Common Stock issued by reason of a dividend, stock split or other distribution on shares of Common Stock that is covered by </w:t>
      </w:r>
      <w:r>
        <w:rPr>
          <w:rFonts w:ascii="Arial" w:cs="Arial" w:eastAsia="Arial" w:hAnsi="Arial"/>
          <w:sz w:val="18"/>
          <w:szCs w:val="18"/>
          <w:u w:val="single" w:color="auto"/>
          <w:color w:val="auto"/>
        </w:rPr>
        <w:t>Sections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960" w:right="160" w:hanging="656"/>
        <w:spacing w:after="0" w:line="342" w:lineRule="auto"/>
        <w:tabs>
          <w:tab w:leader="none" w:pos="20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shares of Common Stock (or Options to subscribe for, purchase or otherwise acquire Common Stock) issued to employees or directors of, or consultants or advisors to, the Corporation or any of its subsidiaries pursuant to the 2011 Stock Incentive Plan;</w:t>
      </w:r>
    </w:p>
    <w:p>
      <w:pPr>
        <w:spacing w:after="0" w:line="123" w:lineRule="exact"/>
        <w:rPr>
          <w:rFonts w:ascii="Arial" w:cs="Arial" w:eastAsia="Arial" w:hAnsi="Arial"/>
          <w:sz w:val="16"/>
          <w:szCs w:val="16"/>
          <w:color w:val="auto"/>
        </w:rPr>
      </w:pPr>
    </w:p>
    <w:p>
      <w:pPr>
        <w:ind w:left="1960" w:right="20" w:hanging="656"/>
        <w:spacing w:after="0" w:line="296" w:lineRule="auto"/>
        <w:tabs>
          <w:tab w:leader="none" w:pos="197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up to an aggregate of five hundred thousand (500,000) shares of Common Stock or Options (provided such Options are limited to a right to subscribe for, purchase or otherwise acquire Common Stock) issued (as consideration for the transaction and not in connection with financing the transaction) pursuant to the acquisition of another Person by the Corporation by merger, purchase of substantially all of the assets or other reorganization or to a strategic partnership or joint venture agreement, provided, that such issuances are approved by the Board, including the approval of at least one of the Series A-1 Directors;</w:t>
      </w:r>
    </w:p>
    <w:p>
      <w:pPr>
        <w:spacing w:after="0" w:line="161" w:lineRule="exact"/>
        <w:rPr>
          <w:rFonts w:ascii="Arial" w:cs="Arial" w:eastAsia="Arial" w:hAnsi="Arial"/>
          <w:sz w:val="16"/>
          <w:szCs w:val="16"/>
          <w:color w:val="auto"/>
        </w:rPr>
      </w:pPr>
    </w:p>
    <w:p>
      <w:pPr>
        <w:ind w:left="1960" w:hanging="656"/>
        <w:spacing w:after="0" w:line="257" w:lineRule="auto"/>
        <w:tabs>
          <w:tab w:leader="none" w:pos="196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 to an aggregate of five hundred thousand (500,000) shares of Common Stock or Options (provided such Options are limited to a right subscribe for, purchase or otherwise acquire Common Stock) issued (as consideration for the transaction and not in connection with financing the transaction) to third parties providing the Corporation with equipment leases, real property leases, loans or credit lines pursuant to arrangements approved by the Board, including the approval of at least one Series A-1 Director; or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62" w:name="page263"/>
    <w:bookmarkEnd w:id="262"/>
    <w:p>
      <w:pPr>
        <w:ind w:left="1960" w:hanging="656"/>
        <w:spacing w:after="0"/>
        <w:tabs>
          <w:tab w:leader="none" w:pos="1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shares of Common Stock issued upon the closing of a Qualified Public Offering (as defined herein).</w:t>
      </w:r>
    </w:p>
    <w:p>
      <w:pPr>
        <w:spacing w:after="0" w:line="225" w:lineRule="exact"/>
        <w:rPr>
          <w:sz w:val="20"/>
          <w:szCs w:val="20"/>
          <w:color w:val="auto"/>
        </w:rPr>
      </w:pPr>
    </w:p>
    <w:p>
      <w:pPr>
        <w:ind w:right="160" w:firstLine="1304"/>
        <w:spacing w:after="0" w:line="277" w:lineRule="auto"/>
        <w:tabs>
          <w:tab w:leader="none" w:pos="195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shall mean rights, options or warrants to subscribe for, purchase or otherwise acquire Common Stock or Convertible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0" w:lineRule="exact"/>
        <w:rPr>
          <w:rFonts w:ascii="Arial" w:cs="Arial" w:eastAsia="Arial" w:hAnsi="Arial"/>
          <w:sz w:val="16"/>
          <w:szCs w:val="16"/>
          <w:color w:val="auto"/>
        </w:rPr>
      </w:pPr>
    </w:p>
    <w:p>
      <w:pPr>
        <w:ind w:left="1960" w:hanging="656"/>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A-1 Original Issue Date</w:t>
      </w:r>
      <w:r>
        <w:rPr>
          <w:rFonts w:ascii="Arial" w:cs="Arial" w:eastAsia="Arial" w:hAnsi="Arial"/>
          <w:sz w:val="18"/>
          <w:szCs w:val="18"/>
          <w:color w:val="auto"/>
        </w:rPr>
        <w:t>” shall mean November 18, 2011.</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E/E-1 Original Issue Date</w:t>
      </w:r>
      <w:r>
        <w:rPr>
          <w:rFonts w:ascii="Arial" w:cs="Arial" w:eastAsia="Arial" w:hAnsi="Arial"/>
          <w:sz w:val="18"/>
          <w:szCs w:val="18"/>
          <w:color w:val="auto"/>
        </w:rPr>
        <w:t>” shall mean June 21, 2018.</w:t>
      </w:r>
    </w:p>
    <w:p>
      <w:pPr>
        <w:spacing w:after="0" w:line="225" w:lineRule="exact"/>
        <w:rPr>
          <w:sz w:val="20"/>
          <w:szCs w:val="20"/>
          <w:color w:val="auto"/>
        </w:rPr>
      </w:pPr>
    </w:p>
    <w:p>
      <w:pPr>
        <w:ind w:firstLine="1944"/>
        <w:spacing w:after="0" w:line="285"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No Adjustment of Conversion Price</w:t>
      </w:r>
      <w:r>
        <w:rPr>
          <w:rFonts w:ascii="Arial" w:cs="Arial" w:eastAsia="Arial" w:hAnsi="Arial"/>
          <w:sz w:val="16"/>
          <w:szCs w:val="16"/>
          <w:color w:val="auto"/>
        </w:rPr>
        <w:t xml:space="preserve">. Notwithstanding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(i) no adjustment in the Series A-1 Conversion Price shall be made as the result of the issuance or deemed issuance of Additional Shares of Common Stock if the Corporation receives written notice from the holders of at least a majority of the then outstanding shares of Series A-1 Preferred Stock agreeing that no such adjustment shall be made as the result of the issuance or deemed issuance of such Additional Shares of Common Stock, (ii) no adjustment in the Series B Conversion Price shall be made as the result of the issuance or deemed issuance of Additional Shares of Common Stock if the Corporation receives written notice from the holders of at least a majority of the then outstanding shares of Series B Preferred Stock agreeing that no such adjustment shall be made as the result of the issuance or deemed issuance of such Additional Shares of Common Stock, (iii) no adjustment in the Series C Conversion Price shall be made as the result of the issuance or deemed issuance of Additional Shares of Common Stock if the Corporation receives written notice from the holders of at least a majority of the then outstanding shares of Series C Preferred Stock agreeing that no such adjustment shall be made as the result of the issuance or deemed issuance of such Additional Shares of Common Stock, (iv) no adjustment in the Series D Conversion Price shall be made as the result of the issuance or deemed issuance of Additional Shares of Common Stock if the Corporation receives written notice from holders constituting the Series D Supermajority agreeing that no such adjustment shall be made as the result of the issuance or deemed issuance of such Additional Shares of Common Stock, (v) no adjustment in the Series D-1 Conversion Price shall be made as the result of the issuance or deemed issuance of Additional Shares of Common Stock if the Corporation receives written notice from holders constituting the Series D-1 Supermajority agreeing that no such adjustment shall be made as the result of the issuance or deemed issuance of such Additional Shares of Common Stock, and (vi) no adjustment in the Series E/E-1 Conversion Price shall be made as the result of the issuance or deemed issuance of Additional Shares of Common Stock if the Corporation receives written notice from the holders of at least a majority of the then outstanding shares of Series E Preferred Stock and Series E-1 Preferred Stock, voting together as a separate class (on an as-converted to Common Stock basis), agreeing that no such adjustment shall be made as the result of the issuance or deemed issuance of such Additional Shares of Common Stock.</w:t>
      </w:r>
    </w:p>
    <w:p>
      <w:pPr>
        <w:spacing w:after="0" w:line="387"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225" w:lineRule="exact"/>
        <w:rPr>
          <w:sz w:val="20"/>
          <w:szCs w:val="20"/>
          <w:color w:val="auto"/>
        </w:rPr>
      </w:pPr>
    </w:p>
    <w:p>
      <w:pPr>
        <w:ind w:right="140" w:firstLine="1304"/>
        <w:spacing w:after="0" w:line="254" w:lineRule="auto"/>
        <w:tabs>
          <w:tab w:leader="none" w:pos="194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Series E/E-1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63" w:name="page264"/>
    <w:bookmarkEnd w:id="263"/>
    <w:p>
      <w:pPr>
        <w:ind w:left="-20" w:firstLine="1304"/>
        <w:spacing w:after="0" w:line="286" w:lineRule="auto"/>
        <w:tabs>
          <w:tab w:leader="none" w:pos="193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applicable Conversion Price pursuant to the terms of </w:t>
      </w:r>
      <w:r>
        <w:rPr>
          <w:rFonts w:ascii="Arial" w:cs="Arial" w:eastAsia="Arial" w:hAnsi="Arial"/>
          <w:sz w:val="16"/>
          <w:szCs w:val="16"/>
          <w:u w:val="single" w:color="auto"/>
          <w:color w:val="auto"/>
        </w:rPr>
        <w:t>Section 4.4.4</w:t>
      </w:r>
      <w:r>
        <w:rPr>
          <w:rFonts w:ascii="Arial" w:cs="Arial" w:eastAsia="Arial" w:hAnsi="Arial"/>
          <w:sz w:val="16"/>
          <w:szCs w:val="16"/>
          <w:color w:val="auto"/>
        </w:rPr>
        <w:t>, are revised as a result of an amendment to such terms or any other adjustment (including an accreting dividend or liquidation preference that adjusts the applicable conversion rate or number of shares issuable pursuant to such Option or Convertible Security) pursuant to the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been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adjusted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3" w:lineRule="exact"/>
        <w:rPr>
          <w:rFonts w:ascii="Arial" w:cs="Arial" w:eastAsia="Arial" w:hAnsi="Arial"/>
          <w:sz w:val="16"/>
          <w:szCs w:val="16"/>
          <w:color w:val="auto"/>
        </w:rPr>
      </w:pPr>
    </w:p>
    <w:p>
      <w:pPr>
        <w:ind w:left="-20" w:firstLine="1304"/>
        <w:spacing w:after="0" w:line="270" w:lineRule="auto"/>
        <w:tabs>
          <w:tab w:leader="none" w:pos="193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Arial" w:cs="Arial" w:eastAsia="Arial" w:hAnsi="Arial"/>
          <w:sz w:val="17"/>
          <w:szCs w:val="17"/>
          <w:u w:val="single" w:color="auto"/>
          <w:color w:val="auto"/>
        </w:rPr>
        <w:t>Section 4.4.4</w:t>
      </w:r>
      <w:r>
        <w:rPr>
          <w:rFonts w:ascii="Arial" w:cs="Arial" w:eastAsia="Arial" w:hAnsi="Arial"/>
          <w:sz w:val="17"/>
          <w:szCs w:val="17"/>
          <w:color w:val="auto"/>
        </w:rPr>
        <w:t xml:space="preserve"> (because the consideration per share (determined pursuant to </w:t>
      </w:r>
      <w:r>
        <w:rPr>
          <w:rFonts w:ascii="Arial" w:cs="Arial" w:eastAsia="Arial" w:hAnsi="Arial"/>
          <w:sz w:val="17"/>
          <w:szCs w:val="17"/>
          <w:u w:val="single" w:color="auto"/>
          <w:color w:val="auto"/>
        </w:rPr>
        <w:t>Section 4.4.5</w:t>
      </w:r>
      <w:r>
        <w:rPr>
          <w:rFonts w:ascii="Arial" w:cs="Arial" w:eastAsia="Arial" w:hAnsi="Arial"/>
          <w:sz w:val="17"/>
          <w:szCs w:val="17"/>
          <w:color w:val="auto"/>
        </w:rPr>
        <w:t xml:space="preserve">) of the Additional Shares of Common Stock subject thereto was equal to or greater than the applicable Conversion Price then in effect), are revised after the Series E/E-1 Original Issue Date as a result of an amendment to such terms or any other adjustment pursuant to the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Section 4.4.3(a)</w:t>
      </w:r>
      <w:r>
        <w:rPr>
          <w:rFonts w:ascii="Arial" w:cs="Arial" w:eastAsia="Arial" w:hAnsi="Arial"/>
          <w:sz w:val="17"/>
          <w:szCs w:val="17"/>
          <w:color w:val="auto"/>
        </w:rPr>
        <w:t>) shall be deemed to have been issued effective upon such increase or decrease becoming effective.</w:t>
      </w:r>
    </w:p>
    <w:p>
      <w:pPr>
        <w:spacing w:after="0" w:line="180" w:lineRule="exact"/>
        <w:rPr>
          <w:rFonts w:ascii="Arial" w:cs="Arial" w:eastAsia="Arial" w:hAnsi="Arial"/>
          <w:sz w:val="17"/>
          <w:szCs w:val="17"/>
          <w:color w:val="auto"/>
        </w:rPr>
      </w:pPr>
    </w:p>
    <w:p>
      <w:pPr>
        <w:ind w:left="-20" w:right="40" w:firstLine="1304"/>
        <w:spacing w:after="0" w:line="259" w:lineRule="auto"/>
        <w:tabs>
          <w:tab w:leader="none" w:pos="193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the applicable Conversion Price shall be readjusted to such applicable Conversion Price as would have been obtained had such Option or Convertible Security (or portion thereof) never been issued.</w:t>
      </w:r>
    </w:p>
    <w:p>
      <w:pPr>
        <w:spacing w:after="0" w:line="186" w:lineRule="exact"/>
        <w:rPr>
          <w:rFonts w:ascii="Arial" w:cs="Arial" w:eastAsia="Arial" w:hAnsi="Arial"/>
          <w:sz w:val="18"/>
          <w:szCs w:val="18"/>
          <w:color w:val="auto"/>
        </w:rPr>
      </w:pPr>
    </w:p>
    <w:p>
      <w:pPr>
        <w:ind w:left="-20" w:right="60" w:firstLine="1304"/>
        <w:spacing w:after="0" w:line="289" w:lineRule="auto"/>
        <w:tabs>
          <w:tab w:leader="none" w:pos="193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Section 4.4.3</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6"/>
          <w:szCs w:val="16"/>
          <w:u w:val="single" w:color="auto"/>
          <w:color w:val="auto"/>
        </w:rPr>
        <w:t>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264" w:name="page265"/>
    <w:bookmarkEnd w:id="264"/>
    <w:p>
      <w:pPr>
        <w:ind w:right="160"/>
        <w:spacing w:after="0" w:line="277" w:lineRule="auto"/>
        <w:rPr>
          <w:sz w:val="20"/>
          <w:szCs w:val="20"/>
          <w:color w:val="auto"/>
        </w:rPr>
      </w:pPr>
      <w:r>
        <w:rPr>
          <w:rFonts w:ascii="Arial" w:cs="Arial" w:eastAsia="Arial" w:hAnsi="Arial"/>
          <w:sz w:val="18"/>
          <w:szCs w:val="18"/>
          <w:color w:val="auto"/>
        </w:rPr>
        <w:t>calculable (even if subject to subsequent adjustments), assuming for purposes of calculating such adjustment to the applicable Conversion Price that such issuance or amendment took place at the time such calculation can first be made.</w:t>
      </w:r>
    </w:p>
    <w:p>
      <w:pPr>
        <w:spacing w:after="0" w:line="170" w:lineRule="exact"/>
        <w:rPr>
          <w:sz w:val="20"/>
          <w:szCs w:val="20"/>
          <w:color w:val="auto"/>
        </w:rPr>
      </w:pPr>
    </w:p>
    <w:p>
      <w:pPr>
        <w:ind w:right="120" w:firstLine="1944"/>
        <w:spacing w:after="0" w:line="275"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xml:space="preserve">. In the event the Corporation shall at any time after the Series E/E-1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Section 4.4.3</w:t>
      </w:r>
      <w:r>
        <w:rPr>
          <w:rFonts w:ascii="Arial" w:cs="Arial" w:eastAsia="Arial" w:hAnsi="Arial"/>
          <w:sz w:val="17"/>
          <w:szCs w:val="17"/>
          <w:color w:val="auto"/>
        </w:rPr>
        <w:t>), without consideration or for a consideration per share less than the applicable Conversion Price in effect immediately prior to such issue, then such applicable Conversion Price shall be reduced, concurrently with such issue, to a price (calculated to the nearest one-hundredth of a cent) determined in accordance with the following formula:</w:t>
      </w:r>
    </w:p>
    <w:p>
      <w:pPr>
        <w:spacing w:after="0" w:line="17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New Conversion Price = ((A * Existing Conversion Price)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right="20" w:firstLine="1304"/>
        <w:spacing w:after="0" w:line="269" w:lineRule="auto"/>
        <w:tabs>
          <w:tab w:leader="none" w:pos="1941"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t>
      </w:r>
      <w:r>
        <w:rPr>
          <w:rFonts w:ascii="Arial" w:cs="Arial" w:eastAsia="Arial" w:hAnsi="Arial"/>
          <w:sz w:val="17"/>
          <w:szCs w:val="17"/>
          <w:color w:val="auto"/>
        </w:rPr>
        <w:t xml:space="preserve">” shall mean the number of shares of Common Stock outstanding immediately prior to such issue of Additional Shares of Common Stock (treating for this purpose as outstanding (i) all shares of vested restricted stock that were issued pursuant to a stock option or stock incentive plan (which stock option or stock incentive plan was approved by the Board) prior to the issuance of Additional Shares of Common Stock resulting in the adjustment to the Existing Conversion Price, (ii) all shares of Common Stock issuable upon exercise of outstanding vested and unexercised Options that were issued pursuant to a stock option or stock incentive plan (which stock option or stock incentive plan was approved by the Board) prior to the issuance of Additional Shares of Common Stock resulting in the adjustment to the Existing Conversion Price, but only to the extent such vested and unexercised Options have an exercise price that is less than the per share consideration received in connection with the issuance of Additional Shares of Common Stock resulting in an adjustment pursuant to this </w:t>
      </w:r>
      <w:r>
        <w:rPr>
          <w:rFonts w:ascii="Arial" w:cs="Arial" w:eastAsia="Arial" w:hAnsi="Arial"/>
          <w:sz w:val="17"/>
          <w:szCs w:val="17"/>
          <w:u w:val="single" w:color="auto"/>
          <w:color w:val="auto"/>
        </w:rPr>
        <w:t>Section 4.4.4</w:t>
      </w:r>
      <w:r>
        <w:rPr>
          <w:rFonts w:ascii="Arial" w:cs="Arial" w:eastAsia="Arial" w:hAnsi="Arial"/>
          <w:sz w:val="17"/>
          <w:szCs w:val="17"/>
          <w:color w:val="auto"/>
        </w:rPr>
        <w:t>, and (iii) without duplication and subject to clauses (i) and (ii), all other shares of Common Stock outstanding immediately prior to such issue or upon conversion or exchange of Convertible Securities (including the Preferred Stock) outstanding immediately prior to such issue);</w:t>
      </w:r>
    </w:p>
    <w:p>
      <w:pPr>
        <w:spacing w:after="0" w:line="185" w:lineRule="exact"/>
        <w:rPr>
          <w:rFonts w:ascii="Arial" w:cs="Arial" w:eastAsia="Arial" w:hAnsi="Arial"/>
          <w:sz w:val="17"/>
          <w:szCs w:val="17"/>
          <w:color w:val="auto"/>
        </w:rPr>
      </w:pPr>
    </w:p>
    <w:p>
      <w:pPr>
        <w:ind w:right="80" w:firstLine="1304"/>
        <w:spacing w:after="0" w:line="277" w:lineRule="auto"/>
        <w:tabs>
          <w:tab w:leader="none" w:pos="195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w:t>
      </w:r>
      <w:r>
        <w:rPr>
          <w:rFonts w:ascii="Arial" w:cs="Arial" w:eastAsia="Arial" w:hAnsi="Arial"/>
          <w:sz w:val="18"/>
          <w:szCs w:val="18"/>
          <w:color w:val="auto"/>
        </w:rPr>
        <w:t>” shall mean the consideration, if any, received by the Corporation for such issuance of Additional Shares of Common Stock resulting in the adjustment to the Existing Conversion Price;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w:t>
      </w:r>
      <w:r>
        <w:rPr>
          <w:rFonts w:ascii="Arial" w:cs="Arial" w:eastAsia="Arial" w:hAnsi="Arial"/>
          <w:sz w:val="17"/>
          <w:szCs w:val="17"/>
          <w:color w:val="auto"/>
        </w:rPr>
        <w:t>” shall mean the number of such Additional Shares of Common Stock issued or deemed issued in such transaction;</w:t>
      </w:r>
    </w:p>
    <w:p>
      <w:pPr>
        <w:spacing w:after="0" w:line="236" w:lineRule="exact"/>
        <w:rPr>
          <w:rFonts w:ascii="Arial" w:cs="Arial" w:eastAsia="Arial" w:hAnsi="Arial"/>
          <w:sz w:val="17"/>
          <w:szCs w:val="17"/>
          <w:color w:val="auto"/>
        </w:rPr>
      </w:pPr>
    </w:p>
    <w:p>
      <w:pPr>
        <w:ind w:right="80" w:firstLine="1304"/>
        <w:spacing w:after="0" w:line="277" w:lineRule="auto"/>
        <w:tabs>
          <w:tab w:leader="none" w:pos="195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Conversion Price</w:t>
      </w:r>
      <w:r>
        <w:rPr>
          <w:rFonts w:ascii="Arial" w:cs="Arial" w:eastAsia="Arial" w:hAnsi="Arial"/>
          <w:sz w:val="18"/>
          <w:szCs w:val="18"/>
          <w:color w:val="auto"/>
        </w:rPr>
        <w:t>” shall mean the applicable Conversion Price in effect immediately prior to such issue of Additional Shares of Common Stock;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Conversion Price</w:t>
      </w:r>
      <w:r>
        <w:rPr>
          <w:rFonts w:ascii="Arial" w:cs="Arial" w:eastAsia="Arial" w:hAnsi="Arial"/>
          <w:sz w:val="16"/>
          <w:szCs w:val="16"/>
          <w:color w:val="auto"/>
        </w:rPr>
        <w:t>” shall mean the applicable Conversion Price in effect immediately after such issue of Additional Shares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Common Stock.</w:t>
      </w:r>
    </w:p>
    <w:p>
      <w:pPr>
        <w:spacing w:after="0" w:line="211" w:lineRule="exact"/>
        <w:rPr>
          <w:sz w:val="20"/>
          <w:szCs w:val="20"/>
          <w:color w:val="auto"/>
        </w:rPr>
      </w:pPr>
    </w:p>
    <w:p>
      <w:pPr>
        <w:ind w:right="40" w:firstLine="186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170" w:lineRule="exact"/>
        <w:rPr>
          <w:sz w:val="20"/>
          <w:szCs w:val="20"/>
          <w:color w:val="auto"/>
        </w:rPr>
      </w:pPr>
    </w:p>
    <w:p>
      <w:pPr>
        <w:ind w:left="1940" w:hanging="636"/>
        <w:spacing w:after="0"/>
        <w:tabs>
          <w:tab w:leader="none" w:pos="194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25" w:lineRule="exact"/>
        <w:rPr>
          <w:sz w:val="20"/>
          <w:szCs w:val="20"/>
          <w:color w:val="auto"/>
        </w:rPr>
      </w:pPr>
    </w:p>
    <w:p>
      <w:pPr>
        <w:ind w:left="1960" w:hanging="656"/>
        <w:spacing w:after="0" w:line="277" w:lineRule="auto"/>
        <w:tabs>
          <w:tab w:leader="none" w:pos="198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left="1960" w:right="480" w:hanging="656"/>
        <w:spacing w:after="0" w:line="277" w:lineRule="auto"/>
        <w:tabs>
          <w:tab w:leader="none" w:pos="199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65" w:name="page266"/>
    <w:bookmarkEnd w:id="265"/>
    <w:p>
      <w:pPr>
        <w:ind w:left="1960" w:right="80" w:hanging="656"/>
        <w:spacing w:after="0" w:line="263" w:lineRule="auto"/>
        <w:tabs>
          <w:tab w:leader="none" w:pos="2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as determined in good faith by the Board.</w:t>
      </w:r>
    </w:p>
    <w:p>
      <w:pPr>
        <w:spacing w:after="0" w:line="184" w:lineRule="exact"/>
        <w:rPr>
          <w:sz w:val="20"/>
          <w:szCs w:val="20"/>
          <w:color w:val="auto"/>
        </w:rPr>
      </w:pPr>
    </w:p>
    <w:p>
      <w:pPr>
        <w:ind w:right="60" w:firstLine="1304"/>
        <w:spacing w:after="0" w:line="342" w:lineRule="auto"/>
        <w:tabs>
          <w:tab w:leader="none" w:pos="1951"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Options and Convertible Securities</w:t>
      </w:r>
      <w:r>
        <w:rPr>
          <w:rFonts w:ascii="Arial" w:cs="Arial" w:eastAsia="Arial" w:hAnsi="Arial"/>
          <w:sz w:val="16"/>
          <w:szCs w:val="16"/>
          <w:color w:val="auto"/>
        </w:rPr>
        <w:t xml:space="preserve">. The consideration per share received by the Corporation for Additional Shares of Common Stock deemed to have been issued pursuant to </w:t>
      </w:r>
      <w:r>
        <w:rPr>
          <w:rFonts w:ascii="Arial" w:cs="Arial" w:eastAsia="Arial" w:hAnsi="Arial"/>
          <w:sz w:val="16"/>
          <w:szCs w:val="16"/>
          <w:u w:val="single" w:color="auto"/>
          <w:color w:val="auto"/>
        </w:rPr>
        <w:t>Section 4.4.3</w:t>
      </w:r>
      <w:r>
        <w:rPr>
          <w:rFonts w:ascii="Arial" w:cs="Arial" w:eastAsia="Arial" w:hAnsi="Arial"/>
          <w:sz w:val="16"/>
          <w:szCs w:val="16"/>
          <w:color w:val="auto"/>
        </w:rPr>
        <w:t>, relating to Options and Convertible Securities, shall be determined by dividing:</w:t>
      </w:r>
    </w:p>
    <w:p>
      <w:pPr>
        <w:spacing w:after="0" w:line="124" w:lineRule="exact"/>
        <w:rPr>
          <w:sz w:val="20"/>
          <w:szCs w:val="20"/>
          <w:color w:val="auto"/>
        </w:rPr>
      </w:pPr>
    </w:p>
    <w:p>
      <w:pPr>
        <w:ind w:left="1960" w:right="100" w:hanging="656"/>
        <w:spacing w:after="0" w:line="255" w:lineRule="auto"/>
        <w:tabs>
          <w:tab w:leader="none" w:pos="198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issuance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92" w:lineRule="exact"/>
        <w:rPr>
          <w:rFonts w:ascii="Arial" w:cs="Arial" w:eastAsia="Arial" w:hAnsi="Arial"/>
          <w:sz w:val="18"/>
          <w:szCs w:val="18"/>
          <w:color w:val="auto"/>
        </w:rPr>
      </w:pPr>
    </w:p>
    <w:p>
      <w:pPr>
        <w:ind w:left="1960" w:right="20" w:hanging="656"/>
        <w:spacing w:after="0" w:line="279" w:lineRule="auto"/>
        <w:tabs>
          <w:tab w:leader="none" w:pos="199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71" w:lineRule="exact"/>
        <w:rPr>
          <w:sz w:val="20"/>
          <w:szCs w:val="20"/>
          <w:color w:val="auto"/>
        </w:rPr>
      </w:pPr>
    </w:p>
    <w:p>
      <w:pPr>
        <w:ind w:firstLine="1944"/>
        <w:spacing w:after="0" w:line="257"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Arial" w:cs="Arial" w:eastAsia="Arial" w:hAnsi="Arial"/>
          <w:sz w:val="18"/>
          <w:szCs w:val="18"/>
          <w:u w:val="single" w:color="auto"/>
          <w:color w:val="auto"/>
        </w:rPr>
        <w:t>Section 4.4.4</w:t>
      </w:r>
      <w:r>
        <w:rPr>
          <w:rFonts w:ascii="Arial" w:cs="Arial" w:eastAsia="Arial" w:hAnsi="Arial"/>
          <w:sz w:val="18"/>
          <w:szCs w:val="18"/>
          <w:color w:val="auto"/>
        </w:rPr>
        <w:t xml:space="preserv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8"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Series E/E-1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E/E-1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65" w:lineRule="exact"/>
        <w:rPr>
          <w:sz w:val="20"/>
          <w:szCs w:val="20"/>
          <w:color w:val="auto"/>
        </w:rPr>
      </w:pPr>
    </w:p>
    <w:p>
      <w:pPr>
        <w:ind w:right="60" w:firstLine="1296"/>
        <w:spacing w:after="0" w:line="275"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Series E/E-1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66" w:name="page267"/>
    <w:bookmarkEnd w:id="266"/>
    <w:p>
      <w:pPr>
        <w:ind w:left="1960" w:right="200" w:hanging="656"/>
        <w:spacing w:after="0" w:line="277" w:lineRule="auto"/>
        <w:tabs>
          <w:tab w:leader="none" w:pos="196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left="1960" w:right="40" w:hanging="656"/>
        <w:spacing w:after="0" w:line="263" w:lineRule="auto"/>
        <w:tabs>
          <w:tab w:leader="none" w:pos="196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 (b) no such adjustment shall be made if the holders of Series A-1 Preferred Stock, the holders of Series B Preferred Stock, the holders of Series C Preferred Stock, the holders of Series D Preferred Stock, the holders of Series D-1 Preferred Stock, the holders of Series E Preferred Stock and the holders of Series E-1 Preferred Stock simultaneously receive a dividend or other distribution of shares of Common Stock in a number equal to the number of shares of Common Stock as they would have received if all outstanding shares of Preferred Stock had been converted into Common Stock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on the date of such event.</w:t>
      </w:r>
    </w:p>
    <w:p>
      <w:pPr>
        <w:spacing w:after="0" w:line="192" w:lineRule="exact"/>
        <w:rPr>
          <w:sz w:val="20"/>
          <w:szCs w:val="20"/>
          <w:color w:val="auto"/>
        </w:rPr>
      </w:pPr>
    </w:p>
    <w:p>
      <w:pPr>
        <w:ind w:right="40" w:firstLine="1296"/>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Series E/E-1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on the date of such event.</w:t>
      </w:r>
    </w:p>
    <w:p>
      <w:pPr>
        <w:spacing w:after="0" w:line="177"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and without limiting, the provisions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is converted into or exchanged for securities, cash or other property (other than a transaction covered by </w:t>
      </w:r>
      <w:r>
        <w:rPr>
          <w:rFonts w:ascii="Arial" w:cs="Arial" w:eastAsia="Arial" w:hAnsi="Arial"/>
          <w:sz w:val="17"/>
          <w:szCs w:val="17"/>
          <w:u w:val="single" w:color="auto"/>
          <w:color w:val="auto"/>
        </w:rPr>
        <w:t>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or a Deemed Liquidation Event (which shall be governed by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the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 If the transaction is approved by holders of a Supermajority of the outstanding shares of Preferred Stock, voting together as a separate class, each holder of Preferred Stock shall be deemed to have waived the right, if any, of any such holder to seek an appraisal of his, her or its shares of Preferred Stock pursuant to Section 262 of the DGCL in connection with such transaction.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67" w:name="page268"/>
    <w:bookmarkEnd w:id="267"/>
    <w:p>
      <w:pPr>
        <w:ind w:right="140" w:firstLine="1296"/>
        <w:spacing w:after="0" w:line="271"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xml:space="preserve">. Upon the occurrence of each adjustment or readjustment of the applicable Conversion Price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at its expense shall, as promptly as reasonably practicable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178"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Notice of Record Date</w:t>
      </w:r>
      <w:r>
        <w:rPr>
          <w:rFonts w:ascii="Arial" w:cs="Arial" w:eastAsia="Arial" w:hAnsi="Arial"/>
          <w:sz w:val="17"/>
          <w:szCs w:val="17"/>
          <w:color w:val="auto"/>
        </w:rPr>
        <w:t>. In the event 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 of any capital reorganization of the Corporation, any reclassification of the Common Stock of the Corporation, or any Deemed Liquidation Event; or of the voluntary or involuntary dissolution, liquidation or winding-up of the Corporation, 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as promptly as practicable prior to the record date or effective date for the event specified in such notice.</w:t>
      </w:r>
    </w:p>
    <w:p>
      <w:pPr>
        <w:spacing w:after="0" w:line="186"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u w:val="single" w:color="auto"/>
          <w:color w:val="auto"/>
        </w:rPr>
        <w:t>Trigger Events</w:t>
      </w:r>
      <w:r>
        <w:rPr>
          <w:rFonts w:ascii="Arial" w:cs="Arial" w:eastAsia="Arial" w:hAnsi="Arial"/>
          <w:sz w:val="16"/>
          <w:szCs w:val="16"/>
          <w:color w:val="auto"/>
        </w:rPr>
        <w:t>.</w:t>
      </w:r>
    </w:p>
    <w:p>
      <w:pPr>
        <w:spacing w:after="0" w:line="225" w:lineRule="exact"/>
        <w:rPr>
          <w:sz w:val="20"/>
          <w:szCs w:val="20"/>
          <w:color w:val="auto"/>
        </w:rPr>
      </w:pPr>
    </w:p>
    <w:p>
      <w:pPr>
        <w:ind w:right="80" w:firstLine="1944"/>
        <w:spacing w:after="0" w:line="287" w:lineRule="auto"/>
        <w:rPr>
          <w:sz w:val="20"/>
          <w:szCs w:val="20"/>
          <w:color w:val="auto"/>
        </w:rPr>
      </w:pPr>
      <w:r>
        <w:rPr>
          <w:rFonts w:ascii="Arial" w:cs="Arial" w:eastAsia="Arial" w:hAnsi="Arial"/>
          <w:sz w:val="16"/>
          <w:szCs w:val="16"/>
          <w:color w:val="auto"/>
        </w:rPr>
        <w:t>5.1.1 Immediately prior to either (a) the closing of the sale of shares of Common Stock to the public on the New York Stock Exchange, the NASDAQ Global Market or other internationally recognized stock exchange which places a pre-money valuation immediately prior to the initial public offering of the Corporation of the Common Stock of at least $400 million, in a firm-commitment underwritten public offering pursuant to an effective registration statement under the Securities Act of 1933, as amended, resulting in at least $75 million of proceeds, net of the underwriting discount and commissions, to the Corporation and/or the selling stockholders (a “</w:t>
      </w:r>
      <w:r>
        <w:rPr>
          <w:rFonts w:ascii="Arial" w:cs="Arial" w:eastAsia="Arial" w:hAnsi="Arial"/>
          <w:sz w:val="16"/>
          <w:szCs w:val="16"/>
          <w:u w:val="single" w:color="auto"/>
          <w:color w:val="auto"/>
        </w:rPr>
        <w:t>Qualified Public Offering</w:t>
      </w:r>
      <w:r>
        <w:rPr>
          <w:rFonts w:ascii="Arial" w:cs="Arial" w:eastAsia="Arial" w:hAnsi="Arial"/>
          <w:sz w:val="16"/>
          <w:szCs w:val="16"/>
          <w:color w:val="auto"/>
        </w:rPr>
        <w:t>”) or (b) the date and time, or the occurrence of an event, specified by vote or written consent of the holders of at least a Supermajority of the then outstanding shares of Preferred Stock (the time of such closing or the date and time specified or the time of the event specified in such vote or written consent is referred to herein as the “</w:t>
      </w:r>
      <w:r>
        <w:rPr>
          <w:rFonts w:ascii="Arial" w:cs="Arial" w:eastAsia="Arial" w:hAnsi="Arial"/>
          <w:sz w:val="16"/>
          <w:szCs w:val="16"/>
          <w:u w:val="single" w:color="auto"/>
          <w:color w:val="auto"/>
        </w:rPr>
        <w:t>Mandatory Conversion Time</w:t>
      </w:r>
      <w:r>
        <w:rPr>
          <w:rFonts w:ascii="Arial" w:cs="Arial" w:eastAsia="Arial" w:hAnsi="Arial"/>
          <w:sz w:val="16"/>
          <w:szCs w:val="16"/>
          <w:color w:val="auto"/>
        </w:rPr>
        <w:t xml:space="preserve">”), each outstanding share of Preferred Stock shall automatically be converted into the number of shares of Common Stock equal to the number of shares of Common Stock into which such share of Preferred Stock is convertible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plus, if such conversion is in connection with a Qualified Public Offering, then in lieu of any dividends payable pursuant to </w:t>
      </w:r>
      <w:r>
        <w:rPr>
          <w:rFonts w:ascii="Arial" w:cs="Arial" w:eastAsia="Arial" w:hAnsi="Arial"/>
          <w:sz w:val="16"/>
          <w:szCs w:val="16"/>
          <w:u w:val="single" w:color="auto"/>
          <w:color w:val="auto"/>
        </w:rPr>
        <w:t>Section 4.3.4</w:t>
      </w:r>
      <w:r>
        <w:rPr>
          <w:rFonts w:ascii="Arial" w:cs="Arial" w:eastAsia="Arial" w:hAnsi="Arial"/>
          <w:sz w:val="16"/>
          <w:szCs w:val="16"/>
          <w:color w:val="auto"/>
        </w:rPr>
        <w:t>, such additional number of shares of Common Stock equal to the quotient obtained by dividing (x) an amount per share equal to the dividends payable on such Preferred Stock that have been declared but remain unpaid, by (y) the gross per share initial public offering price (before deducting the underwriting discount and commissions) of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8" w:name="page269"/>
    <w:bookmarkEnd w:id="268"/>
    <w:p>
      <w:pPr>
        <w:ind w:right="120" w:firstLine="1863"/>
        <w:spacing w:after="0" w:line="273" w:lineRule="auto"/>
        <w:rPr>
          <w:sz w:val="20"/>
          <w:szCs w:val="20"/>
          <w:color w:val="auto"/>
        </w:rPr>
      </w:pPr>
      <w:r>
        <w:rPr>
          <w:rFonts w:ascii="Arial" w:cs="Arial" w:eastAsia="Arial" w:hAnsi="Arial"/>
          <w:sz w:val="17"/>
          <w:szCs w:val="17"/>
          <w:color w:val="auto"/>
        </w:rPr>
        <w:t>5.1.2 Notwithstanding Section 5.1.1 above, the Series C Preferred Stock shall not be subject to mandatory conversion pursuant to this section unless (a) the holders of a majority of the outstanding shares of Series C Preferred Stock have consented to mandatory conversion of all shares of Series C Preferred Stock or (b) the mandatory conversion is in connection with (i) a Qualified Public Offering in which the price per share of the securities sold to the public is equal to or greater than one (1) times the Series C Original Issue Price or (ii) a Deemed Liquidation Event that results in the payment of consideration to the holders of Series C Preferred Stock of an amount equal to or greater than one (1) times the Series C Original Issue Price in respect of such shares of Series C Preferred Stock.</w:t>
      </w:r>
    </w:p>
    <w:p>
      <w:pPr>
        <w:spacing w:after="0" w:line="178" w:lineRule="exact"/>
        <w:rPr>
          <w:sz w:val="20"/>
          <w:szCs w:val="20"/>
          <w:color w:val="auto"/>
        </w:rPr>
      </w:pPr>
    </w:p>
    <w:p>
      <w:pPr>
        <w:ind w:right="40" w:firstLine="1863"/>
        <w:spacing w:after="0" w:line="255" w:lineRule="auto"/>
        <w:rPr>
          <w:sz w:val="20"/>
          <w:szCs w:val="20"/>
          <w:color w:val="auto"/>
        </w:rPr>
      </w:pPr>
      <w:r>
        <w:rPr>
          <w:rFonts w:ascii="Arial" w:cs="Arial" w:eastAsia="Arial" w:hAnsi="Arial"/>
          <w:sz w:val="18"/>
          <w:szCs w:val="18"/>
          <w:color w:val="auto"/>
        </w:rPr>
        <w:t>5.1.3 Notwithstanding Section 5.1.1 above, the Series D Preferred Stock shall not be subject to mandatory conversion pursuant to this section unless (a) holders constituting the Series D Supermajority have consented to mandatory conversion of all shares of Series D Preferred Stock or (b) the mandatory conversion is in connection with (i) a Qualified Public Offering in which the price per share of the securities sold to the public is equal to or greater than one and one-quarter (1.25) times the Series D Original Issue Price or (ii) a Deemed Liquidation Event that results in the payment of consideration to the holders of Series D Preferred Stock of an amount equal to or greater than one and one-quarter (1.25) times the Series D Original Issue Price in respect of such shares of Series D Preferred Stock.</w:t>
      </w:r>
    </w:p>
    <w:p>
      <w:pPr>
        <w:spacing w:after="0" w:line="192" w:lineRule="exact"/>
        <w:rPr>
          <w:sz w:val="20"/>
          <w:szCs w:val="20"/>
          <w:color w:val="auto"/>
        </w:rPr>
      </w:pPr>
    </w:p>
    <w:p>
      <w:pPr>
        <w:ind w:right="60" w:firstLine="1863"/>
        <w:spacing w:after="0" w:line="255" w:lineRule="auto"/>
        <w:rPr>
          <w:sz w:val="20"/>
          <w:szCs w:val="20"/>
          <w:color w:val="auto"/>
        </w:rPr>
      </w:pPr>
      <w:r>
        <w:rPr>
          <w:rFonts w:ascii="Arial" w:cs="Arial" w:eastAsia="Arial" w:hAnsi="Arial"/>
          <w:sz w:val="18"/>
          <w:szCs w:val="18"/>
          <w:color w:val="auto"/>
        </w:rPr>
        <w:t>5.1.4 Notwithstanding Section 5.1.1 above, the Series D-1 Preferred Stock shall not be subject to mandatory conversion pursuant to this section unless (a) holders constituting the Series D-1 Supermajority have consented to mandatory conversion of all shares of Series D-1 Preferred Stock or (b) the mandatory conversion is in connection with (i) a Qualified Public Offering in which the price per share of the securities sold to the public is equal to or greater than one (1) times the Series D-1 Original Issue Price or (ii) a Deemed Liquidation Event that results in the payment of consideration to the holders of Series D-1 Preferred Stock of an amount equal to or greater than one (1) times the Series D-1 Original Issue Price in respect of such shares of Series D-1 Preferred Stock.</w:t>
      </w:r>
    </w:p>
    <w:p>
      <w:pPr>
        <w:spacing w:after="0" w:line="192" w:lineRule="exact"/>
        <w:rPr>
          <w:sz w:val="20"/>
          <w:szCs w:val="20"/>
          <w:color w:val="auto"/>
        </w:rPr>
      </w:pPr>
    </w:p>
    <w:p>
      <w:pPr>
        <w:ind w:right="120" w:firstLine="1863"/>
        <w:spacing w:after="0" w:line="272" w:lineRule="auto"/>
        <w:rPr>
          <w:sz w:val="20"/>
          <w:szCs w:val="20"/>
          <w:color w:val="auto"/>
        </w:rPr>
      </w:pPr>
      <w:r>
        <w:rPr>
          <w:rFonts w:ascii="Arial" w:cs="Arial" w:eastAsia="Arial" w:hAnsi="Arial"/>
          <w:sz w:val="17"/>
          <w:szCs w:val="17"/>
          <w:color w:val="auto"/>
        </w:rPr>
        <w:t>5.1.5 Notwithstanding Section 5.1.1 above, the Series E Preferred Stock and Series E-1 Preferred Stock shall not be subject to mandatory conversion pursuant to this section unless (a) holders of a majority of the outstanding shares of Series E Preferred Stock and Series E-1 Preferred Stock, voting together as a separate class, have consented to mandatory conversion of all shares of Series E Preferred Stock and Series E-1 Preferred Stock or (b) the mandatory conversion is in connection with (i) a Qualified Public Offering in which all outstanding shares of Preferred Stock of the Company are converted into Common Stock or (ii) a Deemed Liquidation Event that results in the payment of consideration to the holders of Series E Preferred Stock and Series E-1 Preferred Stock of an amount equal to or greater than one (1) times the Series E/E-1 Original Issue Price in respect of such shares of Series E Preferred Stock and Series E-1 Preferred Stock.</w:t>
      </w:r>
    </w:p>
    <w:p>
      <w:pPr>
        <w:spacing w:after="0" w:line="17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Procedural Requirements</w:t>
      </w:r>
      <w:r>
        <w:rPr>
          <w:rFonts w:ascii="Arial" w:cs="Arial" w:eastAsia="Arial" w:hAnsi="Arial"/>
          <w:sz w:val="17"/>
          <w:szCs w:val="17"/>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Such notice need not be sent in advance of the occurrence of the Mandatory Conversion Time. Promptly following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which agreement shall not require the posting of a bond)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including the rights, if any, to receive notices and vote (other than as a holder of Common Stock), will terminate at the Mandatory Conversion Time (notwithstanding the failure of the holder or holders thereof to surrender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in lieu of any fraction of a share of Common Stock otherwise issuable upon such conversion. Such converted Preferred Stock shall be retired and cancelled and may not be reissued as shares of such series or any other class or series, and the Corporation may thereafter take such appropriate action (without the need for stockholder action) as may be necessary to reduce the authorized number of shares of Preferred Stock accordingly.</w:t>
      </w:r>
    </w:p>
    <w:p>
      <w:pPr>
        <w:spacing w:after="0" w:line="178"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1" w:lineRule="auto"/>
        <w:rPr>
          <w:sz w:val="20"/>
          <w:szCs w:val="20"/>
          <w:color w:val="auto"/>
        </w:rPr>
      </w:pPr>
      <w:r>
        <w:rPr>
          <w:rFonts w:ascii="Arial" w:cs="Arial" w:eastAsia="Arial" w:hAnsi="Arial"/>
          <w:sz w:val="16"/>
          <w:szCs w:val="16"/>
          <w:color w:val="auto"/>
        </w:rPr>
        <w:t>6.1 At any time on or after the date that is the twelfth (12</w:t>
      </w:r>
      <w:r>
        <w:rPr>
          <w:rFonts w:ascii="Arial" w:cs="Arial" w:eastAsia="Arial" w:hAnsi="Arial"/>
          <w:sz w:val="20"/>
          <w:szCs w:val="20"/>
          <w:color w:val="auto"/>
          <w:vertAlign w:val="superscript"/>
        </w:rPr>
        <w:t>th</w:t>
      </w:r>
      <w:r>
        <w:rPr>
          <w:rFonts w:ascii="Arial" w:cs="Arial" w:eastAsia="Arial" w:hAnsi="Arial"/>
          <w:sz w:val="16"/>
          <w:szCs w:val="16"/>
          <w:color w:val="auto"/>
        </w:rPr>
        <w:t>) anniversary of the Series A-1 Original Issue Date, upon written notice (a “</w:t>
      </w:r>
      <w:r>
        <w:rPr>
          <w:rFonts w:ascii="Arial" w:cs="Arial" w:eastAsia="Arial" w:hAnsi="Arial"/>
          <w:sz w:val="16"/>
          <w:szCs w:val="16"/>
          <w:u w:val="single" w:color="auto"/>
          <w:color w:val="auto"/>
        </w:rPr>
        <w:t>Redemption Request</w:t>
      </w:r>
      <w:r>
        <w:rPr>
          <w:rFonts w:ascii="Arial" w:cs="Arial" w:eastAsia="Arial" w:hAnsi="Arial"/>
          <w:sz w:val="16"/>
          <w:szCs w:val="16"/>
          <w:color w:val="auto"/>
        </w:rPr>
        <w:t>”) from the holders of at least a Supermajority of the then outstanding shares of Preferred Stock (the “</w:t>
      </w:r>
      <w:r>
        <w:rPr>
          <w:rFonts w:ascii="Arial" w:cs="Arial" w:eastAsia="Arial" w:hAnsi="Arial"/>
          <w:sz w:val="16"/>
          <w:szCs w:val="16"/>
          <w:u w:val="single" w:color="auto"/>
          <w:color w:val="auto"/>
        </w:rPr>
        <w:t>Redeeming Holders</w:t>
      </w:r>
      <w:r>
        <w:rPr>
          <w:rFonts w:ascii="Arial" w:cs="Arial" w:eastAsia="Arial" w:hAnsi="Arial"/>
          <w:sz w:val="16"/>
          <w:szCs w:val="16"/>
          <w:color w:val="auto"/>
        </w:rPr>
        <w:t>”), the Redeeming Holders shall have the right to require that all (but not less than all) of the outstanding shares of Preferred Stock be redeemed by the Corporation for cash at a per share price equal to the greater of (I) for each series of Preferred Stock, the Original Issue Price for such series of Preferred Stock, plus any dividends declared but unpaid thereon or (II) seventy-five percent (75%) of the Fair Market Value (as defined below) of such series of Preferred Stock measured as of the FMV Determination Date (as defined below)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the event of an Intervening Liquidity Event (as defined herein), if the Redeeming Holders would be entitled to receive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herein an amount per share of Preferred Stock that is greater than the per share Redemption Price, the Redemption Price shall be deemed to be the amount payable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herein. The date of redemption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occur on the following dates (each a “</w:t>
      </w:r>
      <w:r>
        <w:rPr>
          <w:rFonts w:ascii="Arial" w:cs="Arial" w:eastAsia="Arial" w:hAnsi="Arial"/>
          <w:sz w:val="16"/>
          <w:szCs w:val="16"/>
          <w:u w:val="single" w:color="auto"/>
          <w:color w:val="auto"/>
        </w:rPr>
        <w:t>Redemption Date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Dates</w:t>
      </w:r>
      <w:r>
        <w:rPr>
          <w:rFonts w:ascii="Arial" w:cs="Arial" w:eastAsia="Arial" w:hAnsi="Arial"/>
          <w:sz w:val="16"/>
          <w:szCs w:val="16"/>
          <w:color w:val="auto"/>
        </w:rPr>
        <w:t xml:space="preserve">”): (a) fifty percent (50%) of the Redemption Price shall be paid by the Corporation on a date that is not more than ninety (90) days after receipt by the Corporation of the Redemption Request; and (b) fifty percent (50%) of the Redemption Price shall be paid by the Corporation on a date that is not more than three hundred sixty five days (365) days after receipt by the Corporation of the Redemption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of any voluntary or involuntary liquidation, dissolution or winding up of the Corporation (including a Deemed Liquidation Event) that occurs or is consummated prior to payment in full of the entire Redemption Price (an “</w:t>
      </w:r>
      <w:r>
        <w:rPr>
          <w:rFonts w:ascii="Arial" w:cs="Arial" w:eastAsia="Arial" w:hAnsi="Arial"/>
          <w:sz w:val="16"/>
          <w:szCs w:val="16"/>
          <w:u w:val="single" w:color="auto"/>
          <w:color w:val="auto"/>
        </w:rPr>
        <w:t>Intervening Liquidity Event</w:t>
      </w:r>
      <w:r>
        <w:rPr>
          <w:rFonts w:ascii="Arial" w:cs="Arial" w:eastAsia="Arial" w:hAnsi="Arial"/>
          <w:sz w:val="16"/>
          <w:szCs w:val="16"/>
          <w:color w:val="auto"/>
        </w:rPr>
        <w:t>”), the Redemption Date shall be accelerated to the date of such voluntary or involuntary liquidation, dissolution or winding up of the Corporation (including a Deemed Liquidation Event). On the applicable Redemption Date, the Corporation shall redeem, on a pro rata basis in accordance with the number of shares of Preferred Stock owned by each holder, the number of outstanding shares of Preferred Stock required to be redeemed on such Redemption Date. If the Corporation does not have sufficient funds to redeem on any Redemption Date all shares of Preferred Stock to be redeemed on that Redemption Date, the Corporation shall redeem a pro rata portion of each holder’s shares of such capital stock out of available funds (which shall include available borrowings), based on the respective amounts which would otherwise be payable in respect of the shares to be redeemed if the funds were sufficient to redeem all such shares, and shall redeem the remaining shares to</w:t>
      </w:r>
    </w:p>
    <w:p>
      <w:pPr>
        <w:sectPr>
          <w:pgSz w:w="11900" w:h="16838" w:orient="portrait"/>
          <w:cols w:equalWidth="0" w:num="1">
            <w:col w:w="11220"/>
          </w:cols>
          <w:pgMar w:left="320" w:top="341" w:right="359" w:bottom="0" w:gutter="0" w:footer="0" w:header="0"/>
        </w:sectPr>
      </w:pPr>
    </w:p>
    <w:bookmarkStart w:id="269" w:name="page270"/>
    <w:bookmarkEnd w:id="269"/>
    <w:p>
      <w:pPr>
        <w:spacing w:after="0" w:line="273" w:lineRule="auto"/>
        <w:rPr>
          <w:sz w:val="20"/>
          <w:szCs w:val="20"/>
          <w:color w:val="auto"/>
        </w:rPr>
      </w:pPr>
      <w:r>
        <w:rPr>
          <w:rFonts w:ascii="Arial" w:cs="Arial" w:eastAsia="Arial" w:hAnsi="Arial"/>
          <w:sz w:val="17"/>
          <w:szCs w:val="17"/>
          <w:color w:val="auto"/>
        </w:rPr>
        <w:t xml:space="preserve">have been redeemed as soon as the Corporation has available funds;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any shares of Preferred Stock that were requested to be redeemed in the Redemption Request are not so redeemed on the applicable Redemption Date (such event, a “</w:t>
      </w:r>
      <w:r>
        <w:rPr>
          <w:rFonts w:ascii="Arial" w:cs="Arial" w:eastAsia="Arial" w:hAnsi="Arial"/>
          <w:sz w:val="17"/>
          <w:szCs w:val="17"/>
          <w:u w:val="single" w:color="auto"/>
          <w:color w:val="auto"/>
        </w:rPr>
        <w:t>Redemption Default Event</w:t>
      </w:r>
      <w:r>
        <w:rPr>
          <w:rFonts w:ascii="Arial" w:cs="Arial" w:eastAsia="Arial" w:hAnsi="Arial"/>
          <w:sz w:val="17"/>
          <w:szCs w:val="17"/>
          <w:color w:val="auto"/>
        </w:rPr>
        <w:t>”), in addition to, and without limiting in any manner, any and all other rights and remedies of the Redeeming Holders, the holders of a majority of the voting power of the outstanding shares of Voting Preferred Stock shall have the right, but not the obligation, exclusively and as a separate class, at any time while the Redemption Default Event is continuing, to appoint and elect a majority of the directors of the Corporation. The Corporation and each stockholder of the Corporation shall be obligated to take or cause to be taken all</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70" w:name="page271"/>
    <w:bookmarkEnd w:id="270"/>
    <w:p>
      <w:pPr>
        <w:ind w:right="40"/>
        <w:spacing w:after="0" w:line="268" w:lineRule="auto"/>
        <w:rPr>
          <w:sz w:val="20"/>
          <w:szCs w:val="20"/>
          <w:color w:val="auto"/>
        </w:rPr>
      </w:pPr>
      <w:r>
        <w:rPr>
          <w:rFonts w:ascii="Arial" w:cs="Arial" w:eastAsia="Arial" w:hAnsi="Arial"/>
          <w:sz w:val="17"/>
          <w:szCs w:val="17"/>
          <w:color w:val="auto"/>
        </w:rPr>
        <w:t xml:space="preserve">action necessary to ensure at all times following the Series E/E-1 Original Issue Date that the organizational documents of the Corporation and its subsidiaries (including this Certification of Incorporation and the Bylaws of the Corporation) are not inconsistent with or in any way limit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As used herein, “</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the per share amount that a holder of a share of Preferred Stock would be entitled to receive under this Certificate of Incorporation assuming a sale of all of the assets and liabilities of the Corporation and its subsidiaries, taken as a whole, valued as a going concern, for cash in an arms’ length transaction between a willing buyer and a willing seller under no compulsion to sell, without giving effect to any discount for lack of liquidity, control or any similar matter or any transfer or other contractual or other restrictions applicable thereto and without any discount applied because the transaction is conducted in the context of the exercise of a redemption right, and, to the extent information is available, reflecting the fully distributed value of comparable public companies and precedent M&amp;A transactions. As used herein, “</w:t>
      </w:r>
      <w:r>
        <w:rPr>
          <w:rFonts w:ascii="Arial" w:cs="Arial" w:eastAsia="Arial" w:hAnsi="Arial"/>
          <w:sz w:val="17"/>
          <w:szCs w:val="17"/>
          <w:u w:val="single" w:color="auto"/>
          <w:color w:val="auto"/>
        </w:rPr>
        <w:t>Designated Stockholder</w:t>
      </w:r>
      <w:r>
        <w:rPr>
          <w:rFonts w:ascii="Arial" w:cs="Arial" w:eastAsia="Arial" w:hAnsi="Arial"/>
          <w:sz w:val="17"/>
          <w:szCs w:val="17"/>
          <w:color w:val="auto"/>
        </w:rPr>
        <w:t>” means the Redeeming Holder that holds the most shares of Preferred Stock within the group of all Redeeming Holders. As used herein, “</w:t>
      </w:r>
      <w:r>
        <w:rPr>
          <w:rFonts w:ascii="Arial" w:cs="Arial" w:eastAsia="Arial" w:hAnsi="Arial"/>
          <w:sz w:val="17"/>
          <w:szCs w:val="17"/>
          <w:u w:val="single" w:color="auto"/>
          <w:color w:val="auto"/>
        </w:rPr>
        <w:t>FMV Determination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means the date of delivery of the Redemption Request to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the Corporation fails to redeem the shares of Preferred Stock required to be redeemed on the applicable Redemption Date, the FMV Agent (as defined below) shall have the right to require that a second determination of Fair Market Value be made as of any date during which the Corporation is in breach and if such second determination results in a Fair Market Value that is higher than the original Fair Market Value, the Redemption Price shall be determined by reference to such higher Fair Market Value.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FMV Determination Process</w:t>
      </w:r>
      <w:r>
        <w:rPr>
          <w:rFonts w:ascii="Arial" w:cs="Arial" w:eastAsia="Arial" w:hAnsi="Arial"/>
          <w:sz w:val="18"/>
          <w:szCs w:val="18"/>
          <w:color w:val="auto"/>
        </w:rPr>
        <w:t>. Unless waived in writing by the Designated Stockholder, the Board shall be obligated to determine the Fair Market Value following receipt by the Corporation of the Redemption Request and such Fair Market Value shall be determined in accordance with the following procedures:</w:t>
      </w:r>
    </w:p>
    <w:p>
      <w:pPr>
        <w:spacing w:after="0" w:line="184" w:lineRule="exact"/>
        <w:rPr>
          <w:sz w:val="20"/>
          <w:szCs w:val="20"/>
          <w:color w:val="auto"/>
        </w:rPr>
      </w:pPr>
    </w:p>
    <w:p>
      <w:pPr>
        <w:jc w:val="both"/>
        <w:ind w:right="200" w:firstLine="1944"/>
        <w:spacing w:after="0" w:line="342" w:lineRule="auto"/>
        <w:rPr>
          <w:sz w:val="20"/>
          <w:szCs w:val="20"/>
          <w:color w:val="auto"/>
        </w:rPr>
      </w:pPr>
      <w:r>
        <w:rPr>
          <w:rFonts w:ascii="Arial" w:cs="Arial" w:eastAsia="Arial" w:hAnsi="Arial"/>
          <w:sz w:val="16"/>
          <w:szCs w:val="16"/>
          <w:color w:val="auto"/>
        </w:rPr>
        <w:t>6.2.1 the FMV Agent and the Board shall attempt to determine the Fair Market Value of the Preferred Stock through good faith negotiation commenced promptly (and in any event, within five (5) business days) after the delivery of the Redemption Request to the Corporation;</w:t>
      </w:r>
    </w:p>
    <w:p>
      <w:pPr>
        <w:spacing w:after="0" w:line="124" w:lineRule="exact"/>
        <w:rPr>
          <w:sz w:val="20"/>
          <w:szCs w:val="20"/>
          <w:color w:val="auto"/>
        </w:rPr>
      </w:pPr>
    </w:p>
    <w:p>
      <w:pPr>
        <w:ind w:right="40" w:firstLine="1944"/>
        <w:spacing w:after="0" w:line="263" w:lineRule="auto"/>
        <w:rPr>
          <w:sz w:val="20"/>
          <w:szCs w:val="20"/>
          <w:color w:val="auto"/>
        </w:rPr>
      </w:pPr>
      <w:r>
        <w:rPr>
          <w:rFonts w:ascii="Arial" w:cs="Arial" w:eastAsia="Arial" w:hAnsi="Arial"/>
          <w:sz w:val="18"/>
          <w:szCs w:val="18"/>
          <w:color w:val="auto"/>
        </w:rPr>
        <w:t>6.2.2 if the FMV Agent and the Board cannot agree as to the Fair Market Value within fifteen (15) business days after beginning such negotiations, then the FMV Agent and the Board shall promptly and jointly appoint an independent, nationally-recognized investment bank with expertise valuing businesses with business lines similar to that of the Corporation and its subsidiaries;</w:t>
      </w:r>
    </w:p>
    <w:p>
      <w:pPr>
        <w:spacing w:after="0" w:line="184"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color w:val="auto"/>
        </w:rPr>
        <w:t>if the FMV Agent and the Board cannot agree on the appointment of such investment bank within an additional ten</w:t>
      </w:r>
    </w:p>
    <w:p>
      <w:pPr>
        <w:spacing w:after="0" w:line="23" w:lineRule="exact"/>
        <w:rPr>
          <w:sz w:val="20"/>
          <w:szCs w:val="20"/>
          <w:color w:val="auto"/>
        </w:rPr>
      </w:pPr>
    </w:p>
    <w:p>
      <w:pPr>
        <w:ind w:right="100" w:firstLine="8"/>
        <w:spacing w:after="0" w:line="253" w:lineRule="auto"/>
        <w:tabs>
          <w:tab w:leader="none" w:pos="34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business days, then an independent, nationally-recognized investment bank chosen by the FMV Agent and the Corporation’s independent, nationally-recognized investment bank shall jointly appoint such an independent, nationally-recognized investment bank with expertise valuing businesses with business lines similar to that of the Corporation and its subsidiaries (the investment bank appointed by the FMV Agent and the Board, or their respective investment banks, as the case may be, the “</w:t>
      </w:r>
      <w:r>
        <w:rPr>
          <w:rFonts w:ascii="Arial" w:cs="Arial" w:eastAsia="Arial" w:hAnsi="Arial"/>
          <w:sz w:val="18"/>
          <w:szCs w:val="18"/>
          <w:u w:val="single" w:color="auto"/>
          <w:color w:val="auto"/>
        </w:rPr>
        <w:t>Valuer</w:t>
      </w:r>
      <w:r>
        <w:rPr>
          <w:rFonts w:ascii="Arial" w:cs="Arial" w:eastAsia="Arial" w:hAnsi="Arial"/>
          <w:sz w:val="18"/>
          <w:szCs w:val="18"/>
          <w:color w:val="auto"/>
        </w:rPr>
        <w:t>”);</w:t>
      </w:r>
    </w:p>
    <w:p>
      <w:pPr>
        <w:spacing w:after="0" w:line="193" w:lineRule="exact"/>
        <w:rPr>
          <w:sz w:val="20"/>
          <w:szCs w:val="20"/>
          <w:color w:val="auto"/>
        </w:rPr>
      </w:pPr>
    </w:p>
    <w:p>
      <w:pPr>
        <w:ind w:right="300" w:firstLine="1944"/>
        <w:spacing w:after="0" w:line="263" w:lineRule="auto"/>
        <w:rPr>
          <w:sz w:val="20"/>
          <w:szCs w:val="20"/>
          <w:color w:val="auto"/>
        </w:rPr>
      </w:pPr>
      <w:r>
        <w:rPr>
          <w:rFonts w:ascii="Arial" w:cs="Arial" w:eastAsia="Arial" w:hAnsi="Arial"/>
          <w:sz w:val="18"/>
          <w:szCs w:val="18"/>
          <w:color w:val="auto"/>
        </w:rPr>
        <w:t>6.2.4 the cost and expenses of the Valuer shall be split evenly by the Corporation and the holders of Preferred Stock, with each holder of Preferred Stock paying its pro rata share of the total amount due by all the holders of Preferred Stock (based on the number of shares of Preferred Stock subject to redemption); and</w:t>
      </w:r>
    </w:p>
    <w:p>
      <w:pPr>
        <w:spacing w:after="0" w:line="184" w:lineRule="exact"/>
        <w:rPr>
          <w:sz w:val="20"/>
          <w:szCs w:val="20"/>
          <w:color w:val="auto"/>
        </w:rPr>
      </w:pPr>
    </w:p>
    <w:p>
      <w:pPr>
        <w:ind w:right="80" w:firstLine="1944"/>
        <w:spacing w:after="0" w:line="259" w:lineRule="auto"/>
        <w:rPr>
          <w:sz w:val="20"/>
          <w:szCs w:val="20"/>
          <w:color w:val="auto"/>
        </w:rPr>
      </w:pPr>
      <w:r>
        <w:rPr>
          <w:rFonts w:ascii="Arial" w:cs="Arial" w:eastAsia="Arial" w:hAnsi="Arial"/>
          <w:sz w:val="18"/>
          <w:szCs w:val="18"/>
          <w:color w:val="auto"/>
        </w:rPr>
        <w:t>6.2.5 the Valuer shall independently determine the Fair Market Value of Preferred Stock as of the FMV Determination Date (the “</w:t>
      </w:r>
      <w:r>
        <w:rPr>
          <w:rFonts w:ascii="Arial" w:cs="Arial" w:eastAsia="Arial" w:hAnsi="Arial"/>
          <w:sz w:val="18"/>
          <w:szCs w:val="18"/>
          <w:u w:val="single" w:color="auto"/>
          <w:color w:val="auto"/>
        </w:rPr>
        <w:t>FMV Determination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FMV Agent and the Board shall require the Valuer to make the FMV Determination within thirty (30) calendar days from the date of the Valuer’s selection and the FMV Determination of the Valuer shall be final and binding upon the holders of the Preferred Stock and the Corporation.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1" w:name="page272"/>
    <w:bookmarkEnd w:id="271"/>
    <w:p>
      <w:pPr>
        <w:spacing w:after="0" w:line="296" w:lineRule="auto"/>
        <w:rPr>
          <w:sz w:val="20"/>
          <w:szCs w:val="20"/>
          <w:color w:val="auto"/>
        </w:rPr>
      </w:pPr>
      <w:r>
        <w:rPr>
          <w:rFonts w:ascii="Arial" w:cs="Arial" w:eastAsia="Arial" w:hAnsi="Arial"/>
          <w:sz w:val="16"/>
          <w:szCs w:val="16"/>
          <w:color w:val="auto"/>
        </w:rPr>
        <w:t xml:space="preserve">If the FMV Determination is submitted to a Valuer for determination, then (i) the FMV Agent and the Corporation (including the Board) shall execute any agreement(s) reasonably required by the Valuer to accept their engagement pursuant to this </w:t>
      </w:r>
      <w:r>
        <w:rPr>
          <w:rFonts w:ascii="Arial" w:cs="Arial" w:eastAsia="Arial" w:hAnsi="Arial"/>
          <w:sz w:val="16"/>
          <w:szCs w:val="16"/>
          <w:u w:val="single" w:color="auto"/>
          <w:color w:val="auto"/>
        </w:rPr>
        <w:t>Section 6</w:t>
      </w:r>
      <w:r>
        <w:rPr>
          <w:rFonts w:ascii="Arial" w:cs="Arial" w:eastAsia="Arial" w:hAnsi="Arial"/>
          <w:sz w:val="16"/>
          <w:szCs w:val="16"/>
          <w:color w:val="auto"/>
        </w:rPr>
        <w:t>, (ii) the Corporation shall promptly furnish or cause to be furnished to the Valuer such work papers and other documents and information relating to the computation of Fair Market Value as the Valuer may reasonably request and are available in the ordinary course of business, and (iii) each of the FMV Agent and the Corporation shall be afforded the opportunity to present to such Valuer, with a copy to the other party, any other written material relating to the computation of the Fair Market Value.</w:t>
      </w:r>
    </w:p>
    <w:p>
      <w:pPr>
        <w:spacing w:after="0" w:line="161"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FMV Agent</w:t>
      </w:r>
      <w:r>
        <w:rPr>
          <w:rFonts w:ascii="Arial" w:cs="Arial" w:eastAsia="Arial" w:hAnsi="Arial"/>
          <w:sz w:val="16"/>
          <w:szCs w:val="16"/>
          <w:color w:val="auto"/>
        </w:rPr>
        <w:t>. Notwithstanding anything to the contrary set forth in this Certificate of Incorporation, each holder of Preferred Stock hereby irrevocably appoints the Designated Stockholder to act as its sole and exclusive agent (in such capacity, the “</w:t>
      </w:r>
      <w:r>
        <w:rPr>
          <w:rFonts w:ascii="Arial" w:cs="Arial" w:eastAsia="Arial" w:hAnsi="Arial"/>
          <w:sz w:val="16"/>
          <w:szCs w:val="16"/>
          <w:u w:val="single" w:color="auto"/>
          <w:color w:val="auto"/>
        </w:rPr>
        <w:t>FMV Agent</w:t>
      </w:r>
      <w:r>
        <w:rPr>
          <w:rFonts w:ascii="Arial" w:cs="Arial" w:eastAsia="Arial" w:hAnsi="Arial"/>
          <w:sz w:val="16"/>
          <w:szCs w:val="16"/>
          <w:color w:val="auto"/>
        </w:rPr>
        <w:t xml:space="preserve">”) (i) to determine the Fair Market Value on behalf of all holders of Preferred Stock and (ii) otherwise to take any action that may be necessary or desirable, as determined by the FMV Agent in its sole discretion, on behalf of the all holders of Preferred Stock in connection with any determination of Fair Market Value or other actions to be taken by the FMV Agent as provided hereby, including the retention of financial, legal or other advisors in connection therewith (and such holders of Preferred Stock shall not be entitled to participate in such determinations with the Corporation and the FMV Agent). Each holder of Preferred Stock (A) shall be bound by the Fair Market Value determination resulting from the FMV Agent’s participation in the determination of Fair Market Value in accordance with this </w:t>
      </w:r>
      <w:r>
        <w:rPr>
          <w:rFonts w:ascii="Arial" w:cs="Arial" w:eastAsia="Arial" w:hAnsi="Arial"/>
          <w:sz w:val="16"/>
          <w:szCs w:val="16"/>
          <w:u w:val="single" w:color="auto"/>
          <w:color w:val="auto"/>
        </w:rPr>
        <w:t>Section 6</w:t>
      </w:r>
      <w:r>
        <w:rPr>
          <w:rFonts w:ascii="Arial" w:cs="Arial" w:eastAsia="Arial" w:hAnsi="Arial"/>
          <w:sz w:val="16"/>
          <w:szCs w:val="16"/>
          <w:color w:val="auto"/>
        </w:rPr>
        <w:t>, (B) shall reimburse the FMV Agent promptly (and, in any event, within five (5) business days following receipt from the FMV Agent of a written request therefor) for its pro rata share (based on the number of shares of Preferred Stock subject to redemption) of any reasonable out-of-pocket fees, costs or expenses incurred by the FMV Agent in connection with the performance of its duties hereunder, including the fees, costs and expenses of any financial, legal or other advisor retained by the FMV Agent in connection therewith, and (C) agrees that neither the FMV Agent nor any affiliate, employee, officer or director thereof shall be liable to any holder of Preferred Stock or any affiliate thereof for any good faith act or omission of the FMV Agent (or any such affiliate, employee, officer or director thereof) in its capacity as FMV Agent hereunder, and each such holder hereby unconditionally and irrevocably releases the FMV Agent and each such affiliate, employee, officer or director thereof from any and all claims, causes of action and other liabilities and obligations of any kind arising from or in connection with the performance by the FMV Agent of its obligations or duties hereunder unless a court of competent jurisdiction shall determine in a final and non-appealable judgment that any act or omission of the FMV Agent (or any affiliate, employee, officer or director thereof) was taken or not taken, as the case may be, other than in good faith. The Corporation may rely on actions taken by the FMV Agent pursuant to the foregoing appointment and authority until the receipt by the Corporation of written notice of the appointment of a successor FMV Agent upon not less than ten (10) business days’ prior written notice from the FMV Agent to the Corporation. The FMV Agent may resign from its capacity as such at any time upon delivery of ten (10) business day’s written notice to the Corporation and the Redeeming Holders. If the FMV Agent shall resign from its capacity as such as provided in the immediately preceding sentence, the successor FMV Agent shall be appointed by the Redeeming Holders holding a majority of the outstanding shares of Preferred Stock held by all such Redeeming Holders (excluding shares of Preferred Stock held by resigning FMV Agent) and following such appointment such successor FMV Agent shall be the FMV Agent for all purposes hereof until such successor FMV Agent shall resign from its capacity as such in accordance with the terms set forth herein. The holders of Preferred Stock shall not have any authority to replace the FMV Agent.</w:t>
      </w:r>
    </w:p>
    <w:p>
      <w:pPr>
        <w:spacing w:after="0" w:line="391" w:lineRule="exact"/>
        <w:rPr>
          <w:sz w:val="20"/>
          <w:szCs w:val="20"/>
          <w:color w:val="auto"/>
        </w:rPr>
      </w:pPr>
    </w:p>
    <w:p>
      <w:pPr>
        <w:ind w:right="120" w:firstLine="1296"/>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Redemption Notice</w:t>
      </w:r>
      <w:r>
        <w:rPr>
          <w:rFonts w:ascii="Arial" w:cs="Arial" w:eastAsia="Arial" w:hAnsi="Arial"/>
          <w:sz w:val="17"/>
          <w:szCs w:val="17"/>
          <w:color w:val="auto"/>
        </w:rPr>
        <w:t>. The Corporation shall send written notice of the mandatory redemption (the “</w:t>
      </w:r>
      <w:r>
        <w:rPr>
          <w:rFonts w:ascii="Arial" w:cs="Arial" w:eastAsia="Arial" w:hAnsi="Arial"/>
          <w:sz w:val="17"/>
          <w:szCs w:val="17"/>
          <w:u w:val="single" w:color="auto"/>
          <w:color w:val="auto"/>
        </w:rPr>
        <w:t>Redemption Notice</w:t>
      </w:r>
      <w:r>
        <w:rPr>
          <w:rFonts w:ascii="Arial" w:cs="Arial" w:eastAsia="Arial" w:hAnsi="Arial"/>
          <w:sz w:val="17"/>
          <w:szCs w:val="17"/>
          <w:color w:val="auto"/>
        </w:rPr>
        <w:t>”) to each holder of record of Preferred Stock as promptly as practicable prior to the applicable Redemption Date. The Redemption Notice shall state:</w:t>
      </w:r>
    </w:p>
    <w:p>
      <w:pPr>
        <w:spacing w:after="0" w:line="146" w:lineRule="exact"/>
        <w:rPr>
          <w:sz w:val="20"/>
          <w:szCs w:val="20"/>
          <w:color w:val="auto"/>
        </w:rPr>
      </w:pPr>
    </w:p>
    <w:p>
      <w:pPr>
        <w:ind w:right="40" w:firstLine="1304"/>
        <w:spacing w:after="0" w:line="277" w:lineRule="auto"/>
        <w:tabs>
          <w:tab w:leader="none" w:pos="194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number of shares of Preferred Stock held by the holder that the Corporation shall redeem on the applicable Redemption Date specified in the Redemption Notice;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Redemption Date and the Redemption Price;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2" w:name="page273"/>
    <w:bookmarkEnd w:id="272"/>
    <w:p>
      <w:pPr>
        <w:ind w:right="720" w:firstLine="1304"/>
        <w:spacing w:after="0" w:line="277" w:lineRule="auto"/>
        <w:tabs>
          <w:tab w:leader="none" w:pos="19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that the holder is to surrender to the Corporation, in the manner and at the place designated, his, her or its certificate or certificates representing the shares of Preferred Stock to be redeemed.</w:t>
      </w:r>
    </w:p>
    <w:p>
      <w:pPr>
        <w:spacing w:after="0" w:line="170"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Revocation Right</w:t>
      </w:r>
      <w:r>
        <w:rPr>
          <w:rFonts w:ascii="Arial" w:cs="Arial" w:eastAsia="Arial" w:hAnsi="Arial"/>
          <w:sz w:val="17"/>
          <w:szCs w:val="17"/>
          <w:color w:val="auto"/>
        </w:rPr>
        <w:t xml:space="preserve">. Notwithstanding anything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to the contrary, the Designated Stockholder shall be entitled to withdraw the Redemption Request (which shall be deemed to include a withdrawal of the Redemption Request on behalf of all holders of Preferred Stock) by written notice (a “</w:t>
      </w:r>
      <w:r>
        <w:rPr>
          <w:rFonts w:ascii="Arial" w:cs="Arial" w:eastAsia="Arial" w:hAnsi="Arial"/>
          <w:sz w:val="17"/>
          <w:szCs w:val="17"/>
          <w:u w:val="single" w:color="auto"/>
          <w:color w:val="auto"/>
        </w:rPr>
        <w:t>Redemption Request Withdrawal</w:t>
      </w:r>
      <w:r>
        <w:rPr>
          <w:rFonts w:ascii="Arial" w:cs="Arial" w:eastAsia="Arial" w:hAnsi="Arial"/>
          <w:sz w:val="17"/>
          <w:szCs w:val="17"/>
          <w:color w:val="auto"/>
        </w:rPr>
        <w:t xml:space="preserve">”) to Corporation and the other Redeeming Holders at any time up to the date that is ten (10) days after the date the Fair Market Value is determined in accordance with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provided to the Redeeming Holders. If the Designated Stockholder delivers a Redemption Request Withdrawal, (i) none of the Redeeming Holders shall deliver a Redemption Request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for a period of at least twelve (12) months from the date on which such Redemption Request Withdrawal is delivered to the Corporation; and (ii) the Redeeming Holders shall pay on a proportionate basis any reasonable out-of-pocket fees, costs or expenses payable to the Valuer by the Corporation in connection with the performance of its duties hereunder; provided, however, unless the prior written consent of the FMV Agent is obtained, the maximum amount payable by the Redeeming Holders in the aggregate shall not exceed $500,000.</w:t>
      </w:r>
    </w:p>
    <w:p>
      <w:pPr>
        <w:spacing w:after="0" w:line="181"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Surrender of Certificates; Payment</w:t>
      </w:r>
      <w:r>
        <w:rPr>
          <w:rFonts w:ascii="Arial" w:cs="Arial" w:eastAsia="Arial" w:hAnsi="Arial"/>
          <w:sz w:val="17"/>
          <w:szCs w:val="17"/>
          <w:color w:val="auto"/>
        </w:rPr>
        <w:t xml:space="preserve">. On or before the applicable Redemption Date, each holder of shares of Preferred Stock to be redeemed on such Redemption Date, unless such holder has exercised his, her or its right to convert such shares as provided in </w:t>
      </w:r>
      <w:r>
        <w:rPr>
          <w:rFonts w:ascii="Arial" w:cs="Arial" w:eastAsia="Arial" w:hAnsi="Arial"/>
          <w:sz w:val="17"/>
          <w:szCs w:val="17"/>
          <w:u w:val="single" w:color="auto"/>
          <w:color w:val="auto"/>
        </w:rPr>
        <w:t>Section 4.1</w:t>
      </w:r>
      <w:r>
        <w:rPr>
          <w:rFonts w:ascii="Arial" w:cs="Arial" w:eastAsia="Arial" w:hAnsi="Arial"/>
          <w:sz w:val="17"/>
          <w:szCs w:val="17"/>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which agreement shall not require the posting of a bond)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by the Corporation to such holder or their designee.</w:t>
      </w:r>
    </w:p>
    <w:p>
      <w:pPr>
        <w:spacing w:after="0" w:line="181"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Rights Prior to Redemption</w:t>
      </w:r>
      <w:r>
        <w:rPr>
          <w:rFonts w:ascii="Arial" w:cs="Arial" w:eastAsia="Arial" w:hAnsi="Arial"/>
          <w:sz w:val="18"/>
          <w:szCs w:val="18"/>
          <w:color w:val="auto"/>
        </w:rPr>
        <w:t>. If the Redemption Notice shall have been duly given, all rights with respect to the outstanding shares of Preferred Stock shall continue until the Redemption Price payable upon redemption of the shares of Preferred Stock to be redeemed on the applicable Redemption Date is paid or tendered for payment in full or deposited in full with an independent payment agent so as to be available therefor in a timely manner for payment to such holders.</w:t>
      </w:r>
    </w:p>
    <w:p>
      <w:pPr>
        <w:spacing w:after="0" w:line="187" w:lineRule="exact"/>
        <w:rPr>
          <w:sz w:val="20"/>
          <w:szCs w:val="20"/>
          <w:color w:val="auto"/>
        </w:rPr>
      </w:pPr>
    </w:p>
    <w:p>
      <w:pPr>
        <w:ind w:right="180" w:firstLine="1296"/>
        <w:spacing w:after="0" w:line="25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Rights Subsequent to Redemption</w:t>
      </w:r>
      <w:r>
        <w:rPr>
          <w:rFonts w:ascii="Arial" w:cs="Arial" w:eastAsia="Arial" w:hAnsi="Arial"/>
          <w:sz w:val="18"/>
          <w:szCs w:val="18"/>
          <w:color w:val="auto"/>
        </w:rPr>
        <w:t>. If the Redemption Notice shall have been duly given, and if on the Redemption Date the Redemption Price payable upon redemption of the shares of Preferred Stock to be redeemed on such Redemption Date is paid or tendered for payment in full or deposited in full with an independent payment agent so as to be available therefor in a timely manner, then notwithstanding that the certificates evidencing any of the shares of Preferred Stock so called for redemption shall not have been surrendered, all rights with respect to such shares shall forthwith after the applicable Redemption Date terminate with respect to the shares so redeemed, except only the right of the holders to receive the Redemption Price.</w:t>
      </w:r>
    </w:p>
    <w:p>
      <w:pPr>
        <w:spacing w:after="0" w:line="192"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Costs</w:t>
      </w:r>
      <w:r>
        <w:rPr>
          <w:rFonts w:ascii="Arial" w:cs="Arial" w:eastAsia="Arial" w:hAnsi="Arial"/>
          <w:sz w:val="18"/>
          <w:szCs w:val="18"/>
          <w:color w:val="auto"/>
        </w:rPr>
        <w:t>. The Corporation agrees to pay all reasonable costs of collection by the holders of Preferred Stock that delivered the Redemption Request of any amounts due hereunder arising as a result of any default by the Corporation hereunder, including, without limitation, attorneys’ fees and expenses.</w:t>
      </w:r>
    </w:p>
    <w:p>
      <w:pPr>
        <w:spacing w:after="0" w:line="184" w:lineRule="exact"/>
        <w:rPr>
          <w:sz w:val="20"/>
          <w:szCs w:val="20"/>
          <w:color w:val="auto"/>
        </w:rPr>
      </w:pPr>
    </w:p>
    <w:p>
      <w:pPr>
        <w:jc w:val="both"/>
        <w:ind w:right="160" w:firstLine="656"/>
        <w:spacing w:after="0" w:line="342" w:lineRule="auto"/>
        <w:tabs>
          <w:tab w:leader="none" w:pos="1296"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3" w:name="page274"/>
    <w:bookmarkEnd w:id="273"/>
    <w:p>
      <w:pPr>
        <w:ind w:right="720"/>
        <w:spacing w:after="0" w:line="277" w:lineRule="auto"/>
        <w:rPr>
          <w:sz w:val="20"/>
          <w:szCs w:val="20"/>
          <w:color w:val="auto"/>
        </w:rPr>
      </w:pPr>
      <w:r>
        <w:rPr>
          <w:rFonts w:ascii="Arial" w:cs="Arial" w:eastAsia="Arial" w:hAnsi="Arial"/>
          <w:sz w:val="18"/>
          <w:szCs w:val="18"/>
          <w:color w:val="auto"/>
        </w:rPr>
        <w:t>nor any of its subsidiaries may exercise any voting or other rights granted to the holders of Preferred Stock following the redemption or any other acquisition of shares of Preferred Stock.</w:t>
      </w:r>
    </w:p>
    <w:p>
      <w:pPr>
        <w:spacing w:after="0" w:line="170" w:lineRule="exact"/>
        <w:rPr>
          <w:sz w:val="20"/>
          <w:szCs w:val="20"/>
          <w:color w:val="auto"/>
        </w:rPr>
      </w:pPr>
    </w:p>
    <w:p>
      <w:pPr>
        <w:ind w:firstLine="656"/>
        <w:spacing w:after="0" w:line="287" w:lineRule="auto"/>
        <w:tabs>
          <w:tab w:leader="none" w:pos="1296"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xml:space="preserve">. Any of the rights, powers, preferences and other terms of the Preferred Stock set forth herein may be waived on behalf of all holders of Preferred Stock by the affirmative written consent or vote of the holders of at least a Supermajority of the shares of Preferred Stock then outstanding, and such waiver shall be binding on all holders of Preferred Stock whether or not such holders of Preferred Stock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of the rights, powers, preferences and other terms of the Series C Preferred Stock that are set forth herein may only be waived by the affirmative written consent or vote of the holders of at least a majority of the Series C Preferred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of the rights, powers, preferences and other terms of the Series D Preferred Stock that are set forth herein may only be waived by the affirmative written consent or vote of holders constituting the Series D Supermajority;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of the rights, powers, preferences and other terms of the Series D-1 Preferred Stock that are set forth herein may only be waived by the affirmative written consent or vote of holders constituting the Series D-1 Supermajority;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of the rights, powers, preferences and other terms of the Series E Preferred Stock or Series E-1 Preferred Stock that are set forth herein may only be waived by the affirmative written consent or vote of holders constituting the holders of at least a majority of the then outstanding shares of Series E Preferred Stock and Series E-1 Preferred Stock, voting together as a separate class and on an as-converted to Common Stock basis.</w:t>
      </w:r>
    </w:p>
    <w:p>
      <w:pPr>
        <w:spacing w:after="0" w:line="171" w:lineRule="exact"/>
        <w:rPr>
          <w:rFonts w:ascii="Arial" w:cs="Arial" w:eastAsia="Arial" w:hAnsi="Arial"/>
          <w:sz w:val="16"/>
          <w:szCs w:val="16"/>
          <w:color w:val="auto"/>
        </w:rPr>
      </w:pPr>
    </w:p>
    <w:p>
      <w:pPr>
        <w:ind w:right="140" w:firstLine="656"/>
        <w:spacing w:after="0" w:line="286" w:lineRule="auto"/>
        <w:tabs>
          <w:tab w:leader="none" w:pos="1296"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Preemptive Rights</w:t>
      </w:r>
      <w:r>
        <w:rPr>
          <w:rFonts w:ascii="Arial" w:cs="Arial" w:eastAsia="Arial" w:hAnsi="Arial"/>
          <w:sz w:val="17"/>
          <w:szCs w:val="17"/>
          <w:color w:val="auto"/>
        </w:rPr>
        <w:t>. No stockholder of the Corporation shall have a right to purchase shares of capital stock or other securities of the Corporation sold or issued by the Corporation except to the extent that such a right may from time to time be set forth in a written agreement between the Corporation and such stockholder, including a stockholders agreement among the Corporation and the stockholders identified therein.</w:t>
      </w:r>
    </w:p>
    <w:p>
      <w:pPr>
        <w:spacing w:after="0" w:line="165" w:lineRule="exact"/>
        <w:rPr>
          <w:rFonts w:ascii="Arial" w:cs="Arial" w:eastAsia="Arial" w:hAnsi="Arial"/>
          <w:sz w:val="17"/>
          <w:szCs w:val="17"/>
          <w:color w:val="auto"/>
        </w:rPr>
      </w:pPr>
    </w:p>
    <w:p>
      <w:pPr>
        <w:ind w:right="20" w:firstLine="656"/>
        <w:spacing w:after="0" w:line="263" w:lineRule="auto"/>
        <w:tabs>
          <w:tab w:leader="none" w:pos="1291"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the provisions of this Article IV to be given to a holder of shares of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Subject to any additional vote required by this Certificate of Incorporation or Bylaws of the Corporation, in furtherance and not in limitation of the powers conferred by the DGCL, the Board is expressly authorized to make, repeal, alter, amend and rescind any or all of the Bylaws of the Corporation.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right="800" w:firstLine="1296"/>
        <w:spacing w:after="0" w:line="277" w:lineRule="auto"/>
        <w:rPr>
          <w:sz w:val="20"/>
          <w:szCs w:val="20"/>
          <w:color w:val="auto"/>
        </w:rPr>
      </w:pPr>
      <w:r>
        <w:rPr>
          <w:rFonts w:ascii="Arial" w:cs="Arial" w:eastAsia="Arial" w:hAnsi="Arial"/>
          <w:sz w:val="18"/>
          <w:szCs w:val="18"/>
          <w:color w:val="auto"/>
        </w:rPr>
        <w:t>Subject to any additional vote required by this Certificate of Incorporation, the number of directors of the Corporation shall be determined in the manner set forth in the Bylaws of the Corporation.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Meetings of stockholders may be held within or outside the State of Delaware, as the Bylaws of the Corporation may provide. The books of the Corporation may be kept outside the State of Delaware at such place or places as may be designated from time to time by the Board or in the Bylaws of the Corporation.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74" w:name="page275"/>
    <w:bookmarkEnd w:id="274"/>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To the fullest extent permitted by law, a director of the Corporation shall not be personally liable to the Corporation or its stockholders for monetary damages for breach of fiduciary duty as a director. If the DGCL or any other applicable law is amended to authorize corporate action further eliminating or limiting the personal liability of directors, then the liability of a director of the Corporation shall be eliminated or limited to the fullest extent permitted by the DGCL as so amended or such other applicable laws.</w:t>
      </w:r>
    </w:p>
    <w:p>
      <w:pPr>
        <w:spacing w:after="0" w:line="187"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Any amendment, repeal or modification of the foregoing provisions of this Article IX, or the adoption of any provision of the Certificate of Incorporation of the Corporation inconsistent with this Article IX,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amendment, repeal, modification or adoption.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indemnification provisions shall apply to the persons enumerated below.</w:t>
      </w:r>
    </w:p>
    <w:p>
      <w:pPr>
        <w:spacing w:after="0" w:line="225" w:lineRule="exact"/>
        <w:rPr>
          <w:sz w:val="20"/>
          <w:szCs w:val="20"/>
          <w:color w:val="auto"/>
        </w:rPr>
      </w:pPr>
    </w:p>
    <w:p>
      <w:pPr>
        <w:ind w:right="40" w:firstLine="656"/>
        <w:spacing w:after="0" w:line="288" w:lineRule="auto"/>
        <w:tabs>
          <w:tab w:leader="none" w:pos="1296"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Right to Indemnification of Directors and Officers</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(collectively, “</w:t>
      </w:r>
      <w:r>
        <w:rPr>
          <w:rFonts w:ascii="Arial" w:cs="Arial" w:eastAsia="Arial" w:hAnsi="Arial"/>
          <w:sz w:val="16"/>
          <w:szCs w:val="16"/>
          <w:u w:val="single" w:color="auto"/>
          <w:color w:val="auto"/>
        </w:rPr>
        <w:t>Another Enterprise</w:t>
      </w:r>
      <w:r>
        <w:rPr>
          <w:rFonts w:ascii="Arial" w:cs="Arial" w:eastAsia="Arial" w:hAnsi="Arial"/>
          <w:sz w:val="16"/>
          <w:szCs w:val="16"/>
          <w:color w:val="auto"/>
        </w:rPr>
        <w:t xml:space="preserve">”), against all liability and loss suffered and expenses (including attorneys’ fees) reasonably incurred by such Indemnified Person in such Proceeding. Notwithstanding the preceding sentence, except as otherwise provided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Article X, the Corporation shall be required to indemnify an Indemnified Person in connection with a Proceeding (or part thereof) commenced by such Indemnified Person only if the commencement of such Proceeding (or part thereof) by the Indemnified Person was authorized in advance by the Board.</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Advancement of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4"/>
        <w:spacing w:after="0" w:line="275" w:lineRule="auto"/>
        <w:tabs>
          <w:tab w:leader="none" w:pos="1941"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The Corporation shall pay the expenses (including attorneys’ fees) incurred by an Indemnified Person who is or was a non-employee director of the Corporation or while a non-employee director of the Corporation, is or was serving at the request of the Corporation as a director of Another Enterprise in defending any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payment of expenses in advance of the final disposition of the Proceeding shall be made only upon receipt of an undertaking by such person to repay all amounts advanced if it should ultimately be determined that such person is not entitled to be indemnified under this Article X or otherwise.</w:t>
      </w:r>
    </w:p>
    <w:p>
      <w:pPr>
        <w:spacing w:after="0" w:line="176" w:lineRule="exact"/>
        <w:rPr>
          <w:rFonts w:ascii="Arial" w:cs="Arial" w:eastAsia="Arial" w:hAnsi="Arial"/>
          <w:sz w:val="17"/>
          <w:szCs w:val="17"/>
          <w:color w:val="auto"/>
        </w:rPr>
      </w:pPr>
    </w:p>
    <w:p>
      <w:pPr>
        <w:ind w:right="140" w:firstLine="1304"/>
        <w:spacing w:after="0" w:line="255" w:lineRule="auto"/>
        <w:tabs>
          <w:tab w:leader="none" w:pos="195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The Corporation may (but shall not be required to) pay the expenses (including attorneys’ fees) incurred by an Indemnified Person who does not meet the criteria set forth in clause (a) above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payment of expenses in advance of the final disposition of the Proceeding shall be made only upon receipt of an undertaking by such person to repay all amounts advanced if it should ultimately be determined that such person is not entitled to be indemnified under this Article X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ultimate determination of entitlement to advance to Indemnified Persons pursuant to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shall be made in such manner as is determined by the Board in its sole discretion.</w:t>
      </w:r>
    </w:p>
    <w:p>
      <w:pPr>
        <w:spacing w:after="0" w:line="192" w:lineRule="exact"/>
        <w:rPr>
          <w:rFonts w:ascii="Arial" w:cs="Arial" w:eastAsia="Arial" w:hAnsi="Arial"/>
          <w:sz w:val="18"/>
          <w:szCs w:val="18"/>
          <w:color w:val="auto"/>
        </w:rPr>
      </w:pPr>
    </w:p>
    <w:p>
      <w:pPr>
        <w:ind w:right="500" w:firstLine="656"/>
        <w:spacing w:after="0" w:line="277" w:lineRule="auto"/>
        <w:tabs>
          <w:tab w:leader="none" w:pos="1296"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Claims by Directors and Officers</w:t>
      </w:r>
      <w:r>
        <w:rPr>
          <w:rFonts w:ascii="Arial" w:cs="Arial" w:eastAsia="Arial" w:hAnsi="Arial"/>
          <w:sz w:val="18"/>
          <w:szCs w:val="18"/>
          <w:color w:val="auto"/>
        </w:rPr>
        <w:t>. If a claim for indemnification or advancement of expenses under this Article X is not paid in full within 30 days after a written claim therefor by the person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5" w:name="page276"/>
    <w:bookmarkEnd w:id="275"/>
    <w:p>
      <w:pPr>
        <w:jc w:val="both"/>
        <w:spacing w:after="0" w:line="311" w:lineRule="auto"/>
        <w:rPr>
          <w:sz w:val="20"/>
          <w:szCs w:val="20"/>
          <w:color w:val="auto"/>
        </w:rPr>
      </w:pPr>
      <w:r>
        <w:rPr>
          <w:rFonts w:ascii="Arial" w:cs="Arial" w:eastAsia="Arial" w:hAnsi="Arial"/>
          <w:sz w:val="16"/>
          <w:szCs w:val="16"/>
          <w:color w:val="auto"/>
        </w:rPr>
        <w:t>entitled to indemnification or advancement, as applicable, has been received by the Corporation, such person may file suit to recover the unpaid amount of such claim and, if successful in whole or in part, shall be entitled to be paid the expense of prosecuting such claim. In any such action the Corporation shall have the burden of proving that such person is not entitled to the requested indemnification or advancement of expenses under applicable law.</w:t>
      </w:r>
    </w:p>
    <w:p>
      <w:pPr>
        <w:spacing w:after="0" w:line="149" w:lineRule="exact"/>
        <w:rPr>
          <w:sz w:val="20"/>
          <w:szCs w:val="20"/>
          <w:color w:val="auto"/>
        </w:rPr>
      </w:pPr>
    </w:p>
    <w:p>
      <w:pPr>
        <w:ind w:right="60" w:firstLine="656"/>
        <w:spacing w:after="0" w:line="293" w:lineRule="auto"/>
        <w:tabs>
          <w:tab w:leader="none" w:pos="1296"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Indemnification of Employees and Agents</w:t>
      </w:r>
      <w:r>
        <w:rPr>
          <w:rFonts w:ascii="Arial" w:cs="Arial" w:eastAsia="Arial" w:hAnsi="Arial"/>
          <w:sz w:val="16"/>
          <w:szCs w:val="16"/>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Enterprise,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in its sole discretion.</w:t>
      </w:r>
    </w:p>
    <w:p>
      <w:pPr>
        <w:spacing w:after="0" w:line="164" w:lineRule="exact"/>
        <w:rPr>
          <w:rFonts w:ascii="Arial" w:cs="Arial" w:eastAsia="Arial" w:hAnsi="Arial"/>
          <w:sz w:val="16"/>
          <w:szCs w:val="16"/>
          <w:color w:val="auto"/>
        </w:rPr>
      </w:pPr>
    </w:p>
    <w:p>
      <w:pPr>
        <w:ind w:right="40" w:firstLine="656"/>
        <w:spacing w:after="0" w:line="293" w:lineRule="auto"/>
        <w:tabs>
          <w:tab w:leader="none" w:pos="1296"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Advancement of Expenses of Employees and Agents</w:t>
      </w:r>
      <w:r>
        <w:rPr>
          <w:rFonts w:ascii="Arial" w:cs="Arial" w:eastAsia="Arial" w:hAnsi="Arial"/>
          <w:sz w:val="16"/>
          <w:szCs w:val="16"/>
          <w:color w:val="auto"/>
        </w:rPr>
        <w:t xml:space="preserve">. The Corporation may (but shall not be required to) pay the expenses (including attorneys’ fees) incurred by an employee or agent in defending any Proceeding in advance of its final disposition on such terms and conditions as may be determined by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payment of expenses in advance of the final disposition of the Proceeding shall be made only upon receipt of an undertaking by the employee or agent to repay all amounts advanced if it should ultimately be determined that the employee or agent is not entitled to be indemnified under this Article X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ultimate determination of entitlement to advance to pursuant to this Section 5 shall be made in such manner as is determined by the Board in its sole discretion.</w:t>
      </w:r>
    </w:p>
    <w:p>
      <w:pPr>
        <w:spacing w:after="0" w:line="164" w:lineRule="exact"/>
        <w:rPr>
          <w:rFonts w:ascii="Arial" w:cs="Arial" w:eastAsia="Arial" w:hAnsi="Arial"/>
          <w:sz w:val="16"/>
          <w:szCs w:val="16"/>
          <w:color w:val="auto"/>
        </w:rPr>
      </w:pPr>
    </w:p>
    <w:p>
      <w:pPr>
        <w:ind w:right="80" w:firstLine="656"/>
        <w:spacing w:after="0" w:line="263" w:lineRule="auto"/>
        <w:tabs>
          <w:tab w:leader="none" w:pos="129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by this Article X shall not be exclusive of any other rights which such person may have or hereafter acquire under any statute, provision of this Certificate of Incorporation or the Bylaws of the Corporation, agreement, vote of stockholders or disinterested directors or otherwise.</w:t>
      </w:r>
    </w:p>
    <w:p>
      <w:pPr>
        <w:spacing w:after="0" w:line="183" w:lineRule="exact"/>
        <w:rPr>
          <w:rFonts w:ascii="Arial" w:cs="Arial" w:eastAsia="Arial" w:hAnsi="Arial"/>
          <w:sz w:val="18"/>
          <w:szCs w:val="18"/>
          <w:color w:val="auto"/>
        </w:rPr>
      </w:pPr>
    </w:p>
    <w:p>
      <w:pPr>
        <w:ind w:right="20" w:firstLine="656"/>
        <w:spacing w:after="0" w:line="257" w:lineRule="auto"/>
        <w:tabs>
          <w:tab w:leader="none" w:pos="129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Board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agents and employees under the provisions of this Article X; and (b) to indemnify or insure directors, officers, agents and employees against liability in instances in which they may not otherwise be indemnified by the Corporation under the provisions of this Article X.</w:t>
      </w:r>
    </w:p>
    <w:p>
      <w:pPr>
        <w:spacing w:after="0" w:line="187" w:lineRule="exact"/>
        <w:rPr>
          <w:rFonts w:ascii="Arial" w:cs="Arial" w:eastAsia="Arial" w:hAnsi="Arial"/>
          <w:sz w:val="18"/>
          <w:szCs w:val="18"/>
          <w:color w:val="auto"/>
        </w:rPr>
      </w:pPr>
    </w:p>
    <w:p>
      <w:pPr>
        <w:ind w:firstLine="656"/>
        <w:spacing w:after="0" w:line="269" w:lineRule="auto"/>
        <w:tabs>
          <w:tab w:leader="none" w:pos="1296"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Amendment or Repeal</w:t>
      </w:r>
      <w:r>
        <w:rPr>
          <w:rFonts w:ascii="Arial" w:cs="Arial" w:eastAsia="Arial" w:hAnsi="Arial"/>
          <w:sz w:val="17"/>
          <w:szCs w:val="17"/>
          <w:color w:val="auto"/>
        </w:rPr>
        <w:t>. The rights to indemnification and advancement of expenses conferred upon any current or former director or officer of the Corporation pursuant to this Article X (whether by reason of the fact that such person is or was a director or officer of the Corporation, or while serving as a director or officer of the Corporation, is or was serving at the request of the Corporation as a director, officer, employee or agent of Another Enterprise) shall be contract rights, shall vest when such person becomes a director or officer of the Corporation, and shall continue as vested contract rights even if such person ceases to be a director or officer of the Corporation. Any amendment, repeal or modification of, or adoption of any provision inconsistent with, this Article X (or any provision hereof) shall not adversely affect any right to indemnification or advancement of expenses granted to any person pursuant hereto with respect to any act or omission of such person occurring prior to the time of such amendment, repeal, modification or adoption (regardless of whether the Proceeding relating to such acts or omissions, or any proceeding relating to such person’s rights to indemnification or to advancement of expenses, is commenced before or after the time of such amendment, repeal, modification or adoption), and any such amendment, repeal, modification or adoption that would adversely affect such person’s rights to indemnification or advancement of expenses hereunder shall be ineffective as to such person,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76" w:name="page277"/>
    <w:bookmarkEnd w:id="276"/>
    <w:p>
      <w:pPr>
        <w:ind w:right="40"/>
        <w:spacing w:after="0" w:line="286" w:lineRule="auto"/>
        <w:rPr>
          <w:sz w:val="20"/>
          <w:szCs w:val="20"/>
          <w:color w:val="auto"/>
        </w:rPr>
      </w:pPr>
      <w:r>
        <w:rPr>
          <w:rFonts w:ascii="Arial" w:cs="Arial" w:eastAsia="Arial" w:hAnsi="Arial"/>
          <w:sz w:val="17"/>
          <w:szCs w:val="17"/>
          <w:color w:val="auto"/>
        </w:rPr>
        <w:t>except with respect to any threatened, pending or completed Proceeding that relates to or arises from (and only to the extent such Proceeding relates to or arises from) any act or omission of such person occurring after the effective time of such amendment, repeal, modification or adoption. The rights provided hereunder shall inure to the benefit of any Indemnified Person and such person’s heirs, executors and administrators.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100" w:firstLine="1296"/>
        <w:spacing w:after="0" w:line="288" w:lineRule="auto"/>
        <w:rPr>
          <w:sz w:val="20"/>
          <w:szCs w:val="20"/>
          <w:color w:val="auto"/>
        </w:rPr>
      </w:pPr>
      <w:r>
        <w:rPr>
          <w:rFonts w:ascii="Arial" w:cs="Arial" w:eastAsia="Arial" w:hAnsi="Arial"/>
          <w:sz w:val="16"/>
          <w:szCs w:val="16"/>
          <w:color w:val="auto"/>
        </w:rPr>
        <w:t>In recognition that each Principal Stockholder (as defined below) and their respective Representatives (as defined below) currently have, and may in the future have or may consider acquiring, investments in corporations, limited liability companies, partnerships, associations, joint-stock corporations, trusts or other forms of business entity with respect to which each Principal Stockholder or their respective Representatives may serve as an advisor, a director or in some other capacity, and in recognition that each Principal Stockholder and their respective Representatives may have myriad duties to various investors and partners, and in anticipation that the Corporation and its subsidiaries, on the one hand and each of the Principal Stockholders, on the other hand, may engage in the same or similar activities or lines of business and have an interest in the same areas of corporate opportunities, and in recognition of the benefits to be derived by the Corporation hereunder and in recognition of the difficulties which may confront any advisor who desires and endeavors fully to satisfy such advisor’s duties in determining the full scope of such duties in any particular situation, the provisions of this Article XI are set forth to regulate, define and guide the conduct of certain affairs of the Corporation as they may involve such Principal Stockholder. Except as a Principal Stockholder may otherwise agree in writing after the date hereof:</w:t>
      </w:r>
    </w:p>
    <w:p>
      <w:pPr>
        <w:spacing w:after="0" w:line="168" w:lineRule="exact"/>
        <w:rPr>
          <w:sz w:val="20"/>
          <w:szCs w:val="20"/>
          <w:color w:val="auto"/>
        </w:rPr>
      </w:pPr>
    </w:p>
    <w:p>
      <w:pPr>
        <w:ind w:right="140" w:firstLine="1304"/>
        <w:spacing w:after="0" w:line="273" w:lineRule="auto"/>
        <w:tabs>
          <w:tab w:leader="none" w:pos="194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Such Principal Stockholder and its respective Representatives shall have the right: (A) to directly or indirectly engage in any security software business activities or lines of business that are the same as or similar to those pursued by, or competitive with, the Corporation and its subsidiaries, (B) to directly or indirectly do business with any client or customer of the Corporation and its subsidiaries, (C) to take any other action that such Principal Stockholder believes in good faith is necessary to or appropriate to fulfill its obligations as described in the first sentence of this Article XI, and (D) not to present potential transactions, matters or business opportunities to the Corporation or any of its subsidiaries, and to pursue, directly or indirectly, any such opportunity for itself, and to direct any such opportunity to another person.</w:t>
      </w:r>
    </w:p>
    <w:p>
      <w:pPr>
        <w:spacing w:after="0" w:line="177" w:lineRule="exact"/>
        <w:rPr>
          <w:rFonts w:ascii="Arial" w:cs="Arial" w:eastAsia="Arial" w:hAnsi="Arial"/>
          <w:sz w:val="17"/>
          <w:szCs w:val="17"/>
          <w:color w:val="auto"/>
        </w:rPr>
      </w:pPr>
    </w:p>
    <w:p>
      <w:pPr>
        <w:jc w:val="both"/>
        <w:ind w:right="60" w:firstLine="1304"/>
        <w:spacing w:after="0" w:line="279" w:lineRule="auto"/>
        <w:tabs>
          <w:tab w:leader="none" w:pos="1951"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Such Principal Stockholder and its Representatives shall have no duty (contractual or otherwise) to communicate or present any corporate opportunities to the Corporation or any of its stockholders, subsidiaries or affiliates or to refrain from any actions specified in this Article XI, and the Corporation, on its own behalf and on behalf of its stockholders, subsidiaries and affiliates, hereby renounces and waives any right to require such Principal Stockholder or any of its Representatives to act in a manner inconsistent with the provisions of this Article XI.</w:t>
      </w:r>
    </w:p>
    <w:p>
      <w:pPr>
        <w:spacing w:after="0" w:line="171" w:lineRule="exact"/>
        <w:rPr>
          <w:rFonts w:ascii="Arial" w:cs="Arial" w:eastAsia="Arial" w:hAnsi="Arial"/>
          <w:sz w:val="17"/>
          <w:szCs w:val="17"/>
          <w:color w:val="auto"/>
        </w:rPr>
      </w:pPr>
    </w:p>
    <w:p>
      <w:pPr>
        <w:ind w:firstLine="1304"/>
        <w:spacing w:after="0" w:line="289" w:lineRule="auto"/>
        <w:tabs>
          <w:tab w:leader="none" w:pos="195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None of the Principal Stockholders, nor any of their respective Representatives, shall (a) be liable to the Corporation or any of its stockholders, subsidiaries or affiliates for breach of any duty (contractual or otherwise) by reason of any activities or omissions of the types permitted in this Article XI or of any such person’s participation therein, or (b) have any duty to communicate or present any activities or omissions of the types permitted in this Article XI to the Corporation or its stockholders, subsidiaries or affiliates. The Principal Stockholders and their respective Representatives shall have the right to hold any of the activities or omissions of the types permitted in this Article XI for its own account, or the account of another person, or to recommend, sell, assign or otherwise transfer such activity or omission to persons other than the Corporation or any stockholder, subsidiary or affiliate of the Corporation. The Corporation acknowledges that this Article XI renounces specified business opportunities as contemplated by Section 122(17) of the DGCL. To the fullest extent permitted by law, the Corporation hereby waives any claim against each Principal Stockholder and its Representatives, and agrees to indemnify each Principal Stockholder and its Representatives against any claim, that is based 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7" w:name="page278"/>
    <w:bookmarkEnd w:id="277"/>
    <w:p>
      <w:pPr>
        <w:ind w:right="480"/>
        <w:spacing w:after="0" w:line="277" w:lineRule="auto"/>
        <w:rPr>
          <w:sz w:val="20"/>
          <w:szCs w:val="20"/>
          <w:color w:val="auto"/>
        </w:rPr>
      </w:pPr>
      <w:r>
        <w:rPr>
          <w:rFonts w:ascii="Arial" w:cs="Arial" w:eastAsia="Arial" w:hAnsi="Arial"/>
          <w:sz w:val="18"/>
          <w:szCs w:val="18"/>
          <w:color w:val="auto"/>
        </w:rPr>
        <w:t>fiduciary duties, the corporate opportunity doctrine or any other legal theory which could limit any Principal Stockholder or its Representatives from pursuing or engaging in transactions permitted under this Article XI.</w:t>
      </w:r>
    </w:p>
    <w:p>
      <w:pPr>
        <w:spacing w:after="0" w:line="170"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Accel Partners Entities</w:t>
      </w:r>
      <w:r>
        <w:rPr>
          <w:rFonts w:ascii="Arial" w:cs="Arial" w:eastAsia="Arial" w:hAnsi="Arial"/>
          <w:sz w:val="18"/>
          <w:szCs w:val="18"/>
          <w:color w:val="auto"/>
        </w:rPr>
        <w:t>” shall mean (i) Accel Partners (or an affiliate of one or more of such entities) or their respective subsidiaries (collectively, “</w:t>
      </w:r>
      <w:r>
        <w:rPr>
          <w:rFonts w:ascii="Arial" w:cs="Arial" w:eastAsia="Arial" w:hAnsi="Arial"/>
          <w:sz w:val="18"/>
          <w:szCs w:val="18"/>
          <w:u w:val="single" w:color="auto"/>
          <w:color w:val="auto"/>
        </w:rPr>
        <w:t>Accel</w:t>
      </w:r>
      <w:r>
        <w:rPr>
          <w:rFonts w:ascii="Arial" w:cs="Arial" w:eastAsia="Arial" w:hAnsi="Arial"/>
          <w:sz w:val="18"/>
          <w:szCs w:val="18"/>
          <w:color w:val="auto"/>
        </w:rPr>
        <w:t>”), (ii) any investment fund, vehicle or account which is managed by Accel or in respect of which Accel has investment discretion, including, but not limited to, Accel Leaders Fund L.P., Accel Leaders Fund Investors 2016 L.L.C., Accel London III L.P., Accel London Investors 2012 L.P., Accel Growth Fund II L.P., Accel Growth Fund II Strategic Partners L.P. and Accel Growth Fund Investors 2013 L.L.C. (each, an “</w:t>
      </w:r>
      <w:r>
        <w:rPr>
          <w:rFonts w:ascii="Arial" w:cs="Arial" w:eastAsia="Arial" w:hAnsi="Arial"/>
          <w:sz w:val="18"/>
          <w:szCs w:val="18"/>
          <w:u w:val="single" w:color="auto"/>
          <w:color w:val="auto"/>
        </w:rPr>
        <w:t>Accel Fund or Account</w:t>
      </w:r>
      <w:r>
        <w:rPr>
          <w:rFonts w:ascii="Arial" w:cs="Arial" w:eastAsia="Arial" w:hAnsi="Arial"/>
          <w:sz w:val="18"/>
          <w:szCs w:val="18"/>
          <w:color w:val="auto"/>
        </w:rPr>
        <w:t>”) or (iii) an affiliate of Accel or an Accel Fund or Account.</w:t>
      </w:r>
    </w:p>
    <w:p>
      <w:pPr>
        <w:spacing w:after="0" w:line="188" w:lineRule="exact"/>
        <w:rPr>
          <w:sz w:val="20"/>
          <w:szCs w:val="20"/>
          <w:color w:val="auto"/>
        </w:rPr>
      </w:pPr>
    </w:p>
    <w:p>
      <w:pPr>
        <w:ind w:right="240" w:firstLine="1296"/>
        <w:spacing w:after="0" w:line="311"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CapitalG Entities</w:t>
      </w:r>
      <w:r>
        <w:rPr>
          <w:rFonts w:ascii="Arial" w:cs="Arial" w:eastAsia="Arial" w:hAnsi="Arial"/>
          <w:sz w:val="16"/>
          <w:szCs w:val="16"/>
          <w:color w:val="auto"/>
        </w:rPr>
        <w:t>” shall mean (i) CapitalG (or an affiliate of such entity) or their respective subsidiaries (collectively, “</w:t>
      </w:r>
      <w:r>
        <w:rPr>
          <w:rFonts w:ascii="Arial" w:cs="Arial" w:eastAsia="Arial" w:hAnsi="Arial"/>
          <w:sz w:val="16"/>
          <w:szCs w:val="16"/>
          <w:u w:val="single" w:color="auto"/>
          <w:color w:val="auto"/>
        </w:rPr>
        <w:t>CapitalG</w:t>
      </w:r>
      <w:r>
        <w:rPr>
          <w:rFonts w:ascii="Arial" w:cs="Arial" w:eastAsia="Arial" w:hAnsi="Arial"/>
          <w:sz w:val="16"/>
          <w:szCs w:val="16"/>
          <w:color w:val="auto"/>
        </w:rPr>
        <w:t>”), (ii) any investment fund, vehicle or account which is managed by CapitalG or in respect of which CapitalG has investment discretion, including, but not limited to, CapitalG 2015 LP and CapitalG LP (each, a “</w:t>
      </w:r>
      <w:r>
        <w:rPr>
          <w:rFonts w:ascii="Arial" w:cs="Arial" w:eastAsia="Arial" w:hAnsi="Arial"/>
          <w:sz w:val="16"/>
          <w:szCs w:val="16"/>
          <w:u w:val="single" w:color="auto"/>
          <w:color w:val="auto"/>
        </w:rPr>
        <w:t>CapitalG Fund</w:t>
      </w:r>
      <w:r>
        <w:rPr>
          <w:rFonts w:ascii="Arial" w:cs="Arial" w:eastAsia="Arial" w:hAnsi="Arial"/>
          <w:sz w:val="16"/>
          <w:szCs w:val="16"/>
          <w:color w:val="auto"/>
        </w:rPr>
        <w:t>”) or (iii) an affiliate of CapitalG or a CapitalG Fund.</w:t>
      </w:r>
    </w:p>
    <w:p>
      <w:pPr>
        <w:spacing w:after="0" w:line="149"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GA Entities</w:t>
      </w:r>
      <w:r>
        <w:rPr>
          <w:rFonts w:ascii="Arial" w:cs="Arial" w:eastAsia="Arial" w:hAnsi="Arial"/>
          <w:sz w:val="18"/>
          <w:szCs w:val="18"/>
          <w:color w:val="auto"/>
        </w:rPr>
        <w:t>” shall mean (i) General Atlantic LKC and/or General Atlantic Service Company, L.P. (or an affiliate of one or more of such entities) or their respective subsidiaries (collectively, “</w:t>
      </w:r>
      <w:r>
        <w:rPr>
          <w:rFonts w:ascii="Arial" w:cs="Arial" w:eastAsia="Arial" w:hAnsi="Arial"/>
          <w:sz w:val="18"/>
          <w:szCs w:val="18"/>
          <w:u w:val="single" w:color="auto"/>
          <w:color w:val="auto"/>
        </w:rPr>
        <w:t>General Atlantic</w:t>
      </w:r>
      <w:r>
        <w:rPr>
          <w:rFonts w:ascii="Arial" w:cs="Arial" w:eastAsia="Arial" w:hAnsi="Arial"/>
          <w:sz w:val="18"/>
          <w:szCs w:val="18"/>
          <w:color w:val="auto"/>
        </w:rPr>
        <w:t>”), (ii) any investment fund, vehicle or account which is managed by General Atlantic or in respect of which General Atlantic has investment discretion (each, a “</w:t>
      </w:r>
      <w:r>
        <w:rPr>
          <w:rFonts w:ascii="Arial" w:cs="Arial" w:eastAsia="Arial" w:hAnsi="Arial"/>
          <w:sz w:val="18"/>
          <w:szCs w:val="18"/>
          <w:u w:val="single" w:color="auto"/>
          <w:color w:val="auto"/>
        </w:rPr>
        <w:t>General Atlantic Fund or Account</w:t>
      </w:r>
      <w:r>
        <w:rPr>
          <w:rFonts w:ascii="Arial" w:cs="Arial" w:eastAsia="Arial" w:hAnsi="Arial"/>
          <w:sz w:val="18"/>
          <w:szCs w:val="18"/>
          <w:color w:val="auto"/>
        </w:rPr>
        <w:t>”) or (iii) an affiliate of General Atlantic or a General Atlantic Fund or Account.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IVP Entities</w:t>
      </w:r>
      <w:r>
        <w:rPr>
          <w:rFonts w:ascii="Arial" w:cs="Arial" w:eastAsia="Arial" w:hAnsi="Arial"/>
          <w:sz w:val="18"/>
          <w:szCs w:val="18"/>
          <w:color w:val="auto"/>
        </w:rPr>
        <w:t>” shall mean Institutional Venture Partners XVI, L.P. or its affiliates.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March Capital Entities</w:t>
      </w:r>
      <w:r>
        <w:rPr>
          <w:rFonts w:ascii="Arial" w:cs="Arial" w:eastAsia="Arial" w:hAnsi="Arial"/>
          <w:sz w:val="17"/>
          <w:szCs w:val="17"/>
          <w:color w:val="auto"/>
        </w:rPr>
        <w:t>” shall mean (i) March Capital Partners (or an affiliate of such entity) or their respective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subsidiaries (collectively, “</w:t>
      </w:r>
      <w:r>
        <w:rPr>
          <w:rFonts w:ascii="Arial" w:cs="Arial" w:eastAsia="Arial" w:hAnsi="Arial"/>
          <w:sz w:val="17"/>
          <w:szCs w:val="17"/>
          <w:u w:val="single" w:color="auto"/>
          <w:color w:val="auto"/>
        </w:rPr>
        <w:t>March Capital</w:t>
      </w:r>
      <w:r>
        <w:rPr>
          <w:rFonts w:ascii="Arial" w:cs="Arial" w:eastAsia="Arial" w:hAnsi="Arial"/>
          <w:sz w:val="17"/>
          <w:szCs w:val="17"/>
          <w:color w:val="auto"/>
        </w:rPr>
        <w:t>”), (ii) any investment fund, vehicle or account which is managed by March Capital or in respect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Capital has investment discretion, including, but not limited to March Capital Opportunity Fund, L.P. and March Capital Partners Fund I, L.P.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March Capital Fund</w:t>
      </w:r>
      <w:r>
        <w:rPr>
          <w:rFonts w:ascii="Arial" w:cs="Arial" w:eastAsia="Arial" w:hAnsi="Arial"/>
          <w:sz w:val="18"/>
          <w:szCs w:val="18"/>
          <w:color w:val="auto"/>
        </w:rPr>
        <w:t>”) or (iii) an affiliate of March Capital or a March Capital Fund.</w:t>
      </w:r>
    </w:p>
    <w:p>
      <w:pPr>
        <w:spacing w:after="0" w:line="211"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Principal Stockholder</w:t>
      </w:r>
      <w:r>
        <w:rPr>
          <w:rFonts w:ascii="Arial" w:cs="Arial" w:eastAsia="Arial" w:hAnsi="Arial"/>
          <w:sz w:val="18"/>
          <w:szCs w:val="18"/>
          <w:color w:val="auto"/>
        </w:rPr>
        <w:t>” means any of the Warburg Pincus Entities, the Accel Partners Entities, the CapitalG Entities, the GA Entities, the IVP Entities, the March Capital Entities, the Telstra Entities or the Rackspace Entities.</w:t>
      </w:r>
    </w:p>
    <w:p>
      <w:pPr>
        <w:spacing w:after="0" w:line="170"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Rackspace Entities</w:t>
      </w:r>
      <w:r>
        <w:rPr>
          <w:rFonts w:ascii="Arial" w:cs="Arial" w:eastAsia="Arial" w:hAnsi="Arial"/>
          <w:sz w:val="18"/>
          <w:szCs w:val="18"/>
          <w:color w:val="auto"/>
        </w:rPr>
        <w:t>” shall mean (i) Rackspace US, Inc. (or an affiliate of such entity) or their respective subsidiaries (collectively, “</w:t>
      </w:r>
      <w:r>
        <w:rPr>
          <w:rFonts w:ascii="Arial" w:cs="Arial" w:eastAsia="Arial" w:hAnsi="Arial"/>
          <w:sz w:val="18"/>
          <w:szCs w:val="18"/>
          <w:u w:val="single" w:color="auto"/>
          <w:color w:val="auto"/>
        </w:rPr>
        <w:t>Rackspace</w:t>
      </w:r>
      <w:r>
        <w:rPr>
          <w:rFonts w:ascii="Arial" w:cs="Arial" w:eastAsia="Arial" w:hAnsi="Arial"/>
          <w:sz w:val="18"/>
          <w:szCs w:val="18"/>
          <w:color w:val="auto"/>
        </w:rPr>
        <w:t>”), (ii) any investment fund, vehicle or account which is managed by Rackspace or in respect of which Rackspace has investment discretion (the “</w:t>
      </w:r>
      <w:r>
        <w:rPr>
          <w:rFonts w:ascii="Arial" w:cs="Arial" w:eastAsia="Arial" w:hAnsi="Arial"/>
          <w:sz w:val="18"/>
          <w:szCs w:val="18"/>
          <w:u w:val="single" w:color="auto"/>
          <w:color w:val="auto"/>
        </w:rPr>
        <w:t>Rackspace Fund</w:t>
      </w:r>
      <w:r>
        <w:rPr>
          <w:rFonts w:ascii="Arial" w:cs="Arial" w:eastAsia="Arial" w:hAnsi="Arial"/>
          <w:sz w:val="18"/>
          <w:szCs w:val="18"/>
          <w:color w:val="auto"/>
        </w:rPr>
        <w:t>”) or (iii) an affiliate of Rackspace or the Rackspace Fund.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used herein, “</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the officers, directors, agents, members, partners, employees or affiliates of such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Stockholder.</w:t>
      </w:r>
    </w:p>
    <w:p>
      <w:pPr>
        <w:spacing w:after="0" w:line="211"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Telstra Entities</w:t>
      </w:r>
      <w:r>
        <w:rPr>
          <w:rFonts w:ascii="Arial" w:cs="Arial" w:eastAsia="Arial" w:hAnsi="Arial"/>
          <w:sz w:val="18"/>
          <w:szCs w:val="18"/>
          <w:color w:val="auto"/>
        </w:rPr>
        <w:t>” shall mean (i) Telstra Ventures Pty Ltd (or an affiliate of such entity) or their respective subsidiaries (collectively, “</w:t>
      </w:r>
      <w:r>
        <w:rPr>
          <w:rFonts w:ascii="Arial" w:cs="Arial" w:eastAsia="Arial" w:hAnsi="Arial"/>
          <w:sz w:val="18"/>
          <w:szCs w:val="18"/>
          <w:u w:val="single" w:color="auto"/>
          <w:color w:val="auto"/>
        </w:rPr>
        <w:t>Telstra</w:t>
      </w:r>
      <w:r>
        <w:rPr>
          <w:rFonts w:ascii="Arial" w:cs="Arial" w:eastAsia="Arial" w:hAnsi="Arial"/>
          <w:sz w:val="18"/>
          <w:szCs w:val="18"/>
          <w:color w:val="auto"/>
        </w:rPr>
        <w:t>”), (ii) any investment fund, vehicle or account which is managed by Telstra or in respect of which Telstra has investment discretion (each, a “</w:t>
      </w:r>
      <w:r>
        <w:rPr>
          <w:rFonts w:ascii="Arial" w:cs="Arial" w:eastAsia="Arial" w:hAnsi="Arial"/>
          <w:sz w:val="18"/>
          <w:szCs w:val="18"/>
          <w:u w:val="single" w:color="auto"/>
          <w:color w:val="auto"/>
        </w:rPr>
        <w:t>Telstra Fund</w:t>
      </w:r>
      <w:r>
        <w:rPr>
          <w:rFonts w:ascii="Arial" w:cs="Arial" w:eastAsia="Arial" w:hAnsi="Arial"/>
          <w:sz w:val="18"/>
          <w:szCs w:val="18"/>
          <w:color w:val="auto"/>
        </w:rPr>
        <w:t>”) or (iii) an affiliate of Telstra or a Telstra Fund.</w:t>
      </w:r>
    </w:p>
    <w:p>
      <w:pPr>
        <w:spacing w:after="0" w:line="184"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Warburg Pincus Entities</w:t>
      </w:r>
      <w:r>
        <w:rPr>
          <w:rFonts w:ascii="Arial" w:cs="Arial" w:eastAsia="Arial" w:hAnsi="Arial"/>
          <w:sz w:val="18"/>
          <w:szCs w:val="18"/>
          <w:color w:val="auto"/>
        </w:rPr>
        <w:t>” shall mean (i) Warburg Pincus LLC and/or Warburg Pincus &amp; Co. (or an affiliate of one or more of such entities) or their respective subsidiaries (collectively, “</w:t>
      </w:r>
      <w:r>
        <w:rPr>
          <w:rFonts w:ascii="Arial" w:cs="Arial" w:eastAsia="Arial" w:hAnsi="Arial"/>
          <w:sz w:val="18"/>
          <w:szCs w:val="18"/>
          <w:u w:val="single" w:color="auto"/>
          <w:color w:val="auto"/>
        </w:rPr>
        <w:t>Warburg Pincus</w:t>
      </w:r>
      <w:r>
        <w:rPr>
          <w:rFonts w:ascii="Arial" w:cs="Arial" w:eastAsia="Arial" w:hAnsi="Arial"/>
          <w:sz w:val="18"/>
          <w:szCs w:val="18"/>
          <w:color w:val="auto"/>
        </w:rPr>
        <w:t>”), (ii) any investment fund, vehicle or account which is managed by Warburg Pincus or in respect of which Warburg Pincus has investment discretion, including, but not limited to, Warburg Pincus Private Equity X, L.P. and Warburg Pincus X Partners, L.P. (each, a</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Warburg Pincus Fund or Account</w:t>
      </w:r>
      <w:r>
        <w:rPr>
          <w:rFonts w:ascii="Arial" w:cs="Arial" w:eastAsia="Arial" w:hAnsi="Arial"/>
          <w:sz w:val="18"/>
          <w:szCs w:val="18"/>
          <w:color w:val="auto"/>
        </w:rPr>
        <w:t>”) or (iii) an affiliate of Warburg Pincus or a Warburg Pincus Fund or Account.</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To the extent Section 203 of the DGCL would otherwise be applicable to the Corporation, the Corporation hereby elects to opt out of Section 203 of the DGCL until (i) the Warburg Pincus Entities collectively cease to be the beneficial owner of shares representing at least 15% of the total voting power of the voting stock of the Corporation and (ii) the Accel Entities collectively cease to be the beneficial owner of shares representing at least 15% of the total voting power of the voting stock of the Corporation, at which date Section 203 of the DGCL shall apply prospectively to the Corporation (such that any person or entity (including one or more purchasers of shares from the Warburg Pincus Entities or the Accel Entities) who or that, as of such date, would be an interested stockholder under Section 203 of the DGCL shall not be deemed to be an interested stockholder until such later time as such person or entity acquires one or more additional shares of Common Stock) solely to the extent that Section 203 of the DGCL would be applicable to the Corporation notwithstanding this Article XII.</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right="80" w:firstLine="1296"/>
        <w:spacing w:after="0" w:line="272" w:lineRule="auto"/>
        <w:rPr>
          <w:sz w:val="20"/>
          <w:szCs w:val="20"/>
          <w:color w:val="auto"/>
        </w:rPr>
      </w:pPr>
      <w:r>
        <w:rPr>
          <w:rFonts w:ascii="Arial" w:cs="Arial" w:eastAsia="Arial" w:hAnsi="Arial"/>
          <w:sz w:val="17"/>
          <w:szCs w:val="17"/>
          <w:color w:val="auto"/>
        </w:rPr>
        <w:t>Unless (a) the Corporation (through approval of the Board) consents in writing to the selection of an alternative forum, (b) the Court of Chancery in the State of Delaware concludes that an indispensable party named as a defendant therein is not subject to the jurisdiction of the Delaware courts or (c) a federal court has assumed exclusive jurisdiction of a proceeding,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(iv) any action to interpret, apply, enforce or determine the validity of this Certificate of Incorporation or the Bylaws of the Corporation, or (v) any action asserting a claim governed by the internal affairs doctrine.</w:t>
      </w:r>
    </w:p>
    <w:p>
      <w:pPr>
        <w:spacing w:after="0" w:line="177" w:lineRule="exact"/>
        <w:rPr>
          <w:sz w:val="20"/>
          <w:szCs w:val="20"/>
          <w:color w:val="auto"/>
        </w:rPr>
      </w:pPr>
    </w:p>
    <w:p>
      <w:pPr>
        <w:jc w:val="center"/>
        <w:ind w:right="-139"/>
        <w:spacing w:after="0"/>
        <w:tabs>
          <w:tab w:leader="none" w:pos="200" w:val="left"/>
          <w:tab w:leader="none" w:pos="22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279" w:name="page280"/>
    <w:bookmarkEnd w:id="279"/>
    <w:p>
      <w:pPr>
        <w:ind w:firstLine="129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Amended and Restated Certificate of Incorporation has been executed by a duly authorized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on June 19, 2018.</w:t>
      </w:r>
    </w:p>
    <w:p>
      <w:pPr>
        <w:spacing w:after="0" w:line="38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George Kurtz</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 STOCKHOLDERS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INVESTORS SET FORTH ON SCHEDULES I, II AND III HERETO</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June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218440</wp:posOffset>
            </wp:positionV>
            <wp:extent cx="71532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6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COVENANTS OF THE PARTIES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4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(a)</w:t>
            </w:r>
          </w:p>
        </w:tc>
        <w:tc>
          <w:tcPr>
            <w:tcW w:w="9060" w:type="dxa"/>
            <w:vAlign w:val="bottom"/>
          </w:tcPr>
          <w:p>
            <w:pPr>
              <w:ind w:left="180"/>
              <w:spacing w:after="0"/>
              <w:rPr>
                <w:sz w:val="20"/>
                <w:szCs w:val="20"/>
                <w:color w:val="auto"/>
              </w:rPr>
            </w:pPr>
            <w:r>
              <w:rPr>
                <w:rFonts w:ascii="Arial" w:cs="Arial" w:eastAsia="Arial" w:hAnsi="Arial"/>
                <w:sz w:val="18"/>
                <w:szCs w:val="18"/>
                <w:color w:val="auto"/>
              </w:rPr>
              <w:t>Legends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9060" w:type="dxa"/>
            <w:vAlign w:val="bottom"/>
          </w:tcPr>
          <w:p>
            <w:pPr>
              <w:ind w:left="180"/>
              <w:spacing w:after="0"/>
              <w:rPr>
                <w:sz w:val="20"/>
                <w:szCs w:val="20"/>
                <w:color w:val="auto"/>
              </w:rPr>
            </w:pPr>
            <w:r>
              <w:rPr>
                <w:rFonts w:ascii="Arial" w:cs="Arial" w:eastAsia="Arial" w:hAnsi="Arial"/>
                <w:sz w:val="18"/>
                <w:szCs w:val="18"/>
                <w:color w:val="auto"/>
              </w:rPr>
              <w:t>Additional Investors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9060" w:type="dxa"/>
            <w:vAlign w:val="bottom"/>
          </w:tcPr>
          <w:p>
            <w:pPr>
              <w:ind w:left="180"/>
              <w:spacing w:after="0"/>
              <w:rPr>
                <w:sz w:val="20"/>
                <w:szCs w:val="20"/>
                <w:color w:val="auto"/>
              </w:rPr>
            </w:pPr>
            <w:r>
              <w:rPr>
                <w:rFonts w:ascii="Arial" w:cs="Arial" w:eastAsia="Arial" w:hAnsi="Arial"/>
                <w:sz w:val="18"/>
                <w:szCs w:val="18"/>
                <w:color w:val="auto"/>
              </w:rPr>
              <w:t>Financial Reports and Other Information</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(d)</w:t>
            </w:r>
          </w:p>
        </w:tc>
        <w:tc>
          <w:tcPr>
            <w:tcW w:w="9060" w:type="dxa"/>
            <w:vAlign w:val="bottom"/>
          </w:tcPr>
          <w:p>
            <w:pPr>
              <w:ind w:left="180"/>
              <w:spacing w:after="0"/>
              <w:rPr>
                <w:sz w:val="20"/>
                <w:szCs w:val="20"/>
                <w:color w:val="auto"/>
              </w:rPr>
            </w:pPr>
            <w:r>
              <w:rPr>
                <w:rFonts w:ascii="Arial" w:cs="Arial" w:eastAsia="Arial" w:hAnsi="Arial"/>
                <w:sz w:val="18"/>
                <w:szCs w:val="18"/>
                <w:color w:val="auto"/>
              </w:rPr>
              <w:t>Inspection Rights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(e)</w:t>
            </w:r>
          </w:p>
        </w:tc>
        <w:tc>
          <w:tcPr>
            <w:tcW w:w="9060" w:type="dxa"/>
            <w:vAlign w:val="bottom"/>
          </w:tcPr>
          <w:p>
            <w:pPr>
              <w:ind w:left="180"/>
              <w:spacing w:after="0"/>
              <w:rPr>
                <w:sz w:val="20"/>
                <w:szCs w:val="20"/>
                <w:color w:val="auto"/>
              </w:rPr>
            </w:pPr>
            <w:r>
              <w:rPr>
                <w:rFonts w:ascii="Arial" w:cs="Arial" w:eastAsia="Arial" w:hAnsi="Arial"/>
                <w:sz w:val="18"/>
                <w:szCs w:val="18"/>
                <w:color w:val="auto"/>
              </w:rPr>
              <w:t>Business Updates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(f)</w:t>
            </w:r>
          </w:p>
        </w:tc>
        <w:tc>
          <w:tcPr>
            <w:tcW w:w="906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(g)</w:t>
            </w:r>
          </w:p>
        </w:tc>
        <w:tc>
          <w:tcPr>
            <w:tcW w:w="9060" w:type="dxa"/>
            <w:vAlign w:val="bottom"/>
          </w:tcPr>
          <w:p>
            <w:pPr>
              <w:ind w:left="180"/>
              <w:spacing w:after="0"/>
              <w:rPr>
                <w:sz w:val="20"/>
                <w:szCs w:val="20"/>
                <w:color w:val="auto"/>
              </w:rPr>
            </w:pPr>
            <w:r>
              <w:rPr>
                <w:rFonts w:ascii="Arial" w:cs="Arial" w:eastAsia="Arial" w:hAnsi="Arial"/>
                <w:sz w:val="18"/>
                <w:szCs w:val="18"/>
                <w:color w:val="auto"/>
              </w:rPr>
              <w:t>Assignment of Repurchase Rights Under the Stock Plan</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(h)</w:t>
            </w:r>
          </w:p>
        </w:tc>
        <w:tc>
          <w:tcPr>
            <w:tcW w:w="9060" w:type="dxa"/>
            <w:vAlign w:val="bottom"/>
          </w:tcPr>
          <w:p>
            <w:pPr>
              <w:ind w:left="180"/>
              <w:spacing w:after="0"/>
              <w:rPr>
                <w:sz w:val="20"/>
                <w:szCs w:val="20"/>
                <w:color w:val="auto"/>
              </w:rPr>
            </w:pPr>
            <w:r>
              <w:rPr>
                <w:rFonts w:ascii="Arial" w:cs="Arial" w:eastAsia="Arial" w:hAnsi="Arial"/>
                <w:sz w:val="18"/>
                <w:szCs w:val="18"/>
                <w:color w:val="auto"/>
              </w:rPr>
              <w:t>Taxes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40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(i)</w:t>
            </w:r>
          </w:p>
        </w:tc>
        <w:tc>
          <w:tcPr>
            <w:tcW w:w="9060" w:type="dxa"/>
            <w:vAlign w:val="bottom"/>
          </w:tcPr>
          <w:p>
            <w:pPr>
              <w:ind w:left="180"/>
              <w:spacing w:after="0"/>
              <w:rPr>
                <w:sz w:val="20"/>
                <w:szCs w:val="20"/>
                <w:color w:val="auto"/>
              </w:rPr>
            </w:pPr>
            <w:r>
              <w:rPr>
                <w:rFonts w:ascii="Arial" w:cs="Arial" w:eastAsia="Arial" w:hAnsi="Arial"/>
                <w:sz w:val="18"/>
                <w:szCs w:val="18"/>
                <w:color w:val="auto"/>
              </w:rPr>
              <w:t>Employee Equity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BOARD OF DIRECTORS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8"/>
        </w:trPr>
        <w:tc>
          <w:tcPr>
            <w:tcW w:w="4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(a)</w:t>
            </w:r>
          </w:p>
        </w:tc>
        <w:tc>
          <w:tcPr>
            <w:tcW w:w="9060" w:type="dxa"/>
            <w:vAlign w:val="bottom"/>
          </w:tcPr>
          <w:p>
            <w:pPr>
              <w:ind w:left="180"/>
              <w:spacing w:after="0"/>
              <w:rPr>
                <w:sz w:val="20"/>
                <w:szCs w:val="20"/>
                <w:color w:val="auto"/>
              </w:rPr>
            </w:pPr>
            <w:r>
              <w:rPr>
                <w:rFonts w:ascii="Arial" w:cs="Arial" w:eastAsia="Arial" w:hAnsi="Arial"/>
                <w:sz w:val="18"/>
                <w:szCs w:val="18"/>
                <w:color w:val="auto"/>
              </w:rPr>
              <w:t>Election of Directors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9060" w:type="dxa"/>
            <w:vAlign w:val="bottom"/>
          </w:tcPr>
          <w:p>
            <w:pPr>
              <w:ind w:left="180"/>
              <w:spacing w:after="0"/>
              <w:rPr>
                <w:sz w:val="20"/>
                <w:szCs w:val="20"/>
                <w:color w:val="auto"/>
              </w:rPr>
            </w:pPr>
            <w:r>
              <w:rPr>
                <w:rFonts w:ascii="Arial" w:cs="Arial" w:eastAsia="Arial" w:hAnsi="Arial"/>
                <w:sz w:val="18"/>
                <w:szCs w:val="18"/>
                <w:color w:val="auto"/>
              </w:rPr>
              <w:t>Replacement Directors; Vacancies; Removal of Directors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9060" w:type="dxa"/>
            <w:vAlign w:val="bottom"/>
          </w:tcPr>
          <w:p>
            <w:pPr>
              <w:ind w:left="180"/>
              <w:spacing w:after="0"/>
              <w:rPr>
                <w:sz w:val="20"/>
                <w:szCs w:val="20"/>
                <w:color w:val="auto"/>
              </w:rPr>
            </w:pPr>
            <w:r>
              <w:rPr>
                <w:rFonts w:ascii="Arial" w:cs="Arial" w:eastAsia="Arial" w:hAnsi="Arial"/>
                <w:sz w:val="18"/>
                <w:szCs w:val="18"/>
                <w:color w:val="auto"/>
              </w:rPr>
              <w:t>Committees of the Board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(d)</w:t>
            </w:r>
          </w:p>
        </w:tc>
        <w:tc>
          <w:tcPr>
            <w:tcW w:w="9060" w:type="dxa"/>
            <w:vAlign w:val="bottom"/>
          </w:tcPr>
          <w:p>
            <w:pPr>
              <w:ind w:left="180"/>
              <w:spacing w:after="0"/>
              <w:rPr>
                <w:sz w:val="20"/>
                <w:szCs w:val="20"/>
                <w:color w:val="auto"/>
              </w:rPr>
            </w:pPr>
            <w:r>
              <w:rPr>
                <w:rFonts w:ascii="Arial" w:cs="Arial" w:eastAsia="Arial" w:hAnsi="Arial"/>
                <w:sz w:val="18"/>
                <w:szCs w:val="18"/>
                <w:color w:val="auto"/>
              </w:rPr>
              <w:t>Directors of Subsidiaries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(e)</w:t>
            </w:r>
          </w:p>
        </w:tc>
        <w:tc>
          <w:tcPr>
            <w:tcW w:w="9060" w:type="dxa"/>
            <w:vAlign w:val="bottom"/>
          </w:tcPr>
          <w:p>
            <w:pPr>
              <w:ind w:left="180"/>
              <w:spacing w:after="0"/>
              <w:rPr>
                <w:sz w:val="20"/>
                <w:szCs w:val="20"/>
                <w:color w:val="auto"/>
              </w:rPr>
            </w:pPr>
            <w:r>
              <w:rPr>
                <w:rFonts w:ascii="Arial" w:cs="Arial" w:eastAsia="Arial" w:hAnsi="Arial"/>
                <w:sz w:val="18"/>
                <w:szCs w:val="18"/>
                <w:color w:val="auto"/>
              </w:rPr>
              <w:t>Indemnification, Expense Reimbursement and Other Rights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(f)</w:t>
            </w:r>
          </w:p>
        </w:tc>
        <w:tc>
          <w:tcPr>
            <w:tcW w:w="9060" w:type="dxa"/>
            <w:vAlign w:val="bottom"/>
          </w:tcPr>
          <w:p>
            <w:pPr>
              <w:ind w:left="180"/>
              <w:spacing w:after="0"/>
              <w:rPr>
                <w:sz w:val="20"/>
                <w:szCs w:val="20"/>
                <w:color w:val="auto"/>
              </w:rPr>
            </w:pPr>
            <w:r>
              <w:rPr>
                <w:rFonts w:ascii="Arial" w:cs="Arial" w:eastAsia="Arial" w:hAnsi="Arial"/>
                <w:sz w:val="18"/>
                <w:szCs w:val="18"/>
                <w:color w:val="auto"/>
              </w:rPr>
              <w:t>Protective Provisions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(g)</w:t>
            </w:r>
          </w:p>
        </w:tc>
        <w:tc>
          <w:tcPr>
            <w:tcW w:w="9060" w:type="dxa"/>
            <w:vAlign w:val="bottom"/>
          </w:tcPr>
          <w:p>
            <w:pPr>
              <w:ind w:left="180"/>
              <w:spacing w:after="0"/>
              <w:rPr>
                <w:sz w:val="20"/>
                <w:szCs w:val="20"/>
                <w:color w:val="auto"/>
              </w:rPr>
            </w:pPr>
            <w:r>
              <w:rPr>
                <w:rFonts w:ascii="Arial" w:cs="Arial" w:eastAsia="Arial" w:hAnsi="Arial"/>
                <w:sz w:val="18"/>
                <w:szCs w:val="18"/>
                <w:color w:val="auto"/>
              </w:rPr>
              <w:t>Board Observer Rights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(h)</w:t>
            </w:r>
          </w:p>
        </w:tc>
        <w:tc>
          <w:tcPr>
            <w:tcW w:w="9060" w:type="dxa"/>
            <w:vAlign w:val="bottom"/>
          </w:tcPr>
          <w:p>
            <w:pPr>
              <w:ind w:left="180"/>
              <w:spacing w:after="0"/>
              <w:rPr>
                <w:sz w:val="20"/>
                <w:szCs w:val="20"/>
                <w:color w:val="auto"/>
              </w:rPr>
            </w:pPr>
            <w:r>
              <w:rPr>
                <w:rFonts w:ascii="Arial" w:cs="Arial" w:eastAsia="Arial" w:hAnsi="Arial"/>
                <w:sz w:val="18"/>
                <w:szCs w:val="18"/>
                <w:color w:val="auto"/>
              </w:rPr>
              <w:t>Use of Name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40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(i)</w:t>
            </w:r>
          </w:p>
        </w:tc>
        <w:tc>
          <w:tcPr>
            <w:tcW w:w="9060" w:type="dxa"/>
            <w:vAlign w:val="bottom"/>
          </w:tcPr>
          <w:p>
            <w:pPr>
              <w:ind w:left="180"/>
              <w:spacing w:after="0"/>
              <w:rPr>
                <w:sz w:val="20"/>
                <w:szCs w:val="20"/>
                <w:color w:val="auto"/>
              </w:rPr>
            </w:pPr>
            <w:r>
              <w:rPr>
                <w:rFonts w:ascii="Arial" w:cs="Arial" w:eastAsia="Arial" w:hAnsi="Arial"/>
                <w:sz w:val="18"/>
                <w:szCs w:val="18"/>
                <w:color w:val="auto"/>
              </w:rPr>
              <w:t>No “Bad Actor” Designees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3.</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TRANSFER OF STOCK</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18"/>
        </w:trPr>
        <w:tc>
          <w:tcPr>
            <w:tcW w:w="4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(a)</w:t>
            </w:r>
          </w:p>
        </w:tc>
        <w:tc>
          <w:tcPr>
            <w:tcW w:w="9060" w:type="dxa"/>
            <w:vAlign w:val="bottom"/>
          </w:tcPr>
          <w:p>
            <w:pPr>
              <w:ind w:left="180"/>
              <w:spacing w:after="0"/>
              <w:rPr>
                <w:sz w:val="20"/>
                <w:szCs w:val="20"/>
                <w:color w:val="auto"/>
              </w:rPr>
            </w:pPr>
            <w:r>
              <w:rPr>
                <w:rFonts w:ascii="Arial" w:cs="Arial" w:eastAsia="Arial" w:hAnsi="Arial"/>
                <w:sz w:val="18"/>
                <w:szCs w:val="18"/>
                <w:color w:val="auto"/>
              </w:rPr>
              <w:t>Resale of Securities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9060" w:type="dxa"/>
            <w:vAlign w:val="bottom"/>
          </w:tcPr>
          <w:p>
            <w:pPr>
              <w:ind w:left="180"/>
              <w:spacing w:after="0"/>
              <w:rPr>
                <w:sz w:val="20"/>
                <w:szCs w:val="20"/>
                <w:color w:val="auto"/>
              </w:rPr>
            </w:pPr>
            <w:r>
              <w:rPr>
                <w:rFonts w:ascii="Arial" w:cs="Arial" w:eastAsia="Arial" w:hAnsi="Arial"/>
                <w:sz w:val="18"/>
                <w:szCs w:val="18"/>
                <w:color w:val="auto"/>
              </w:rPr>
              <w:t>Transfer Restrictions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9060" w:type="dxa"/>
            <w:vAlign w:val="bottom"/>
          </w:tcPr>
          <w:p>
            <w:pPr>
              <w:ind w:left="180"/>
              <w:spacing w:after="0"/>
              <w:rPr>
                <w:sz w:val="20"/>
                <w:szCs w:val="20"/>
                <w:color w:val="auto"/>
              </w:rPr>
            </w:pPr>
            <w:r>
              <w:rPr>
                <w:rFonts w:ascii="Arial" w:cs="Arial" w:eastAsia="Arial" w:hAnsi="Arial"/>
                <w:sz w:val="18"/>
                <w:szCs w:val="18"/>
                <w:color w:val="auto"/>
              </w:rPr>
              <w:t>Right of First Refusal</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(d)</w:t>
            </w:r>
          </w:p>
        </w:tc>
        <w:tc>
          <w:tcPr>
            <w:tcW w:w="9060" w:type="dxa"/>
            <w:vAlign w:val="bottom"/>
          </w:tcPr>
          <w:p>
            <w:pPr>
              <w:ind w:left="180"/>
              <w:spacing w:after="0"/>
              <w:rPr>
                <w:sz w:val="20"/>
                <w:szCs w:val="20"/>
                <w:color w:val="auto"/>
              </w:rPr>
            </w:pPr>
            <w:r>
              <w:rPr>
                <w:rFonts w:ascii="Arial" w:cs="Arial" w:eastAsia="Arial" w:hAnsi="Arial"/>
                <w:sz w:val="18"/>
                <w:szCs w:val="18"/>
                <w:color w:val="auto"/>
              </w:rPr>
              <w:t>Tag-Along Rights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(e)</w:t>
            </w:r>
          </w:p>
        </w:tc>
        <w:tc>
          <w:tcPr>
            <w:tcW w:w="9060" w:type="dxa"/>
            <w:vAlign w:val="bottom"/>
          </w:tcPr>
          <w:p>
            <w:pPr>
              <w:ind w:left="180"/>
              <w:spacing w:after="0"/>
              <w:rPr>
                <w:sz w:val="20"/>
                <w:szCs w:val="20"/>
                <w:color w:val="auto"/>
              </w:rPr>
            </w:pPr>
            <w:r>
              <w:rPr>
                <w:rFonts w:ascii="Arial" w:cs="Arial" w:eastAsia="Arial" w:hAnsi="Arial"/>
                <w:sz w:val="18"/>
                <w:szCs w:val="18"/>
                <w:color w:val="auto"/>
              </w:rPr>
              <w:t>Drag Along Right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40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(f)</w:t>
            </w:r>
          </w:p>
        </w:tc>
        <w:tc>
          <w:tcPr>
            <w:tcW w:w="9060" w:type="dxa"/>
            <w:vAlign w:val="bottom"/>
          </w:tcPr>
          <w:p>
            <w:pPr>
              <w:ind w:left="180"/>
              <w:spacing w:after="0"/>
              <w:rPr>
                <w:sz w:val="20"/>
                <w:szCs w:val="20"/>
                <w:color w:val="auto"/>
              </w:rPr>
            </w:pPr>
            <w:r>
              <w:rPr>
                <w:rFonts w:ascii="Arial" w:cs="Arial" w:eastAsia="Arial" w:hAnsi="Arial"/>
                <w:sz w:val="18"/>
                <w:szCs w:val="18"/>
                <w:color w:val="auto"/>
              </w:rPr>
              <w:t>Subscription Right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4.</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RESTRICTIONS ON SALES OF CONTROL OF THE COMPANY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5.</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TERMINATION</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6.</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INTERPRETATION OF THIS AGREEMENT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18"/>
        </w:trPr>
        <w:tc>
          <w:tcPr>
            <w:tcW w:w="40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(a)</w:t>
            </w:r>
          </w:p>
        </w:tc>
        <w:tc>
          <w:tcPr>
            <w:tcW w:w="9060" w:type="dxa"/>
            <w:vAlign w:val="bottom"/>
          </w:tcPr>
          <w:p>
            <w:pPr>
              <w:ind w:left="180"/>
              <w:spacing w:after="0"/>
              <w:rPr>
                <w:sz w:val="20"/>
                <w:szCs w:val="20"/>
                <w:color w:val="auto"/>
              </w:rPr>
            </w:pPr>
            <w:r>
              <w:rPr>
                <w:rFonts w:ascii="Arial" w:cs="Arial" w:eastAsia="Arial" w:hAnsi="Arial"/>
                <w:sz w:val="18"/>
                <w:szCs w:val="18"/>
                <w:color w:val="auto"/>
              </w:rPr>
              <w:t>Terms Defined</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(b)</w:t>
            </w:r>
          </w:p>
        </w:tc>
        <w:tc>
          <w:tcPr>
            <w:tcW w:w="9060" w:type="dxa"/>
            <w:vAlign w:val="bottom"/>
          </w:tcPr>
          <w:p>
            <w:pPr>
              <w:ind w:left="180"/>
              <w:spacing w:after="0"/>
              <w:rPr>
                <w:sz w:val="20"/>
                <w:szCs w:val="20"/>
                <w:color w:val="auto"/>
              </w:rPr>
            </w:pPr>
            <w:r>
              <w:rPr>
                <w:rFonts w:ascii="Arial" w:cs="Arial" w:eastAsia="Arial" w:hAnsi="Arial"/>
                <w:sz w:val="18"/>
                <w:szCs w:val="18"/>
                <w:color w:val="auto"/>
              </w:rPr>
              <w:t>Accounting Principles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(c)</w:t>
            </w:r>
          </w:p>
        </w:tc>
        <w:tc>
          <w:tcPr>
            <w:tcW w:w="9060" w:type="dxa"/>
            <w:vAlign w:val="bottom"/>
          </w:tcPr>
          <w:p>
            <w:pPr>
              <w:ind w:left="180"/>
              <w:spacing w:after="0"/>
              <w:rPr>
                <w:sz w:val="20"/>
                <w:szCs w:val="20"/>
                <w:color w:val="auto"/>
              </w:rPr>
            </w:pPr>
            <w:r>
              <w:rPr>
                <w:rFonts w:ascii="Arial" w:cs="Arial" w:eastAsia="Arial" w:hAnsi="Arial"/>
                <w:sz w:val="18"/>
                <w:szCs w:val="18"/>
                <w:color w:val="auto"/>
              </w:rPr>
              <w:t>Directly or Indirectly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400" w:type="dxa"/>
            <w:vAlign w:val="bottom"/>
          </w:tcPr>
          <w:p>
            <w:pPr>
              <w:spacing w:after="0"/>
              <w:rPr>
                <w:sz w:val="18"/>
                <w:szCs w:val="18"/>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(d)</w:t>
            </w:r>
          </w:p>
        </w:tc>
        <w:tc>
          <w:tcPr>
            <w:tcW w:w="906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400" w:type="dxa"/>
            <w:vAlign w:val="bottom"/>
          </w:tcPr>
          <w:p>
            <w:pPr>
              <w:spacing w:after="0"/>
              <w:rPr>
                <w:sz w:val="20"/>
                <w:szCs w:val="20"/>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(e)</w:t>
            </w:r>
          </w:p>
        </w:tc>
        <w:tc>
          <w:tcPr>
            <w:tcW w:w="9060" w:type="dxa"/>
            <w:vAlign w:val="bottom"/>
          </w:tcPr>
          <w:p>
            <w:pPr>
              <w:ind w:left="180"/>
              <w:spacing w:after="0"/>
              <w:rPr>
                <w:sz w:val="20"/>
                <w:szCs w:val="20"/>
                <w:color w:val="auto"/>
              </w:rPr>
            </w:pPr>
            <w:r>
              <w:rPr>
                <w:rFonts w:ascii="Arial" w:cs="Arial" w:eastAsia="Arial" w:hAnsi="Arial"/>
                <w:sz w:val="18"/>
                <w:szCs w:val="18"/>
                <w:color w:val="auto"/>
              </w:rPr>
              <w:t>Section Headings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7.</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MISCELLANEOUS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432"/>
        </w:trPr>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60" w:type="dxa"/>
            <w:vAlign w:val="bottom"/>
          </w:tcPr>
          <w:p>
            <w:pPr>
              <w:ind w:left="4540"/>
              <w:spacing w:after="0"/>
              <w:rPr>
                <w:sz w:val="20"/>
                <w:szCs w:val="20"/>
                <w:color w:val="auto"/>
              </w:rPr>
            </w:pPr>
            <w:r>
              <w:rPr>
                <w:rFonts w:ascii="Arial" w:cs="Arial" w:eastAsia="Arial" w:hAnsi="Arial"/>
                <w:sz w:val="18"/>
                <w:szCs w:val="18"/>
                <w:color w:val="auto"/>
              </w:rPr>
              <w:t>i</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90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(a)</w:t>
            </w:r>
          </w:p>
        </w:tc>
        <w:tc>
          <w:tcPr>
            <w:tcW w:w="6940" w:type="dxa"/>
            <w:vAlign w:val="bottom"/>
          </w:tcPr>
          <w:p>
            <w:pPr>
              <w:ind w:left="160"/>
              <w:spacing w:after="0"/>
              <w:rPr>
                <w:sz w:val="20"/>
                <w:szCs w:val="20"/>
                <w:color w:val="auto"/>
              </w:rPr>
            </w:pPr>
            <w:r>
              <w:rPr>
                <w:rFonts w:ascii="Arial" w:cs="Arial" w:eastAsia="Arial" w:hAnsi="Arial"/>
                <w:sz w:val="18"/>
                <w:szCs w:val="18"/>
                <w:color w:val="auto"/>
              </w:rPr>
              <w:t>Notices</w:t>
            </w:r>
          </w:p>
        </w:tc>
        <w:tc>
          <w:tcPr>
            <w:tcW w:w="3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w:t>
            </w:r>
          </w:p>
        </w:tc>
        <w:tc>
          <w:tcPr>
            <w:tcW w:w="6940" w:type="dxa"/>
            <w:vAlign w:val="bottom"/>
          </w:tcPr>
          <w:p>
            <w:pPr>
              <w:ind w:left="160"/>
              <w:spacing w:after="0"/>
              <w:rPr>
                <w:sz w:val="20"/>
                <w:szCs w:val="20"/>
                <w:color w:val="auto"/>
              </w:rPr>
            </w:pPr>
            <w:r>
              <w:rPr>
                <w:rFonts w:ascii="Arial" w:cs="Arial" w:eastAsia="Arial" w:hAnsi="Arial"/>
                <w:sz w:val="18"/>
                <w:szCs w:val="18"/>
                <w:color w:val="auto"/>
              </w:rPr>
              <w:t>Reproduction of Documents</w:t>
            </w:r>
          </w:p>
        </w:tc>
        <w:tc>
          <w:tcPr>
            <w:tcW w:w="3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694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3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(d)</w:t>
            </w:r>
          </w:p>
        </w:tc>
        <w:tc>
          <w:tcPr>
            <w:tcW w:w="6940" w:type="dxa"/>
            <w:vAlign w:val="bottom"/>
          </w:tcPr>
          <w:p>
            <w:pPr>
              <w:ind w:left="160"/>
              <w:spacing w:after="0"/>
              <w:rPr>
                <w:sz w:val="20"/>
                <w:szCs w:val="20"/>
                <w:color w:val="auto"/>
              </w:rPr>
            </w:pPr>
            <w:r>
              <w:rPr>
                <w:rFonts w:ascii="Arial" w:cs="Arial" w:eastAsia="Arial" w:hAnsi="Arial"/>
                <w:sz w:val="18"/>
                <w:szCs w:val="18"/>
                <w:color w:val="auto"/>
              </w:rPr>
              <w:t>Entire Agreement; Amendment and Waiver</w:t>
            </w:r>
          </w:p>
        </w:tc>
        <w:tc>
          <w:tcPr>
            <w:tcW w:w="32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(e)</w:t>
            </w:r>
          </w:p>
        </w:tc>
        <w:tc>
          <w:tcPr>
            <w:tcW w:w="694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3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(f)</w:t>
            </w:r>
          </w:p>
        </w:tc>
        <w:tc>
          <w:tcPr>
            <w:tcW w:w="694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3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(g)</w:t>
            </w:r>
          </w:p>
        </w:tc>
        <w:tc>
          <w:tcPr>
            <w:tcW w:w="6940" w:type="dxa"/>
            <w:vAlign w:val="bottom"/>
          </w:tcPr>
          <w:p>
            <w:pPr>
              <w:ind w:left="160"/>
              <w:spacing w:after="0"/>
              <w:rPr>
                <w:sz w:val="20"/>
                <w:szCs w:val="20"/>
                <w:color w:val="auto"/>
              </w:rPr>
            </w:pPr>
            <w:r>
              <w:rPr>
                <w:rFonts w:ascii="Arial" w:cs="Arial" w:eastAsia="Arial" w:hAnsi="Arial"/>
                <w:sz w:val="18"/>
                <w:szCs w:val="18"/>
                <w:color w:val="auto"/>
              </w:rPr>
              <w:t>No Partnership</w:t>
            </w:r>
          </w:p>
        </w:tc>
        <w:tc>
          <w:tcPr>
            <w:tcW w:w="3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(h)</w:t>
            </w:r>
          </w:p>
        </w:tc>
        <w:tc>
          <w:tcPr>
            <w:tcW w:w="6940" w:type="dxa"/>
            <w:vAlign w:val="bottom"/>
          </w:tcPr>
          <w:p>
            <w:pPr>
              <w:ind w:left="160"/>
              <w:spacing w:after="0"/>
              <w:rPr>
                <w:sz w:val="20"/>
                <w:szCs w:val="20"/>
                <w:color w:val="auto"/>
              </w:rPr>
            </w:pPr>
            <w:r>
              <w:rPr>
                <w:rFonts w:ascii="Arial" w:cs="Arial" w:eastAsia="Arial" w:hAnsi="Arial"/>
                <w:sz w:val="18"/>
                <w:szCs w:val="18"/>
                <w:color w:val="auto"/>
              </w:rPr>
              <w:t>Specific Performance</w:t>
            </w:r>
          </w:p>
        </w:tc>
        <w:tc>
          <w:tcPr>
            <w:tcW w:w="3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w:t>
            </w:r>
          </w:p>
        </w:tc>
        <w:tc>
          <w:tcPr>
            <w:tcW w:w="6940" w:type="dxa"/>
            <w:vAlign w:val="bottom"/>
          </w:tcPr>
          <w:p>
            <w:pPr>
              <w:ind w:left="160"/>
              <w:spacing w:after="0"/>
              <w:rPr>
                <w:sz w:val="20"/>
                <w:szCs w:val="20"/>
                <w:color w:val="auto"/>
              </w:rPr>
            </w:pPr>
            <w:r>
              <w:rPr>
                <w:rFonts w:ascii="Arial" w:cs="Arial" w:eastAsia="Arial" w:hAnsi="Arial"/>
                <w:sz w:val="18"/>
                <w:szCs w:val="18"/>
                <w:color w:val="auto"/>
              </w:rPr>
              <w:t>Third Party Beneficiaries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(j)</w:t>
            </w:r>
          </w:p>
        </w:tc>
        <w:tc>
          <w:tcPr>
            <w:tcW w:w="694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3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(k)</w:t>
            </w:r>
          </w:p>
        </w:tc>
        <w:tc>
          <w:tcPr>
            <w:tcW w:w="6940" w:type="dxa"/>
            <w:vAlign w:val="bottom"/>
          </w:tcPr>
          <w:p>
            <w:pPr>
              <w:ind w:left="160"/>
              <w:spacing w:after="0"/>
              <w:rPr>
                <w:sz w:val="20"/>
                <w:szCs w:val="20"/>
                <w:color w:val="auto"/>
              </w:rPr>
            </w:pPr>
            <w:r>
              <w:rPr>
                <w:rFonts w:ascii="Arial" w:cs="Arial" w:eastAsia="Arial" w:hAnsi="Arial"/>
                <w:sz w:val="18"/>
                <w:szCs w:val="18"/>
                <w:color w:val="auto"/>
              </w:rPr>
              <w:t>Grant of Irrevocable Proxy</w:t>
            </w:r>
          </w:p>
        </w:tc>
        <w:tc>
          <w:tcPr>
            <w:tcW w:w="3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(l)</w:t>
            </w:r>
          </w:p>
        </w:tc>
        <w:tc>
          <w:tcPr>
            <w:tcW w:w="6940" w:type="dxa"/>
            <w:vAlign w:val="bottom"/>
          </w:tcPr>
          <w:p>
            <w:pPr>
              <w:ind w:left="160"/>
              <w:spacing w:after="0"/>
              <w:rPr>
                <w:sz w:val="20"/>
                <w:szCs w:val="20"/>
                <w:color w:val="auto"/>
              </w:rPr>
            </w:pPr>
            <w:r>
              <w:rPr>
                <w:rFonts w:ascii="Arial" w:cs="Arial" w:eastAsia="Arial" w:hAnsi="Arial"/>
                <w:sz w:val="18"/>
                <w:szCs w:val="18"/>
                <w:color w:val="auto"/>
              </w:rPr>
              <w:t>Agreements to Be Bound</w:t>
            </w:r>
          </w:p>
        </w:tc>
        <w:tc>
          <w:tcPr>
            <w:tcW w:w="3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(m)</w:t>
            </w:r>
          </w:p>
        </w:tc>
        <w:tc>
          <w:tcPr>
            <w:tcW w:w="6940" w:type="dxa"/>
            <w:vAlign w:val="bottom"/>
          </w:tcPr>
          <w:p>
            <w:pPr>
              <w:ind w:left="160"/>
              <w:spacing w:after="0"/>
              <w:rPr>
                <w:sz w:val="20"/>
                <w:szCs w:val="20"/>
                <w:color w:val="auto"/>
              </w:rPr>
            </w:pPr>
            <w:r>
              <w:rPr>
                <w:rFonts w:ascii="Arial" w:cs="Arial" w:eastAsia="Arial" w:hAnsi="Arial"/>
                <w:sz w:val="18"/>
                <w:szCs w:val="18"/>
                <w:color w:val="auto"/>
              </w:rPr>
              <w:t>After Acquired Securities</w:t>
            </w:r>
          </w:p>
        </w:tc>
        <w:tc>
          <w:tcPr>
            <w:tcW w:w="3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(n)</w:t>
            </w:r>
          </w:p>
        </w:tc>
        <w:tc>
          <w:tcPr>
            <w:tcW w:w="6940" w:type="dxa"/>
            <w:vAlign w:val="bottom"/>
          </w:tcPr>
          <w:p>
            <w:pPr>
              <w:ind w:left="160"/>
              <w:spacing w:after="0"/>
              <w:rPr>
                <w:sz w:val="20"/>
                <w:szCs w:val="20"/>
                <w:color w:val="auto"/>
              </w:rPr>
            </w:pPr>
            <w:r>
              <w:rPr>
                <w:rFonts w:ascii="Arial" w:cs="Arial" w:eastAsia="Arial" w:hAnsi="Arial"/>
                <w:sz w:val="18"/>
                <w:szCs w:val="18"/>
                <w:color w:val="auto"/>
              </w:rPr>
              <w:t>Waiver of Jury Trial</w:t>
            </w:r>
          </w:p>
        </w:tc>
        <w:tc>
          <w:tcPr>
            <w:tcW w:w="3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(o)</w:t>
            </w:r>
          </w:p>
        </w:tc>
        <w:tc>
          <w:tcPr>
            <w:tcW w:w="6940" w:type="dxa"/>
            <w:vAlign w:val="bottom"/>
          </w:tcPr>
          <w:p>
            <w:pPr>
              <w:ind w:left="160"/>
              <w:spacing w:after="0"/>
              <w:rPr>
                <w:sz w:val="20"/>
                <w:szCs w:val="20"/>
                <w:color w:val="auto"/>
              </w:rPr>
            </w:pPr>
            <w:r>
              <w:rPr>
                <w:rFonts w:ascii="Arial" w:cs="Arial" w:eastAsia="Arial" w:hAnsi="Arial"/>
                <w:sz w:val="18"/>
                <w:szCs w:val="18"/>
                <w:color w:val="auto"/>
              </w:rPr>
              <w:t>“Market Stand-off” Agreement</w:t>
            </w:r>
          </w:p>
        </w:tc>
        <w:tc>
          <w:tcPr>
            <w:tcW w:w="3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(p)</w:t>
            </w:r>
          </w:p>
        </w:tc>
        <w:tc>
          <w:tcPr>
            <w:tcW w:w="6940" w:type="dxa"/>
            <w:vAlign w:val="bottom"/>
          </w:tcPr>
          <w:p>
            <w:pPr>
              <w:ind w:left="160"/>
              <w:spacing w:after="0"/>
              <w:rPr>
                <w:sz w:val="20"/>
                <w:szCs w:val="20"/>
                <w:color w:val="auto"/>
              </w:rPr>
            </w:pPr>
            <w:r>
              <w:rPr>
                <w:rFonts w:ascii="Arial" w:cs="Arial" w:eastAsia="Arial" w:hAnsi="Arial"/>
                <w:sz w:val="18"/>
                <w:szCs w:val="18"/>
                <w:color w:val="auto"/>
              </w:rPr>
              <w:t>Lost, etc. Certificates Evidencing Shares; Exchange</w:t>
            </w:r>
          </w:p>
        </w:tc>
        <w:tc>
          <w:tcPr>
            <w:tcW w:w="3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(q)</w:t>
            </w:r>
          </w:p>
        </w:tc>
        <w:tc>
          <w:tcPr>
            <w:tcW w:w="6940" w:type="dxa"/>
            <w:vAlign w:val="bottom"/>
          </w:tcPr>
          <w:p>
            <w:pPr>
              <w:ind w:left="160"/>
              <w:spacing w:after="0"/>
              <w:rPr>
                <w:sz w:val="20"/>
                <w:szCs w:val="20"/>
                <w:color w:val="auto"/>
              </w:rPr>
            </w:pPr>
            <w:r>
              <w:rPr>
                <w:rFonts w:ascii="Arial" w:cs="Arial" w:eastAsia="Arial" w:hAnsi="Arial"/>
                <w:sz w:val="18"/>
                <w:szCs w:val="18"/>
                <w:color w:val="auto"/>
              </w:rPr>
              <w:t>Terms Generally</w:t>
            </w:r>
          </w:p>
        </w:tc>
        <w:tc>
          <w:tcPr>
            <w:tcW w:w="3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(r)</w:t>
            </w:r>
          </w:p>
        </w:tc>
        <w:tc>
          <w:tcPr>
            <w:tcW w:w="6940" w:type="dxa"/>
            <w:vAlign w:val="bottom"/>
          </w:tcPr>
          <w:p>
            <w:pPr>
              <w:ind w:left="160"/>
              <w:spacing w:after="0"/>
              <w:rPr>
                <w:sz w:val="20"/>
                <w:szCs w:val="20"/>
                <w:color w:val="auto"/>
              </w:rPr>
            </w:pPr>
            <w:r>
              <w:rPr>
                <w:rFonts w:ascii="Arial" w:cs="Arial" w:eastAsia="Arial" w:hAnsi="Arial"/>
                <w:sz w:val="18"/>
                <w:szCs w:val="18"/>
                <w:color w:val="auto"/>
              </w:rPr>
              <w:t>Draftsmanship</w:t>
            </w:r>
          </w:p>
        </w:tc>
        <w:tc>
          <w:tcPr>
            <w:tcW w:w="3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(s)</w:t>
            </w:r>
          </w:p>
        </w:tc>
        <w:tc>
          <w:tcPr>
            <w:tcW w:w="6940" w:type="dxa"/>
            <w:vAlign w:val="bottom"/>
          </w:tcPr>
          <w:p>
            <w:pPr>
              <w:ind w:left="160"/>
              <w:spacing w:after="0"/>
              <w:rPr>
                <w:sz w:val="20"/>
                <w:szCs w:val="20"/>
                <w:color w:val="auto"/>
              </w:rPr>
            </w:pPr>
            <w:r>
              <w:rPr>
                <w:rFonts w:ascii="Arial" w:cs="Arial" w:eastAsia="Arial" w:hAnsi="Arial"/>
                <w:sz w:val="18"/>
                <w:szCs w:val="18"/>
                <w:color w:val="auto"/>
              </w:rPr>
              <w:t>State of Residence</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(t)</w:t>
            </w:r>
          </w:p>
        </w:tc>
        <w:tc>
          <w:tcPr>
            <w:tcW w:w="6940" w:type="dxa"/>
            <w:vAlign w:val="bottom"/>
          </w:tcPr>
          <w:p>
            <w:pPr>
              <w:ind w:left="160"/>
              <w:spacing w:after="0"/>
              <w:rPr>
                <w:sz w:val="20"/>
                <w:szCs w:val="20"/>
                <w:color w:val="auto"/>
              </w:rPr>
            </w:pPr>
            <w:r>
              <w:rPr>
                <w:rFonts w:ascii="Arial" w:cs="Arial" w:eastAsia="Arial" w:hAnsi="Arial"/>
                <w:sz w:val="18"/>
                <w:szCs w:val="18"/>
                <w:color w:val="auto"/>
              </w:rPr>
              <w:t>Consent of Spouse</w:t>
            </w:r>
          </w:p>
        </w:tc>
        <w:tc>
          <w:tcPr>
            <w:tcW w:w="322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283" w:name="page284"/>
    <w:bookmarkEnd w:id="283"/>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AMENDED AND RESTATED STOCKHOLDERS AGREEMENT</w:t>
      </w:r>
    </w:p>
    <w:p>
      <w:pPr>
        <w:spacing w:after="0" w:line="229"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This Amended and Restated Stockholders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dated as of this June 21, 2018 and entered into by and among the institutional investors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Institutional Investors</w:t>
      </w:r>
      <w:r>
        <w:rPr>
          <w:rFonts w:ascii="Arial" w:cs="Arial" w:eastAsia="Arial" w:hAnsi="Arial"/>
          <w:sz w:val="18"/>
          <w:szCs w:val="18"/>
          <w:color w:val="auto"/>
        </w:rPr>
        <w:t xml:space="preserve">”); the individuals whose names and addresses appear from time to time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Other Initial Investors</w:t>
      </w:r>
      <w:r>
        <w:rPr>
          <w:rFonts w:ascii="Arial" w:cs="Arial" w:eastAsia="Arial" w:hAnsi="Arial"/>
          <w:sz w:val="18"/>
          <w:szCs w:val="18"/>
          <w:color w:val="auto"/>
        </w:rPr>
        <w:t xml:space="preserve">”); the individuals whose names and addresses appear from time to time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Non-Initial Investors</w:t>
      </w:r>
      <w:r>
        <w:rPr>
          <w:rFonts w:ascii="Arial" w:cs="Arial" w:eastAsia="Arial" w:hAnsi="Arial"/>
          <w:sz w:val="18"/>
          <w:szCs w:val="18"/>
          <w:color w:val="auto"/>
        </w:rPr>
        <w:t>” and together with the Other Initial Investors, the “</w:t>
      </w:r>
      <w:r>
        <w:rPr>
          <w:rFonts w:ascii="Arial" w:cs="Arial" w:eastAsia="Arial" w:hAnsi="Arial"/>
          <w:sz w:val="18"/>
          <w:szCs w:val="18"/>
          <w:u w:val="single" w:color="auto"/>
          <w:color w:val="auto"/>
        </w:rPr>
        <w:t>Other Investors</w:t>
      </w:r>
      <w:r>
        <w:rPr>
          <w:rFonts w:ascii="Arial" w:cs="Arial" w:eastAsia="Arial" w:hAnsi="Arial"/>
          <w:sz w:val="18"/>
          <w:szCs w:val="18"/>
          <w:color w:val="auto"/>
        </w:rPr>
        <w:t>”); and CrowdStrike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Institutional Investors and the Other Investors are hereinafter each referred to as an “</w:t>
      </w:r>
      <w:r>
        <w:rPr>
          <w:rFonts w:ascii="Arial" w:cs="Arial" w:eastAsia="Arial" w:hAnsi="Arial"/>
          <w:sz w:val="18"/>
          <w:szCs w:val="18"/>
          <w:u w:val="single" w:color="auto"/>
          <w:color w:val="auto"/>
        </w:rPr>
        <w:t>Investor</w:t>
      </w:r>
      <w:r>
        <w:rPr>
          <w:rFonts w:ascii="Arial" w:cs="Arial" w:eastAsia="Arial" w:hAnsi="Arial"/>
          <w:sz w:val="18"/>
          <w:szCs w:val="18"/>
          <w:color w:val="auto"/>
        </w:rPr>
        <w:t>” and collectively referred to as the “</w:t>
      </w:r>
      <w:r>
        <w:rPr>
          <w:rFonts w:ascii="Arial" w:cs="Arial" w:eastAsia="Arial" w:hAnsi="Arial"/>
          <w:sz w:val="18"/>
          <w:szCs w:val="18"/>
          <w:u w:val="single" w:color="auto"/>
          <w:color w:val="auto"/>
        </w:rPr>
        <w:t>Investors</w:t>
      </w:r>
      <w:r>
        <w:rPr>
          <w:rFonts w:ascii="Arial" w:cs="Arial" w:eastAsia="Arial" w:hAnsi="Arial"/>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ind w:right="180" w:firstLine="1296"/>
        <w:spacing w:after="0" w:line="257" w:lineRule="auto"/>
        <w:rPr>
          <w:sz w:val="20"/>
          <w:szCs w:val="20"/>
          <w:color w:val="auto"/>
        </w:rPr>
      </w:pPr>
      <w:r>
        <w:rPr>
          <w:rFonts w:ascii="Arial" w:cs="Arial" w:eastAsia="Arial" w:hAnsi="Arial"/>
          <w:sz w:val="18"/>
          <w:szCs w:val="18"/>
          <w:color w:val="auto"/>
        </w:rPr>
        <w:t>WHEREAS, the Company and certain of the Investors in the Company’s Series A-1 Convertible Preferred Stock (the “</w:t>
      </w:r>
      <w:r>
        <w:rPr>
          <w:rFonts w:ascii="Arial" w:cs="Arial" w:eastAsia="Arial" w:hAnsi="Arial"/>
          <w:sz w:val="18"/>
          <w:szCs w:val="18"/>
          <w:u w:val="single" w:color="auto"/>
          <w:color w:val="auto"/>
        </w:rPr>
        <w:t>Series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Stock</w:t>
      </w:r>
      <w:r>
        <w:rPr>
          <w:rFonts w:ascii="Arial" w:cs="Arial" w:eastAsia="Arial" w:hAnsi="Arial"/>
          <w:sz w:val="18"/>
          <w:szCs w:val="18"/>
          <w:color w:val="auto"/>
        </w:rPr>
        <w:t>”), Series B Convertible Preferred Stock (the “</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Series C Convertible Preferred Stock (the “</w:t>
      </w:r>
      <w:r>
        <w:rPr>
          <w:rFonts w:ascii="Arial" w:cs="Arial" w:eastAsia="Arial" w:hAnsi="Arial"/>
          <w:sz w:val="18"/>
          <w:szCs w:val="18"/>
          <w:u w:val="single" w:color="auto"/>
          <w:color w:val="auto"/>
        </w:rPr>
        <w:t>Series C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Series D Convertible Preferred Stock (the “</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and/or Series D-1 Convertible Preferred Stock (the “</w:t>
      </w:r>
      <w:r>
        <w:rPr>
          <w:rFonts w:ascii="Arial" w:cs="Arial" w:eastAsia="Arial" w:hAnsi="Arial"/>
          <w:sz w:val="18"/>
          <w:szCs w:val="18"/>
          <w:u w:val="single" w:color="auto"/>
          <w:color w:val="auto"/>
        </w:rPr>
        <w:t>Series D-1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previously entered into an Amended and Restated Stockholders Agreement dated as of October 13, 2017, as amended December 7, 2017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88" w:lineRule="exact"/>
        <w:rPr>
          <w:sz w:val="20"/>
          <w:szCs w:val="20"/>
          <w:color w:val="auto"/>
        </w:rPr>
      </w:pPr>
    </w:p>
    <w:p>
      <w:pPr>
        <w:ind w:right="120" w:firstLine="1296"/>
        <w:spacing w:after="0" w:line="279" w:lineRule="auto"/>
        <w:rPr>
          <w:sz w:val="20"/>
          <w:szCs w:val="20"/>
          <w:color w:val="auto"/>
        </w:rPr>
      </w:pPr>
      <w:r>
        <w:rPr>
          <w:rFonts w:ascii="Arial" w:cs="Arial" w:eastAsia="Arial" w:hAnsi="Arial"/>
          <w:sz w:val="17"/>
          <w:szCs w:val="17"/>
          <w:color w:val="auto"/>
        </w:rPr>
        <w:t>WHEREAS, in connection with the Company’s sale of its Series E Convertible Preferred Stock (the “</w:t>
      </w:r>
      <w:r>
        <w:rPr>
          <w:rFonts w:ascii="Arial" w:cs="Arial" w:eastAsia="Arial" w:hAnsi="Arial"/>
          <w:sz w:val="17"/>
          <w:szCs w:val="17"/>
          <w:u w:val="single" w:color="auto"/>
          <w:color w:val="auto"/>
        </w:rPr>
        <w:t>Series E Preferred Stock</w:t>
      </w:r>
      <w:r>
        <w:rPr>
          <w:rFonts w:ascii="Arial" w:cs="Arial" w:eastAsia="Arial" w:hAnsi="Arial"/>
          <w:sz w:val="17"/>
          <w:szCs w:val="17"/>
          <w:color w:val="auto"/>
        </w:rPr>
        <w:t>”) and Series E-1 Convertible Preferred Stock (the “</w:t>
      </w:r>
      <w:r>
        <w:rPr>
          <w:rFonts w:ascii="Arial" w:cs="Arial" w:eastAsia="Arial" w:hAnsi="Arial"/>
          <w:sz w:val="17"/>
          <w:szCs w:val="17"/>
          <w:u w:val="single" w:color="auto"/>
          <w:color w:val="auto"/>
        </w:rPr>
        <w:t>Series E-1 Preferred Stock</w:t>
      </w:r>
      <w:r>
        <w:rPr>
          <w:rFonts w:ascii="Arial" w:cs="Arial" w:eastAsia="Arial" w:hAnsi="Arial"/>
          <w:sz w:val="17"/>
          <w:szCs w:val="17"/>
          <w:color w:val="auto"/>
        </w:rPr>
        <w:t>”) pursuant to the terms of a Series E &amp; E-1 Securities Purchase Agreement, dated of even date herewith by and among the Company and certain of the Investors (as the same may be amended from time to time,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the Company and certain of the Investors wish to amend and restate the Prior Agreement in its entirety; and</w:t>
      </w:r>
    </w:p>
    <w:p>
      <w:pPr>
        <w:spacing w:after="0" w:line="171"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it is in the best interests of the Company that the Company amend and restate the Prior Agreement.</w:t>
      </w:r>
    </w:p>
    <w:p>
      <w:pPr>
        <w:spacing w:after="0" w:line="170" w:lineRule="exact"/>
        <w:rPr>
          <w:sz w:val="20"/>
          <w:szCs w:val="20"/>
          <w:color w:val="auto"/>
        </w:rPr>
      </w:pPr>
    </w:p>
    <w:p>
      <w:pPr>
        <w:ind w:right="460" w:firstLine="1296"/>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the parties hereto hereby agree to amend and restate the Prior Agreement in its entirety as follows:</w:t>
      </w:r>
    </w:p>
    <w:p>
      <w:pPr>
        <w:spacing w:after="0" w:line="170" w:lineRule="exact"/>
        <w:rPr>
          <w:sz w:val="20"/>
          <w:szCs w:val="20"/>
          <w:color w:val="auto"/>
        </w:rPr>
      </w:pPr>
    </w:p>
    <w:p>
      <w:pPr>
        <w:ind w:left="1960" w:hanging="656"/>
        <w:spacing w:after="0"/>
        <w:tabs>
          <w:tab w:leader="none" w:pos="1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COVENANTS OF THE PARTIES</w:t>
      </w:r>
    </w:p>
    <w:p>
      <w:pPr>
        <w:spacing w:after="0" w:line="225" w:lineRule="exact"/>
        <w:rPr>
          <w:sz w:val="20"/>
          <w:szCs w:val="20"/>
          <w:color w:val="auto"/>
        </w:rPr>
      </w:pPr>
    </w:p>
    <w:p>
      <w:pPr>
        <w:ind w:left="1940" w:hanging="636"/>
        <w:spacing w:after="0"/>
        <w:tabs>
          <w:tab w:leader="none" w:pos="194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52"/>
        <w:spacing w:after="0" w:line="257" w:lineRule="auto"/>
        <w:tabs>
          <w:tab w:leader="none" w:pos="261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certificates evidencing the Purchased Equity Shares and Granted Equity Shares (together with any Share Equivalents and any shares of capital stock of the Company issued with respect to such Purchased Equity Shares or Granted Equity Shares by way of a stock dividend or distribution payable thereon or stock split, reverse stock split, recapitalization, reclassification, reorganization, exchange, subdivision or combination thereof, the “</w:t>
      </w:r>
      <w:r>
        <w:rPr>
          <w:rFonts w:ascii="Arial" w:cs="Arial" w:eastAsia="Arial" w:hAnsi="Arial"/>
          <w:sz w:val="18"/>
          <w:szCs w:val="18"/>
          <w:u w:val="single" w:color="auto"/>
          <w:color w:val="auto"/>
        </w:rPr>
        <w:t>Shares</w:t>
      </w:r>
      <w:r>
        <w:rPr>
          <w:rFonts w:ascii="Arial" w:cs="Arial" w:eastAsia="Arial" w:hAnsi="Arial"/>
          <w:sz w:val="18"/>
          <w:szCs w:val="18"/>
          <w:color w:val="auto"/>
        </w:rPr>
        <w:t>”) acquired by the Investors will bear substantially the following legend reflecting the restrictions on the Transfer of such securities contained in this Agreement:</w:t>
      </w:r>
    </w:p>
    <w:p>
      <w:pPr>
        <w:spacing w:after="0" w:line="188" w:lineRule="exact"/>
        <w:rPr>
          <w:sz w:val="20"/>
          <w:szCs w:val="20"/>
          <w:color w:val="auto"/>
        </w:rPr>
      </w:pPr>
    </w:p>
    <w:p>
      <w:pPr>
        <w:ind w:left="1300" w:right="1020"/>
        <w:spacing w:after="0" w:line="277" w:lineRule="auto"/>
        <w:rPr>
          <w:sz w:val="20"/>
          <w:szCs w:val="20"/>
          <w:color w:val="auto"/>
        </w:rPr>
      </w:pPr>
      <w:r>
        <w:rPr>
          <w:rFonts w:ascii="Arial" w:cs="Arial" w:eastAsia="Arial" w:hAnsi="Arial"/>
          <w:sz w:val="18"/>
          <w:szCs w:val="18"/>
          <w:color w:val="auto"/>
        </w:rPr>
        <w:t>“THE SECURITIES EVIDENCED HEREBY ARE SUBJECT TO THE TERMS OF THAT CERTAIN STOCKHOLDERS AGREEMENT (AS AMENDED FROM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84" w:name="page285"/>
    <w:bookmarkEnd w:id="284"/>
    <w:p>
      <w:pPr>
        <w:ind w:left="1260"/>
        <w:spacing w:after="0"/>
        <w:rPr>
          <w:sz w:val="20"/>
          <w:szCs w:val="20"/>
          <w:color w:val="auto"/>
        </w:rPr>
      </w:pPr>
      <w:r>
        <w:rPr>
          <w:rFonts w:ascii="Arial" w:cs="Arial" w:eastAsia="Arial" w:hAnsi="Arial"/>
          <w:sz w:val="18"/>
          <w:szCs w:val="18"/>
          <w:color w:val="auto"/>
        </w:rPr>
        <w:t>TO TIME) BY AND AMONG CROWDSTRIKE HOLDINGS, INC. AND CERTAIN INVESTORS IDENTIFIED</w:t>
      </w:r>
    </w:p>
    <w:p>
      <w:pPr>
        <w:spacing w:after="0" w:line="23" w:lineRule="exact"/>
        <w:rPr>
          <w:sz w:val="20"/>
          <w:szCs w:val="20"/>
          <w:color w:val="auto"/>
        </w:rPr>
      </w:pPr>
    </w:p>
    <w:p>
      <w:pPr>
        <w:ind w:left="1260" w:right="60"/>
        <w:spacing w:after="0" w:line="260" w:lineRule="auto"/>
        <w:rPr>
          <w:sz w:val="20"/>
          <w:szCs w:val="20"/>
          <w:color w:val="auto"/>
        </w:rPr>
      </w:pPr>
      <w:r>
        <w:rPr>
          <w:rFonts w:ascii="Arial" w:cs="Arial" w:eastAsia="Arial" w:hAnsi="Arial"/>
          <w:sz w:val="18"/>
          <w:szCs w:val="18"/>
          <w:color w:val="auto"/>
        </w:rPr>
        <w:t>THEREIN, INCLUDING CERTAIN RESTRICTIONS ON TRANSFER. A COPY OF THIS AGREEMENT HAS BEEN FILED WITH THE SECRETARY OF CROWDSTRIKE HOLDINGS, INC. AND IS AVAILABLE UPON REQUEST.”</w:t>
      </w:r>
    </w:p>
    <w:p>
      <w:pPr>
        <w:spacing w:after="0" w:line="185" w:lineRule="exact"/>
        <w:rPr>
          <w:sz w:val="20"/>
          <w:szCs w:val="20"/>
          <w:color w:val="auto"/>
        </w:rPr>
      </w:pPr>
    </w:p>
    <w:p>
      <w:pPr>
        <w:ind w:left="-40" w:right="120" w:firstLine="1952"/>
        <w:spacing w:after="0" w:line="263" w:lineRule="auto"/>
        <w:tabs>
          <w:tab w:leader="none" w:pos="258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If any certificates representing any Shares held by an Investor do not bear substantially the foregoing legend, such Investor shall, as promptly as practicable after the date hereof, deliver all such certificates to the Company to enable the Company to place such legend on such certificates.</w:t>
      </w:r>
    </w:p>
    <w:p>
      <w:pPr>
        <w:spacing w:after="0" w:line="183" w:lineRule="exact"/>
        <w:rPr>
          <w:rFonts w:ascii="Arial" w:cs="Arial" w:eastAsia="Arial" w:hAnsi="Arial"/>
          <w:sz w:val="18"/>
          <w:szCs w:val="18"/>
          <w:color w:val="auto"/>
        </w:rPr>
      </w:pPr>
    </w:p>
    <w:p>
      <w:pPr>
        <w:ind w:left="-40" w:right="140" w:firstLine="1952"/>
        <w:spacing w:after="0" w:line="255" w:lineRule="auto"/>
        <w:tabs>
          <w:tab w:leader="none" w:pos="259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In the event that the restrictive legend set forth in </w:t>
      </w:r>
      <w:r>
        <w:rPr>
          <w:rFonts w:ascii="Arial" w:cs="Arial" w:eastAsia="Arial" w:hAnsi="Arial"/>
          <w:sz w:val="18"/>
          <w:szCs w:val="18"/>
          <w:u w:val="single" w:color="auto"/>
          <w:color w:val="auto"/>
        </w:rPr>
        <w:t>Section 1(a)(i)</w:t>
      </w:r>
      <w:r>
        <w:rPr>
          <w:rFonts w:ascii="Arial" w:cs="Arial" w:eastAsia="Arial" w:hAnsi="Arial"/>
          <w:sz w:val="18"/>
          <w:szCs w:val="18"/>
          <w:color w:val="auto"/>
        </w:rPr>
        <w:t xml:space="preserve"> above has ceased to be applicable to the Shares held by an Investor, the Company shall provide such Investor, or his, her or its Transferee(s), at his, her or its request, with new certificates for such Shares not bearing the legend with respect to which the restriction has ceased and terminated. In connection with and following the Company’s initial registered offering of Common Stock of the Company or its successor to the public (the “</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the Company shall provide each Investor, or his, her or its Transferee(s), at his, her or its request, with new certificates for all Shares held by such Investor, or his, her or its Transferee(s) not bearing the legend.</w:t>
      </w:r>
    </w:p>
    <w:p>
      <w:pPr>
        <w:spacing w:after="0" w:line="192" w:lineRule="exact"/>
        <w:rPr>
          <w:rFonts w:ascii="Arial" w:cs="Arial" w:eastAsia="Arial" w:hAnsi="Arial"/>
          <w:sz w:val="18"/>
          <w:szCs w:val="18"/>
          <w:color w:val="auto"/>
        </w:rPr>
      </w:pPr>
    </w:p>
    <w:p>
      <w:pPr>
        <w:ind w:left="-40" w:firstLine="1304"/>
        <w:spacing w:after="0" w:line="267" w:lineRule="auto"/>
        <w:tabs>
          <w:tab w:leader="none" w:pos="191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Additional Investors</w:t>
      </w:r>
      <w:r>
        <w:rPr>
          <w:rFonts w:ascii="Arial" w:cs="Arial" w:eastAsia="Arial" w:hAnsi="Arial"/>
          <w:sz w:val="17"/>
          <w:szCs w:val="17"/>
          <w:color w:val="auto"/>
        </w:rPr>
        <w:t xml:space="preserve">. The parties hereto acknowledge that certain Persons, including, without limitation, directors, employees and consultants of the Company and its Affiliates and their Permitted Transferees, may become stockholders of the Company or holders of Share Equivalents after the date hereof. Except with respect to Transfers made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as a condition to the issuance of shares of capital stock of the Company to them (including Share Equivalents), the Company may require such Persons to execute and deliver (i) an agreement in writing to be bound by the terms and conditions of this Agreement pursuant to a Joinder Agreement substantially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Joinder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or (ii) an agreement reasonably satisfactory to the Majority Institutional Investors containing restrictions substantially similar to those applicable to the Other Non-Initial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unless the consent of the Majority Institutional Investors is obtained, any such Person shall not have the subscription rights contemplated by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herein;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such Person is only receiving Granted Equity Shares, unless required by the Board, such Person shall not be required to become a party to this Agreement. With respect to any such Person required to become a party to this Agreement who is a director, employee or consultant of the Company, such Person shall be, and such Joinder Agreement or other agreement shall provide that such Person be, for purposes hereof, an Other Non-Initial Investor unless otherwise determined by the Board with the written consent of the Majority Institutional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unless the consent of the Majority Institutional Investors is obtained, any such Person shall not have the subscription rights contemplated by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herein. With respect to any such Person required to become a party to this Agreement who is not a director, employee or consultant of the Company, such Person shall be, and such Joinder Agreement or other agreement shall provide that such Person be, for purposes hereof, an Institutional Investor, Other Initial Investor or Other Non-Initial Investor, as determined by the Board with the written consent of the Majority Institutional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unless the consent of the Majority Institutional Investors is obtained, any such Person shall not have the subscription rights contemplated by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herein. Notwithstanding the foregoing, any Person purchasing shares of the Series E Preferred Stock or Series E-1 Preferred Stock in a Closing after the Initial Closing (each as defined in the Purchase Agreement) pursuant to the Purchase Agreement may become a party to this Agreement by executing a counterpart of this Agreement without any amendment of this Agreement or any consent or approval of any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unless the consent of the Majority Institutional Investors is obtained, any such Person (other than a Person that is an existing Institutional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1532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60" w:top="341" w:right="359" w:bottom="1440" w:gutter="0" w:footer="0" w:header="0"/>
        </w:sectPr>
      </w:pPr>
    </w:p>
    <w:bookmarkStart w:id="285" w:name="page286"/>
    <w:bookmarkEnd w:id="285"/>
    <w:p>
      <w:pPr>
        <w:ind w:right="900"/>
        <w:spacing w:after="0" w:line="277" w:lineRule="auto"/>
        <w:rPr>
          <w:sz w:val="20"/>
          <w:szCs w:val="20"/>
          <w:color w:val="auto"/>
        </w:rPr>
      </w:pPr>
      <w:r>
        <w:rPr>
          <w:rFonts w:ascii="Arial" w:cs="Arial" w:eastAsia="Arial" w:hAnsi="Arial"/>
          <w:sz w:val="18"/>
          <w:szCs w:val="18"/>
          <w:color w:val="auto"/>
        </w:rPr>
        <w:t xml:space="preserve">Investor or an Affiliate thereof) shall be deemed, for purposes hereof, as an Other Non-Initial Investor and shall not have the subscription rights contemplated by </w:t>
      </w:r>
      <w:r>
        <w:rPr>
          <w:rFonts w:ascii="Arial" w:cs="Arial" w:eastAsia="Arial" w:hAnsi="Arial"/>
          <w:sz w:val="18"/>
          <w:szCs w:val="18"/>
          <w:u w:val="single" w:color="auto"/>
          <w:color w:val="auto"/>
        </w:rPr>
        <w:t>Section 3(f)</w:t>
      </w:r>
      <w:r>
        <w:rPr>
          <w:rFonts w:ascii="Arial" w:cs="Arial" w:eastAsia="Arial" w:hAnsi="Arial"/>
          <w:sz w:val="18"/>
          <w:szCs w:val="18"/>
          <w:color w:val="auto"/>
        </w:rPr>
        <w:t xml:space="preserve"> herein.</w:t>
      </w:r>
    </w:p>
    <w:p>
      <w:pPr>
        <w:spacing w:after="0" w:line="170" w:lineRule="exact"/>
        <w:rPr>
          <w:sz w:val="20"/>
          <w:szCs w:val="20"/>
          <w:color w:val="auto"/>
        </w:rPr>
      </w:pPr>
    </w:p>
    <w:p>
      <w:pPr>
        <w:ind w:left="1960" w:hanging="656"/>
        <w:spacing w:after="0"/>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Financial Reports and Other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For so long as the following Persons meet the following requirements, respectively:</w:t>
      </w:r>
    </w:p>
    <w:p>
      <w:pPr>
        <w:spacing w:after="0" w:line="225" w:lineRule="exact"/>
        <w:rPr>
          <w:sz w:val="20"/>
          <w:szCs w:val="20"/>
          <w:color w:val="auto"/>
        </w:rPr>
      </w:pPr>
    </w:p>
    <w:p>
      <w:pPr>
        <w:ind w:left="1620" w:right="340" w:hanging="316"/>
        <w:spacing w:after="0" w:line="263" w:lineRule="auto"/>
        <w:tabs>
          <w:tab w:leader="none" w:pos="158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Institutional Investor (together with its Affiliates) Owns more than 5,500,000 Shares of Common Stock (on an as-converted to Common Stock basis and subject to appropriate adjustment for stock splits, stock dividends, combinations, and other recapitalizations),</w:t>
      </w:r>
    </w:p>
    <w:p>
      <w:pPr>
        <w:spacing w:after="0" w:line="183" w:lineRule="exact"/>
        <w:rPr>
          <w:rFonts w:ascii="Arial" w:cs="Arial" w:eastAsia="Arial" w:hAnsi="Arial"/>
          <w:sz w:val="18"/>
          <w:szCs w:val="18"/>
          <w:color w:val="auto"/>
        </w:rPr>
      </w:pPr>
    </w:p>
    <w:p>
      <w:pPr>
        <w:ind w:left="1620" w:right="80" w:hanging="316"/>
        <w:spacing w:after="0" w:line="308" w:lineRule="auto"/>
        <w:tabs>
          <w:tab w:leader="none" w:pos="158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March Capital (together with its Affiliates) Owns at least 4,392,492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100" w:hanging="316"/>
        <w:spacing w:after="0" w:line="308" w:lineRule="auto"/>
        <w:tabs>
          <w:tab w:leader="none" w:pos="158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IVP (together with its Affiliates) Owns at least 3,037,416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360" w:hanging="316"/>
        <w:spacing w:after="0" w:line="342" w:lineRule="auto"/>
        <w:tabs>
          <w:tab w:leader="none" w:pos="158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General Atlantic (together with its Affiliates) Owns at least 2,429,932 Shares of Common Stock (on an as-converted to Common Stock basis and subject to appropriate adjustment for stock splits, stock dividends, combinations, and other recapitalizations),</w:t>
      </w:r>
    </w:p>
    <w:p>
      <w:pPr>
        <w:spacing w:after="0" w:line="123" w:lineRule="exact"/>
        <w:rPr>
          <w:rFonts w:ascii="Arial" w:cs="Arial" w:eastAsia="Arial" w:hAnsi="Arial"/>
          <w:sz w:val="16"/>
          <w:szCs w:val="16"/>
          <w:color w:val="auto"/>
        </w:rPr>
      </w:pPr>
    </w:p>
    <w:p>
      <w:pPr>
        <w:ind w:left="1620" w:right="220" w:hanging="316"/>
        <w:spacing w:after="0" w:line="308" w:lineRule="auto"/>
        <w:tabs>
          <w:tab w:leader="none" w:pos="158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Telstra (together with its Affiliates) Owns at least 1,229,898 Shares of Common Stock (on an as-converted to Common Stock basis and subject to appropriate adjustment for stock splits, stock dividends, combinations, and other recapitalizations), or</w:t>
      </w:r>
    </w:p>
    <w:p>
      <w:pPr>
        <w:spacing w:after="0" w:line="146" w:lineRule="exact"/>
        <w:rPr>
          <w:rFonts w:ascii="Arial" w:cs="Arial" w:eastAsia="Arial" w:hAnsi="Arial"/>
          <w:sz w:val="17"/>
          <w:szCs w:val="17"/>
          <w:color w:val="auto"/>
        </w:rPr>
      </w:pPr>
    </w:p>
    <w:p>
      <w:pPr>
        <w:ind w:left="1620" w:hanging="316"/>
        <w:spacing w:after="0" w:line="277" w:lineRule="auto"/>
        <w:tabs>
          <w:tab w:leader="none" w:pos="158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Other Initial Investor (or such Related Management Individual, as applicable) is an employee of the Company or its subsidiaries or a member of the Board at the relevant time, then upon such Other Initial Investor’s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provide to such Persons the following:</w:t>
      </w:r>
    </w:p>
    <w:p>
      <w:pPr>
        <w:spacing w:after="0" w:line="225" w:lineRule="exact"/>
        <w:rPr>
          <w:sz w:val="20"/>
          <w:szCs w:val="20"/>
          <w:color w:val="auto"/>
        </w:rPr>
      </w:pPr>
    </w:p>
    <w:p>
      <w:pPr>
        <w:ind w:left="1300" w:right="200" w:firstLine="652"/>
        <w:spacing w:after="0" w:line="277" w:lineRule="auto"/>
        <w:tabs>
          <w:tab w:leader="none" w:pos="261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Quarterly Statements</w:t>
      </w:r>
      <w:r>
        <w:rPr>
          <w:rFonts w:ascii="Arial" w:cs="Arial" w:eastAsia="Arial" w:hAnsi="Arial"/>
          <w:sz w:val="18"/>
          <w:szCs w:val="18"/>
          <w:color w:val="auto"/>
        </w:rPr>
        <w:t>. As promptly as practical after they are provided to the Board, the unaudited quarterly financial statements of the Company and its subsidiaries;</w:t>
      </w:r>
    </w:p>
    <w:p>
      <w:pPr>
        <w:spacing w:after="0" w:line="170" w:lineRule="exact"/>
        <w:rPr>
          <w:rFonts w:ascii="Arial" w:cs="Arial" w:eastAsia="Arial" w:hAnsi="Arial"/>
          <w:sz w:val="18"/>
          <w:szCs w:val="18"/>
          <w:color w:val="auto"/>
        </w:rPr>
      </w:pPr>
    </w:p>
    <w:p>
      <w:pPr>
        <w:ind w:left="1300" w:right="260" w:firstLine="652"/>
        <w:spacing w:after="0" w:line="277" w:lineRule="auto"/>
        <w:tabs>
          <w:tab w:leader="none" w:pos="260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Monthly Statements</w:t>
      </w:r>
      <w:r>
        <w:rPr>
          <w:rFonts w:ascii="Arial" w:cs="Arial" w:eastAsia="Arial" w:hAnsi="Arial"/>
          <w:sz w:val="18"/>
          <w:szCs w:val="18"/>
          <w:color w:val="auto"/>
        </w:rPr>
        <w:t>. As promptly as practical after the end of each calendar month, the unaudited monthly financial statements of the Company and its subsidiaries to the extent provided to the Board;</w:t>
      </w:r>
    </w:p>
    <w:p>
      <w:pPr>
        <w:spacing w:after="0" w:line="170" w:lineRule="exact"/>
        <w:rPr>
          <w:rFonts w:ascii="Arial" w:cs="Arial" w:eastAsia="Arial" w:hAnsi="Arial"/>
          <w:sz w:val="18"/>
          <w:szCs w:val="18"/>
          <w:color w:val="auto"/>
        </w:rPr>
      </w:pPr>
    </w:p>
    <w:p>
      <w:pPr>
        <w:ind w:left="1300" w:right="280" w:firstLine="652"/>
        <w:spacing w:after="0" w:line="342" w:lineRule="auto"/>
        <w:tabs>
          <w:tab w:leader="none" w:pos="2606"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Annual Audit</w:t>
      </w:r>
      <w:r>
        <w:rPr>
          <w:rFonts w:ascii="Arial" w:cs="Arial" w:eastAsia="Arial" w:hAnsi="Arial"/>
          <w:sz w:val="16"/>
          <w:szCs w:val="16"/>
          <w:color w:val="auto"/>
        </w:rPr>
        <w:t>. As promptly as practical after they are provided to the Board, and in any event no later than 180 days after the end of each fiscal year, audited annual financial statements of the Company and its subsidiaries as of the end of such year;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6" w:name="page287"/>
    <w:bookmarkEnd w:id="286"/>
    <w:p>
      <w:pPr>
        <w:ind w:left="1300" w:right="20" w:firstLine="652"/>
        <w:spacing w:after="0" w:line="277" w:lineRule="auto"/>
        <w:tabs>
          <w:tab w:leader="none" w:pos="2616"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Annual Budget</w:t>
      </w:r>
      <w:r>
        <w:rPr>
          <w:rFonts w:ascii="Arial" w:cs="Arial" w:eastAsia="Arial" w:hAnsi="Arial"/>
          <w:sz w:val="18"/>
          <w:szCs w:val="18"/>
          <w:color w:val="auto"/>
        </w:rPr>
        <w:t>. As promptly as practical after it is approved by the Board, a copy of the annual budget of the Company and its subsidiaries; and</w:t>
      </w:r>
    </w:p>
    <w:p>
      <w:pPr>
        <w:spacing w:after="0" w:line="170" w:lineRule="exact"/>
        <w:rPr>
          <w:rFonts w:ascii="Arial" w:cs="Arial" w:eastAsia="Arial" w:hAnsi="Arial"/>
          <w:sz w:val="18"/>
          <w:szCs w:val="18"/>
          <w:color w:val="auto"/>
        </w:rPr>
      </w:pPr>
    </w:p>
    <w:p>
      <w:pPr>
        <w:ind w:left="1300" w:right="660" w:firstLine="652"/>
        <w:spacing w:after="0" w:line="277" w:lineRule="auto"/>
        <w:tabs>
          <w:tab w:leader="none" w:pos="261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Requested Information</w:t>
      </w:r>
      <w:r>
        <w:rPr>
          <w:rFonts w:ascii="Arial" w:cs="Arial" w:eastAsia="Arial" w:hAnsi="Arial"/>
          <w:sz w:val="18"/>
          <w:szCs w:val="18"/>
          <w:color w:val="auto"/>
        </w:rPr>
        <w:t>. As promptly as practical, such other data and information as from time to time may be reasonably requested by such Investor.</w:t>
      </w:r>
    </w:p>
    <w:p>
      <w:pPr>
        <w:spacing w:after="0" w:line="170" w:lineRule="exact"/>
        <w:rPr>
          <w:sz w:val="20"/>
          <w:szCs w:val="20"/>
          <w:color w:val="auto"/>
        </w:rPr>
      </w:pPr>
    </w:p>
    <w:p>
      <w:pPr>
        <w:ind w:right="60" w:firstLine="1952"/>
        <w:spacing w:after="0" w:line="296" w:lineRule="auto"/>
        <w:tabs>
          <w:tab w:leader="none" w:pos="2623"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Notwithstanding anything else in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to the contrary, the Company may cease providing the information set forth in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during the period starting with the date sixty (60) days before the Company’s good-faith estimate of the date of filing of a registration statement in connection with its Initial Public Offering if it reasonably concludes it must do so to comply with the SEC rules applicable to such registration statement and related offering;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Company’s covenants under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shall be reinstated at such time as the Company is no longer actively employing its commercially reasonable efforts to cause such registration statement to become effective.</w:t>
      </w:r>
    </w:p>
    <w:p>
      <w:pPr>
        <w:spacing w:after="0" w:line="161" w:lineRule="exact"/>
        <w:rPr>
          <w:rFonts w:ascii="Arial" w:cs="Arial" w:eastAsia="Arial" w:hAnsi="Arial"/>
          <w:sz w:val="16"/>
          <w:szCs w:val="16"/>
          <w:color w:val="auto"/>
        </w:rPr>
      </w:pPr>
    </w:p>
    <w:p>
      <w:pPr>
        <w:ind w:left="1960" w:hanging="656"/>
        <w:spacing w:after="0"/>
        <w:tabs>
          <w:tab w:leader="none" w:pos="196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Inspection Rights</w:t>
      </w:r>
      <w:r>
        <w:rPr>
          <w:rFonts w:ascii="Arial" w:cs="Arial" w:eastAsia="Arial" w:hAnsi="Arial"/>
          <w:sz w:val="17"/>
          <w:szCs w:val="17"/>
          <w:color w:val="auto"/>
        </w:rPr>
        <w:t>. Following the date hereof and for so long as the following Persons meet the following requirements,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respectively:</w:t>
      </w:r>
    </w:p>
    <w:p>
      <w:pPr>
        <w:spacing w:after="0" w:line="211" w:lineRule="exact"/>
        <w:rPr>
          <w:sz w:val="20"/>
          <w:szCs w:val="20"/>
          <w:color w:val="auto"/>
        </w:rPr>
      </w:pPr>
    </w:p>
    <w:p>
      <w:pPr>
        <w:ind w:left="1620" w:right="340" w:hanging="316"/>
        <w:spacing w:after="0" w:line="263" w:lineRule="auto"/>
        <w:tabs>
          <w:tab w:leader="none" w:pos="158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Institutional Investor (together with its Affiliates) Owns more than 5,500,000 Shares of Common Stock (on an as-converted to Common Stock basis and subject to appropriate adjustment for stock splits, stock dividends, combinations, and other recapitalizations),</w:t>
      </w:r>
    </w:p>
    <w:p>
      <w:pPr>
        <w:spacing w:after="0" w:line="183" w:lineRule="exact"/>
        <w:rPr>
          <w:rFonts w:ascii="Arial" w:cs="Arial" w:eastAsia="Arial" w:hAnsi="Arial"/>
          <w:sz w:val="18"/>
          <w:szCs w:val="18"/>
          <w:color w:val="auto"/>
        </w:rPr>
      </w:pPr>
    </w:p>
    <w:p>
      <w:pPr>
        <w:ind w:left="1620" w:right="80" w:hanging="316"/>
        <w:spacing w:after="0" w:line="308" w:lineRule="auto"/>
        <w:tabs>
          <w:tab w:leader="none" w:pos="158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March Capital (together with its Affiliates) Owns at least 4,392,492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100" w:hanging="316"/>
        <w:spacing w:after="0" w:line="308" w:lineRule="auto"/>
        <w:tabs>
          <w:tab w:leader="none" w:pos="158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IVP (together with its Affiliates) Owns at least 3,037,416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360" w:hanging="316"/>
        <w:spacing w:after="0" w:line="342" w:lineRule="auto"/>
        <w:tabs>
          <w:tab w:leader="none" w:pos="158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General Atlantic (together with its Affiliates) Owns at least 2,429,932 Shares of Common Stock (on an as-converted to Common Stock basis and subject to appropriate adjustment for stock splits, stock dividends, combinations, and other recapitalizations),</w:t>
      </w:r>
    </w:p>
    <w:p>
      <w:pPr>
        <w:spacing w:after="0" w:line="123" w:lineRule="exact"/>
        <w:rPr>
          <w:rFonts w:ascii="Arial" w:cs="Arial" w:eastAsia="Arial" w:hAnsi="Arial"/>
          <w:sz w:val="16"/>
          <w:szCs w:val="16"/>
          <w:color w:val="auto"/>
        </w:rPr>
      </w:pPr>
    </w:p>
    <w:p>
      <w:pPr>
        <w:ind w:left="1620" w:right="220" w:hanging="316"/>
        <w:spacing w:after="0" w:line="308" w:lineRule="auto"/>
        <w:tabs>
          <w:tab w:leader="none" w:pos="158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Telstra (together with its Affiliates) Owns at least 1,229,898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hanging="316"/>
        <w:spacing w:after="0" w:line="277" w:lineRule="auto"/>
        <w:tabs>
          <w:tab w:leader="none" w:pos="158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 Other Initial Investor (or such Related Management Individual, as applicable) is an employee of the Company or its subsidiaries or a member of the Board,</w:t>
      </w:r>
    </w:p>
    <w:p>
      <w:pPr>
        <w:spacing w:after="0" w:line="170"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the Company will permit such Persons, and their nominees, assignees and representatives, at such Person’s expense, to visit and inspect any of the properties of the Company and its subsidiaries, to examine all its books of account, records, reports and other papers, to make copies and extracts therefrom, and to discuss its affairs, finances and accounts with its officers, all at such reasonable times and as often as may be reasonably requested.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7" w:name="page288"/>
    <w:bookmarkEnd w:id="287"/>
    <w:p>
      <w:pPr>
        <w:ind w:right="40" w:firstLine="1304"/>
        <w:spacing w:after="0" w:line="293" w:lineRule="auto"/>
        <w:tabs>
          <w:tab w:leader="none" w:pos="1955"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Business Updates</w:t>
      </w:r>
      <w:r>
        <w:rPr>
          <w:rFonts w:ascii="Arial" w:cs="Arial" w:eastAsia="Arial" w:hAnsi="Arial"/>
          <w:sz w:val="16"/>
          <w:szCs w:val="16"/>
          <w:color w:val="auto"/>
        </w:rPr>
        <w:t>. Following the date on which an Other Initial Investor (or such Related Management Individual, as applicable) is no longer an employee of the Company or its subsidiaries or a member of the Board, no more than semi-annually, such Other Initial Investor shall have the right to request the Company provide such Other Initial Investor with an update on the general business of the Company solely for the purpose of such Other Initial Investor monitoring its investment in the Company. The Company shall have sole discretion to determine the type, scope and detail of the information or other details to be provided to such Other Initial Investor in connection with such update. Each Other Initial Investor acknowledges that the Company does intend to provide such Other Initial Investor with any of the information contemplated by Section 1(c)(i) herein.</w:t>
      </w:r>
    </w:p>
    <w:p>
      <w:pPr>
        <w:spacing w:after="0" w:line="164" w:lineRule="exact"/>
        <w:rPr>
          <w:rFonts w:ascii="Arial" w:cs="Arial" w:eastAsia="Arial" w:hAnsi="Arial"/>
          <w:sz w:val="16"/>
          <w:szCs w:val="16"/>
          <w:color w:val="auto"/>
        </w:rPr>
      </w:pPr>
    </w:p>
    <w:p>
      <w:pPr>
        <w:ind w:firstLine="1304"/>
        <w:spacing w:after="0" w:line="268" w:lineRule="auto"/>
        <w:tabs>
          <w:tab w:leader="none" w:pos="1948"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any confidential information obtained from the Company pursuant to the terms of this Agreement or the terms of the Registration Rights Agreement,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Section 1(f)</w:t>
      </w:r>
      <w:r>
        <w:rPr>
          <w:rFonts w:ascii="Arial" w:cs="Arial" w:eastAsia="Arial" w:hAnsi="Arial"/>
          <w:sz w:val="17"/>
          <w:szCs w:val="17"/>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advisors, and other professionals to the extent necessary to obtain their services in connection with monitoring its investment in the Company; (ii) to any prospective purchaser of any Registrable Securities (as defined in the Registration Rights Agreement) from such Investor,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Investor informs such Person that such information is confidential and directs such Person to maintain the confidentiality of such information; (iii) to any existing or prospective Affiliate, partner, member, stockholder, or wholly owned subsidiary of such Investor in the ordinary course of business,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Investor informs such Person that such information is confidential and directs such Person to maintain the confidentiality of such information; or (iv) as may otherwise be required by law, rule, regulation or court or other governmental order,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Investor promptly notifies the Company of such disclosure and takes reasonable steps to minimize the extent of any such required disclosure.</w:t>
      </w:r>
    </w:p>
    <w:p>
      <w:pPr>
        <w:spacing w:after="0" w:line="186" w:lineRule="exact"/>
        <w:rPr>
          <w:rFonts w:ascii="Arial" w:cs="Arial" w:eastAsia="Arial" w:hAnsi="Arial"/>
          <w:sz w:val="17"/>
          <w:szCs w:val="17"/>
          <w:color w:val="auto"/>
        </w:rPr>
      </w:pPr>
    </w:p>
    <w:p>
      <w:pPr>
        <w:ind w:right="100" w:firstLine="1304"/>
        <w:spacing w:after="0" w:line="270" w:lineRule="auto"/>
        <w:tabs>
          <w:tab w:leader="none" w:pos="1965"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Assignment of Repurchase Rights Under the Stock Plan</w:t>
      </w:r>
      <w:r>
        <w:rPr>
          <w:rFonts w:ascii="Arial" w:cs="Arial" w:eastAsia="Arial" w:hAnsi="Arial"/>
          <w:sz w:val="17"/>
          <w:szCs w:val="17"/>
          <w:color w:val="auto"/>
        </w:rPr>
        <w:t>. In the event that the Company elects to assign its repurchase rights under any employee stock option plan, stock bonus plan, stock purchase plan to any of the Institutional Investors that may be assigned the Company’s repurchase rights under such plan (the “</w:t>
      </w:r>
      <w:r>
        <w:rPr>
          <w:rFonts w:ascii="Arial" w:cs="Arial" w:eastAsia="Arial" w:hAnsi="Arial"/>
          <w:sz w:val="17"/>
          <w:szCs w:val="17"/>
          <w:u w:val="single" w:color="auto"/>
          <w:color w:val="auto"/>
        </w:rPr>
        <w:t>Eligible Institutional Investors</w:t>
      </w:r>
      <w:r>
        <w:rPr>
          <w:rFonts w:ascii="Arial" w:cs="Arial" w:eastAsia="Arial" w:hAnsi="Arial"/>
          <w:sz w:val="17"/>
          <w:szCs w:val="17"/>
          <w:color w:val="auto"/>
        </w:rPr>
        <w:t>”), (i) first, the repurchase rights shall be assigned on a pro rata basis to the Eligible Institutional Investors based on the equity ownership (as converted to Common Stock) among all of the Eligible Institutional Investors and (ii) second, to the extent that all of the repurchase rights are not exercised by all of the Eligible Institutional Investors, any such unexercised repurchase rights shall be assigned on a pro rata basis to the Eligible Institutional Investors that have chosen to fully exercise the repurchase rights assigned pursuant to (i) above based on the equity ownership (as converted to Common Stock) among all such Eligible Institutional Investors that have chosen to fully exercise the repurchase rights. An Eligible Institutional Investor shall be entitled to apportion the right of first offer hereby granted it among itself and its partners and Affiliates in such proportions as it deems appropriate.</w:t>
      </w:r>
    </w:p>
    <w:p>
      <w:pPr>
        <w:spacing w:after="0" w:line="180" w:lineRule="exact"/>
        <w:rPr>
          <w:rFonts w:ascii="Arial" w:cs="Arial" w:eastAsia="Arial" w:hAnsi="Arial"/>
          <w:sz w:val="17"/>
          <w:szCs w:val="17"/>
          <w:color w:val="auto"/>
        </w:rPr>
      </w:pPr>
    </w:p>
    <w:p>
      <w:pPr>
        <w:ind w:left="1960" w:hanging="656"/>
        <w:spacing w:after="0"/>
        <w:tabs>
          <w:tab w:leader="none" w:pos="196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will make all federal and state tax withholdings and fulfill all tax reporting requirements, each as required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210" w:lineRule="exact"/>
        <w:rPr>
          <w:rFonts w:ascii="Arial" w:cs="Arial" w:eastAsia="Arial" w:hAnsi="Arial"/>
          <w:sz w:val="16"/>
          <w:szCs w:val="16"/>
          <w:color w:val="auto"/>
        </w:rPr>
      </w:pPr>
    </w:p>
    <w:p>
      <w:pPr>
        <w:ind w:firstLine="1304"/>
        <w:spacing w:after="0" w:line="263" w:lineRule="auto"/>
        <w:tabs>
          <w:tab w:leader="none" w:pos="1965"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Employee Equity</w:t>
      </w:r>
      <w:r>
        <w:rPr>
          <w:rFonts w:ascii="Arial" w:cs="Arial" w:eastAsia="Arial" w:hAnsi="Arial"/>
          <w:sz w:val="18"/>
          <w:szCs w:val="18"/>
          <w:color w:val="auto"/>
        </w:rPr>
        <w:t>. The Company shall offer, issue and sell shares of Common Stock or Share Equivalents pursuant to any of the Company’s or any of its subsidiaries’ stock option plans, stock bonus plans, stock incentive plans, employment agreements or other management equity programs or other similar plans or programs (i) in compliance with the terms and conditions of the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88" w:name="page289"/>
    <w:bookmarkEnd w:id="288"/>
    <w:p>
      <w:pPr>
        <w:ind w:right="80"/>
        <w:spacing w:after="0" w:line="277" w:lineRule="auto"/>
        <w:rPr>
          <w:sz w:val="20"/>
          <w:szCs w:val="20"/>
          <w:color w:val="auto"/>
        </w:rPr>
      </w:pPr>
      <w:r>
        <w:rPr>
          <w:rFonts w:ascii="Arial" w:cs="Arial" w:eastAsia="Arial" w:hAnsi="Arial"/>
          <w:sz w:val="18"/>
          <w:szCs w:val="18"/>
          <w:color w:val="auto"/>
        </w:rPr>
        <w:t>applicable plan, program or arrangement and (ii) pursuant to a valid exemption from the registration requirements of the Securities Act and any applicable state securities laws.</w:t>
      </w:r>
    </w:p>
    <w:p>
      <w:pPr>
        <w:spacing w:after="0" w:line="170" w:lineRule="exact"/>
        <w:rPr>
          <w:sz w:val="20"/>
          <w:szCs w:val="20"/>
          <w:color w:val="auto"/>
        </w:rPr>
      </w:pPr>
    </w:p>
    <w:p>
      <w:pPr>
        <w:ind w:left="1960" w:hanging="656"/>
        <w:spacing w:after="0"/>
        <w:tabs>
          <w:tab w:leader="none" w:pos="1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ind w:left="1940" w:hanging="636"/>
        <w:spacing w:after="0"/>
        <w:tabs>
          <w:tab w:leader="none" w:pos="19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952"/>
        <w:spacing w:after="0" w:line="272" w:lineRule="auto"/>
        <w:tabs>
          <w:tab w:leader="none" w:pos="2613"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As of the date hereof, the Board will consist of George Kurtz (as the Chief Executive Officer Director), Gerhard Watzinger (as an Independent Director), Denis O’Leary (as an Independent Director), Godfrey Sullivan (as an Independent Director), Cary Davis (as a Series A-1 Preferred Director), Joe Landy (as a Series A-1 Preferred Director), Sameer Gandhi (as the Series B Preferred Director) and Joe Sexton (as the Mutual Director). From and after the Initial Closing Date, the Investors and the Company shall take all reasonable action within their respective power, including, but not limited to, the voting of (or acting by written consent with respect to) all shares of voting capital stock of the Company Owned by them (including the Shares), required to cause the Board to consist of eight (8) members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number of directors that may serve on the Board may be expanded in accordance with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hereof) which shall include:</w:t>
      </w:r>
    </w:p>
    <w:p>
      <w:pPr>
        <w:spacing w:after="0" w:line="177" w:lineRule="exact"/>
        <w:rPr>
          <w:sz w:val="20"/>
          <w:szCs w:val="20"/>
          <w:color w:val="auto"/>
        </w:rPr>
      </w:pPr>
    </w:p>
    <w:p>
      <w:pPr>
        <w:ind w:left="2620" w:hanging="668"/>
        <w:spacing w:after="0"/>
        <w:tabs>
          <w:tab w:leader="none" w:pos="2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then-current Chief Executive Officer of the Company;</w:t>
      </w:r>
    </w:p>
    <w:p>
      <w:pPr>
        <w:spacing w:after="0" w:line="225" w:lineRule="exact"/>
        <w:rPr>
          <w:rFonts w:ascii="Arial" w:cs="Arial" w:eastAsia="Arial" w:hAnsi="Arial"/>
          <w:sz w:val="18"/>
          <w:szCs w:val="18"/>
          <w:color w:val="auto"/>
        </w:rPr>
      </w:pPr>
    </w:p>
    <w:p>
      <w:pPr>
        <w:ind w:left="1300" w:right="20" w:firstLine="652"/>
        <w:spacing w:after="0" w:line="291" w:lineRule="auto"/>
        <w:tabs>
          <w:tab w:leader="none" w:pos="260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three (3) representatives (each an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xml:space="preserve">”) designated by (x) the Majority Institutional Investors and George Kurtz for so long as Mr. Kurtz is an employee of the Company or its subsidiaries, or (y) if Mr. Kurtz is no longer an employee of the Company, vote or consent of a majority of the members of the Board at the time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majority approval includes the approval of a Series A-1 Preferred Director (the “</w:t>
      </w:r>
      <w:r>
        <w:rPr>
          <w:rFonts w:ascii="Arial" w:cs="Arial" w:eastAsia="Arial" w:hAnsi="Arial"/>
          <w:sz w:val="16"/>
          <w:szCs w:val="16"/>
          <w:u w:val="single" w:color="auto"/>
          <w:color w:val="auto"/>
        </w:rPr>
        <w:t>Required Board Approval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absent an agreement between the Majority Institutional Investors and George Kurtz (for so long as Mr. Kurtz is an employee of the Company or its subsidiaries) or the Required Board Approval, as applicable, with respect to the designation of any such Independent Director, such directorship shall remain vacant until such time as such holders reach an agreement with respect to such directorship;</w:t>
      </w:r>
    </w:p>
    <w:p>
      <w:pPr>
        <w:spacing w:after="0" w:line="166" w:lineRule="exact"/>
        <w:rPr>
          <w:rFonts w:ascii="Arial" w:cs="Arial" w:eastAsia="Arial" w:hAnsi="Arial"/>
          <w:sz w:val="16"/>
          <w:szCs w:val="16"/>
          <w:color w:val="auto"/>
        </w:rPr>
      </w:pPr>
    </w:p>
    <w:p>
      <w:pPr>
        <w:ind w:left="1300" w:right="240" w:firstLine="652"/>
        <w:spacing w:after="0" w:line="263" w:lineRule="auto"/>
        <w:tabs>
          <w:tab w:leader="none" w:pos="260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one (1) representative designated by the holders of record of at least a majority of the outstanding shares of Series B Preferred Stock, exclusively and as a separate class, in accordance with the terms of the Certificate of Incorporation (the “</w:t>
      </w:r>
      <w:r>
        <w:rPr>
          <w:rFonts w:ascii="Arial" w:cs="Arial" w:eastAsia="Arial" w:hAnsi="Arial"/>
          <w:sz w:val="18"/>
          <w:szCs w:val="18"/>
          <w:u w:val="single" w:color="auto"/>
          <w:color w:val="auto"/>
        </w:rPr>
        <w:t>Series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Director</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one (1) representative shall be designated by holders of record of at least a majority of the outstanding shares of</w:t>
      </w:r>
    </w:p>
    <w:p>
      <w:pPr>
        <w:spacing w:after="0" w:line="35" w:lineRule="exact"/>
        <w:rPr>
          <w:sz w:val="20"/>
          <w:szCs w:val="20"/>
          <w:color w:val="auto"/>
        </w:rPr>
      </w:pPr>
    </w:p>
    <w:p>
      <w:pPr>
        <w:ind w:left="1300" w:right="40"/>
        <w:spacing w:after="0" w:line="255" w:lineRule="auto"/>
        <w:rPr>
          <w:sz w:val="20"/>
          <w:szCs w:val="20"/>
          <w:color w:val="auto"/>
        </w:rPr>
      </w:pPr>
      <w:r>
        <w:rPr>
          <w:rFonts w:ascii="Arial" w:cs="Arial" w:eastAsia="Arial" w:hAnsi="Arial"/>
          <w:sz w:val="18"/>
          <w:szCs w:val="18"/>
          <w:color w:val="auto"/>
        </w:rPr>
        <w:t xml:space="preserve">Series A-1 Preferred Stock, exclusively and as a separate class, in accordance with the terms of the Certificate of Incorporation;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Mr. Kurtz is an employee of the Company or its subsidiaries at the time of designation, such representative shall be reasonably acceptable to George Kurtz (such director, the “</w:t>
      </w:r>
      <w:r>
        <w:rPr>
          <w:rFonts w:ascii="Arial" w:cs="Arial" w:eastAsia="Arial" w:hAnsi="Arial"/>
          <w:sz w:val="18"/>
          <w:szCs w:val="18"/>
          <w:u w:val="single" w:color="auto"/>
          <w:color w:val="auto"/>
        </w:rPr>
        <w:t>Mutual Director</w:t>
      </w:r>
      <w:r>
        <w:rPr>
          <w:rFonts w:ascii="Arial" w:cs="Arial" w:eastAsia="Arial" w:hAnsi="Arial"/>
          <w:sz w:val="18"/>
          <w:szCs w:val="18"/>
          <w:color w:val="auto"/>
        </w:rPr>
        <w:t>”); and</w:t>
      </w:r>
    </w:p>
    <w:p>
      <w:pPr>
        <w:spacing w:after="0" w:line="190" w:lineRule="exact"/>
        <w:rPr>
          <w:sz w:val="20"/>
          <w:szCs w:val="20"/>
          <w:color w:val="auto"/>
        </w:rPr>
      </w:pPr>
    </w:p>
    <w:p>
      <w:pPr>
        <w:ind w:left="1300" w:firstLine="652"/>
        <w:spacing w:after="0" w:line="259" w:lineRule="auto"/>
        <w:tabs>
          <w:tab w:leader="none" w:pos="261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two (2) representatives designated by the holders of record of at least a majority of the outstanding shares of Series A-1 Preferred Stock, exclusively and as a separate class, in accordance with the terms of the Certificate of Incorporation (the “</w:t>
      </w:r>
      <w:r>
        <w:rPr>
          <w:rFonts w:ascii="Arial" w:cs="Arial" w:eastAsia="Arial" w:hAnsi="Arial"/>
          <w:sz w:val="18"/>
          <w:szCs w:val="18"/>
          <w:u w:val="single" w:color="auto"/>
          <w:color w:val="auto"/>
        </w:rPr>
        <w:t>Series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Directors</w:t>
      </w:r>
      <w:r>
        <w:rPr>
          <w:rFonts w:ascii="Arial" w:cs="Arial" w:eastAsia="Arial" w:hAnsi="Arial"/>
          <w:sz w:val="18"/>
          <w:szCs w:val="18"/>
          <w:color w:val="auto"/>
        </w:rPr>
        <w:t>”, each a “</w:t>
      </w:r>
      <w:r>
        <w:rPr>
          <w:rFonts w:ascii="Arial" w:cs="Arial" w:eastAsia="Arial" w:hAnsi="Arial"/>
          <w:sz w:val="18"/>
          <w:szCs w:val="18"/>
          <w:u w:val="single" w:color="auto"/>
          <w:color w:val="auto"/>
        </w:rPr>
        <w:t>Series A-1 Preferred Director</w:t>
      </w:r>
      <w:r>
        <w:rPr>
          <w:rFonts w:ascii="Arial" w:cs="Arial" w:eastAsia="Arial" w:hAnsi="Arial"/>
          <w:sz w:val="18"/>
          <w:szCs w:val="18"/>
          <w:color w:val="auto"/>
        </w:rPr>
        <w:t>”, and together with the Mutual Director and the Series B Director, the “</w:t>
      </w:r>
      <w:r>
        <w:rPr>
          <w:rFonts w:ascii="Arial" w:cs="Arial" w:eastAsia="Arial" w:hAnsi="Arial"/>
          <w:sz w:val="18"/>
          <w:szCs w:val="18"/>
          <w:u w:val="single" w:color="auto"/>
          <w:color w:val="auto"/>
        </w:rPr>
        <w:t>Preferred Directors</w:t>
      </w:r>
      <w:r>
        <w:rPr>
          <w:rFonts w:ascii="Arial" w:cs="Arial" w:eastAsia="Arial" w:hAnsi="Arial"/>
          <w:sz w:val="18"/>
          <w:szCs w:val="18"/>
          <w:color w:val="auto"/>
        </w:rPr>
        <w:t>”, each a “</w:t>
      </w:r>
      <w:r>
        <w:rPr>
          <w:rFonts w:ascii="Arial" w:cs="Arial" w:eastAsia="Arial" w:hAnsi="Arial"/>
          <w:sz w:val="18"/>
          <w:szCs w:val="18"/>
          <w:u w:val="single" w:color="auto"/>
          <w:color w:val="auto"/>
        </w:rPr>
        <w:t>Preferred Director</w:t>
      </w:r>
      <w:r>
        <w:rPr>
          <w:rFonts w:ascii="Arial" w:cs="Arial" w:eastAsia="Arial" w:hAnsi="Arial"/>
          <w:sz w:val="18"/>
          <w:szCs w:val="18"/>
          <w:color w:val="auto"/>
        </w:rPr>
        <w: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89" w:name="page290"/>
    <w:bookmarkEnd w:id="289"/>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Each member of the Board shall have one vote on matters submitted to the Board for approval.</w:t>
      </w:r>
    </w:p>
    <w:p>
      <w:pPr>
        <w:spacing w:after="0" w:line="225" w:lineRule="exact"/>
        <w:rPr>
          <w:sz w:val="20"/>
          <w:szCs w:val="20"/>
          <w:color w:val="auto"/>
        </w:rPr>
      </w:pPr>
    </w:p>
    <w:p>
      <w:pPr>
        <w:ind w:right="40" w:firstLine="1952"/>
        <w:spacing w:after="0" w:line="269" w:lineRule="auto"/>
        <w:tabs>
          <w:tab w:leader="none" w:pos="2623"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upon a Redemption Default Event (as defined in the Certificate of Incorporation), the number of directors that may serve on the Board shall be expanded to the number of directors required such that the holders of at least a majority of the outstanding shares of Voting Preferred Stock shall have the right, but not the obligation, exclusively and as a separate class, at any time while the Redemption Default Event is continuing, to elect a majority of the directors of the Company in accordance with the Certificate of Incorporation. Each Investor agrees to vote, or cause to be voted, all voting Shares owned by such Investor, or over which such Investor has voting control, from time to time and at all times while such Redemption Default Event is continuing, in whatever manner as shall be necessary to ensure that, at each annual or special meeting of stockholders at which an election of directors is held or pursuant to any written consent of the stockholders during such time, such directors designated by the holders of record of at least a majority of the outstanding shares of Voting Preferred Stock, exclusively and as a separate class, shall be elected to the Board. The Company and each Investor shall take or cause to be taken all lawful action necessary to ensure at all times as of and following the date hereof that the organizational documents of the Company (including the Certificate of Incorporation and the Bylaws of the Company) are not inconsistent with, or in any way limit, the provisions of this </w:t>
      </w:r>
      <w:r>
        <w:rPr>
          <w:rFonts w:ascii="Arial" w:cs="Arial" w:eastAsia="Arial" w:hAnsi="Arial"/>
          <w:sz w:val="17"/>
          <w:szCs w:val="17"/>
          <w:u w:val="single" w:color="auto"/>
          <w:color w:val="auto"/>
        </w:rPr>
        <w:t>Section 2(a)(ii)</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firstLine="1952"/>
        <w:spacing w:after="0" w:line="285" w:lineRule="auto"/>
        <w:tabs>
          <w:tab w:leader="none" w:pos="2632" w:val="left"/>
        </w:tabs>
        <w:numPr>
          <w:ilvl w:val="1"/>
          <w:numId w:val="177"/>
        </w:numPr>
        <w:rPr>
          <w:rFonts w:ascii="Arial" w:cs="Arial" w:eastAsia="Arial" w:hAnsi="Arial"/>
          <w:sz w:val="16"/>
          <w:szCs w:val="16"/>
          <w:color w:val="auto"/>
        </w:rPr>
      </w:pPr>
      <w:r>
        <w:rPr>
          <w:rFonts w:ascii="Arial" w:cs="Arial" w:eastAsia="Arial" w:hAnsi="Arial"/>
          <w:sz w:val="16"/>
          <w:szCs w:val="16"/>
          <w:color w:val="auto"/>
        </w:rPr>
        <w:t>From the date on which the Company completes an Initial Public Offering, and for as long as Warburg Pincus Private Equity X, L.P. and Warburg Pincus X Partners, L.P. (together with any successors and affiliated funds, including Permitted Transferees, “</w:t>
      </w:r>
      <w:r>
        <w:rPr>
          <w:rFonts w:ascii="Arial" w:cs="Arial" w:eastAsia="Arial" w:hAnsi="Arial"/>
          <w:sz w:val="16"/>
          <w:szCs w:val="16"/>
          <w:u w:val="single" w:color="auto"/>
          <w:color w:val="auto"/>
        </w:rPr>
        <w:t>Warburg Pincus</w:t>
      </w:r>
      <w:r>
        <w:rPr>
          <w:rFonts w:ascii="Arial" w:cs="Arial" w:eastAsia="Arial" w:hAnsi="Arial"/>
          <w:sz w:val="16"/>
          <w:szCs w:val="16"/>
          <w:color w:val="auto"/>
        </w:rPr>
        <w:t xml:space="preserve">”) Owns at least five percent (5%) of the issued and outstanding Common Stock, the Company will nominate and use its commercially reasonable efforts (including, without limitation, soliciting proxies for the Warburg Pincus designee to the same extent as it does for any of its other nominees to the Board) to have such number of individuals designated by Warburg Pincus elected to the Board so that the number of individuals designated by Warburg Pincus for election to the Board as compared to the size of the Board is proportionate to the number of Shares of issued and outstanding Common Stock then Owned by Warburg Pincus and its Affiliates as compared to the number of Shares of issued and outstanding Common Stock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as long as Warburg Pincus Owns at least five percent (5%) of the issued and outstanding Common Stock, Warburg Pincus shall have the right to designate at least the same number of individuals for election to the Board as Warburg Pincus was entitled to designate immediately prior to such Initial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as long as Warburg Pincus Owns at least five percent (5%) of the issued and outstanding Common Stock, Warburg Pincus shall have the right to designate at least one (1) individual for election to the Board. Following the Initial Public Offering, for as long as Warburg Pincus is entitled to appoint one or more persons to the Board, the Board, or a committee thereof consisting of non-employee directors (as such term is defined for purposes of Rule 16b-3 under the Exchange Act), shall, if requested by Warburg Pincus, and to the extent then permitted under applicable law, adopt resolutions and otherwise use reasonable efforts (without material cost to the Company) to cause any acquisition from the Company of securities or disposition of securities to the Company (including in connection with any exercise of warrants or other derivative securities held by Warburg Pincus or their Affiliates) to be exempt under Rule 16b-3 under the Exchange Act.</w:t>
      </w:r>
    </w:p>
    <w:p>
      <w:pPr>
        <w:spacing w:after="0" w:line="176" w:lineRule="exact"/>
        <w:rPr>
          <w:rFonts w:ascii="Arial" w:cs="Arial" w:eastAsia="Arial" w:hAnsi="Arial"/>
          <w:sz w:val="16"/>
          <w:szCs w:val="16"/>
          <w:color w:val="auto"/>
        </w:rPr>
      </w:pPr>
    </w:p>
    <w:p>
      <w:pPr>
        <w:ind w:right="160" w:firstLine="1304"/>
        <w:spacing w:after="0" w:line="275" w:lineRule="auto"/>
        <w:tabs>
          <w:tab w:leader="none" w:pos="1951"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Replacement Directors; Vacancies; Removal of Directors</w:t>
      </w:r>
      <w:r>
        <w:rPr>
          <w:rFonts w:ascii="Arial" w:cs="Arial" w:eastAsia="Arial" w:hAnsi="Arial"/>
          <w:sz w:val="17"/>
          <w:szCs w:val="17"/>
          <w:color w:val="auto"/>
        </w:rPr>
        <w:t xml:space="preserve">. In the event that any Preferred Director or Independent Director designated in the manner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hereof is unable to serve, or once having commenced to serve, is removed or withdraws from the Board (a “</w:t>
      </w:r>
      <w:r>
        <w:rPr>
          <w:rFonts w:ascii="Arial" w:cs="Arial" w:eastAsia="Arial" w:hAnsi="Arial"/>
          <w:sz w:val="17"/>
          <w:szCs w:val="17"/>
          <w:u w:val="single" w:color="auto"/>
          <w:color w:val="auto"/>
        </w:rPr>
        <w:t>Withdrawing Director</w:t>
      </w:r>
      <w:r>
        <w:rPr>
          <w:rFonts w:ascii="Arial" w:cs="Arial" w:eastAsia="Arial" w:hAnsi="Arial"/>
          <w:sz w:val="17"/>
          <w:szCs w:val="17"/>
          <w:color w:val="auto"/>
        </w:rPr>
        <w:t>”), such Withdrawing Director’s replacement (the “</w:t>
      </w:r>
      <w:r>
        <w:rPr>
          <w:rFonts w:ascii="Arial" w:cs="Arial" w:eastAsia="Arial" w:hAnsi="Arial"/>
          <w:sz w:val="17"/>
          <w:szCs w:val="17"/>
          <w:u w:val="single" w:color="auto"/>
          <w:color w:val="auto"/>
        </w:rPr>
        <w:t>Substitute Director</w:t>
      </w:r>
      <w:r>
        <w:rPr>
          <w:rFonts w:ascii="Arial" w:cs="Arial" w:eastAsia="Arial" w:hAnsi="Arial"/>
          <w:sz w:val="17"/>
          <w:szCs w:val="17"/>
          <w:color w:val="auto"/>
        </w:rPr>
        <w:t>”) will be designated exclusively by the Person(s) whose previously designated representative vacated the Board in accordance with the terms of the Certificate of Incorporation. The Investors and the Company agree to take all action within their respective power, including but not limited to, the voting of (or acting by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written consent with respect to) voting capital stock of the Company Owned by them (i) to cause the election of such Substitute Director promptly following his or her nomination pursuant to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(ii) upon the written request of the holders of at least a majority of the outstanding shares of the Series A-1 Preferred Stock, exclusively and as a separate class, in accordance with the terms of the Certificate of Incorporation, to remove, with or without cause, any Series A-1 Preferred Director in accordance with the terms of the Certificate of Incorporation, (iii) upon the written request of the holders of at least a majority of the outstanding shares of the Series B Preferred Stock, exclusively and as a separate class, in accordance with the terms of the Certificate of Incorporation, to remove, with or without cause, any Series B Preferred Director in accordance with the terms of the Certificate of Incorporation; (iv) upon the written request of (x) the Majority Institutional Investors and George Kurtz for so long as Mr. Kurtz is an employee of the Company or its subsidiaries, or (y) if Mr. Kurtz is no longer an employee of the Company, the Required Board Approval, to remove, with or without cause, any Independent Director; or (v) upon the written request of the holders of at least a majority of the outstanding shares of the Series A-1 Preferred Stock, to remove, with or without cause, the Mutual Director;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George Kurtz is an employee of the Company or its subsidiaries at the time of the proposed removal pursuant to this Section 2(b)(iv), such removal shall be reasonably acceptable to Mr. Kurtz. For the avoidance of doubt, the fact that the stockholder(s) of the Company entitled to designate a representative of the Board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fails to do so shall not in any way permit any Person other than such stockholder(s) to fill such vacancy. The Series A-1 Preferred Directors and the Mutual Director shall be deemed the Series A-1 Directors (as defined in the Certificate of Incorporation) for purposes of the Certificate of Incorporation and the Series B Preferred Director shall be deemed the Series B Director (as defined in the Certificate of Incorporation) for purposes of the Certificate of Incorporation.</w:t>
      </w:r>
    </w:p>
    <w:p>
      <w:pPr>
        <w:spacing w:after="0" w:line="167" w:lineRule="exact"/>
        <w:rPr>
          <w:sz w:val="20"/>
          <w:szCs w:val="20"/>
          <w:color w:val="auto"/>
        </w:rPr>
      </w:pPr>
    </w:p>
    <w:p>
      <w:pPr>
        <w:ind w:left="1960" w:hanging="656"/>
        <w:spacing w:after="0"/>
        <w:tabs>
          <w:tab w:leader="none" w:pos="196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Committees of the Board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52"/>
        <w:spacing w:after="0" w:line="286" w:lineRule="auto"/>
        <w:tabs>
          <w:tab w:leader="none" w:pos="261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In the event that the Board establishes any committee thereof, (a) so long as the holders of record of at least a majority of the outstanding shares of Series A-1 Preferred Stock, exclusively and as a separate class are entitled to designate at least one (1) Series A-1 Preferred Director, the Company will use commercially reasonable efforts to have such number of Series A-1 Preferred Directors appointed to each committee of the Board so that the number of Series A-1 Preferred Directors serving on each such committee compared to the size of such committee is proportionate to the number of Series A-1 Preferred Directors serving on the Board as compared to the number of members of the Board at such time, unless otherwise prohibited by law or applicable rules or regulations of any stock exchange or automated dealer quotation system on which the Common Stock is listed and excluding any committee formed to consider a transaction between Warburg Pincus and the Company and (b) so long as the holders of record of at least a majority of the outstanding shares of Series B Preferred Stock, exclusively and as a separate class are entitled to designate at least one (1) Series B Preferred Director, the Company will use commercially reasonable efforts to have such number of Series B Preferred Directors appointed to each committee of the Board so that the number of Series B Preferred Directors serving on each such committee compared to the size of such committee is proportionate to the number of Series B Preferred Directors serving on the Board as compared to the number of members of the Board at such time, unless otherwise prohibited by law or applicable rules or regulations of any stock exchange or automated dealer quotation system on which the Common Stock is listed and excluding any committee formed to consider a transaction between Accel Partners (“</w:t>
      </w:r>
      <w:r>
        <w:rPr>
          <w:rFonts w:ascii="Arial" w:cs="Arial" w:eastAsia="Arial" w:hAnsi="Arial"/>
          <w:sz w:val="16"/>
          <w:szCs w:val="16"/>
          <w:u w:val="single" w:color="auto"/>
          <w:color w:val="auto"/>
        </w:rPr>
        <w:t>Accel</w:t>
      </w:r>
      <w:r>
        <w:rPr>
          <w:rFonts w:ascii="Arial" w:cs="Arial" w:eastAsia="Arial" w:hAnsi="Arial"/>
          <w:sz w:val="16"/>
          <w:szCs w:val="16"/>
          <w:color w:val="auto"/>
        </w:rPr>
        <w:t>”) and the Company.</w:t>
      </w:r>
    </w:p>
    <w:p>
      <w:pPr>
        <w:spacing w:after="0" w:line="173" w:lineRule="exact"/>
        <w:rPr>
          <w:rFonts w:ascii="Arial" w:cs="Arial" w:eastAsia="Arial" w:hAnsi="Arial"/>
          <w:sz w:val="16"/>
          <w:szCs w:val="16"/>
          <w:color w:val="auto"/>
        </w:rPr>
      </w:pPr>
    </w:p>
    <w:p>
      <w:pPr>
        <w:ind w:right="60" w:firstLine="1304"/>
        <w:spacing w:after="0" w:line="311" w:lineRule="auto"/>
        <w:tabs>
          <w:tab w:leader="none" w:pos="1951"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Directors of Subsidiaries</w:t>
      </w:r>
      <w:r>
        <w:rPr>
          <w:rFonts w:ascii="Arial" w:cs="Arial" w:eastAsia="Arial" w:hAnsi="Arial"/>
          <w:sz w:val="16"/>
          <w:szCs w:val="16"/>
          <w:color w:val="auto"/>
        </w:rPr>
        <w:t>. Following the date hereof, (i) so long as the holders of record of at least a majority of the outstanding shares of Series A-1 Preferred Stock, exclusively and as a separate class are entitled to designate at least one (1) Series A-1 Preferred Director, the Company shall use commercially reasonable efforts to have such number of Series A-1 Preferred Directors appointed to the board of directors or managers</w:t>
      </w:r>
    </w:p>
    <w:p>
      <w:pPr>
        <w:sectPr>
          <w:pgSz w:w="11900" w:h="16849" w:orient="portrait"/>
          <w:cols w:equalWidth="0" w:num="1">
            <w:col w:w="11220"/>
          </w:cols>
          <w:pgMar w:left="320" w:top="341" w:right="359" w:bottom="0" w:gutter="0" w:footer="0" w:header="0"/>
        </w:sectPr>
      </w:pPr>
    </w:p>
    <w:bookmarkStart w:id="290" w:name="page291"/>
    <w:bookmarkEnd w:id="290"/>
    <w:p>
      <w:pPr>
        <w:spacing w:after="0" w:line="277" w:lineRule="auto"/>
        <w:rPr>
          <w:sz w:val="20"/>
          <w:szCs w:val="20"/>
          <w:color w:val="auto"/>
        </w:rPr>
      </w:pPr>
      <w:r>
        <w:rPr>
          <w:rFonts w:ascii="Arial" w:cs="Arial" w:eastAsia="Arial" w:hAnsi="Arial"/>
          <w:sz w:val="18"/>
          <w:szCs w:val="18"/>
          <w:color w:val="auto"/>
        </w:rPr>
        <w:t>of each subsidiary so that the number of Series A-1 Preferred Directors serving on each such board compared to the size of such board is proportionate to the number of Series A-</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291" w:name="page292"/>
    <w:bookmarkEnd w:id="291"/>
    <w:p>
      <w:pPr>
        <w:ind w:right="40"/>
        <w:spacing w:after="0" w:line="269" w:lineRule="auto"/>
        <w:rPr>
          <w:sz w:val="20"/>
          <w:szCs w:val="20"/>
          <w:color w:val="auto"/>
        </w:rPr>
      </w:pPr>
      <w:r>
        <w:rPr>
          <w:rFonts w:ascii="Arial" w:cs="Arial" w:eastAsia="Arial" w:hAnsi="Arial"/>
          <w:sz w:val="17"/>
          <w:szCs w:val="17"/>
          <w:color w:val="auto"/>
        </w:rPr>
        <w:t xml:space="preserve">1 Preferred Directors serving on the Board as compared to the number of members of the Board at such time, unless otherwise prohibited by law or applicable rules or regulations of any stock exchange or automated dealer quotation system on which the Common Stock is listed and (ii) so long as the holders of record of at least a majority of the outstanding shares of Series B Preferred Stock, exclusively and as a separate class are entitled to designate at least one (1) Series B Preferred Director, the Company shall use commercially reasonable efforts to have such number of Series B Preferred Directors appointed to the board of directors or managers of each subsidiary so that the number of Series B Preferred Directors serving on each such board compared to the size of such board is proportionate to the number of Series B Preferred Directors serving on the Board as compared to the number of members of the Board at such time, unless otherwise prohibited by law or applicable rules or regulations of any stock exchange or automated dealer quotation system on which the Common Stock is listed. Such designee(s) shall have the same right to participate on committees of the board of such subsidiaries as such designees have pursuant to </w:t>
      </w:r>
      <w:r>
        <w:rPr>
          <w:rFonts w:ascii="Arial" w:cs="Arial" w:eastAsia="Arial" w:hAnsi="Arial"/>
          <w:sz w:val="17"/>
          <w:szCs w:val="17"/>
          <w:u w:val="single" w:color="auto"/>
          <w:color w:val="auto"/>
        </w:rPr>
        <w:t>Section 2(c)</w:t>
      </w:r>
      <w:r>
        <w:rPr>
          <w:rFonts w:ascii="Arial" w:cs="Arial" w:eastAsia="Arial" w:hAnsi="Arial"/>
          <w:sz w:val="17"/>
          <w:szCs w:val="17"/>
          <w:color w:val="auto"/>
        </w:rPr>
        <w:t>. Notwithstanding anything to the contrary contained herein, the size of the board of directors or managers of each subsidiary of the Company shall not be larger than the size of the Board.</w:t>
      </w:r>
    </w:p>
    <w:p>
      <w:pPr>
        <w:spacing w:after="0" w:line="185" w:lineRule="exact"/>
        <w:rPr>
          <w:sz w:val="20"/>
          <w:szCs w:val="20"/>
          <w:color w:val="auto"/>
        </w:rPr>
      </w:pPr>
    </w:p>
    <w:p>
      <w:pPr>
        <w:ind w:firstLine="1304"/>
        <w:spacing w:after="0" w:line="287" w:lineRule="auto"/>
        <w:tabs>
          <w:tab w:leader="none" w:pos="1955"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Indemnification, Expense Reimbursement and Other Rights</w:t>
      </w:r>
      <w:r>
        <w:rPr>
          <w:rFonts w:ascii="Arial" w:cs="Arial" w:eastAsia="Arial" w:hAnsi="Arial"/>
          <w:sz w:val="16"/>
          <w:szCs w:val="16"/>
          <w:color w:val="auto"/>
        </w:rPr>
        <w:t>. In addition to any other indemnification rights the Independent Directors, the Series A-1 Preferred Directors, the Mutual Director and the Series B Director (the “</w:t>
      </w:r>
      <w:r>
        <w:rPr>
          <w:rFonts w:ascii="Arial" w:cs="Arial" w:eastAsia="Arial" w:hAnsi="Arial"/>
          <w:sz w:val="16"/>
          <w:szCs w:val="16"/>
          <w:u w:val="single" w:color="auto"/>
          <w:color w:val="auto"/>
        </w:rPr>
        <w:t>Directors</w:t>
      </w:r>
      <w:r>
        <w:rPr>
          <w:rFonts w:ascii="Arial" w:cs="Arial" w:eastAsia="Arial" w:hAnsi="Arial"/>
          <w:sz w:val="16"/>
          <w:szCs w:val="16"/>
          <w:color w:val="auto"/>
        </w:rPr>
        <w:t>” and each a “</w:t>
      </w:r>
      <w:r>
        <w:rPr>
          <w:rFonts w:ascii="Arial" w:cs="Arial" w:eastAsia="Arial" w:hAnsi="Arial"/>
          <w:sz w:val="16"/>
          <w:szCs w:val="16"/>
          <w:u w:val="single" w:color="auto"/>
          <w:color w:val="auto"/>
        </w:rPr>
        <w:t>Director</w:t>
      </w:r>
      <w:r>
        <w:rPr>
          <w:rFonts w:ascii="Arial" w:cs="Arial" w:eastAsia="Arial" w:hAnsi="Arial"/>
          <w:sz w:val="16"/>
          <w:szCs w:val="16"/>
          <w:color w:val="auto"/>
        </w:rPr>
        <w:t>”), have pursuant to the Certificate of Incorporation, the Bylaws of the Company and any agreement with the Company, each Director shall have the right to enter into, and the Company agrees to enter into, an indemnification agreement with each such Director, which indemnification agreement shall be reasonably acceptable to the Company and consistent with indemnification agreements customarily entered into between companies and their independent board members. The Company shall reimburse the reasonable expenses incurred by the Directors in connection with attending (whether in person or telephonically) all meetings of the Board or committees thereof or other Company related meetings to the same extent as all other members of the Board are reimbursed for such expenses (or, in case any such expense reimbursement policy shall apply only to non-employee directors, to the same extent as all other non-employee directors). The Company shall maintain director and officer insurance covering the Directors on the same terms and with the same amount of coverage as is provided to other members of the Board. Following the Initial Public Offering, each Preferred Director shall be entitled to the same equity grants and other stock incentives provided to non-employee members of the Board (which grants shall have the same vesting and other terms provided to non-employee members of the Board) and the Preferred Directors shall be paid the same Board and committee fees, if any, paid to non-employee members of the Board.</w:t>
      </w:r>
    </w:p>
    <w:p>
      <w:pPr>
        <w:spacing w:after="0" w:line="167" w:lineRule="exact"/>
        <w:rPr>
          <w:rFonts w:ascii="Arial" w:cs="Arial" w:eastAsia="Arial" w:hAnsi="Arial"/>
          <w:sz w:val="16"/>
          <w:szCs w:val="16"/>
          <w:color w:val="auto"/>
        </w:rPr>
      </w:pPr>
    </w:p>
    <w:p>
      <w:pPr>
        <w:ind w:right="40" w:firstLine="1304"/>
        <w:spacing w:after="0" w:line="259" w:lineRule="auto"/>
        <w:tabs>
          <w:tab w:leader="none" w:pos="194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Protective Provisions</w:t>
      </w:r>
      <w:r>
        <w:rPr>
          <w:rFonts w:ascii="Arial" w:cs="Arial" w:eastAsia="Arial" w:hAnsi="Arial"/>
          <w:sz w:val="18"/>
          <w:szCs w:val="18"/>
          <w:color w:val="auto"/>
        </w:rPr>
        <w:t>. The Company shall not, and shall not permit any subsidiary to, either directly or indirectly, by amendment, merger, consolidation or otherwise, do any of the following without (in addition to any other vote required by the General Corporation Law of the State of Delaware or the Certificate of Incorporation) the written consent or affirmative vote of a majority of the members of the Board, including the approval of at least one Series A-1 Preferred Director:</w:t>
      </w:r>
    </w:p>
    <w:p>
      <w:pPr>
        <w:spacing w:after="0" w:line="186" w:lineRule="exact"/>
        <w:rPr>
          <w:rFonts w:ascii="Arial" w:cs="Arial" w:eastAsia="Arial" w:hAnsi="Arial"/>
          <w:sz w:val="18"/>
          <w:szCs w:val="18"/>
          <w:color w:val="auto"/>
        </w:rPr>
      </w:pPr>
    </w:p>
    <w:p>
      <w:pPr>
        <w:ind w:right="20" w:firstLine="1952"/>
        <w:spacing w:after="0" w:line="293" w:lineRule="auto"/>
        <w:tabs>
          <w:tab w:leader="none" w:pos="2613" w:val="left"/>
        </w:tabs>
        <w:numPr>
          <w:ilvl w:val="1"/>
          <w:numId w:val="180"/>
        </w:numPr>
        <w:rPr>
          <w:rFonts w:ascii="Arial" w:cs="Arial" w:eastAsia="Arial" w:hAnsi="Arial"/>
          <w:sz w:val="16"/>
          <w:szCs w:val="16"/>
          <w:color w:val="auto"/>
        </w:rPr>
      </w:pPr>
      <w:r>
        <w:rPr>
          <w:rFonts w:ascii="Arial" w:cs="Arial" w:eastAsia="Arial" w:hAnsi="Arial"/>
          <w:sz w:val="16"/>
          <w:szCs w:val="16"/>
          <w:color w:val="auto"/>
        </w:rPr>
        <w:t>enter into any transaction between or among the Company or any subsidiary, on the one hand, and any director, officer, employee or holder, directly or indirectly, of more than 5% of the outstanding capital stock or other securities of any class or series of capital stock or other securities of the Company or any subsidiary, members of the family of any such person, or any affiliate or other associate, on the other hand, except (A) in the case of employees, for transactions on customary terms related to such person’s employment or pursuant to an employment agreement approved by the Board (including the approval of at least one Series A-1 Preferred Director), (B) for the issuance of additional shares of Preferred Stock pursuant to the terms of the Purchase Agreement or (C) as required to consummate the Redemption (as defined in the Certificate of Incorporation);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2" w:name="page293"/>
    <w:bookmarkEnd w:id="292"/>
    <w:p>
      <w:pPr>
        <w:ind w:right="60" w:firstLine="1952"/>
        <w:spacing w:after="0" w:line="296" w:lineRule="auto"/>
        <w:tabs>
          <w:tab w:leader="none" w:pos="2623"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incur, repay, forgive or guarantee any indebtedness between the Company or any subsidiary and any director, officer, employee or holder, directly or indirectly, of more than 5% of the outstanding capital stock or other securities of any class or series of capital stock or other securities of the Company or any subsidiary, members of the family of any such person, or any affiliate or other associate (except (A) for the reimbursement of expenses of employees for employment-related costs incurred in accordance with the Company’s reimbursement policies and (B) any recourse debt related to executive equity purchases approved by the Board (including the approval of at least one Series A-1 Preferred Director));</w:t>
      </w:r>
    </w:p>
    <w:p>
      <w:pPr>
        <w:spacing w:after="0" w:line="161" w:lineRule="exact"/>
        <w:rPr>
          <w:rFonts w:ascii="Arial" w:cs="Arial" w:eastAsia="Arial" w:hAnsi="Arial"/>
          <w:sz w:val="16"/>
          <w:szCs w:val="16"/>
          <w:color w:val="auto"/>
        </w:rPr>
      </w:pPr>
    </w:p>
    <w:p>
      <w:pPr>
        <w:ind w:right="40" w:firstLine="1952"/>
        <w:spacing w:after="0" w:line="279" w:lineRule="auto"/>
        <w:tabs>
          <w:tab w:leader="none" w:pos="2632"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accelerate the vesting of shares under any option pool, stock option, stock bonus or other employee stock plans for the benefit of the employees of the Company or its subsidiaries except for any acceleration of vesting that occurs automatically pursuant to the terms of any employment agreement, restricted stock award, option pool, stock option, stock bonus or other employee stock plans for the benefit of the employees of the Company or its subsidiaries approved by the Board (including the approval of at least one Series A-1 Preferred Director);</w:t>
      </w:r>
    </w:p>
    <w:p>
      <w:pPr>
        <w:spacing w:after="0" w:line="171" w:lineRule="exact"/>
        <w:rPr>
          <w:rFonts w:ascii="Arial" w:cs="Arial" w:eastAsia="Arial" w:hAnsi="Arial"/>
          <w:sz w:val="17"/>
          <w:szCs w:val="17"/>
          <w:color w:val="auto"/>
        </w:rPr>
      </w:pPr>
    </w:p>
    <w:p>
      <w:pPr>
        <w:ind w:right="240" w:firstLine="1952"/>
        <w:spacing w:after="0" w:line="308" w:lineRule="auto"/>
        <w:tabs>
          <w:tab w:leader="none" w:pos="2609" w:val="left"/>
        </w:tabs>
        <w:numPr>
          <w:ilvl w:val="1"/>
          <w:numId w:val="181"/>
        </w:numPr>
        <w:rPr>
          <w:rFonts w:ascii="Arial" w:cs="Arial" w:eastAsia="Arial" w:hAnsi="Arial"/>
          <w:sz w:val="17"/>
          <w:szCs w:val="17"/>
          <w:color w:val="auto"/>
        </w:rPr>
      </w:pPr>
      <w:r>
        <w:rPr>
          <w:rFonts w:ascii="Arial" w:cs="Arial" w:eastAsia="Arial" w:hAnsi="Arial"/>
          <w:sz w:val="17"/>
          <w:szCs w:val="17"/>
          <w:color w:val="auto"/>
        </w:rPr>
        <w:t>dismiss or appoint the Chief Executive Officer or the Chief Financial Officer of the Company or any other executive officer with policy making functions who reports directly to the Chief Executive Officer or the Chief Financial Officer of the Company;</w:t>
      </w:r>
    </w:p>
    <w:p>
      <w:pPr>
        <w:spacing w:after="0" w:line="146" w:lineRule="exact"/>
        <w:rPr>
          <w:rFonts w:ascii="Arial" w:cs="Arial" w:eastAsia="Arial" w:hAnsi="Arial"/>
          <w:sz w:val="17"/>
          <w:szCs w:val="17"/>
          <w:color w:val="auto"/>
        </w:rPr>
      </w:pPr>
    </w:p>
    <w:p>
      <w:pPr>
        <w:ind w:right="40" w:firstLine="1952"/>
        <w:spacing w:after="0" w:line="293" w:lineRule="auto"/>
        <w:tabs>
          <w:tab w:leader="none" w:pos="2599"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enter into any employment agreement, consulting agreement or other similar arrangement, whether written or oral, providing for an annual base salary and bonus or severance reasonably expected to exceed $300,000 (excluding sales commission plans previously approved by the Board (including the approval of at least one Series A-1 Preferred Director)) or otherwise amend, alter or modify any existing employment agreement, consulting agreement or other similar arrangement, whether written or oral, which amendment, alteration or modification would reasonably be expected to have the effect of causing the annual base salary and bonus or severance of any person or entity to exceed $300,000 (excluding sales commission plans previously approved by the Board (including the approval of at least one Series A-1 Preferred Director));</w:t>
      </w:r>
    </w:p>
    <w:p>
      <w:pPr>
        <w:spacing w:after="0" w:line="164" w:lineRule="exact"/>
        <w:rPr>
          <w:rFonts w:ascii="Arial" w:cs="Arial" w:eastAsia="Arial" w:hAnsi="Arial"/>
          <w:sz w:val="16"/>
          <w:szCs w:val="16"/>
          <w:color w:val="auto"/>
        </w:rPr>
      </w:pPr>
    </w:p>
    <w:p>
      <w:pPr>
        <w:ind w:left="2620" w:hanging="668"/>
        <w:spacing w:after="0"/>
        <w:tabs>
          <w:tab w:leader="none" w:pos="2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make or adopt any material change in the Company’s line of business;</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authorize or grant any registration rights on terms more favorable than the registration rights granted to the holders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Preferred Stock;</w:t>
      </w:r>
    </w:p>
    <w:p>
      <w:pPr>
        <w:spacing w:after="0" w:line="210" w:lineRule="exact"/>
        <w:rPr>
          <w:rFonts w:ascii="Arial" w:cs="Arial" w:eastAsia="Arial" w:hAnsi="Arial"/>
          <w:sz w:val="16"/>
          <w:szCs w:val="16"/>
          <w:color w:val="auto"/>
        </w:rPr>
      </w:pPr>
    </w:p>
    <w:p>
      <w:pPr>
        <w:ind w:right="200" w:firstLine="1952"/>
        <w:spacing w:after="0" w:line="342" w:lineRule="auto"/>
        <w:tabs>
          <w:tab w:leader="none" w:pos="2628"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enter into any agreement that would prevent the Company from performing its obligations in respect of the Preferred Stock under this Agreement, the Certificate of Incorporation, the Purchase Agreement, the Registration Rights Agreement or otherwise; or</w:t>
      </w:r>
    </w:p>
    <w:p>
      <w:pPr>
        <w:spacing w:after="0" w:line="123" w:lineRule="exact"/>
        <w:rPr>
          <w:rFonts w:ascii="Arial" w:cs="Arial" w:eastAsia="Arial" w:hAnsi="Arial"/>
          <w:sz w:val="16"/>
          <w:szCs w:val="16"/>
          <w:color w:val="auto"/>
        </w:rPr>
      </w:pPr>
    </w:p>
    <w:p>
      <w:pPr>
        <w:ind w:right="600" w:firstLine="1952"/>
        <w:spacing w:after="0" w:line="277" w:lineRule="auto"/>
        <w:tabs>
          <w:tab w:leader="none" w:pos="260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initiate or settle any lawsuit, arbitration or similar proceeding reasonably expected to involve equitable relief or consideration payable by or to the Company or any subsidiary in excess of $250,000.</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Board Observer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57" w:lineRule="auto"/>
        <w:tabs>
          <w:tab w:leader="none" w:pos="2613"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CapitalG Observer</w:t>
      </w:r>
      <w:r>
        <w:rPr>
          <w:rFonts w:ascii="Arial" w:cs="Arial" w:eastAsia="Arial" w:hAnsi="Arial"/>
          <w:sz w:val="18"/>
          <w:szCs w:val="18"/>
          <w:color w:val="auto"/>
        </w:rPr>
        <w:t>. For so long as CapitalG (together with its Affiliates) Owns more than 5,500,000 shares of Common Stock (on an as-converted to Common Stock basis and subject to appropriate adjustment for stock splits, stock dividends, combinations, and other recapitalizations), the Company shall invite one (1) representative of CapitalG to attend all meetings of its Board in a nonvoting observer capacity and, in this respect, shall give such representative copies of all notices, minutes, consents, and other materials that it provides to the Board at the same time and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3" w:name="page294"/>
    <w:bookmarkEnd w:id="293"/>
    <w:p>
      <w:pPr>
        <w:ind w:right="100"/>
        <w:spacing w:after="0" w:line="257" w:lineRule="auto"/>
        <w:rPr>
          <w:sz w:val="20"/>
          <w:szCs w:val="20"/>
          <w:color w:val="auto"/>
        </w:rPr>
      </w:pPr>
      <w:r>
        <w:rPr>
          <w:rFonts w:ascii="Arial" w:cs="Arial" w:eastAsia="Arial" w:hAnsi="Arial"/>
          <w:sz w:val="18"/>
          <w:szCs w:val="18"/>
          <w:color w:val="auto"/>
        </w:rPr>
        <w:t xml:space="preserve">same manner as provided to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representative shall agree to hold in confidence and trust all information so provided;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reserves the right to withhold any information and to exclude such representative from any meeting or portion thereof if access to such information or attendance at such meeting would reasonably be expected to (i) adversely affect the attorney-client privilege between the Company and its counsel, (ii) result in disclosure of trade secrets or (iii) result in a conflict of interest between CapitalG and/or its representative and the Company.</w:t>
      </w:r>
    </w:p>
    <w:p>
      <w:pPr>
        <w:spacing w:after="0" w:line="188" w:lineRule="exact"/>
        <w:rPr>
          <w:sz w:val="20"/>
          <w:szCs w:val="20"/>
          <w:color w:val="auto"/>
        </w:rPr>
      </w:pPr>
    </w:p>
    <w:p>
      <w:pPr>
        <w:ind w:firstLine="1952"/>
        <w:spacing w:after="0" w:line="270" w:lineRule="auto"/>
        <w:tabs>
          <w:tab w:leader="none" w:pos="2623" w:val="left"/>
        </w:tabs>
        <w:numPr>
          <w:ilvl w:val="2"/>
          <w:numId w:val="183"/>
        </w:numPr>
        <w:rPr>
          <w:rFonts w:ascii="Arial" w:cs="Arial" w:eastAsia="Arial" w:hAnsi="Arial"/>
          <w:sz w:val="17"/>
          <w:szCs w:val="17"/>
          <w:color w:val="auto"/>
        </w:rPr>
      </w:pPr>
      <w:r>
        <w:rPr>
          <w:rFonts w:ascii="Arial" w:cs="Arial" w:eastAsia="Arial" w:hAnsi="Arial"/>
          <w:sz w:val="17"/>
          <w:szCs w:val="17"/>
          <w:u w:val="single" w:color="auto"/>
          <w:color w:val="auto"/>
        </w:rPr>
        <w:t>March Capital Observer</w:t>
      </w:r>
      <w:r>
        <w:rPr>
          <w:rFonts w:ascii="Arial" w:cs="Arial" w:eastAsia="Arial" w:hAnsi="Arial"/>
          <w:sz w:val="17"/>
          <w:szCs w:val="17"/>
          <w:color w:val="auto"/>
        </w:rPr>
        <w:t xml:space="preserve">. For a period of one year following the date hereof, so long as March Capital (together with its Affiliates) Owns any Shares of Common Stock (on an as-converted to Common Stock basis and subject to appropriate adjustment for stock splits, stock dividends, combinations, and other recapitalizations) during such period, the Company shall invite one (1) representative of March Capital to attend all meetings of its Board in a nonvoting observer capacity and, in this respect, shall give such representative copies of all notices, minutes, consents, and other materials that it provides to the Board at the same time and in the same manner as provided to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 shall agree to hold in confidence and trust all information so provided;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Company reserves the right to withhold any information and to exclude such representative from any meeting or portion thereof if access to such information or attendance at such meeting would reasonably be expected to (i) adversely affect the attorney-client privilege between the Company and its counsel, (ii) result in disclosure of trade secrets or (iii) result in a conflict of interest between March Capital and/or its representative and the Company.</w:t>
      </w:r>
    </w:p>
    <w:p>
      <w:pPr>
        <w:spacing w:after="0" w:line="180" w:lineRule="exact"/>
        <w:rPr>
          <w:rFonts w:ascii="Arial" w:cs="Arial" w:eastAsia="Arial" w:hAnsi="Arial"/>
          <w:sz w:val="17"/>
          <w:szCs w:val="17"/>
          <w:color w:val="auto"/>
        </w:rPr>
      </w:pPr>
    </w:p>
    <w:p>
      <w:pPr>
        <w:ind w:right="100" w:firstLine="1952"/>
        <w:spacing w:after="0" w:line="253" w:lineRule="auto"/>
        <w:tabs>
          <w:tab w:leader="none" w:pos="2632" w:val="left"/>
        </w:tabs>
        <w:numPr>
          <w:ilvl w:val="2"/>
          <w:numId w:val="183"/>
        </w:numPr>
        <w:rPr>
          <w:rFonts w:ascii="Arial" w:cs="Arial" w:eastAsia="Arial" w:hAnsi="Arial"/>
          <w:sz w:val="18"/>
          <w:szCs w:val="18"/>
          <w:color w:val="auto"/>
        </w:rPr>
      </w:pPr>
      <w:r>
        <w:rPr>
          <w:rFonts w:ascii="Arial" w:cs="Arial" w:eastAsia="Arial" w:hAnsi="Arial"/>
          <w:sz w:val="18"/>
          <w:szCs w:val="18"/>
          <w:u w:val="single" w:color="auto"/>
          <w:color w:val="auto"/>
        </w:rPr>
        <w:t>IVP Observer</w:t>
      </w:r>
      <w:r>
        <w:rPr>
          <w:rFonts w:ascii="Arial" w:cs="Arial" w:eastAsia="Arial" w:hAnsi="Arial"/>
          <w:sz w:val="18"/>
          <w:szCs w:val="18"/>
          <w:color w:val="auto"/>
        </w:rPr>
        <w:t xml:space="preserve">. For so long as IVP (together with its Affiliates) Owns more than 1,518,708 shares of Common Stock (on an as-converted to Common Stock basis and subject to appropriate adjustment for stock splits, stock dividends, combinations, and other recapitalizations), the Company shall invite one (1) representative of IVP to attend all meetings of its Board in a nonvoting observer capacity and, in this respect, shall give such representative copies of all notices, minutes, consents, and other materials that it provides to the Board at the same time and in the same manner as provided to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representative shall agree to hold in confidence and trust all information so provided;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reserves the right to withhold any information and to exclude such representative from any meeting or portion thereof if access to such information or attendance at such meeting would reasonably be expected to (i) adversely affect the attorney-client privilege between the Company and its counsel, (ii) result in disclosure of trade secrets or (iii) result in a conflict of interest between IVP and/or its representative and the Company.</w:t>
      </w:r>
    </w:p>
    <w:p>
      <w:pPr>
        <w:spacing w:after="0" w:line="196" w:lineRule="exact"/>
        <w:rPr>
          <w:rFonts w:ascii="Arial" w:cs="Arial" w:eastAsia="Arial" w:hAnsi="Arial"/>
          <w:sz w:val="18"/>
          <w:szCs w:val="18"/>
          <w:color w:val="auto"/>
        </w:rPr>
      </w:pPr>
    </w:p>
    <w:p>
      <w:pPr>
        <w:ind w:left="1960" w:hanging="656"/>
        <w:spacing w:after="0"/>
        <w:tabs>
          <w:tab w:leader="none" w:pos="1960" w:val="left"/>
        </w:tabs>
        <w:numPr>
          <w:ilvl w:val="1"/>
          <w:numId w:val="184"/>
        </w:numPr>
        <w:rPr>
          <w:rFonts w:ascii="Arial" w:cs="Arial" w:eastAsia="Arial" w:hAnsi="Arial"/>
          <w:sz w:val="18"/>
          <w:szCs w:val="18"/>
          <w:color w:val="auto"/>
        </w:rPr>
      </w:pPr>
      <w:r>
        <w:rPr>
          <w:rFonts w:ascii="Arial" w:cs="Arial" w:eastAsia="Arial" w:hAnsi="Arial"/>
          <w:sz w:val="18"/>
          <w:szCs w:val="18"/>
          <w:u w:val="single" w:color="auto"/>
          <w:color w:val="auto"/>
        </w:rPr>
        <w:t>Use of Name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2"/>
        <w:spacing w:after="0" w:line="296" w:lineRule="auto"/>
        <w:tabs>
          <w:tab w:leader="none" w:pos="2613" w:val="left"/>
        </w:tabs>
        <w:numPr>
          <w:ilvl w:val="2"/>
          <w:numId w:val="184"/>
        </w:numPr>
        <w:rPr>
          <w:rFonts w:ascii="Arial" w:cs="Arial" w:eastAsia="Arial" w:hAnsi="Arial"/>
          <w:sz w:val="16"/>
          <w:szCs w:val="16"/>
          <w:color w:val="auto"/>
        </w:rPr>
      </w:pPr>
      <w:r>
        <w:rPr>
          <w:rFonts w:ascii="Arial" w:cs="Arial" w:eastAsia="Arial" w:hAnsi="Arial"/>
          <w:sz w:val="16"/>
          <w:szCs w:val="16"/>
          <w:u w:val="single" w:color="auto"/>
          <w:color w:val="auto"/>
        </w:rPr>
        <w:t>CapitalG</w:t>
      </w:r>
      <w:r>
        <w:rPr>
          <w:rFonts w:ascii="Arial" w:cs="Arial" w:eastAsia="Arial" w:hAnsi="Arial"/>
          <w:sz w:val="16"/>
          <w:szCs w:val="16"/>
          <w:color w:val="auto"/>
        </w:rPr>
        <w:t>. For so long as CapitalG holds any shares of capital stock of the Company, the Company, the Investors (other than CapitalG), and their respective subsidiaries and any of their respective representatives shall not (i) use Alphabet Inc.’s, Google Inc.’s or CapitalG’s name in any manner or format (including reference on or links to websites, press releases, etc.) without the prior approval of CapitalG, or (ii) issue any statement or communication to any third party (other than to their legal, accounting and financial advisors, and other than to potential investors or acquirers under a duty of confidentiality) regarding Alphabet Inc.’s, Google Inc.’s or CapitalG’s investment in the Company, without the consent of CapitalG.</w:t>
      </w:r>
    </w:p>
    <w:p>
      <w:pPr>
        <w:spacing w:after="0" w:line="161" w:lineRule="exact"/>
        <w:rPr>
          <w:rFonts w:ascii="Arial" w:cs="Arial" w:eastAsia="Arial" w:hAnsi="Arial"/>
          <w:sz w:val="16"/>
          <w:szCs w:val="16"/>
          <w:color w:val="auto"/>
        </w:rPr>
      </w:pPr>
    </w:p>
    <w:p>
      <w:pPr>
        <w:jc w:val="both"/>
        <w:ind w:right="160" w:firstLine="1952"/>
        <w:spacing w:after="0" w:line="291" w:lineRule="auto"/>
        <w:tabs>
          <w:tab w:leader="none" w:pos="2623" w:val="left"/>
        </w:tabs>
        <w:numPr>
          <w:ilvl w:val="2"/>
          <w:numId w:val="184"/>
        </w:numPr>
        <w:rPr>
          <w:rFonts w:ascii="Arial" w:cs="Arial" w:eastAsia="Arial" w:hAnsi="Arial"/>
          <w:sz w:val="16"/>
          <w:szCs w:val="16"/>
          <w:color w:val="auto"/>
        </w:rPr>
      </w:pPr>
      <w:r>
        <w:rPr>
          <w:rFonts w:ascii="Arial" w:cs="Arial" w:eastAsia="Arial" w:hAnsi="Arial"/>
          <w:sz w:val="16"/>
          <w:szCs w:val="16"/>
          <w:u w:val="single" w:color="auto"/>
          <w:color w:val="auto"/>
        </w:rPr>
        <w:t>Rackspace</w:t>
      </w:r>
      <w:r>
        <w:rPr>
          <w:rFonts w:ascii="Arial" w:cs="Arial" w:eastAsia="Arial" w:hAnsi="Arial"/>
          <w:sz w:val="16"/>
          <w:szCs w:val="16"/>
          <w:color w:val="auto"/>
        </w:rPr>
        <w:t>. For so long as Rackspace (together with its Affiliates) holds any shares of capital stock of the Company, the Company, the Investors (other than Rackspace and its Affiliates), and their respective subsidiaries and any of their respective representatives shall not</w:t>
      </w:r>
    </w:p>
    <w:p>
      <w:pPr>
        <w:jc w:val="both"/>
        <w:ind w:right="320" w:firstLine="8"/>
        <w:spacing w:after="0" w:line="255" w:lineRule="auto"/>
        <w:tabs>
          <w:tab w:leader="none" w:pos="21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use Rackspace’s (or its Affiliates’) names in any manner or format (including reference on or links to websites, press releases, etc.) without the prior approval of Rackspace, or (ii) issue any statement or communication to any third party (other than to their legal, accounting and financial advisors, and other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4" w:name="page295"/>
    <w:bookmarkEnd w:id="294"/>
    <w:p>
      <w:pPr>
        <w:ind w:right="180"/>
        <w:spacing w:after="0" w:line="277" w:lineRule="auto"/>
        <w:rPr>
          <w:sz w:val="20"/>
          <w:szCs w:val="20"/>
          <w:color w:val="auto"/>
        </w:rPr>
      </w:pPr>
      <w:r>
        <w:rPr>
          <w:rFonts w:ascii="Arial" w:cs="Arial" w:eastAsia="Arial" w:hAnsi="Arial"/>
          <w:sz w:val="18"/>
          <w:szCs w:val="18"/>
          <w:color w:val="auto"/>
        </w:rPr>
        <w:t>than to potential investors or acquirers under a duty of confidentiality) regarding Rackspace’s (or its Affilliates’) investment in the Company, without the consent of Rackspace.</w:t>
      </w:r>
    </w:p>
    <w:p>
      <w:pPr>
        <w:spacing w:after="0" w:line="170" w:lineRule="exact"/>
        <w:rPr>
          <w:sz w:val="20"/>
          <w:szCs w:val="20"/>
          <w:color w:val="auto"/>
        </w:rPr>
      </w:pPr>
    </w:p>
    <w:p>
      <w:pPr>
        <w:ind w:right="40" w:firstLine="1304"/>
        <w:spacing w:after="0" w:line="269" w:lineRule="auto"/>
        <w:tabs>
          <w:tab w:leader="none" w:pos="1965"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No “Bad Actor” Designees</w:t>
      </w:r>
      <w:r>
        <w:rPr>
          <w:rFonts w:ascii="Arial" w:cs="Arial" w:eastAsia="Arial" w:hAnsi="Arial"/>
          <w:sz w:val="17"/>
          <w:szCs w:val="17"/>
          <w:color w:val="auto"/>
        </w:rPr>
        <w:t>. Each Person with the right to designate or participate in the designation of a director pursuant to Section 2(a) hereby represents and warrants to the Company that, to such Person’s knowledge, none of the “bad actor” disqualifying events described in Rule 506(d)(1)(i)-(viii) promulgated under the Securities Act (each, a “</w:t>
      </w:r>
      <w:r>
        <w:rPr>
          <w:rFonts w:ascii="Arial" w:cs="Arial" w:eastAsia="Arial" w:hAnsi="Arial"/>
          <w:sz w:val="17"/>
          <w:szCs w:val="17"/>
          <w:u w:val="single" w:color="auto"/>
          <w:color w:val="auto"/>
        </w:rPr>
        <w:t>Disqualification Event</w:t>
      </w:r>
      <w:r>
        <w:rPr>
          <w:rFonts w:ascii="Arial" w:cs="Arial" w:eastAsia="Arial" w:hAnsi="Arial"/>
          <w:sz w:val="17"/>
          <w:szCs w:val="17"/>
          <w:color w:val="auto"/>
        </w:rPr>
        <w:t>”), is applicable to the director currently designated by such Person except, if applicable, for a Disqualification Event as to which Rule 506(d)(2)(ii) or (iii) or (d)(3) is applicable. Any director designee to whom any Disqualification Event is applicable, except for a Disqualification Event as to which Rule 506(d)(2)(ii) or (iii) or (d)(3) is applicable, is hereinafter referred to as a “</w:t>
      </w:r>
      <w:r>
        <w:rPr>
          <w:rFonts w:ascii="Arial" w:cs="Arial" w:eastAsia="Arial" w:hAnsi="Arial"/>
          <w:sz w:val="17"/>
          <w:szCs w:val="17"/>
          <w:u w:val="single" w:color="auto"/>
          <w:color w:val="auto"/>
        </w:rPr>
        <w:t>Disqualified Designee</w:t>
      </w:r>
      <w:r>
        <w:rPr>
          <w:rFonts w:ascii="Arial" w:cs="Arial" w:eastAsia="Arial" w:hAnsi="Arial"/>
          <w:sz w:val="17"/>
          <w:szCs w:val="17"/>
          <w:color w:val="auto"/>
        </w:rPr>
        <w:t>.” Each Person with the right to designate or participate in the designation of a director pursuant to Section 2(a) hereby covenants and agrees (A) not to designate or participate in the designation of any director designee who, to such Person’s knowledge, is a Disqualified Designee and (B) that in the event such Person becomes aware that any individual previously designated by any such Person is or has become a Disqualified Designee, such Person shall as promptly as practicable take such actions as are necessary to remove such Disqualified Designee from the Board and designate a replacement designee who is not a Disqualified Designee.</w:t>
      </w:r>
    </w:p>
    <w:p>
      <w:pPr>
        <w:spacing w:after="0" w:line="185" w:lineRule="exact"/>
        <w:rPr>
          <w:sz w:val="20"/>
          <w:szCs w:val="20"/>
          <w:color w:val="auto"/>
        </w:rPr>
      </w:pPr>
    </w:p>
    <w:p>
      <w:pPr>
        <w:ind w:left="1960" w:hanging="656"/>
        <w:spacing w:after="0"/>
        <w:tabs>
          <w:tab w:leader="none" w:pos="19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TRANSFER OF STOCK</w:t>
      </w:r>
    </w:p>
    <w:p>
      <w:pPr>
        <w:spacing w:after="0" w:line="225" w:lineRule="exact"/>
        <w:rPr>
          <w:sz w:val="20"/>
          <w:szCs w:val="20"/>
          <w:color w:val="auto"/>
        </w:rPr>
      </w:pPr>
    </w:p>
    <w:p>
      <w:pPr>
        <w:ind w:right="20" w:firstLine="1304"/>
        <w:spacing w:after="0" w:line="273" w:lineRule="auto"/>
        <w:tabs>
          <w:tab w:leader="none" w:pos="1941"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Resale of Securities</w:t>
      </w:r>
      <w:r>
        <w:rPr>
          <w:rFonts w:ascii="Arial" w:cs="Arial" w:eastAsia="Arial" w:hAnsi="Arial"/>
          <w:sz w:val="17"/>
          <w:szCs w:val="17"/>
          <w:color w:val="auto"/>
        </w:rPr>
        <w:t xml:space="preserve">. Each of the Institutional Investors shall be entitled to freely Transfer any Shares Owned by such Institutional Investor to any Person at any time and from time to time. No Other Investor shall directly or indirectly Transfer any Shares Owned by such Other Investor other than in accordance with the provisions of this Agreement, including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any other agreements binding such Other Investor. Any Transfer made by an Other Investor in violation of this Agreement, including this </w:t>
      </w:r>
      <w:r>
        <w:rPr>
          <w:rFonts w:ascii="Arial" w:cs="Arial" w:eastAsia="Arial" w:hAnsi="Arial"/>
          <w:sz w:val="17"/>
          <w:szCs w:val="17"/>
          <w:u w:val="single" w:color="auto"/>
          <w:color w:val="auto"/>
        </w:rPr>
        <w:t>Section 3</w:t>
      </w:r>
      <w:r>
        <w:rPr>
          <w:rFonts w:ascii="Arial" w:cs="Arial" w:eastAsia="Arial" w:hAnsi="Arial"/>
          <w:sz w:val="17"/>
          <w:szCs w:val="17"/>
          <w:color w:val="auto"/>
        </w:rPr>
        <w:t>, shall be null and void and of no effect. The Company shall not record on its stock transfer books or otherwise any Transfer of Shares in violation of the terms and conditions set forth herein. No Other Investor will pledge or otherwise grant a security interest in any Shares Owned by such Other Investor.</w:t>
      </w:r>
    </w:p>
    <w:p>
      <w:pPr>
        <w:spacing w:after="0" w:line="177" w:lineRule="exact"/>
        <w:rPr>
          <w:rFonts w:ascii="Arial" w:cs="Arial" w:eastAsia="Arial" w:hAnsi="Arial"/>
          <w:sz w:val="17"/>
          <w:szCs w:val="17"/>
          <w:color w:val="auto"/>
        </w:rPr>
      </w:pPr>
    </w:p>
    <w:p>
      <w:pPr>
        <w:ind w:left="1960" w:hanging="656"/>
        <w:spacing w:after="0"/>
        <w:tabs>
          <w:tab w:leader="none" w:pos="19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69" w:lineRule="auto"/>
        <w:tabs>
          <w:tab w:leader="none" w:pos="2613"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xml:space="preserve">. Until the earlier of (A) the Initial Public Offering and (B) the closing of a Deemed Liquidation Event, no Other Investor shall directly or indirectly Transfer any Shares without the prior written consent of the Board (with the approval of at least one Series A-1 Preferred Director), which consent may be withheld in the Board’s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an Other Investor shall be permitted to Transfer any Purchased Equity Shares Owned and Granted Equity Shares (but only to the extent vested) Owned by such Other Investor without the consent of the Board in connection with the following: (i) Transfers pursuant to </w:t>
      </w:r>
      <w:r>
        <w:rPr>
          <w:rFonts w:ascii="Arial" w:cs="Arial" w:eastAsia="Arial" w:hAnsi="Arial"/>
          <w:sz w:val="17"/>
          <w:szCs w:val="17"/>
          <w:u w:val="single" w:color="auto"/>
          <w:color w:val="auto"/>
        </w:rPr>
        <w:t>Section 3(e)</w:t>
      </w:r>
      <w:r>
        <w:rPr>
          <w:rFonts w:ascii="Arial" w:cs="Arial" w:eastAsia="Arial" w:hAnsi="Arial"/>
          <w:sz w:val="17"/>
          <w:szCs w:val="17"/>
          <w:color w:val="auto"/>
        </w:rPr>
        <w:t>; (ii) any Transfer to the Company or an Institutional Investor made with the consent of the Board, including the approval of at least one Series A-1 Preferred Director; (iii) Transfers to the Company in connection with repurchases of Purchased Equity Shares and Granted Equity Shares from employees, officers, directors, consultants or other persons who performed services for the Company or any subsidiary in connection with the cessation of such employment or service, in each case approved by the Board (including the approval of at least one Series A-1 Preferred Director); (iv) Transfers to Permitted Transferees made in compliance with this Agreement; (v) a Transfer pursuant to the terms of a Deemed Liquidation Event and (vi) sales of Preferred Stock (or shares of Common Stock issuable upon conversion of such shares of Preferred Stock) by an Other Initial Investor to a Qualified Purchaser made in compliance with this Agreement (each of the foregoing is a “</w:t>
      </w:r>
      <w:r>
        <w:rPr>
          <w:rFonts w:ascii="Arial" w:cs="Arial" w:eastAsia="Arial" w:hAnsi="Arial"/>
          <w:sz w:val="17"/>
          <w:szCs w:val="17"/>
          <w:u w:val="single" w:color="auto"/>
          <w:color w:val="auto"/>
        </w:rPr>
        <w:t>Permitted Transfer Event</w:t>
      </w:r>
      <w:r>
        <w:rPr>
          <w:rFonts w:ascii="Arial" w:cs="Arial" w:eastAsia="Arial" w:hAnsi="Arial"/>
          <w:sz w:val="17"/>
          <w:szCs w:val="17"/>
          <w:color w:val="auto"/>
        </w:rPr>
        <w: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5" w:name="page296"/>
    <w:bookmarkEnd w:id="295"/>
    <w:p>
      <w:pPr>
        <w:ind w:right="60" w:firstLine="1952"/>
        <w:spacing w:after="0" w:line="288" w:lineRule="auto"/>
        <w:tabs>
          <w:tab w:leader="none" w:pos="2623"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Transfers by Permitted Transferees or Qualified Purchasers</w:t>
      </w:r>
      <w:r>
        <w:rPr>
          <w:rFonts w:ascii="Arial" w:cs="Arial" w:eastAsia="Arial" w:hAnsi="Arial"/>
          <w:sz w:val="16"/>
          <w:szCs w:val="16"/>
          <w:color w:val="auto"/>
        </w:rPr>
        <w:t>. A Permitted Transferee of Shares of an Other Investor pursuant to this Agreement may subsequently Transfer his, her or its Shares only to the Other Investor who Transferred such Shares to the Permitted Transferee or to a Person that is a Permitted Transferee of such Other Investor that originally Transferred such Shares to the Permitted Transferee. Each Permitted Transferee of any Other Investor to which Shares are Transferred shall, and such Other Investor shall use commercially reasonable efforts to cause such Permitted Transferee to, Transfer back to such Other Investor (or to another Permitted Transferee of such Other Investor) the Shares it acquired from such Other Investor if such Permitted Transferee ceases to be a Permitted Transferee of such Other Investor. A Qualified Purchaser of Shares of an Other Initial Investor pursuant to this Agreement may subsequently Transfer his, her or its Shares only to the Other Initial Investor who Transferred such Shares to the Qualified Purchaser or to a Person that is a Qualified Purchaser. Each Qualified Purchaser to which Shares are Transferred shall, and such Other Initial Investor shall use commercially reasonable efforts to cause such Qualified Purchaser to, Transfer back to such Other Initial Investor (or to another Qualified Purchaser) the Shares it acquired from such Other Initial Investor if such Qualified Purchaser ceases to be a Qualified Purchaser.</w:t>
      </w:r>
    </w:p>
    <w:p>
      <w:pPr>
        <w:spacing w:after="0" w:line="168" w:lineRule="exact"/>
        <w:rPr>
          <w:rFonts w:ascii="Arial" w:cs="Arial" w:eastAsia="Arial" w:hAnsi="Arial"/>
          <w:sz w:val="16"/>
          <w:szCs w:val="16"/>
          <w:color w:val="auto"/>
        </w:rPr>
      </w:pPr>
    </w:p>
    <w:p>
      <w:pPr>
        <w:ind w:firstLine="1952"/>
        <w:spacing w:after="0" w:line="288" w:lineRule="auto"/>
        <w:tabs>
          <w:tab w:leader="none" w:pos="2632"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Transfers — Generally</w:t>
      </w:r>
      <w:r>
        <w:rPr>
          <w:rFonts w:ascii="Arial" w:cs="Arial" w:eastAsia="Arial" w:hAnsi="Arial"/>
          <w:sz w:val="16"/>
          <w:szCs w:val="16"/>
          <w:color w:val="auto"/>
        </w:rPr>
        <w:t xml:space="preserve">. No Transfer of Shares Owned by any Investor may be made by such Investor unless (i) as a condition precedent to the Transfer, the Transferee has agreed in writing to be bound by the terms and conditions of this Agreement pursuant to a Joinder Agreement and have the same rights and obligations of such transferring Investor (including if the Investor is Warburg Pincus or Accel, the same rights and obligations as Warburg Pincus or Accel hereunder) (other than if (A) the Transfer is conducted pursuant to and in accordance with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3(e)</w:t>
      </w:r>
      <w:r>
        <w:rPr>
          <w:rFonts w:ascii="Arial" w:cs="Arial" w:eastAsia="Arial" w:hAnsi="Arial"/>
          <w:sz w:val="16"/>
          <w:szCs w:val="16"/>
          <w:color w:val="auto"/>
        </w:rPr>
        <w:t>, (B) the Transfer is to the Company or an Institutional Investor or (C) the Transfer is to or by a Qualified Purchaser, in which case, such Qualified Purchaser or Transferee shall be subject to all of the obligations hereunder and not subject to any rights hereunder), and (ii) the Transfer complies in all respects with the applicable provisions of this Agreement and any employee stock option plan, stock bonus plan, stock purchase plan, employment agreement or other management equity program governing any Shares owned by such Investor. For the avoidance of doubt, the transfer restrictions contained in this Agreement shall be in addition to and shall not limit in any way the transfer restrictions contained in any employee stock option plan, stock bonus plan, stock purchase plan, employment agreement or other management equity program governing any Shares owned by such Investor.</w:t>
      </w:r>
    </w:p>
    <w:p>
      <w:pPr>
        <w:spacing w:after="0" w:line="168" w:lineRule="exact"/>
        <w:rPr>
          <w:sz w:val="20"/>
          <w:szCs w:val="20"/>
          <w:color w:val="auto"/>
        </w:rPr>
      </w:pPr>
    </w:p>
    <w:p>
      <w:pPr>
        <w:ind w:left="1960" w:hanging="656"/>
        <w:spacing w:after="0"/>
        <w:tabs>
          <w:tab w:leader="none" w:pos="1960"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Right of First Refusal</w:t>
      </w:r>
      <w:r>
        <w:rPr>
          <w:rFonts w:ascii="Arial" w:cs="Arial" w:eastAsia="Arial" w:hAnsi="Arial"/>
          <w:sz w:val="16"/>
          <w:szCs w:val="16"/>
          <w:color w:val="auto"/>
        </w:rPr>
        <w:t>. Each of the Other Investors hereby unconditionally and irrevocably grants to the Company and then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 Persons:</w:t>
      </w:r>
    </w:p>
    <w:p>
      <w:pPr>
        <w:spacing w:after="0" w:line="211" w:lineRule="exact"/>
        <w:rPr>
          <w:sz w:val="20"/>
          <w:szCs w:val="20"/>
          <w:color w:val="auto"/>
        </w:rPr>
      </w:pPr>
    </w:p>
    <w:p>
      <w:pPr>
        <w:ind w:left="1620" w:right="120" w:hanging="316"/>
        <w:spacing w:after="0" w:line="263" w:lineRule="auto"/>
        <w:tabs>
          <w:tab w:leader="none" w:pos="158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Institutional Investor and each Other Initial Investor who (in each case, together with its Affiliates) Owns more than 9,200,000 Shares of Common Stock (on an as-converted to Common Stock basis and subject to appropriate adjustment for stock splits, stock dividends, combinations, and other recapitalizations),</w:t>
      </w:r>
    </w:p>
    <w:p>
      <w:pPr>
        <w:spacing w:after="0" w:line="183" w:lineRule="exact"/>
        <w:rPr>
          <w:rFonts w:ascii="Arial" w:cs="Arial" w:eastAsia="Arial" w:hAnsi="Arial"/>
          <w:sz w:val="18"/>
          <w:szCs w:val="18"/>
          <w:color w:val="auto"/>
        </w:rPr>
      </w:pPr>
    </w:p>
    <w:p>
      <w:pPr>
        <w:ind w:left="1620" w:right="40" w:hanging="316"/>
        <w:spacing w:after="0" w:line="308" w:lineRule="auto"/>
        <w:tabs>
          <w:tab w:leader="none" w:pos="158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March Capital (together with its Affiliates) Owns at least 4,392,492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60" w:hanging="316"/>
        <w:spacing w:after="0" w:line="308" w:lineRule="auto"/>
        <w:tabs>
          <w:tab w:leader="none" w:pos="158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IVP (together with its Affiliates) Owns at least 3,037,416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320" w:hanging="316"/>
        <w:spacing w:after="0" w:line="277" w:lineRule="auto"/>
        <w:tabs>
          <w:tab w:leader="none" w:pos="158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General Atlantic (together with its Affiliates) Owns at least 2,429,932 Shares of Common Stock (on an as-converted to Common Stock basis and subject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6" w:name="page297"/>
    <w:bookmarkEnd w:id="296"/>
    <w:p>
      <w:pPr>
        <w:ind w:left="1620"/>
        <w:spacing w:after="0"/>
        <w:rPr>
          <w:sz w:val="20"/>
          <w:szCs w:val="20"/>
          <w:color w:val="auto"/>
        </w:rPr>
      </w:pPr>
      <w:r>
        <w:rPr>
          <w:rFonts w:ascii="Arial" w:cs="Arial" w:eastAsia="Arial" w:hAnsi="Arial"/>
          <w:sz w:val="18"/>
          <w:szCs w:val="18"/>
          <w:color w:val="auto"/>
        </w:rPr>
        <w:t>appropriate adjustment for stock splits, stock dividends, combinations, and other recapitalizations),</w:t>
      </w:r>
    </w:p>
    <w:p>
      <w:pPr>
        <w:spacing w:after="0" w:line="225" w:lineRule="exact"/>
        <w:rPr>
          <w:sz w:val="20"/>
          <w:szCs w:val="20"/>
          <w:color w:val="auto"/>
        </w:rPr>
      </w:pPr>
    </w:p>
    <w:p>
      <w:pPr>
        <w:ind w:left="1620" w:right="200" w:hanging="316"/>
        <w:spacing w:after="0" w:line="308" w:lineRule="auto"/>
        <w:tabs>
          <w:tab w:leader="none" w:pos="158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Telstra (together with its Affiliates) Owns at least 1,229,898 Shares of Common Stock (on an as-converted to Common Stock basis and subject to appropriate adjustment for stock splits, stock dividends, combinations, and other recapitalizations), and</w:t>
      </w:r>
    </w:p>
    <w:p>
      <w:pPr>
        <w:spacing w:after="0" w:line="146" w:lineRule="exact"/>
        <w:rPr>
          <w:rFonts w:ascii="Arial" w:cs="Arial" w:eastAsia="Arial" w:hAnsi="Arial"/>
          <w:sz w:val="17"/>
          <w:szCs w:val="17"/>
          <w:color w:val="auto"/>
        </w:rPr>
      </w:pPr>
    </w:p>
    <w:p>
      <w:pPr>
        <w:ind w:left="1620" w:right="100" w:hanging="316"/>
        <w:spacing w:after="0" w:line="263" w:lineRule="auto"/>
        <w:tabs>
          <w:tab w:leader="none" w:pos="158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Rackspace so long as Rackspace (together with its Affiliates) Owns at least 2,207,644 Shares of Common Stock (on an as-converted to Common Stock basis and subject to appropriate adjustment for stock splits, stock dividends, combinations, and other recapitalizations) (collectively, the “</w:t>
      </w:r>
      <w:r>
        <w:rPr>
          <w:rFonts w:ascii="Arial" w:cs="Arial" w:eastAsia="Arial" w:hAnsi="Arial"/>
          <w:sz w:val="18"/>
          <w:szCs w:val="18"/>
          <w:u w:val="single" w:color="auto"/>
          <w:color w:val="auto"/>
        </w:rPr>
        <w:t>ROFR Investors</w:t>
      </w:r>
      <w:r>
        <w:rPr>
          <w:rFonts w:ascii="Arial" w:cs="Arial" w:eastAsia="Arial" w:hAnsi="Arial"/>
          <w:sz w:val="18"/>
          <w:szCs w:val="18"/>
          <w:color w:val="auto"/>
        </w:rPr>
        <w:t>”),</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 right of first refusal (the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to purchase all or any portion of the Shares that such Other Investor may propose to Transfer to a third party that is not an Affiliate of such Other Investor (a “</w:t>
      </w:r>
      <w:r>
        <w:rPr>
          <w:rFonts w:ascii="Arial" w:cs="Arial" w:eastAsia="Arial" w:hAnsi="Arial"/>
          <w:sz w:val="18"/>
          <w:szCs w:val="18"/>
          <w:u w:val="single" w:color="auto"/>
          <w:color w:val="auto"/>
        </w:rPr>
        <w:t>Proposed Transfer</w:t>
      </w:r>
      <w:r>
        <w:rPr>
          <w:rFonts w:ascii="Arial" w:cs="Arial" w:eastAsia="Arial" w:hAnsi="Arial"/>
          <w:sz w:val="18"/>
          <w:szCs w:val="18"/>
          <w:color w:val="auto"/>
        </w:rPr>
        <w:t>”), at the same price and on the same terms and conditions as those offered to the proposed transferee.</w:t>
      </w:r>
    </w:p>
    <w:p>
      <w:pPr>
        <w:spacing w:after="0" w:line="184" w:lineRule="exact"/>
        <w:rPr>
          <w:sz w:val="20"/>
          <w:szCs w:val="20"/>
          <w:color w:val="auto"/>
        </w:rPr>
      </w:pPr>
    </w:p>
    <w:p>
      <w:pPr>
        <w:ind w:right="300" w:firstLine="1952"/>
        <w:spacing w:after="0" w:line="291" w:lineRule="auto"/>
        <w:tabs>
          <w:tab w:leader="none" w:pos="2613" w:val="left"/>
        </w:tabs>
        <w:numPr>
          <w:ilvl w:val="1"/>
          <w:numId w:val="193"/>
        </w:numPr>
        <w:rPr>
          <w:rFonts w:ascii="Arial" w:cs="Arial" w:eastAsia="Arial" w:hAnsi="Arial"/>
          <w:sz w:val="16"/>
          <w:szCs w:val="16"/>
          <w:color w:val="auto"/>
        </w:rPr>
      </w:pPr>
      <w:r>
        <w:rPr>
          <w:rFonts w:ascii="Arial" w:cs="Arial" w:eastAsia="Arial" w:hAnsi="Arial"/>
          <w:sz w:val="16"/>
          <w:szCs w:val="16"/>
          <w:color w:val="auto"/>
        </w:rPr>
        <w:t>Before an Other Investor may effect a Proposed Transfer, (i) the Board (with the approval of at least one Series A-1 Preferred Director) must consent in writing to any such Proposed Transfer that is otherwise not permitted pursuant to the terms of this Agreement and</w:t>
      </w:r>
    </w:p>
    <w:p>
      <w:pPr>
        <w:ind w:firstLine="8"/>
        <w:spacing w:after="0" w:line="271" w:lineRule="auto"/>
        <w:tabs>
          <w:tab w:leader="none" w:pos="26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such Other Investor (the “</w:t>
      </w:r>
      <w:r>
        <w:rPr>
          <w:rFonts w:ascii="Arial" w:cs="Arial" w:eastAsia="Arial" w:hAnsi="Arial"/>
          <w:sz w:val="17"/>
          <w:szCs w:val="17"/>
          <w:u w:val="single" w:color="auto"/>
          <w:color w:val="auto"/>
        </w:rPr>
        <w:t>Transferring Other Investor</w:t>
      </w:r>
      <w:r>
        <w:rPr>
          <w:rFonts w:ascii="Arial" w:cs="Arial" w:eastAsia="Arial" w:hAnsi="Arial"/>
          <w:sz w:val="17"/>
          <w:szCs w:val="17"/>
          <w:color w:val="auto"/>
        </w:rPr>
        <w:t>”) must provide, at the same time, the Company and the ROFR Investors written notice of the Proposed Transfer (the “</w:t>
      </w:r>
      <w:r>
        <w:rPr>
          <w:rFonts w:ascii="Arial" w:cs="Arial" w:eastAsia="Arial" w:hAnsi="Arial"/>
          <w:sz w:val="17"/>
          <w:szCs w:val="17"/>
          <w:u w:val="single" w:color="auto"/>
          <w:color w:val="auto"/>
        </w:rPr>
        <w:t>Transfer Notice</w:t>
      </w:r>
      <w:r>
        <w:rPr>
          <w:rFonts w:ascii="Arial" w:cs="Arial" w:eastAsia="Arial" w:hAnsi="Arial"/>
          <w:sz w:val="17"/>
          <w:szCs w:val="17"/>
          <w:color w:val="auto"/>
        </w:rPr>
        <w:t>”) stating: (a) such Transferring Other Investor’s bona fide intention to transfer such Offered Shares (as defined below); (b) the number of each type and class of Shares to be Transferred (the “</w:t>
      </w:r>
      <w:r>
        <w:rPr>
          <w:rFonts w:ascii="Arial" w:cs="Arial" w:eastAsia="Arial" w:hAnsi="Arial"/>
          <w:sz w:val="17"/>
          <w:szCs w:val="17"/>
          <w:u w:val="single" w:color="auto"/>
          <w:color w:val="auto"/>
        </w:rPr>
        <w:t>Offered Shares</w:t>
      </w:r>
      <w:r>
        <w:rPr>
          <w:rFonts w:ascii="Arial" w:cs="Arial" w:eastAsia="Arial" w:hAnsi="Arial"/>
          <w:sz w:val="17"/>
          <w:szCs w:val="17"/>
          <w:color w:val="auto"/>
        </w:rPr>
        <w:t>”); (c) the name, address and relationship, if any, to the Transferring Other Investor of each proposed purchaser or other transferee; and (d) the bona fide cash price, or in reasonable detail, other consideration, per share for which the Transferring Other Investor proposes to transfer such Offered Shares (the “</w:t>
      </w:r>
      <w:r>
        <w:rPr>
          <w:rFonts w:ascii="Arial" w:cs="Arial" w:eastAsia="Arial" w:hAnsi="Arial"/>
          <w:sz w:val="17"/>
          <w:szCs w:val="17"/>
          <w:u w:val="single" w:color="auto"/>
          <w:color w:val="auto"/>
        </w:rPr>
        <w:t>Offered Price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100" w:firstLine="1952"/>
        <w:spacing w:after="0" w:line="296" w:lineRule="auto"/>
        <w:tabs>
          <w:tab w:leader="none" w:pos="2623" w:val="left"/>
        </w:tabs>
        <w:numPr>
          <w:ilvl w:val="1"/>
          <w:numId w:val="194"/>
        </w:numPr>
        <w:rPr>
          <w:rFonts w:ascii="Arial" w:cs="Arial" w:eastAsia="Arial" w:hAnsi="Arial"/>
          <w:sz w:val="16"/>
          <w:szCs w:val="16"/>
          <w:color w:val="auto"/>
        </w:rPr>
      </w:pPr>
      <w:r>
        <w:rPr>
          <w:rFonts w:ascii="Arial" w:cs="Arial" w:eastAsia="Arial" w:hAnsi="Arial"/>
          <w:sz w:val="16"/>
          <w:szCs w:val="16"/>
          <w:color w:val="auto"/>
        </w:rPr>
        <w:t>If the Company desires to purchase all or any part of the Offered Shares, the Company must, within a twenty (20) day period (the “</w:t>
      </w:r>
      <w:r>
        <w:rPr>
          <w:rFonts w:ascii="Arial" w:cs="Arial" w:eastAsia="Arial" w:hAnsi="Arial"/>
          <w:sz w:val="16"/>
          <w:szCs w:val="16"/>
          <w:u w:val="single" w:color="auto"/>
          <w:color w:val="auto"/>
        </w:rPr>
        <w:t>Company Refusal Period</w:t>
      </w:r>
      <w:r>
        <w:rPr>
          <w:rFonts w:ascii="Arial" w:cs="Arial" w:eastAsia="Arial" w:hAnsi="Arial"/>
          <w:sz w:val="16"/>
          <w:szCs w:val="16"/>
          <w:color w:val="auto"/>
        </w:rPr>
        <w:t>”) of receipt of the Transfer Notice, give written notice to the Transferring Other Investor and the ROFR Investors which notice shall specify the number of Offered Shares the Company intends to purchase, or state that the Company does not intend to exercise its Right of First Refusal hereunder (the “</w:t>
      </w:r>
      <w:r>
        <w:rPr>
          <w:rFonts w:ascii="Arial" w:cs="Arial" w:eastAsia="Arial" w:hAnsi="Arial"/>
          <w:sz w:val="16"/>
          <w:szCs w:val="16"/>
          <w:u w:val="single" w:color="auto"/>
          <w:color w:val="auto"/>
        </w:rPr>
        <w:t>Company Notice</w:t>
      </w:r>
      <w:r>
        <w:rPr>
          <w:rFonts w:ascii="Arial" w:cs="Arial" w:eastAsia="Arial" w:hAnsi="Arial"/>
          <w:sz w:val="16"/>
          <w:szCs w:val="16"/>
          <w:color w:val="auto"/>
        </w:rPr>
        <w:t>”). Notwithstanding any failure by the Company to deliver the Company’s Notice, a failure by the Company to exercise its Right of First Refusal within the Company Refusal Period shall be deemed a waiver of such right.</w:t>
      </w:r>
    </w:p>
    <w:p>
      <w:pPr>
        <w:spacing w:after="0" w:line="161" w:lineRule="exact"/>
        <w:rPr>
          <w:rFonts w:ascii="Arial" w:cs="Arial" w:eastAsia="Arial" w:hAnsi="Arial"/>
          <w:sz w:val="16"/>
          <w:szCs w:val="16"/>
          <w:color w:val="auto"/>
        </w:rPr>
      </w:pPr>
    </w:p>
    <w:p>
      <w:pPr>
        <w:ind w:firstLine="1952"/>
        <w:spacing w:after="0" w:line="253" w:lineRule="auto"/>
        <w:tabs>
          <w:tab w:leader="none" w:pos="263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the extent the Company does not purchase all of the Offered Shares, the ROFR Investors shall have the opportunity to purchase the remaining Offered Shares. If any ROFR Investor desires to purchase any of the remaining Offered Shares, such ROFR Investor must, within a twenty (20) day period (the “</w:t>
      </w:r>
      <w:r>
        <w:rPr>
          <w:rFonts w:ascii="Arial" w:cs="Arial" w:eastAsia="Arial" w:hAnsi="Arial"/>
          <w:sz w:val="18"/>
          <w:szCs w:val="18"/>
          <w:u w:val="single" w:color="auto"/>
          <w:color w:val="auto"/>
        </w:rPr>
        <w:t>Investor Refusal Period</w:t>
      </w:r>
      <w:r>
        <w:rPr>
          <w:rFonts w:ascii="Arial" w:cs="Arial" w:eastAsia="Arial" w:hAnsi="Arial"/>
          <w:sz w:val="18"/>
          <w:szCs w:val="18"/>
          <w:color w:val="auto"/>
        </w:rPr>
        <w:t>”) commencing on receipt of the Company Notice (or if no notice is received, commencing on the expiration of the Company Refusal Period), give written notice (the “</w:t>
      </w:r>
      <w:r>
        <w:rPr>
          <w:rFonts w:ascii="Arial" w:cs="Arial" w:eastAsia="Arial" w:hAnsi="Arial"/>
          <w:sz w:val="18"/>
          <w:szCs w:val="18"/>
          <w:u w:val="single" w:color="auto"/>
          <w:color w:val="auto"/>
        </w:rPr>
        <w:t>Investor Notice</w:t>
      </w:r>
      <w:r>
        <w:rPr>
          <w:rFonts w:ascii="Arial" w:cs="Arial" w:eastAsia="Arial" w:hAnsi="Arial"/>
          <w:sz w:val="18"/>
          <w:szCs w:val="18"/>
          <w:color w:val="auto"/>
        </w:rPr>
        <w:t xml:space="preserve">”) to the Transferring Other Investor and to the Company of such ROFR Investor’s election to purchase any remaining Offered Shares and specifying the amount of Offered Shares such ROFR Investor shall purchase. If multiple ROFR Investors elect to purchase the Offered Shares not purchased by the Company, each such ROFR Investor shall have a right to purchase up 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Offered Shares not purchased by the Company, based on the number of shares of Common Stock held by such ROFR Investor on an as converted basis as a percentage of the number of shares of Common Stock held by all such ROFR Investors on an as converted basis. A ROFR Investor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7" w:name="page298"/>
    <w:bookmarkEnd w:id="297"/>
    <w:p>
      <w:pPr>
        <w:ind w:right="580"/>
        <w:spacing w:after="0" w:line="277" w:lineRule="auto"/>
        <w:rPr>
          <w:sz w:val="20"/>
          <w:szCs w:val="20"/>
          <w:color w:val="auto"/>
        </w:rPr>
      </w:pPr>
      <w:r>
        <w:rPr>
          <w:rFonts w:ascii="Arial" w:cs="Arial" w:eastAsia="Arial" w:hAnsi="Arial"/>
          <w:sz w:val="18"/>
          <w:szCs w:val="18"/>
          <w:color w:val="auto"/>
        </w:rPr>
        <w:t>shall be entitled to apportion the Right of First Refusal hereby granted it among itself and its partners and Affiliates in such proportions as it deems appropriate.</w:t>
      </w:r>
    </w:p>
    <w:p>
      <w:pPr>
        <w:spacing w:after="0" w:line="170" w:lineRule="exact"/>
        <w:rPr>
          <w:sz w:val="20"/>
          <w:szCs w:val="20"/>
          <w:color w:val="auto"/>
        </w:rPr>
      </w:pPr>
    </w:p>
    <w:p>
      <w:pPr>
        <w:ind w:firstLine="1952"/>
        <w:spacing w:after="0" w:line="257" w:lineRule="auto"/>
        <w:tabs>
          <w:tab w:leader="none" w:pos="260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purchase price for the Offered Shares to be purchased by the Company and/or the ROFR Investors exercising their Right of First Refusal, as applicable (the “</w:t>
      </w:r>
      <w:r>
        <w:rPr>
          <w:rFonts w:ascii="Arial" w:cs="Arial" w:eastAsia="Arial" w:hAnsi="Arial"/>
          <w:sz w:val="18"/>
          <w:szCs w:val="18"/>
          <w:u w:val="single" w:color="auto"/>
          <w:color w:val="auto"/>
        </w:rPr>
        <w:t>Purchaser</w:t>
      </w:r>
      <w:r>
        <w:rPr>
          <w:rFonts w:ascii="Arial" w:cs="Arial" w:eastAsia="Arial" w:hAnsi="Arial"/>
          <w:sz w:val="18"/>
          <w:szCs w:val="18"/>
          <w:color w:val="auto"/>
        </w:rPr>
        <w:t>”), will be the Offered Price, and will be payable upon the ROFR Closing (as defined below) with respect to such Offered Shares. Payment of the purchase price will be made by the Company and/or the applicable Purchaser in cash or by wire transfer of immediately available funds or, if so provided in the offer of the prospective transferee, cash plus deferred payments of cash in the same proportions, and with the same terms of deferred payment as set forth therein.</w:t>
      </w:r>
    </w:p>
    <w:p>
      <w:pPr>
        <w:spacing w:after="0" w:line="187" w:lineRule="exact"/>
        <w:rPr>
          <w:rFonts w:ascii="Arial" w:cs="Arial" w:eastAsia="Arial" w:hAnsi="Arial"/>
          <w:sz w:val="18"/>
          <w:szCs w:val="18"/>
          <w:color w:val="auto"/>
        </w:rPr>
      </w:pPr>
    </w:p>
    <w:p>
      <w:pPr>
        <w:ind w:right="20" w:firstLine="1952"/>
        <w:spacing w:after="0" w:line="284" w:lineRule="auto"/>
        <w:tabs>
          <w:tab w:leader="none" w:pos="259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If the Offered Price for the Offered Shares is for consideration other than cash or cash plus deferred payments of cash, the Purchaser(s) exercising its Right of First Refusal shall pay the cash equivalent of such other consideration. If the Transferring Other Investor and the Purchaser(s) cannot agree on the amount of such cash equivalent within ten (10) days after the beginning of the twenty (20) day period following the expiration of the Company Refusal Period or the Investor Refusal Period, as applicable, any of such parties may, by three (3) days’ written notice to the other, initiate appraisal proceedings under </w:t>
      </w:r>
      <w:r>
        <w:rPr>
          <w:rFonts w:ascii="Arial" w:cs="Arial" w:eastAsia="Arial" w:hAnsi="Arial"/>
          <w:sz w:val="16"/>
          <w:szCs w:val="16"/>
          <w:u w:val="single" w:color="auto"/>
          <w:color w:val="auto"/>
        </w:rPr>
        <w:t>Section 3(c)(vi)</w:t>
      </w:r>
      <w:r>
        <w:rPr>
          <w:rFonts w:ascii="Arial" w:cs="Arial" w:eastAsia="Arial" w:hAnsi="Arial"/>
          <w:sz w:val="16"/>
          <w:szCs w:val="16"/>
          <w:color w:val="auto"/>
        </w:rPr>
        <w:t xml:space="preserve"> for determination of the cash equivalent;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that there is more than one Purchaser, the determination by the Purchasers as to the amount of the cash equivalent of such other consideration and any decision by the Purchasers to initiate appraisal proceedings shall be made by the Purchasers holding a majority of the Shares (on an as-converted basis) held by all Purchasers at the time of the Notice Transfer. Notwithstanding anything to the contrary contained herein, any Purchaser may give written notice (a “</w:t>
      </w:r>
      <w:r>
        <w:rPr>
          <w:rFonts w:ascii="Arial" w:cs="Arial" w:eastAsia="Arial" w:hAnsi="Arial"/>
          <w:sz w:val="16"/>
          <w:szCs w:val="16"/>
          <w:u w:val="single" w:color="auto"/>
          <w:color w:val="auto"/>
        </w:rPr>
        <w:t>Revocation Notice</w:t>
      </w:r>
      <w:r>
        <w:rPr>
          <w:rFonts w:ascii="Arial" w:cs="Arial" w:eastAsia="Arial" w:hAnsi="Arial"/>
          <w:sz w:val="16"/>
          <w:szCs w:val="16"/>
          <w:color w:val="auto"/>
        </w:rPr>
        <w:t xml:space="preserve">”) to the Transferring Other Investor and all other Purchasers revoking an election to purchase the Offered Shares within ten (10) days after determination of the appraised value, if it chooses not to purchase the Offered Shares at such appraised value, it being understood and agreed that if there is more than one Purchaser, any such Purchaser or all such Purchasers may deliver a Revocation Notice revoking its or their election to purchase the Offered Shares in accordance with the foregoing terms, and any such Purchaser that has not so revoked its election to purchase the Offered Shares shall have the right, at any time within three (3) Business Days of receipt of a Revocation Notice to elect to purchase the Offered Shares with respect to which a Revocation Notice has been delivered, and if there is more than one Purchaser that has not so revoked its election to purchase Offered Shares, all such non-revoking Purchasers shall have the right to purchase the Offered Shares with respect to which a Revocation Notice was delivered (with such right to be exercised in writing to the Transferring Other Investor and all other Purchasers no later than three (3) Business Days after the delivery of the final Revocation Notice). If multiple non-revoking Purchasers elect to purchase such Offered Shares with respect to which a Revocation Notice was delivered, each such non-revoking Purchaser shall have a right to purchase up to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Offered Shares with respect to which a Revocation Notice was delivered, based on the number of shares of Common Stock held by such non-revoking Purchaser on an as converted basis as a percentage of the number of shares of Common Stock held by all non-revoking Purchasers on an as converted basis exercising such right.</w:t>
      </w:r>
    </w:p>
    <w:p>
      <w:pPr>
        <w:spacing w:after="0" w:line="181" w:lineRule="exact"/>
        <w:rPr>
          <w:rFonts w:ascii="Arial" w:cs="Arial" w:eastAsia="Arial" w:hAnsi="Arial"/>
          <w:sz w:val="16"/>
          <w:szCs w:val="16"/>
          <w:color w:val="auto"/>
        </w:rPr>
      </w:pPr>
    </w:p>
    <w:p>
      <w:pPr>
        <w:ind w:right="120" w:firstLine="1952"/>
        <w:spacing w:after="0" w:line="291" w:lineRule="auto"/>
        <w:tabs>
          <w:tab w:leader="none" w:pos="2609"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If any party shall initiate an appraisal procedure to determine the amount of the cash equivalent of any consideration for Offered Shares under this </w:t>
      </w:r>
      <w:r>
        <w:rPr>
          <w:rFonts w:ascii="Arial" w:cs="Arial" w:eastAsia="Arial" w:hAnsi="Arial"/>
          <w:sz w:val="16"/>
          <w:szCs w:val="16"/>
          <w:u w:val="single" w:color="auto"/>
          <w:color w:val="auto"/>
        </w:rPr>
        <w:t>Section 3(c)(vi)</w:t>
      </w:r>
      <w:r>
        <w:rPr>
          <w:rFonts w:ascii="Arial" w:cs="Arial" w:eastAsia="Arial" w:hAnsi="Arial"/>
          <w:sz w:val="16"/>
          <w:szCs w:val="16"/>
          <w:color w:val="auto"/>
        </w:rPr>
        <w:t>, then the Transferring Other Investor, on the one hand, and the Purchaser seeking such appraisal (the “</w:t>
      </w:r>
      <w:r>
        <w:rPr>
          <w:rFonts w:ascii="Arial" w:cs="Arial" w:eastAsia="Arial" w:hAnsi="Arial"/>
          <w:sz w:val="16"/>
          <w:szCs w:val="16"/>
          <w:u w:val="single" w:color="auto"/>
          <w:color w:val="auto"/>
        </w:rPr>
        <w:t>Appraising Purchaser</w:t>
      </w:r>
      <w:r>
        <w:rPr>
          <w:rFonts w:ascii="Arial" w:cs="Arial" w:eastAsia="Arial" w:hAnsi="Arial"/>
          <w:sz w:val="16"/>
          <w:szCs w:val="16"/>
          <w:color w:val="auto"/>
        </w:rPr>
        <w:t xml:space="preserve">”), on the other hand, shall each promptly appoint as an appraiser an individual who shall be a member of a nationally recognized investment banking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that there is more than one Appraising Purchaser, the nationally recognized investment banking firm appointed by the Appraising Purchasers shall be appointed jointly by all such Appraising Purchasers, with votes allocated in connection with such decision to each Appraising Purchaser proportionally based on the relative number of Offered Shares each Appraising Purchaser is proposing to purchase in such transaction. Each appraiser shall, within thirty (30) days of appointment, separately investigate the value of the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98" w:name="page299"/>
    <w:bookmarkEnd w:id="298"/>
    <w:p>
      <w:pPr>
        <w:spacing w:after="0" w:line="285" w:lineRule="auto"/>
        <w:rPr>
          <w:sz w:val="20"/>
          <w:szCs w:val="20"/>
          <w:color w:val="auto"/>
        </w:rPr>
      </w:pPr>
      <w:r>
        <w:rPr>
          <w:rFonts w:ascii="Arial" w:cs="Arial" w:eastAsia="Arial" w:hAnsi="Arial"/>
          <w:sz w:val="16"/>
          <w:szCs w:val="16"/>
          <w:color w:val="auto"/>
        </w:rPr>
        <w:t>consideration for the Offered Shares as of the proposed transfer date and shall submit a notice of an appraisal of that value to each party. Each appraiser shall be instructed to determine such value without regard to income tax consequences to the Transferring Other Investor as a result of receiving cash rather than other consideration. If the appraised values of such consideration (the “</w:t>
      </w:r>
      <w:r>
        <w:rPr>
          <w:rFonts w:ascii="Arial" w:cs="Arial" w:eastAsia="Arial" w:hAnsi="Arial"/>
          <w:sz w:val="16"/>
          <w:szCs w:val="16"/>
          <w:u w:val="single" w:color="auto"/>
          <w:color w:val="auto"/>
        </w:rPr>
        <w:t>Earlier Appraisals</w:t>
      </w:r>
      <w:r>
        <w:rPr>
          <w:rFonts w:ascii="Arial" w:cs="Arial" w:eastAsia="Arial" w:hAnsi="Arial"/>
          <w:sz w:val="16"/>
          <w:szCs w:val="16"/>
          <w:color w:val="auto"/>
        </w:rPr>
        <w:t xml:space="preserve">”) vary by less than ten percent (10%), the average of the two appraisals on a per share basis shall be controlling as the amount of the cash equivalent. If the appraised values vary by more than ten percent (10%), the appraisers, within ten (10) days of the submission of the last appraisal, shall appoint a third appraiser who shall be a member of a nationally recognized investment banking firm. The third appraiser shall, within thirty (30) days of his appointment, appraise the value of the consideration for the Offered Shares (without regard to the income tax consequences to the Transferring Other Investor as a result of receiving cash rather than other consideration) as of the proposed transfer date and submit notice of his appraisal to each party. The value determined by the third appraiser shall be controlling as the amount of the cash equivalent unless the value is greater than the two Earlier Appraisals, in which case the higher of the two Earlier Appraisals will control, and unless that value is lower than the two Earlier Appraisals, in which case the lower of the two Earlier Appraisals will control. If any party fails to appoint an appraiser or if one of the two initial appraisers fails after appointment to submit his appraisal within the required period, the appraisal submitted by the remaining appraiser shall be controlling. The Transferring Other Investor and the Appraising Purchaser(s) shall each bear the cost of its respective appointed appraiser. The cost of the third appraisal shall be shared one-half by the Transferring Other Investor and one-half by the Appraising Purchaser;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that there is more than one Appraising Purchaser, any amounts payable by the Appraising Purchaser pursuant to the terms of this sentence and the immediately preceding sentence shall be allocated to and be paid by each Appraising Purchaser proportionally based on the relative number of Offered Shares each Appraising Purchaser is proposing to purchase in such transaction (whether or not the Offered Shares are actually purchased by such Appraising Purchasers).</w:t>
      </w:r>
    </w:p>
    <w:p>
      <w:pPr>
        <w:spacing w:after="0" w:line="174" w:lineRule="exact"/>
        <w:rPr>
          <w:sz w:val="20"/>
          <w:szCs w:val="20"/>
          <w:color w:val="auto"/>
        </w:rPr>
      </w:pPr>
    </w:p>
    <w:p>
      <w:pPr>
        <w:ind w:firstLine="1952"/>
        <w:spacing w:after="0" w:line="293" w:lineRule="auto"/>
        <w:tabs>
          <w:tab w:leader="none" w:pos="261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The closing of any purchase pursuant to this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ROFR Closing</w:t>
      </w:r>
      <w:r>
        <w:rPr>
          <w:rFonts w:ascii="Arial" w:cs="Arial" w:eastAsia="Arial" w:hAnsi="Arial"/>
          <w:sz w:val="16"/>
          <w:szCs w:val="16"/>
          <w:color w:val="auto"/>
        </w:rPr>
        <w:t xml:space="preserve">”) shall take place within twenty (20) days following the expiration of the Company Refusal Period or the Investor Refusal Period, as applicable, at the office of the Company or such other location as shall be mutually agreeable to the Transferring Other Investor and the Purchaser(s) and the purchase price, to the extent comprised of cash, shall be paid at such ROFR Closing, and cash equivalents and documents evidencing any deferred payments of cash permitted pursuant to </w:t>
      </w:r>
      <w:r>
        <w:rPr>
          <w:rFonts w:ascii="Arial" w:cs="Arial" w:eastAsia="Arial" w:hAnsi="Arial"/>
          <w:sz w:val="16"/>
          <w:szCs w:val="16"/>
          <w:u w:val="single" w:color="auto"/>
          <w:color w:val="auto"/>
        </w:rPr>
        <w:t>Section 3(c)(iv)</w:t>
      </w:r>
      <w:r>
        <w:rPr>
          <w:rFonts w:ascii="Arial" w:cs="Arial" w:eastAsia="Arial" w:hAnsi="Arial"/>
          <w:sz w:val="16"/>
          <w:szCs w:val="16"/>
          <w:color w:val="auto"/>
        </w:rPr>
        <w:t xml:space="preserve"> above shall be delivered at such ROFR Closing. At such ROFR Closing, the Transferring Other Investor shall deliver to the Purchaser(s) the certificates evidencing the Offered Shares to be conveyed, duly endorsed and in negotiable form with all the requisite documentary stamps affixed thereto.</w:t>
      </w:r>
    </w:p>
    <w:p>
      <w:pPr>
        <w:spacing w:after="0" w:line="164" w:lineRule="exact"/>
        <w:rPr>
          <w:rFonts w:ascii="Arial" w:cs="Arial" w:eastAsia="Arial" w:hAnsi="Arial"/>
          <w:sz w:val="16"/>
          <w:szCs w:val="16"/>
          <w:color w:val="auto"/>
        </w:rPr>
      </w:pPr>
    </w:p>
    <w:p>
      <w:pPr>
        <w:ind w:right="40" w:firstLine="1952"/>
        <w:spacing w:after="0" w:line="287" w:lineRule="auto"/>
        <w:tabs>
          <w:tab w:leader="none" w:pos="2628"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If the Company and the ROFR Investors have not elected to purchase all of the Offered Shares, then, subject to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below, the Transferring Other Investor may transfer the remaining portion of the Offered Shares proposed to be sold by the Transferring Other Investor to any person named as a purchaser or other transferee in the Transfer Notice, at the Offered Price or at a higher price,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Transfer</w:t>
      </w:r>
    </w:p>
    <w:p>
      <w:pPr>
        <w:spacing w:after="0" w:line="2" w:lineRule="exact"/>
        <w:rPr>
          <w:rFonts w:ascii="Arial" w:cs="Arial" w:eastAsia="Arial" w:hAnsi="Arial"/>
          <w:sz w:val="16"/>
          <w:szCs w:val="16"/>
          <w:color w:val="auto"/>
        </w:rPr>
      </w:pPr>
    </w:p>
    <w:p>
      <w:pPr>
        <w:ind w:firstLine="8"/>
        <w:spacing w:after="0" w:line="255" w:lineRule="auto"/>
        <w:tabs>
          <w:tab w:leader="none" w:pos="21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 consummated within ninety (90) days after the date of the Transfer Notice and (ii) is in accordance with all the terms of this Agreement. If the Offered Shares are not so transferred during such ninety (90) day period, the Transferring Other Investor may not Transfer any of such Offered Shares without complying again in full with the provisions of this Agreement.</w:t>
      </w:r>
    </w:p>
    <w:p>
      <w:pPr>
        <w:spacing w:after="0" w:line="189" w:lineRule="exact"/>
        <w:rPr>
          <w:rFonts w:ascii="Arial" w:cs="Arial" w:eastAsia="Arial" w:hAnsi="Arial"/>
          <w:sz w:val="18"/>
          <w:szCs w:val="18"/>
          <w:color w:val="auto"/>
        </w:rPr>
      </w:pPr>
    </w:p>
    <w:p>
      <w:pPr>
        <w:ind w:right="100" w:firstLine="1952"/>
        <w:spacing w:after="0" w:line="342" w:lineRule="auto"/>
        <w:tabs>
          <w:tab w:leader="none" w:pos="2609"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The limitations of this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shall not apply to (i) any Transfers required to comply with </w:t>
      </w:r>
      <w:r>
        <w:rPr>
          <w:rFonts w:ascii="Arial" w:cs="Arial" w:eastAsia="Arial" w:hAnsi="Arial"/>
          <w:sz w:val="16"/>
          <w:szCs w:val="16"/>
          <w:u w:val="single" w:color="auto"/>
          <w:color w:val="auto"/>
        </w:rPr>
        <w:t>Section 3(e)</w:t>
      </w:r>
      <w:r>
        <w:rPr>
          <w:rFonts w:ascii="Arial" w:cs="Arial" w:eastAsia="Arial" w:hAnsi="Arial"/>
          <w:sz w:val="16"/>
          <w:szCs w:val="16"/>
          <w:color w:val="auto"/>
        </w:rPr>
        <w:t>, (ii) a sale of the entire Company (whether by means of a stock sale, merger, consolidation or otherwise) or (iii) any Transfers by the Institutional Investors.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9" w:name="page300"/>
    <w:bookmarkEnd w:id="299"/>
    <w:p>
      <w:pPr>
        <w:ind w:left="1960" w:hanging="656"/>
        <w:spacing w:after="0"/>
        <w:tabs>
          <w:tab w:leader="none" w:pos="196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Tag-Along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52"/>
        <w:spacing w:after="0" w:line="263" w:lineRule="auto"/>
        <w:tabs>
          <w:tab w:leader="none" w:pos="2613"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In the event the Company and the ROFR Investors have not elected to purchase all of the Shares that a Transferring Other Investor intends to Transfer to a third party purchaser pursuant to </w:t>
      </w:r>
      <w:r>
        <w:rPr>
          <w:rFonts w:ascii="Arial" w:cs="Arial" w:eastAsia="Arial" w:hAnsi="Arial"/>
          <w:sz w:val="18"/>
          <w:szCs w:val="18"/>
          <w:u w:val="single" w:color="auto"/>
          <w:color w:val="auto"/>
        </w:rPr>
        <w:t>Section 3(c)</w:t>
      </w:r>
      <w:r>
        <w:rPr>
          <w:rFonts w:ascii="Arial" w:cs="Arial" w:eastAsia="Arial" w:hAnsi="Arial"/>
          <w:sz w:val="18"/>
          <w:szCs w:val="18"/>
          <w:color w:val="auto"/>
        </w:rPr>
        <w:t>, such Transferring Other Investor (the “</w:t>
      </w:r>
      <w:r>
        <w:rPr>
          <w:rFonts w:ascii="Arial" w:cs="Arial" w:eastAsia="Arial" w:hAnsi="Arial"/>
          <w:sz w:val="18"/>
          <w:szCs w:val="18"/>
          <w:u w:val="single" w:color="auto"/>
          <w:color w:val="auto"/>
        </w:rPr>
        <w:t>Selling Investor</w:t>
      </w:r>
      <w:r>
        <w:rPr>
          <w:rFonts w:ascii="Arial" w:cs="Arial" w:eastAsia="Arial" w:hAnsi="Arial"/>
          <w:sz w:val="18"/>
          <w:szCs w:val="18"/>
          <w:color w:val="auto"/>
        </w:rPr>
        <w:t>”), shall notify the following Persons:</w:t>
      </w:r>
    </w:p>
    <w:p>
      <w:pPr>
        <w:spacing w:after="0" w:line="184" w:lineRule="exact"/>
        <w:rPr>
          <w:sz w:val="20"/>
          <w:szCs w:val="20"/>
          <w:color w:val="auto"/>
        </w:rPr>
      </w:pPr>
    </w:p>
    <w:p>
      <w:pPr>
        <w:ind w:left="1620" w:hanging="316"/>
        <w:spacing w:after="0" w:line="277" w:lineRule="auto"/>
        <w:tabs>
          <w:tab w:leader="none" w:pos="158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Institutional Investor who (together with its Affiliates) Owns Shares representing more than five percent (5%) of the outstanding shares of Common Stock on a Fully Diluted Basis,</w:t>
      </w:r>
    </w:p>
    <w:p>
      <w:pPr>
        <w:spacing w:after="0" w:line="170" w:lineRule="exact"/>
        <w:rPr>
          <w:rFonts w:ascii="Arial" w:cs="Arial" w:eastAsia="Arial" w:hAnsi="Arial"/>
          <w:sz w:val="18"/>
          <w:szCs w:val="18"/>
          <w:color w:val="auto"/>
        </w:rPr>
      </w:pPr>
    </w:p>
    <w:p>
      <w:pPr>
        <w:ind w:left="1620" w:right="60" w:hanging="316"/>
        <w:spacing w:after="0" w:line="308" w:lineRule="auto"/>
        <w:tabs>
          <w:tab w:leader="none" w:pos="158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March Capital (together with its Affiliates) Owns at least 4,392,492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80" w:hanging="316"/>
        <w:spacing w:after="0" w:line="308" w:lineRule="auto"/>
        <w:tabs>
          <w:tab w:leader="none" w:pos="158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IVP (together with its Affiliates) Owns at least 3,037,416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340" w:hanging="316"/>
        <w:spacing w:after="0" w:line="342" w:lineRule="auto"/>
        <w:tabs>
          <w:tab w:leader="none" w:pos="158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General Atlantic (together with its Affiliates) Owns at least 2,429,932 Shares of Common Stock (on an as-converted to Common Stock basis and subject to appropriate adjustment for stock splits, stock dividends, combinations, and other recapitalizations),</w:t>
      </w:r>
    </w:p>
    <w:p>
      <w:pPr>
        <w:spacing w:after="0" w:line="123" w:lineRule="exact"/>
        <w:rPr>
          <w:rFonts w:ascii="Arial" w:cs="Arial" w:eastAsia="Arial" w:hAnsi="Arial"/>
          <w:sz w:val="16"/>
          <w:szCs w:val="16"/>
          <w:color w:val="auto"/>
        </w:rPr>
      </w:pPr>
    </w:p>
    <w:p>
      <w:pPr>
        <w:ind w:left="1620" w:right="200" w:hanging="316"/>
        <w:spacing w:after="0" w:line="308" w:lineRule="auto"/>
        <w:tabs>
          <w:tab w:leader="none" w:pos="1584"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Telstra (together with its Affiliates) Owns at least 1,229,898 Shares of Common Stock (on an as-converted to Common Stock basis and subject to appropriate adjustment for stock splits, stock dividends, combinations, and other recapitalizations), and</w:t>
      </w:r>
    </w:p>
    <w:p>
      <w:pPr>
        <w:spacing w:after="0" w:line="146" w:lineRule="exact"/>
        <w:rPr>
          <w:rFonts w:ascii="Arial" w:cs="Arial" w:eastAsia="Arial" w:hAnsi="Arial"/>
          <w:sz w:val="17"/>
          <w:szCs w:val="17"/>
          <w:color w:val="auto"/>
        </w:rPr>
      </w:pPr>
    </w:p>
    <w:p>
      <w:pPr>
        <w:ind w:left="1620" w:right="40" w:hanging="316"/>
        <w:spacing w:after="0" w:line="263" w:lineRule="auto"/>
        <w:tabs>
          <w:tab w:leader="none" w:pos="158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Rackspace, so long as Rackspace (together with its Affiliates) Owns at least 2,207,644 Shares of Common Stock (on an as-converted to Common Stock basis and subject to appropriate adjustment for stock splits, stock dividends, combinations, and other recapitalizations) (collectively, the “</w:t>
      </w:r>
      <w:r>
        <w:rPr>
          <w:rFonts w:ascii="Arial" w:cs="Arial" w:eastAsia="Arial" w:hAnsi="Arial"/>
          <w:sz w:val="18"/>
          <w:szCs w:val="18"/>
          <w:u w:val="single" w:color="auto"/>
          <w:color w:val="auto"/>
        </w:rPr>
        <w:t>Tag-Along Investors</w:t>
      </w:r>
      <w:r>
        <w:rPr>
          <w:rFonts w:ascii="Arial" w:cs="Arial" w:eastAsia="Arial" w:hAnsi="Arial"/>
          <w:sz w:val="18"/>
          <w:szCs w:val="18"/>
          <w:color w:val="auto"/>
        </w:rPr>
        <w:t>”),</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writing, of such proposed Transfer of the remaining Shares and its terms and conditions. Within five (5) Business Days of the date of such notice, each Tag-Along Investor shall notify the Selling Investor if he, she or it elects to participate in such Transfer. Any Tag-Along Investor that fails to notify the Selling Investor within such five (5) Business Day period shall be deemed to have waived his, her or its rights hereunder. Each Tag-Along Investor that so notifies the Selling Investor shall have the right to sell, at the same price (subject to the provisions below) and on the same terms and conditions as the Selling Investor, an amount of Shares (excluding for purposes of this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any Granted Equity Shares (whether or not vested)) equal to the Shares the third party purchaser actually proposes to purchase multiplied by a fraction, the numerator of which shall be the number of Shares Owned (excluding any Granted Equity Shares (whether or not vested)) by such Tag-Along Investor and the denominator of which shall be the aggregate number of Shares Owned (excluding any Granted Equity Shares (whether or not vested)) by the Selling Investor and each Tag-Along Investor exercising his, her or its rights under this </w:t>
      </w:r>
      <w:r>
        <w:rPr>
          <w:rFonts w:ascii="Arial" w:cs="Arial" w:eastAsia="Arial" w:hAnsi="Arial"/>
          <w:sz w:val="17"/>
          <w:szCs w:val="17"/>
          <w:u w:val="single" w:color="auto"/>
          <w:color w:val="auto"/>
        </w:rPr>
        <w:t>Section 3(d)</w:t>
      </w:r>
      <w:r>
        <w:rPr>
          <w:rFonts w:ascii="Arial" w:cs="Arial" w:eastAsia="Arial" w:hAnsi="Arial"/>
          <w:sz w:val="17"/>
          <w:szCs w:val="17"/>
          <w:color w:val="auto"/>
        </w:rPr>
        <w:t>. Notwithstanding the foregoing, in the event the Selling Investor is selling only shares of Preferred Stock, Tag-Along Investors shall only have the right to sell such series of Preferred Stock as is being sold by the Selling Investor and shall not have the right to sell shares of Common Stock or any other series of Preferred Stock. A Tag-Along Investor shall be entitled to apportion the Tag-Along Rights hereby granted it among itself and its partners and Affiliates in such proportions as it deems appropriate.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firstLine="1952"/>
        <w:spacing w:after="0" w:line="296" w:lineRule="auto"/>
        <w:tabs>
          <w:tab w:leader="none" w:pos="2623" w:val="left"/>
        </w:tabs>
        <w:numPr>
          <w:ilvl w:val="2"/>
          <w:numId w:val="200"/>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w:t>
      </w:r>
      <w:r>
        <w:rPr>
          <w:rFonts w:ascii="Arial" w:cs="Arial" w:eastAsia="Arial" w:hAnsi="Arial"/>
          <w:sz w:val="16"/>
          <w:szCs w:val="16"/>
          <w:u w:val="single" w:color="auto"/>
          <w:color w:val="auto"/>
        </w:rPr>
        <w:t>Section 3(d)</w:t>
      </w:r>
      <w:r>
        <w:rPr>
          <w:rFonts w:ascii="Arial" w:cs="Arial" w:eastAsia="Arial" w:hAnsi="Arial"/>
          <w:sz w:val="16"/>
          <w:szCs w:val="16"/>
          <w:color w:val="auto"/>
        </w:rPr>
        <w:t>, in the event that all or a portion of the purchase price consists of securities and the Transfer of such securities to the Tag-Along Investors would require either a registration under the Securities Act or the preparation of a disclosure document pursuant to Regulation D under the Securities Act (or any successor regulation) or a similar provision of any state securities law, then, at the option of the Selling Investor, any one or more of the Tag-Along Investors may receive, in lieu of such securities, the fair market value of such securities in cash, as determined in good faith by the Board (with the approval of at least one Series A-1 Preferred Director).</w:t>
      </w:r>
    </w:p>
    <w:p>
      <w:pPr>
        <w:spacing w:after="0" w:line="161" w:lineRule="exact"/>
        <w:rPr>
          <w:rFonts w:ascii="Arial" w:cs="Arial" w:eastAsia="Arial" w:hAnsi="Arial"/>
          <w:sz w:val="16"/>
          <w:szCs w:val="16"/>
          <w:color w:val="auto"/>
        </w:rPr>
      </w:pPr>
    </w:p>
    <w:p>
      <w:pPr>
        <w:ind w:firstLine="1952"/>
        <w:spacing w:after="0" w:line="263" w:lineRule="auto"/>
        <w:tabs>
          <w:tab w:leader="none" w:pos="2632" w:val="left"/>
        </w:tabs>
        <w:numPr>
          <w:ilvl w:val="2"/>
          <w:numId w:val="200"/>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3(d)</w:t>
      </w:r>
      <w:r>
        <w:rPr>
          <w:rFonts w:ascii="Arial" w:cs="Arial" w:eastAsia="Arial" w:hAnsi="Arial"/>
          <w:sz w:val="18"/>
          <w:szCs w:val="18"/>
          <w:color w:val="auto"/>
        </w:rPr>
        <w:t xml:space="preserve"> shall not apply to a merger, reorganization, consolidation, liquidation or winding up involving the Company. The provisions of this </w:t>
      </w:r>
      <w:r>
        <w:rPr>
          <w:rFonts w:ascii="Arial" w:cs="Arial" w:eastAsia="Arial" w:hAnsi="Arial"/>
          <w:sz w:val="18"/>
          <w:szCs w:val="18"/>
          <w:u w:val="single" w:color="auto"/>
          <w:color w:val="auto"/>
        </w:rPr>
        <w:t>Section 3(d)</w:t>
      </w:r>
      <w:r>
        <w:rPr>
          <w:rFonts w:ascii="Arial" w:cs="Arial" w:eastAsia="Arial" w:hAnsi="Arial"/>
          <w:sz w:val="18"/>
          <w:szCs w:val="18"/>
          <w:color w:val="auto"/>
        </w:rPr>
        <w:t xml:space="preserve"> shall also not apply to a sale or other Transfer pursuant to which the Supermajority Holders have exercised their drag-along rights set forth in </w:t>
      </w:r>
      <w:r>
        <w:rPr>
          <w:rFonts w:ascii="Arial" w:cs="Arial" w:eastAsia="Arial" w:hAnsi="Arial"/>
          <w:sz w:val="18"/>
          <w:szCs w:val="18"/>
          <w:u w:val="single" w:color="auto"/>
          <w:color w:val="auto"/>
        </w:rPr>
        <w:t>Section 3(e)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Drag Along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952"/>
        <w:spacing w:after="0" w:line="291" w:lineRule="auto"/>
        <w:tabs>
          <w:tab w:leader="none" w:pos="2613" w:val="left"/>
        </w:tabs>
        <w:numPr>
          <w:ilvl w:val="2"/>
          <w:numId w:val="201"/>
        </w:numPr>
        <w:rPr>
          <w:rFonts w:ascii="Arial" w:cs="Arial" w:eastAsia="Arial" w:hAnsi="Arial"/>
          <w:sz w:val="16"/>
          <w:szCs w:val="16"/>
          <w:color w:val="auto"/>
        </w:rPr>
      </w:pPr>
      <w:r>
        <w:rPr>
          <w:rFonts w:ascii="Arial" w:cs="Arial" w:eastAsia="Arial" w:hAnsi="Arial"/>
          <w:sz w:val="16"/>
          <w:szCs w:val="16"/>
          <w:color w:val="auto"/>
        </w:rPr>
        <w:t>If at any time and from time to time following the Initial Closing Date, the Supermajority Holders desire to (i) Transfer in a bona fide arms’ length sale all of their Shares to any Person or Persons who are not Affiliates of the Company or the Supermajority Holders,</w:t>
      </w:r>
    </w:p>
    <w:p>
      <w:pPr>
        <w:ind w:firstLine="8"/>
        <w:spacing w:after="0" w:line="283" w:lineRule="auto"/>
        <w:tabs>
          <w:tab w:leader="none" w:pos="26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approve any merger of the Company with or into any other Person who is not an Affiliate of the Company or the Supermajority Holders, including any transaction that would constitute a Deemed Liquidation Event, or (iii) approve any sale of all or substantially all of the Company’s assets to any Person or Persons who are not Affiliates of the Company or the Supermajority Holders, including any transaction that would constitute a Deemed Liquidation Event (for purposes of this </w:t>
      </w:r>
      <w:r>
        <w:rPr>
          <w:rFonts w:ascii="Arial" w:cs="Arial" w:eastAsia="Arial" w:hAnsi="Arial"/>
          <w:sz w:val="16"/>
          <w:szCs w:val="16"/>
          <w:u w:val="single" w:color="auto"/>
          <w:color w:val="auto"/>
        </w:rPr>
        <w:t>Section 3(e)</w:t>
      </w:r>
      <w:r>
        <w:rPr>
          <w:rFonts w:ascii="Arial" w:cs="Arial" w:eastAsia="Arial" w:hAnsi="Arial"/>
          <w:sz w:val="16"/>
          <w:szCs w:val="16"/>
          <w:color w:val="auto"/>
        </w:rPr>
        <w:t>, such Person or Persons is referred to as the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 xml:space="preserve">”), the Supermajority Holders shall have the right (for purposes of this </w:t>
      </w:r>
      <w:r>
        <w:rPr>
          <w:rFonts w:ascii="Arial" w:cs="Arial" w:eastAsia="Arial" w:hAnsi="Arial"/>
          <w:sz w:val="16"/>
          <w:szCs w:val="16"/>
          <w:u w:val="single" w:color="auto"/>
          <w:color w:val="auto"/>
        </w:rPr>
        <w:t>Section 3(e)</w:t>
      </w:r>
      <w:r>
        <w:rPr>
          <w:rFonts w:ascii="Arial" w:cs="Arial" w:eastAsia="Arial" w:hAnsi="Arial"/>
          <w:sz w:val="16"/>
          <w:szCs w:val="16"/>
          <w:color w:val="auto"/>
        </w:rPr>
        <w:t>, the “</w:t>
      </w:r>
      <w:r>
        <w:rPr>
          <w:rFonts w:ascii="Arial" w:cs="Arial" w:eastAsia="Arial" w:hAnsi="Arial"/>
          <w:sz w:val="16"/>
          <w:szCs w:val="16"/>
          <w:u w:val="single" w:color="auto"/>
          <w:color w:val="auto"/>
        </w:rPr>
        <w:t>Drag-Along Right</w:t>
      </w:r>
      <w:r>
        <w:rPr>
          <w:rFonts w:ascii="Arial" w:cs="Arial" w:eastAsia="Arial" w:hAnsi="Arial"/>
          <w:sz w:val="16"/>
          <w:szCs w:val="16"/>
          <w:color w:val="auto"/>
        </w:rPr>
        <w:t xml:space="preserve">”), but not the obligation, (x) in the case of a Transfer of the type referred to in clause (i) above, to require each other Investor to sell to the Proposed Transferee all of such Investor’s Shares for the Per Share Drag-Along Purchase Price (as defined below), or (y) in the case of a merger or sale of assets or other Deemed Liquidation Event referred to in clauses (ii) or (iii) above, to require each other Investor to vote (or act by written consent with respect to) all Shares then Owned by such other Investor in favor of such transaction and to waive any dissenters’ rights, appraisal rights or similar rights such Investor may have under applicable law. Each Investor agrees to take all steps necessary to enable such Investor to comply with the provisions of this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to facilitate the Supermajority Holders’ exercise of a Drag-Along Right. As used herein, “</w:t>
      </w:r>
      <w:r>
        <w:rPr>
          <w:rFonts w:ascii="Arial" w:cs="Arial" w:eastAsia="Arial" w:hAnsi="Arial"/>
          <w:sz w:val="16"/>
          <w:szCs w:val="16"/>
          <w:u w:val="single" w:color="auto"/>
          <w:color w:val="auto"/>
        </w:rPr>
        <w:t>Per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 Drag-Along Purchase Price</w:t>
      </w:r>
      <w:r>
        <w:rPr>
          <w:rFonts w:ascii="Arial" w:cs="Arial" w:eastAsia="Arial" w:hAnsi="Arial"/>
          <w:sz w:val="16"/>
          <w:szCs w:val="16"/>
          <w:color w:val="auto"/>
        </w:rPr>
        <w:t>” means: (i) to the extent that an Investor subject to the Drag-Along Right is selling the same security being sold by any of the Supermajority Holders, the same consideration per share for such security as is proposed to be received by such Supermajority Holders (less, in the case of Share Equivalents, the exercise price for such Share Equivalents), including equivalent rights to receive (when and if paid) a proportionate share of any deferred consideration, earn-out or escrow funds that may become available to such Supermajority Holders in connection with the proposed transaction; and (ii) to the extent that an Investor subject to the Drag-Along Right is selling Common Stock (including any Share Equivalents) or a series of Preferred Stock other than any series of Preferred Stock being sold by the Supermajority Holders, the Per Share Drag-Along Purchase Price for each Share of Common Stock or Preferred Stock, as applicable, shall be equal to the implied equity value of each Share of Common Stock (less, in the case of Share Equivalents, the exercise price for such Share Equivalents) or Preferred Stock as applicable, as determined by reference to the per share price being paid for the Shares of Common Stock or Preferred Stock, as applicable, being sold by the Supermajority Holders and after giving effect to all amounts payable to the holders of Preferred Stock prior and in preference to the Common Stock pursuant to the liquidation preference provisions of the Certificate of</w:t>
      </w:r>
    </w:p>
    <w:p>
      <w:pPr>
        <w:sectPr>
          <w:pgSz w:w="11900" w:h="16838" w:orient="portrait"/>
          <w:cols w:equalWidth="0" w:num="1">
            <w:col w:w="11220"/>
          </w:cols>
          <w:pgMar w:left="320" w:top="341" w:right="359" w:bottom="0" w:gutter="0" w:footer="0" w:header="0"/>
        </w:sectPr>
      </w:pPr>
    </w:p>
    <w:bookmarkStart w:id="300" w:name="page301"/>
    <w:bookmarkEnd w:id="300"/>
    <w:p>
      <w:pPr>
        <w:spacing w:after="0" w:line="277" w:lineRule="auto"/>
        <w:rPr>
          <w:sz w:val="20"/>
          <w:szCs w:val="20"/>
          <w:color w:val="auto"/>
        </w:rPr>
      </w:pPr>
      <w:r>
        <w:rPr>
          <w:rFonts w:ascii="Arial" w:cs="Arial" w:eastAsia="Arial" w:hAnsi="Arial"/>
          <w:sz w:val="18"/>
          <w:szCs w:val="18"/>
          <w:color w:val="auto"/>
        </w:rPr>
        <w:t xml:space="preserve">Incorporation;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per share price being paid for the Shares of Common Stock or Preferred Stock, as applicable, being sold by the Supermajority Holders includes any rights to receive a proportionate share of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1" w:name="page302"/>
    <w:bookmarkEnd w:id="301"/>
    <w:p>
      <w:pPr>
        <w:spacing w:after="0" w:line="273" w:lineRule="auto"/>
        <w:rPr>
          <w:sz w:val="20"/>
          <w:szCs w:val="20"/>
          <w:color w:val="auto"/>
        </w:rPr>
      </w:pPr>
      <w:r>
        <w:rPr>
          <w:rFonts w:ascii="Arial" w:cs="Arial" w:eastAsia="Arial" w:hAnsi="Arial"/>
          <w:sz w:val="17"/>
          <w:szCs w:val="17"/>
          <w:color w:val="auto"/>
        </w:rPr>
        <w:t>deferred consideration, earn-out or escrow funds that may become available to the Supermajority Holders in connection with the proposed transaction, such amounts shall be considered when determining the implied equity price of each Share of Common Stock or Preferred Stock, as applicable, but any portion of such amount included in the implied equity price of each Share of Common Stock shall not be paid to the Investors selling Common Stock, unless and until the portions of such amount included in the price per share being paid for the Preferred Stock are paid to the holders of the Preferred Stock and only to the extent that the holders of the Preferred Stock have received all amounts payable to the holders of Preferred Stock prior and in preference to the Common Stock pursuant to the liquidation preference provisions of the Certificate of Incorporation.</w:t>
      </w:r>
    </w:p>
    <w:p>
      <w:pPr>
        <w:spacing w:after="0" w:line="178" w:lineRule="exact"/>
        <w:rPr>
          <w:sz w:val="20"/>
          <w:szCs w:val="20"/>
          <w:color w:val="auto"/>
        </w:rPr>
      </w:pPr>
    </w:p>
    <w:p>
      <w:pPr>
        <w:ind w:right="140" w:firstLine="1952"/>
        <w:spacing w:after="0" w:line="291" w:lineRule="auto"/>
        <w:tabs>
          <w:tab w:leader="none" w:pos="262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To exercise a Drag-Along Right, the Supermajority Holders shall give each Investor a written notice (for purposes of this </w:t>
      </w:r>
      <w:r>
        <w:rPr>
          <w:rFonts w:ascii="Arial" w:cs="Arial" w:eastAsia="Arial" w:hAnsi="Arial"/>
          <w:sz w:val="16"/>
          <w:szCs w:val="16"/>
          <w:u w:val="single" w:color="auto"/>
          <w:color w:val="auto"/>
        </w:rPr>
        <w:t>Section 3(e)</w:t>
      </w:r>
      <w:r>
        <w:rPr>
          <w:rFonts w:ascii="Arial" w:cs="Arial" w:eastAsia="Arial" w:hAnsi="Arial"/>
          <w:sz w:val="16"/>
          <w:szCs w:val="16"/>
          <w:color w:val="auto"/>
        </w:rPr>
        <w:t>, a “</w:t>
      </w:r>
      <w:r>
        <w:rPr>
          <w:rFonts w:ascii="Arial" w:cs="Arial" w:eastAsia="Arial" w:hAnsi="Arial"/>
          <w:sz w:val="16"/>
          <w:szCs w:val="16"/>
          <w:u w:val="single" w:color="auto"/>
          <w:color w:val="auto"/>
        </w:rPr>
        <w:t>Drag-Along Notice</w:t>
      </w:r>
      <w:r>
        <w:rPr>
          <w:rFonts w:ascii="Arial" w:cs="Arial" w:eastAsia="Arial" w:hAnsi="Arial"/>
          <w:sz w:val="16"/>
          <w:szCs w:val="16"/>
          <w:color w:val="auto"/>
        </w:rPr>
        <w:t xml:space="preserve">”) containing the proposed Per Share Drag-Along Purchase Price for each security proposed to be sold, terms of payment and other material terms and conditions of the Proposed Transferee’s offer. Each Investor shall thereafter be obligated to sell or vote (or act by written consent with respect to) all Shares (including any Share Equivalents) Owned by such Investor,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sale to the Proposed Transferee is consummated within one hundred eighty (180) days of delivery of the Drag-Along Notice. If the sale, merger or other transaction contemplated by this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is not consummated within such 180-day period, then each Investor shall no longer be obligated to sell such Shares Owned by such Investor pursuant to that specific Drag-Along Right but shall remain subject to the provisions of this </w:t>
      </w:r>
      <w:r>
        <w:rPr>
          <w:rFonts w:ascii="Arial" w:cs="Arial" w:eastAsia="Arial" w:hAnsi="Arial"/>
          <w:sz w:val="16"/>
          <w:szCs w:val="16"/>
          <w:u w:val="single" w:color="auto"/>
          <w:color w:val="auto"/>
        </w:rPr>
        <w:t>Section 3(e) (Drag-Along Right)</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100" w:firstLine="1952"/>
        <w:spacing w:after="0" w:line="273" w:lineRule="auto"/>
        <w:tabs>
          <w:tab w:leader="none" w:pos="263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Each Investor shall execute and deliver such instruments of conveyance and transfer and take such other action, including executing any purchase agreement, merger agreement, indemnity agreement, escrow agreement or related documents, as may be reasonably required by the Supermajority Holders or the Company in order to carry out the terms and provisions of this </w:t>
      </w:r>
      <w:r>
        <w:rPr>
          <w:rFonts w:ascii="Arial" w:cs="Arial" w:eastAsia="Arial" w:hAnsi="Arial"/>
          <w:sz w:val="17"/>
          <w:szCs w:val="17"/>
          <w:u w:val="single" w:color="auto"/>
          <w:color w:val="auto"/>
        </w:rPr>
        <w:t>Section 3(e)</w:t>
      </w:r>
      <w:r>
        <w:rPr>
          <w:rFonts w:ascii="Arial" w:cs="Arial" w:eastAsia="Arial" w:hAnsi="Arial"/>
          <w:sz w:val="17"/>
          <w:szCs w:val="17"/>
          <w:color w:val="auto"/>
        </w:rPr>
        <w:t xml:space="preserve">. Each Investor acknowledges the rights of the Majority Institutional Investors to act on behalf of such Investor pursuant to </w:t>
      </w:r>
      <w:r>
        <w:rPr>
          <w:rFonts w:ascii="Arial" w:cs="Arial" w:eastAsia="Arial" w:hAnsi="Arial"/>
          <w:sz w:val="17"/>
          <w:szCs w:val="17"/>
          <w:u w:val="single" w:color="auto"/>
          <w:color w:val="auto"/>
        </w:rPr>
        <w:t>Section 7(k)</w:t>
      </w:r>
      <w:r>
        <w:rPr>
          <w:rFonts w:ascii="Arial" w:cs="Arial" w:eastAsia="Arial" w:hAnsi="Arial"/>
          <w:sz w:val="17"/>
          <w:szCs w:val="17"/>
          <w:color w:val="auto"/>
        </w:rPr>
        <w:t>. At the closing of the proposed transaction, each Investor shall deliver, against receipt of the consideration payable in such transaction, certificates representing the Shares which the Investor Owns, together with executed stock powers or other instruments of transfer acceptable to the Supermajority Holders.</w:t>
      </w:r>
    </w:p>
    <w:p>
      <w:pPr>
        <w:spacing w:after="0" w:line="177" w:lineRule="exact"/>
        <w:rPr>
          <w:rFonts w:ascii="Arial" w:cs="Arial" w:eastAsia="Arial" w:hAnsi="Arial"/>
          <w:sz w:val="17"/>
          <w:szCs w:val="17"/>
          <w:color w:val="auto"/>
        </w:rPr>
      </w:pPr>
    </w:p>
    <w:p>
      <w:pPr>
        <w:ind w:right="100" w:firstLine="1952"/>
        <w:spacing w:after="0" w:line="275" w:lineRule="auto"/>
        <w:tabs>
          <w:tab w:leader="none" w:pos="2609"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in this </w:t>
      </w:r>
      <w:r>
        <w:rPr>
          <w:rFonts w:ascii="Arial" w:cs="Arial" w:eastAsia="Arial" w:hAnsi="Arial"/>
          <w:sz w:val="17"/>
          <w:szCs w:val="17"/>
          <w:u w:val="single" w:color="auto"/>
          <w:color w:val="auto"/>
        </w:rPr>
        <w:t>Section 3(e)</w:t>
      </w:r>
      <w:r>
        <w:rPr>
          <w:rFonts w:ascii="Arial" w:cs="Arial" w:eastAsia="Arial" w:hAnsi="Arial"/>
          <w:sz w:val="17"/>
          <w:szCs w:val="17"/>
          <w:color w:val="auto"/>
        </w:rPr>
        <w:t>, in the event that all or a portion of the Per Share Drag-Along Purchase Price consists of securities and the sale of such securities to the Investors would require either a registration under the Securities Act or the preparation of a disclosure document pursuant to Regulation D under the Securities Act (or any successor regulation) or a similar provision of any state securities law, then, at the option of the Supermajority Holders, any one or more of the Investors may receive, in lieu of such securities, the fair market value of some or all of such securities in cash, as determined in good faith by the Supermajority Holders.</w:t>
      </w:r>
    </w:p>
    <w:p>
      <w:pPr>
        <w:spacing w:after="0" w:line="176" w:lineRule="exact"/>
        <w:rPr>
          <w:rFonts w:ascii="Arial" w:cs="Arial" w:eastAsia="Arial" w:hAnsi="Arial"/>
          <w:sz w:val="17"/>
          <w:szCs w:val="17"/>
          <w:color w:val="auto"/>
        </w:rPr>
      </w:pPr>
    </w:p>
    <w:p>
      <w:pPr>
        <w:ind w:left="2600" w:hanging="648"/>
        <w:spacing w:after="0"/>
        <w:tabs>
          <w:tab w:leader="none" w:pos="26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Notwithstanding the foregoing, an Investor will not be required to comply with this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in connection with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proposed transaction unless:</w:t>
      </w:r>
    </w:p>
    <w:p>
      <w:pPr>
        <w:spacing w:after="0" w:line="210" w:lineRule="exact"/>
        <w:rPr>
          <w:rFonts w:ascii="Arial" w:cs="Arial" w:eastAsia="Arial" w:hAnsi="Arial"/>
          <w:sz w:val="16"/>
          <w:szCs w:val="16"/>
          <w:color w:val="auto"/>
        </w:rPr>
      </w:pPr>
    </w:p>
    <w:p>
      <w:pPr>
        <w:ind w:right="60" w:firstLine="2600"/>
        <w:spacing w:after="0" w:line="293" w:lineRule="auto"/>
        <w:tabs>
          <w:tab w:leader="none" w:pos="326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any representations and warranties to be made by such Investor in connection with the proposed transaction are limited to representations and warranties related to authority, ownership and the ability to convey title to such Shares, including but not limited to representations and warranties that (i) the Investor holds all right, title and interest in and to the Shares such Investor purports to hold, free and clear of any liens, claims and encumbrances, (ii) the obligations of the Investor in connection with the transaction have been duly authorized, if applicable, (iii) the documents to be entered into by the Investor in connection with such proposed transaction have been duly executed by the Investor and delivered to the acquirer and are enforceable against the Investor in accordance with their respective terms and (iv) neither the execution and delivery of documents to be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2" w:name="page303"/>
    <w:bookmarkEnd w:id="302"/>
    <w:p>
      <w:pPr>
        <w:ind w:right="40"/>
        <w:spacing w:after="0" w:line="277" w:lineRule="auto"/>
        <w:rPr>
          <w:sz w:val="20"/>
          <w:szCs w:val="20"/>
          <w:color w:val="auto"/>
        </w:rPr>
      </w:pPr>
      <w:r>
        <w:rPr>
          <w:rFonts w:ascii="Arial" w:cs="Arial" w:eastAsia="Arial" w:hAnsi="Arial"/>
          <w:sz w:val="18"/>
          <w:szCs w:val="18"/>
          <w:color w:val="auto"/>
        </w:rPr>
        <w:t>entered into in connection with the transaction, nor the performance of the Investor’s obligations thereunder, will cause a breach or violation of the terms of any agreement, law or judgment, order or decree of any court or governmental agency;</w:t>
      </w:r>
    </w:p>
    <w:p>
      <w:pPr>
        <w:spacing w:after="0" w:line="170" w:lineRule="exact"/>
        <w:rPr>
          <w:sz w:val="20"/>
          <w:szCs w:val="20"/>
          <w:color w:val="auto"/>
        </w:rPr>
      </w:pPr>
    </w:p>
    <w:p>
      <w:pPr>
        <w:ind w:right="100" w:firstLine="2600"/>
        <w:spacing w:after="0" w:line="287" w:lineRule="auto"/>
        <w:tabs>
          <w:tab w:leader="none" w:pos="325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the liability for indemnification, if any, of such Investor in the proposed transaction and for the inaccuracy of any representations and warranties made is pro rata in proportion to the amount of consideration paid to such Investor in connection with such proposed transaction, taking into account that all proceeds from a proposed transaction, regardless of when paid, shall be distributed in accordance with </w:t>
      </w:r>
      <w:r>
        <w:rPr>
          <w:rFonts w:ascii="Arial" w:cs="Arial" w:eastAsia="Arial" w:hAnsi="Arial"/>
          <w:sz w:val="16"/>
          <w:szCs w:val="16"/>
          <w:u w:val="single" w:color="auto"/>
          <w:color w:val="auto"/>
        </w:rPr>
        <w:t>Section 3(e)</w:t>
      </w:r>
    </w:p>
    <w:p>
      <w:pPr>
        <w:spacing w:after="0" w:line="2" w:lineRule="exact"/>
        <w:rPr>
          <w:rFonts w:ascii="Arial" w:cs="Arial" w:eastAsia="Arial" w:hAnsi="Arial"/>
          <w:sz w:val="16"/>
          <w:szCs w:val="16"/>
          <w:color w:val="auto"/>
        </w:rPr>
      </w:pPr>
    </w:p>
    <w:p>
      <w:pPr>
        <w:ind w:right="20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(i)</w:t>
      </w:r>
      <w:r>
        <w:rPr>
          <w:rFonts w:ascii="Arial" w:cs="Arial" w:eastAsia="Arial" w:hAnsi="Arial"/>
          <w:sz w:val="16"/>
          <w:szCs w:val="16"/>
          <w:color w:val="auto"/>
        </w:rPr>
        <w:t xml:space="preserve">. For purposes of clarification: (i) amounts paid to an indemnified party from an escrow account that were reserved from the proceeds of a proposed transaction shall be deducted from such escrow account and the remaining proceeds in such escrow account shall be paid in accordance with </w:t>
      </w:r>
      <w:r>
        <w:rPr>
          <w:rFonts w:ascii="Arial" w:cs="Arial" w:eastAsia="Arial" w:hAnsi="Arial"/>
          <w:sz w:val="16"/>
          <w:szCs w:val="16"/>
          <w:u w:val="single" w:color="auto"/>
          <w:color w:val="auto"/>
        </w:rPr>
        <w:t>Section 3(e)</w:t>
      </w:r>
    </w:p>
    <w:p>
      <w:pPr>
        <w:spacing w:after="0" w:line="1" w:lineRule="exact"/>
        <w:rPr>
          <w:rFonts w:ascii="Arial" w:cs="Arial" w:eastAsia="Arial" w:hAnsi="Arial"/>
          <w:sz w:val="16"/>
          <w:szCs w:val="16"/>
          <w:color w:val="auto"/>
        </w:rPr>
      </w:pPr>
    </w:p>
    <w:p>
      <w:pPr>
        <w:jc w:val="both"/>
        <w:ind w:right="2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and (ii) amounts paid to an indemnified party in excess of amounts that were reserved in an escrow account or amounts paid in cases where there was no such escrow account shall be paid from proceeds, if any, received by the Investors in accordance with </w:t>
      </w:r>
      <w:r>
        <w:rPr>
          <w:rFonts w:ascii="Arial" w:cs="Arial" w:eastAsia="Arial" w:hAnsi="Arial"/>
          <w:sz w:val="18"/>
          <w:szCs w:val="18"/>
          <w:u w:val="single" w:color="auto"/>
          <w:color w:val="auto"/>
        </w:rPr>
        <w:t>Section 3(e)(i)</w:t>
      </w:r>
      <w:r>
        <w:rPr>
          <w:rFonts w:ascii="Arial" w:cs="Arial" w:eastAsia="Arial" w:hAnsi="Arial"/>
          <w:sz w:val="18"/>
          <w:szCs w:val="18"/>
          <w:color w:val="auto"/>
        </w:rPr>
        <w:t xml:space="preserve"> on a pro rata basis, based on the amount of proceeds so received by each such Investor pursuant to </w:t>
      </w:r>
      <w:r>
        <w:rPr>
          <w:rFonts w:ascii="Arial" w:cs="Arial" w:eastAsia="Arial" w:hAnsi="Arial"/>
          <w:sz w:val="18"/>
          <w:szCs w:val="18"/>
          <w:u w:val="single" w:color="auto"/>
          <w:color w:val="auto"/>
        </w:rPr>
        <w:t>Section 3(e)(i)</w:t>
      </w:r>
      <w:r>
        <w:rPr>
          <w:rFonts w:ascii="Arial" w:cs="Arial" w:eastAsia="Arial" w:hAnsi="Arial"/>
          <w:sz w:val="18"/>
          <w:szCs w:val="18"/>
          <w:color w:val="auto"/>
        </w:rPr>
        <w:t>;</w:t>
      </w:r>
    </w:p>
    <w:p>
      <w:pPr>
        <w:spacing w:after="0" w:line="189" w:lineRule="exact"/>
        <w:rPr>
          <w:rFonts w:ascii="Arial" w:cs="Arial" w:eastAsia="Arial" w:hAnsi="Arial"/>
          <w:sz w:val="16"/>
          <w:szCs w:val="16"/>
          <w:color w:val="auto"/>
        </w:rPr>
      </w:pPr>
    </w:p>
    <w:p>
      <w:pPr>
        <w:ind w:firstLine="2600"/>
        <w:spacing w:after="0" w:line="291" w:lineRule="auto"/>
        <w:tabs>
          <w:tab w:leader="none" w:pos="325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liability shall be limited to such Investor’s applicable share (determined based on the respective proceeds payable to each Investor in connection with such proposed transaction in accordance with </w:t>
      </w:r>
      <w:r>
        <w:rPr>
          <w:rFonts w:ascii="Arial" w:cs="Arial" w:eastAsia="Arial" w:hAnsi="Arial"/>
          <w:sz w:val="16"/>
          <w:szCs w:val="16"/>
          <w:u w:val="single" w:color="auto"/>
          <w:color w:val="auto"/>
        </w:rPr>
        <w:t>Section 3(e)(i)</w:t>
      </w:r>
      <w:r>
        <w:rPr>
          <w:rFonts w:ascii="Arial" w:cs="Arial" w:eastAsia="Arial" w:hAnsi="Arial"/>
          <w:sz w:val="16"/>
          <w:szCs w:val="16"/>
          <w:color w:val="auto"/>
        </w:rPr>
        <w:t>) of a negotiated aggregate indemnification amount that in no event exceeds the amount of consideration otherwise payable to such Investor in connection with such proposed transaction, except with respect to claims related to (i) fraud by such Investor and (ii) any breach of representations regarding (a) such Investor’s authority to sell, (b) the Shares to be Transferred by such Investor being free and clear of any liens, claims or encumbrances, (c) such Investor being the sole record and beneficial owner of such Shares and (d) such Investor having obtained or made any necessary consents, approvals, permits, filings and notifications from governmental authorities or third parties to consummate such transaction, the liability for which need not be limited as to such Investor;</w:t>
      </w:r>
    </w:p>
    <w:p>
      <w:pPr>
        <w:spacing w:after="0" w:line="166" w:lineRule="exact"/>
        <w:rPr>
          <w:rFonts w:ascii="Arial" w:cs="Arial" w:eastAsia="Arial" w:hAnsi="Arial"/>
          <w:sz w:val="16"/>
          <w:szCs w:val="16"/>
          <w:color w:val="auto"/>
        </w:rPr>
      </w:pPr>
    </w:p>
    <w:p>
      <w:pPr>
        <w:ind w:right="160" w:firstLine="2600"/>
        <w:spacing w:after="0" w:line="289" w:lineRule="auto"/>
        <w:tabs>
          <w:tab w:leader="none" w:pos="32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upon the consummation of the proposed transaction, (i) each holder of each class or series of the Company’s stock will receive the same form of consideration for their shares of such class or series as is received by other holders in respect of their shares of such same class or series of stock, (ii) each holder of a series of Preferred Stock will receive the same amount of consideration per share of such series of Preferred Stock as is received by other holders in respect of their shares of such same series, (iii) each holder of Common Stock will receive the same amount of consideration per share of Common Stock as is received by other holders in respect of their shares of Common Stock, and (iv) the aggregate consideration receivable by all holders of the Preferred Stock and Common Stock shall be allocated among the holders of Preferred Stock and Common Stock on the basis of the relative rights of the holders of each respective series of Preferred Stock and the holders of Common Stock to receive consideration in a Deemed Liquidation Event pursuant to Article IV, Part B, Sections 2.1 and 2.2 of the Certificate of Incorporation in effect immediately prior to the proposed transaction (assuming for this purpose that the proposed transaction is a Liquidation Event);</w:t>
      </w:r>
    </w:p>
    <w:p>
      <w:pPr>
        <w:spacing w:after="0" w:line="166" w:lineRule="exact"/>
        <w:rPr>
          <w:rFonts w:ascii="Arial" w:cs="Arial" w:eastAsia="Arial" w:hAnsi="Arial"/>
          <w:sz w:val="16"/>
          <w:szCs w:val="16"/>
          <w:color w:val="auto"/>
        </w:rPr>
      </w:pPr>
    </w:p>
    <w:p>
      <w:pPr>
        <w:ind w:left="3260" w:hanging="660"/>
        <w:spacing w:after="0"/>
        <w:tabs>
          <w:tab w:leader="none" w:pos="32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consideration payable to such Investor in the proposed transaction is cash or freely-tradable securities; and</w:t>
      </w:r>
    </w:p>
    <w:p>
      <w:pPr>
        <w:spacing w:after="0" w:line="248" w:lineRule="exact"/>
        <w:rPr>
          <w:rFonts w:ascii="Arial" w:cs="Arial" w:eastAsia="Arial" w:hAnsi="Arial"/>
          <w:sz w:val="16"/>
          <w:szCs w:val="16"/>
          <w:color w:val="auto"/>
        </w:rPr>
      </w:pPr>
    </w:p>
    <w:p>
      <w:pPr>
        <w:jc w:val="both"/>
        <w:ind w:right="420" w:firstLine="2600"/>
        <w:spacing w:after="0" w:line="342" w:lineRule="auto"/>
        <w:tabs>
          <w:tab w:leader="none" w:pos="325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such Investor (including such Investor’s Affiliates) is not required to sign any agreement containing non-competition, non-solicitation or other restrictive covenants of such Investor unless it is in form and substance reasonably satisfactory to such Investor.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3" w:name="page304"/>
    <w:bookmarkEnd w:id="303"/>
    <w:p>
      <w:pPr>
        <w:ind w:left="1960" w:hanging="656"/>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Subscription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0" w:firstLine="1952"/>
        <w:spacing w:after="0" w:line="308" w:lineRule="auto"/>
        <w:tabs>
          <w:tab w:leader="none" w:pos="2613" w:val="left"/>
        </w:tabs>
        <w:numPr>
          <w:ilvl w:val="1"/>
          <w:numId w:val="205"/>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3(f)</w:t>
      </w:r>
      <w:r>
        <w:rPr>
          <w:rFonts w:ascii="Arial" w:cs="Arial" w:eastAsia="Arial" w:hAnsi="Arial"/>
          <w:sz w:val="17"/>
          <w:szCs w:val="17"/>
          <w:color w:val="auto"/>
        </w:rPr>
        <w:t>, the term “</w:t>
      </w:r>
      <w:r>
        <w:rPr>
          <w:rFonts w:ascii="Arial" w:cs="Arial" w:eastAsia="Arial" w:hAnsi="Arial"/>
          <w:sz w:val="17"/>
          <w:szCs w:val="17"/>
          <w:u w:val="single" w:color="auto"/>
          <w:color w:val="auto"/>
        </w:rPr>
        <w:t>equity securities</w:t>
      </w:r>
      <w:r>
        <w:rPr>
          <w:rFonts w:ascii="Arial" w:cs="Arial" w:eastAsia="Arial" w:hAnsi="Arial"/>
          <w:sz w:val="17"/>
          <w:szCs w:val="17"/>
          <w:color w:val="auto"/>
        </w:rPr>
        <w:t>” shall include any warrants, options or other rights to acquire equity securities or debt securities convertible into equity securities of the Company, other than the issuance of securities:</w:t>
      </w:r>
    </w:p>
    <w:p>
      <w:pPr>
        <w:spacing w:after="0" w:line="146" w:lineRule="exact"/>
        <w:rPr>
          <w:rFonts w:ascii="Arial" w:cs="Arial" w:eastAsia="Arial" w:hAnsi="Arial"/>
          <w:sz w:val="17"/>
          <w:szCs w:val="17"/>
          <w:color w:val="auto"/>
        </w:rPr>
      </w:pPr>
    </w:p>
    <w:p>
      <w:pPr>
        <w:ind w:left="3260" w:hanging="660"/>
        <w:spacing w:after="0"/>
        <w:tabs>
          <w:tab w:leader="none" w:pos="32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upon conversion of the Preferred Stock in accordance with the Certificate of Incorporation,</w:t>
      </w:r>
    </w:p>
    <w:p>
      <w:pPr>
        <w:spacing w:after="0" w:line="225" w:lineRule="exact"/>
        <w:rPr>
          <w:rFonts w:ascii="Arial" w:cs="Arial" w:eastAsia="Arial" w:hAnsi="Arial"/>
          <w:sz w:val="18"/>
          <w:szCs w:val="18"/>
          <w:color w:val="auto"/>
        </w:rPr>
      </w:pPr>
    </w:p>
    <w:p>
      <w:pPr>
        <w:ind w:left="3260" w:hanging="660"/>
        <w:spacing w:after="0"/>
        <w:tabs>
          <w:tab w:leader="none" w:pos="3260" w:val="left"/>
        </w:tabs>
        <w:numPr>
          <w:ilvl w:val="2"/>
          <w:numId w:val="205"/>
        </w:numPr>
        <w:rPr>
          <w:rFonts w:ascii="Arial" w:cs="Arial" w:eastAsia="Arial" w:hAnsi="Arial"/>
          <w:sz w:val="16"/>
          <w:szCs w:val="16"/>
          <w:color w:val="auto"/>
        </w:rPr>
      </w:pPr>
      <w:r>
        <w:rPr>
          <w:rFonts w:ascii="Arial" w:cs="Arial" w:eastAsia="Arial" w:hAnsi="Arial"/>
          <w:sz w:val="16"/>
          <w:szCs w:val="16"/>
          <w:color w:val="auto"/>
        </w:rPr>
        <w:t>to the public in a firm commitment underwriting pursuant to a registration statement filed under the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firstLine="2600"/>
        <w:spacing w:after="0" w:line="259" w:lineRule="auto"/>
        <w:tabs>
          <w:tab w:leader="none" w:pos="325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 xml:space="preserve">pursuant to the acquisition of another Person by the Company or any subsidiary, whether by purchase of stock, merger, consolidation, purchase of all or substantially all of the assets of such Person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acquisition has been approved by the Board (including the approval of at least one Series A-1 Preferred Director) and such securities are being issued as consideration for the transaction and not in connection with financing the transaction,</w:t>
      </w:r>
    </w:p>
    <w:p>
      <w:pPr>
        <w:spacing w:after="0" w:line="186" w:lineRule="exact"/>
        <w:rPr>
          <w:rFonts w:ascii="Arial" w:cs="Arial" w:eastAsia="Arial" w:hAnsi="Arial"/>
          <w:sz w:val="18"/>
          <w:szCs w:val="18"/>
          <w:color w:val="auto"/>
        </w:rPr>
      </w:pPr>
    </w:p>
    <w:p>
      <w:pPr>
        <w:ind w:left="3260" w:hanging="660"/>
        <w:spacing w:after="0"/>
        <w:tabs>
          <w:tab w:leader="none" w:pos="3260" w:val="left"/>
        </w:tabs>
        <w:numPr>
          <w:ilvl w:val="2"/>
          <w:numId w:val="205"/>
        </w:numPr>
        <w:rPr>
          <w:rFonts w:ascii="Arial" w:cs="Arial" w:eastAsia="Arial" w:hAnsi="Arial"/>
          <w:sz w:val="16"/>
          <w:szCs w:val="16"/>
          <w:color w:val="auto"/>
        </w:rPr>
      </w:pPr>
      <w:r>
        <w:rPr>
          <w:rFonts w:ascii="Arial" w:cs="Arial" w:eastAsia="Arial" w:hAnsi="Arial"/>
          <w:sz w:val="16"/>
          <w:szCs w:val="16"/>
          <w:color w:val="auto"/>
        </w:rPr>
        <w:t>pursuant to an employee stock option plan, stock bonus plan, stock purchase plan, employment agreement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management equity program approved by the Board (including the approval of at least one Series A-1 Preferred Director),</w:t>
      </w:r>
    </w:p>
    <w:p>
      <w:pPr>
        <w:spacing w:after="0" w:line="210" w:lineRule="exact"/>
        <w:rPr>
          <w:rFonts w:ascii="Arial" w:cs="Arial" w:eastAsia="Arial" w:hAnsi="Arial"/>
          <w:sz w:val="16"/>
          <w:szCs w:val="16"/>
          <w:color w:val="auto"/>
        </w:rPr>
      </w:pPr>
    </w:p>
    <w:p>
      <w:pPr>
        <w:ind w:right="80" w:firstLine="2600"/>
        <w:spacing w:after="0" w:line="259" w:lineRule="auto"/>
        <w:tabs>
          <w:tab w:leader="none" w:pos="325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to vendors, lenders and customers of and consultants to the Company or any subsidiary or in connection with a strategic partnership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securities are being issued as consideration for the strategic partnership and not in connection with financing the strategic partnership), in each case, to the extent such issuance has been approved by the Board (including the approval of at least one Series A-1 Preferred Director),</w:t>
      </w:r>
    </w:p>
    <w:p>
      <w:pPr>
        <w:spacing w:after="0" w:line="186" w:lineRule="exact"/>
        <w:rPr>
          <w:rFonts w:ascii="Arial" w:cs="Arial" w:eastAsia="Arial" w:hAnsi="Arial"/>
          <w:sz w:val="18"/>
          <w:szCs w:val="18"/>
          <w:color w:val="auto"/>
        </w:rPr>
      </w:pPr>
    </w:p>
    <w:p>
      <w:pPr>
        <w:ind w:left="3260" w:hanging="660"/>
        <w:spacing w:after="0"/>
        <w:tabs>
          <w:tab w:leader="none" w:pos="32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by reason of a dividend, stock split or other distribution on shares of Common Stock,</w:t>
      </w:r>
    </w:p>
    <w:p>
      <w:pPr>
        <w:spacing w:after="0" w:line="225" w:lineRule="exact"/>
        <w:rPr>
          <w:rFonts w:ascii="Arial" w:cs="Arial" w:eastAsia="Arial" w:hAnsi="Arial"/>
          <w:sz w:val="18"/>
          <w:szCs w:val="18"/>
          <w:color w:val="auto"/>
        </w:rPr>
      </w:pPr>
    </w:p>
    <w:p>
      <w:pPr>
        <w:ind w:left="3260" w:hanging="660"/>
        <w:spacing w:after="0"/>
        <w:tabs>
          <w:tab w:leader="none" w:pos="3260" w:val="left"/>
        </w:tabs>
        <w:numPr>
          <w:ilvl w:val="2"/>
          <w:numId w:val="205"/>
        </w:numPr>
        <w:rPr>
          <w:rFonts w:ascii="Arial" w:cs="Arial" w:eastAsia="Arial" w:hAnsi="Arial"/>
          <w:sz w:val="17"/>
          <w:szCs w:val="17"/>
          <w:color w:val="auto"/>
        </w:rPr>
      </w:pPr>
      <w:r>
        <w:rPr>
          <w:rFonts w:ascii="Arial" w:cs="Arial" w:eastAsia="Arial" w:hAnsi="Arial"/>
          <w:sz w:val="17"/>
          <w:szCs w:val="17"/>
          <w:color w:val="auto"/>
        </w:rPr>
        <w:t>to one or more of the Investors and/or their Affiliates pursuant to the terms of the Purchase Agreement, or</w:t>
      </w:r>
    </w:p>
    <w:p>
      <w:pPr>
        <w:spacing w:after="0" w:line="236" w:lineRule="exact"/>
        <w:rPr>
          <w:rFonts w:ascii="Arial" w:cs="Arial" w:eastAsia="Arial" w:hAnsi="Arial"/>
          <w:sz w:val="17"/>
          <w:szCs w:val="17"/>
          <w:color w:val="auto"/>
        </w:rPr>
      </w:pPr>
    </w:p>
    <w:p>
      <w:pPr>
        <w:jc w:val="both"/>
        <w:ind w:right="300" w:firstLine="2600"/>
        <w:spacing w:after="0" w:line="259" w:lineRule="auto"/>
        <w:tabs>
          <w:tab w:leader="none" w:pos="3247"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to any Other Investor (or such Related Management Individual, as applicable) pursuant to the terms of any employment or similar agreement between the Company or any of its subsidiaries and such Other Investor (or such Related Management Individual, as applicable) to the extent such employment or similar agreement was approved by the Board (including the approval of at least one Series A-1 Preferred Director).</w:t>
      </w:r>
    </w:p>
    <w:p>
      <w:pPr>
        <w:spacing w:after="0" w:line="186" w:lineRule="exact"/>
        <w:rPr>
          <w:rFonts w:ascii="Arial" w:cs="Arial" w:eastAsia="Arial" w:hAnsi="Arial"/>
          <w:sz w:val="18"/>
          <w:szCs w:val="18"/>
          <w:color w:val="auto"/>
        </w:rPr>
      </w:pPr>
    </w:p>
    <w:p>
      <w:pPr>
        <w:ind w:right="520" w:firstLine="1952"/>
        <w:spacing w:after="0" w:line="277" w:lineRule="auto"/>
        <w:tabs>
          <w:tab w:leader="none" w:pos="2623" w:val="left"/>
        </w:tabs>
        <w:numPr>
          <w:ilvl w:val="1"/>
          <w:numId w:val="205"/>
        </w:numPr>
        <w:rPr>
          <w:rFonts w:ascii="Arial" w:cs="Arial" w:eastAsia="Arial" w:hAnsi="Arial"/>
          <w:sz w:val="18"/>
          <w:szCs w:val="18"/>
          <w:color w:val="auto"/>
        </w:rPr>
      </w:pPr>
      <w:r>
        <w:rPr>
          <w:rFonts w:ascii="Arial" w:cs="Arial" w:eastAsia="Arial" w:hAnsi="Arial"/>
          <w:sz w:val="18"/>
          <w:szCs w:val="18"/>
          <w:color w:val="auto"/>
        </w:rPr>
        <w:t xml:space="preserve">If at any time after the date hereof and prior to the Initial Public Offering, the Company proposes to issue equity securities of any kind, then, subject to the provisions of this </w:t>
      </w:r>
      <w:r>
        <w:rPr>
          <w:rFonts w:ascii="Arial" w:cs="Arial" w:eastAsia="Arial" w:hAnsi="Arial"/>
          <w:sz w:val="18"/>
          <w:szCs w:val="18"/>
          <w:u w:val="single" w:color="auto"/>
          <w:color w:val="auto"/>
        </w:rPr>
        <w:t>Section 3(f)</w:t>
      </w:r>
      <w:r>
        <w:rPr>
          <w:rFonts w:ascii="Arial" w:cs="Arial" w:eastAsia="Arial" w:hAnsi="Arial"/>
          <w:sz w:val="18"/>
          <w:szCs w:val="18"/>
          <w:color w:val="auto"/>
        </w:rPr>
        <w:t>, as to each of the following Persons:</w:t>
      </w:r>
    </w:p>
    <w:p>
      <w:pPr>
        <w:spacing w:after="0" w:line="170" w:lineRule="exact"/>
        <w:rPr>
          <w:sz w:val="20"/>
          <w:szCs w:val="20"/>
          <w:color w:val="auto"/>
        </w:rPr>
      </w:pPr>
    </w:p>
    <w:p>
      <w:pPr>
        <w:ind w:left="1620" w:hanging="316"/>
        <w:spacing w:after="0" w:line="263" w:lineRule="auto"/>
        <w:tabs>
          <w:tab w:leader="none" w:pos="158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Institutional Investor, for so long as such Institutional Investor (together with its Affiliates) Owns more than 9,200,000 Shares of Common Stock (on an as-converted to Common Stock basis and subject to appropriate adjustment for stock splits, stock dividends, combinations, and other recapitalizations),</w:t>
      </w:r>
    </w:p>
    <w:p>
      <w:pPr>
        <w:spacing w:after="0" w:line="183" w:lineRule="exact"/>
        <w:rPr>
          <w:rFonts w:ascii="Arial" w:cs="Arial" w:eastAsia="Arial" w:hAnsi="Arial"/>
          <w:sz w:val="18"/>
          <w:szCs w:val="18"/>
          <w:color w:val="auto"/>
        </w:rPr>
      </w:pPr>
    </w:p>
    <w:p>
      <w:pPr>
        <w:ind w:left="1620" w:right="60" w:hanging="316"/>
        <w:spacing w:after="0" w:line="308" w:lineRule="auto"/>
        <w:tabs>
          <w:tab w:leader="none" w:pos="158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March Capital (together with its Affiliates) Owns at least 4,392,492 Shares of Common Stock (on an as-converted to Common Stock basis and subject to appropriate adjustment for stock splits, stock dividends, combinations, and other recapitalizations),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4" w:name="page305"/>
    <w:bookmarkEnd w:id="304"/>
    <w:p>
      <w:pPr>
        <w:ind w:left="1620" w:right="80" w:hanging="316"/>
        <w:spacing w:after="0" w:line="308" w:lineRule="auto"/>
        <w:tabs>
          <w:tab w:leader="none" w:pos="158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IVP (together with its Affiliates) Owns at least 3,037,416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340" w:hanging="316"/>
        <w:spacing w:after="0" w:line="342" w:lineRule="auto"/>
        <w:tabs>
          <w:tab w:leader="none" w:pos="158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General Atlantic (together with its Affiliates) Owns at least 2,429,932 Shares of Common Stock (on an as-converted to Common Stock basis and subject to appropriate adjustment for stock splits, stock dividends, combinations, and other recapitalizations),</w:t>
      </w:r>
    </w:p>
    <w:p>
      <w:pPr>
        <w:spacing w:after="0" w:line="123" w:lineRule="exact"/>
        <w:rPr>
          <w:rFonts w:ascii="Arial" w:cs="Arial" w:eastAsia="Arial" w:hAnsi="Arial"/>
          <w:sz w:val="16"/>
          <w:szCs w:val="16"/>
          <w:color w:val="auto"/>
        </w:rPr>
      </w:pPr>
    </w:p>
    <w:p>
      <w:pPr>
        <w:ind w:left="1620" w:right="200" w:hanging="316"/>
        <w:spacing w:after="0" w:line="308" w:lineRule="auto"/>
        <w:tabs>
          <w:tab w:leader="none" w:pos="1584"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Telstra (together with its Affiliates) Owns at least 1,229,898 Shares of Common Stock (on an as-converted to Common Stock basis and subject to appropriate adjustment for stock splits, stock dividends, combinations, and other recapitalizations),</w:t>
      </w:r>
    </w:p>
    <w:p>
      <w:pPr>
        <w:spacing w:after="0" w:line="146" w:lineRule="exact"/>
        <w:rPr>
          <w:rFonts w:ascii="Arial" w:cs="Arial" w:eastAsia="Arial" w:hAnsi="Arial"/>
          <w:sz w:val="17"/>
          <w:szCs w:val="17"/>
          <w:color w:val="auto"/>
        </w:rPr>
      </w:pPr>
    </w:p>
    <w:p>
      <w:pPr>
        <w:ind w:left="1620" w:right="240" w:hanging="316"/>
        <w:spacing w:after="0" w:line="259" w:lineRule="auto"/>
        <w:tabs>
          <w:tab w:leader="none" w:pos="158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Rackspace, for so long as Rackspace (together with its Affiliates) Owns at least 2,207,644 Shares of Common Stock (on an as-converted to Common Stock basis and subject to appropriate adjustment for stock splits, stock dividends, combinations, and other recapitalizations) (each of foregoing Institutional Investors, March Capital, IVP, General Atlantic, Telstra and Rackspace, an “</w:t>
      </w:r>
      <w:r>
        <w:rPr>
          <w:rFonts w:ascii="Arial" w:cs="Arial" w:eastAsia="Arial" w:hAnsi="Arial"/>
          <w:sz w:val="18"/>
          <w:szCs w:val="18"/>
          <w:u w:val="single" w:color="auto"/>
          <w:color w:val="auto"/>
        </w:rPr>
        <w:t>Institutional Subscription Right Investor</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620" w:hanging="316"/>
        <w:spacing w:after="0" w:line="286" w:lineRule="auto"/>
        <w:tabs>
          <w:tab w:leader="none" w:pos="158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each Other Investor (or such Related Management Individual, as applicable) approved in writing by the Majority Institutional Investors to be listed on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for so long as such Other Investor Owns Shares representing more than five percent (5%) of the outstanding shares of Common Stock on a Fully Diluted Basis,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either (a) such Other Investor (or such Related Management Individual, as applicable) is an employee of the Company or its subsidiaries or a Board member at such time or</w:t>
      </w:r>
    </w:p>
    <w:p>
      <w:pPr>
        <w:spacing w:after="0" w:line="1" w:lineRule="exact"/>
        <w:rPr>
          <w:rFonts w:ascii="Arial" w:cs="Arial" w:eastAsia="Arial" w:hAnsi="Arial"/>
          <w:sz w:val="16"/>
          <w:szCs w:val="16"/>
          <w:color w:val="auto"/>
        </w:rPr>
      </w:pPr>
    </w:p>
    <w:p>
      <w:pPr>
        <w:ind w:left="1620" w:right="260"/>
        <w:spacing w:after="0" w:line="295" w:lineRule="auto"/>
        <w:rPr>
          <w:rFonts w:ascii="Arial" w:cs="Arial" w:eastAsia="Arial" w:hAnsi="Arial"/>
          <w:sz w:val="16"/>
          <w:szCs w:val="16"/>
          <w:color w:val="auto"/>
        </w:rPr>
      </w:pPr>
      <w:r>
        <w:rPr>
          <w:rFonts w:ascii="Arial" w:cs="Arial" w:eastAsia="Arial" w:hAnsi="Arial"/>
          <w:sz w:val="16"/>
          <w:szCs w:val="16"/>
          <w:color w:val="auto"/>
        </w:rPr>
        <w:t>(b) the proposed issuance of equity securities would result in a downward adjustment to the Conversion Price (as defined in the Certificate of Incorporation) of any series of Preferred Stock pursuant to Section 4.4 of the Certificate of Incorporation and such adjustment has not been waived pursuant to the terms of the Certificate of Incorporation (each such Other Investor an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Subscription Right Investor</w:t>
      </w:r>
      <w:r>
        <w:rPr>
          <w:rFonts w:ascii="Arial" w:cs="Arial" w:eastAsia="Arial" w:hAnsi="Arial"/>
          <w:sz w:val="16"/>
          <w:szCs w:val="16"/>
          <w:color w:val="auto"/>
        </w:rPr>
        <w:t>” and together with the Institutional Subscription Right Investors, the “</w:t>
      </w:r>
      <w:r>
        <w:rPr>
          <w:rFonts w:ascii="Arial" w:cs="Arial" w:eastAsia="Arial" w:hAnsi="Arial"/>
          <w:sz w:val="16"/>
          <w:szCs w:val="16"/>
          <w:u w:val="single" w:color="auto"/>
          <w:color w:val="auto"/>
        </w:rPr>
        <w:t>Subscription Right Investors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w:t>
      </w:r>
    </w:p>
    <w:p>
      <w:pPr>
        <w:spacing w:after="0" w:line="225" w:lineRule="exact"/>
        <w:rPr>
          <w:sz w:val="20"/>
          <w:szCs w:val="20"/>
          <w:color w:val="auto"/>
        </w:rPr>
      </w:pPr>
    </w:p>
    <w:p>
      <w:pPr>
        <w:ind w:left="660" w:right="180" w:firstLine="1292"/>
        <w:spacing w:after="0" w:line="296" w:lineRule="auto"/>
        <w:tabs>
          <w:tab w:leader="none" w:pos="262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give written notice (the “</w:t>
      </w:r>
      <w:r>
        <w:rPr>
          <w:rFonts w:ascii="Arial" w:cs="Arial" w:eastAsia="Arial" w:hAnsi="Arial"/>
          <w:sz w:val="16"/>
          <w:szCs w:val="16"/>
          <w:u w:val="single" w:color="auto"/>
          <w:color w:val="auto"/>
        </w:rPr>
        <w:t>Subscription Rights Notice</w:t>
      </w:r>
      <w:r>
        <w:rPr>
          <w:rFonts w:ascii="Arial" w:cs="Arial" w:eastAsia="Arial" w:hAnsi="Arial"/>
          <w:sz w:val="16"/>
          <w:szCs w:val="16"/>
          <w:color w:val="auto"/>
        </w:rPr>
        <w:t>”) setting forth in reasonable detail (1) the designation and all of the terms and provisions of the securities proposed to be issued (the “</w:t>
      </w:r>
      <w:r>
        <w:rPr>
          <w:rFonts w:ascii="Arial" w:cs="Arial" w:eastAsia="Arial" w:hAnsi="Arial"/>
          <w:sz w:val="16"/>
          <w:szCs w:val="16"/>
          <w:u w:val="single" w:color="auto"/>
          <w:color w:val="auto"/>
        </w:rPr>
        <w:t>Proposed Securities</w:t>
      </w:r>
      <w:r>
        <w:rPr>
          <w:rFonts w:ascii="Arial" w:cs="Arial" w:eastAsia="Arial" w:hAnsi="Arial"/>
          <w:sz w:val="16"/>
          <w:szCs w:val="16"/>
          <w:color w:val="auto"/>
        </w:rPr>
        <w:t>”), including, where applicable, the voting powers, preferences and relative participating, optional or other special rights, and the qualification, limitations or restrictions thereof and interest or dividend rate and maturity; (2) the price and other terms of the proposed sale of such securities; (3) the amount of such securities proposed to be issued; and (4) such other information as a Subscription Right Investor may reasonably request in order to evaluate the proposed issuance; and</w:t>
      </w:r>
    </w:p>
    <w:p>
      <w:pPr>
        <w:spacing w:after="0" w:line="161" w:lineRule="exact"/>
        <w:rPr>
          <w:rFonts w:ascii="Arial" w:cs="Arial" w:eastAsia="Arial" w:hAnsi="Arial"/>
          <w:sz w:val="16"/>
          <w:szCs w:val="16"/>
          <w:color w:val="auto"/>
        </w:rPr>
      </w:pPr>
    </w:p>
    <w:p>
      <w:pPr>
        <w:ind w:left="660" w:right="200" w:firstLine="1292"/>
        <w:spacing w:after="0" w:line="263" w:lineRule="auto"/>
        <w:tabs>
          <w:tab w:leader="none" w:pos="261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offer to each such Subscription Right Investor the right to purchase, at the same price and upon the same terms specified in the Subscription Rights Notice, a portion of the Proposed Securities equal to a percentage determined by dividing (x) the number of shares of Common Stock Owned by such Subscription Right Investor (including all Purchased Equity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5" w:name="page306"/>
    <w:bookmarkEnd w:id="305"/>
    <w:p>
      <w:pPr>
        <w:ind w:left="652" w:right="160"/>
        <w:spacing w:after="0" w:line="311" w:lineRule="auto"/>
        <w:rPr>
          <w:sz w:val="20"/>
          <w:szCs w:val="20"/>
          <w:color w:val="auto"/>
        </w:rPr>
      </w:pPr>
      <w:r>
        <w:rPr>
          <w:rFonts w:ascii="Arial" w:cs="Arial" w:eastAsia="Arial" w:hAnsi="Arial"/>
          <w:sz w:val="16"/>
          <w:szCs w:val="16"/>
          <w:color w:val="auto"/>
        </w:rPr>
        <w:t>Shares and any Granted Equity Shares held by such Subscription Right Investor, whether or not vested) on an as converted basis, by (y) the total number of shares of Common Stock then outstanding on a Fully Diluted Basis. An Institutional Subscription Right Investor shall be entitled to apportion the subscription right hereby granted it among itself and its partners and Affiliates in such proportions as it deems appropriate.</w:t>
      </w:r>
    </w:p>
    <w:p>
      <w:pPr>
        <w:spacing w:after="0" w:line="149" w:lineRule="exact"/>
        <w:rPr>
          <w:sz w:val="20"/>
          <w:szCs w:val="20"/>
          <w:color w:val="auto"/>
        </w:rPr>
      </w:pPr>
    </w:p>
    <w:p>
      <w:pPr>
        <w:ind w:left="2632" w:hanging="688"/>
        <w:spacing w:after="0"/>
        <w:tabs>
          <w:tab w:leader="none" w:pos="2632" w:val="left"/>
        </w:tabs>
        <w:numPr>
          <w:ilvl w:val="1"/>
          <w:numId w:val="209"/>
        </w:numPr>
        <w:rPr>
          <w:rFonts w:ascii="Arial" w:cs="Arial" w:eastAsia="Arial" w:hAnsi="Arial"/>
          <w:sz w:val="17"/>
          <w:szCs w:val="17"/>
          <w:color w:val="auto"/>
        </w:rPr>
      </w:pPr>
      <w:r>
        <w:rPr>
          <w:rFonts w:ascii="Arial" w:cs="Arial" w:eastAsia="Arial" w:hAnsi="Arial"/>
          <w:sz w:val="17"/>
          <w:szCs w:val="17"/>
          <w:color w:val="auto"/>
        </w:rPr>
        <w:t>Each such Subscription Right Investor must elect to exercise his, her or its purchase rights hereunder within ten</w:t>
      </w:r>
    </w:p>
    <w:p>
      <w:pPr>
        <w:spacing w:after="0" w:line="34" w:lineRule="exact"/>
        <w:rPr>
          <w:rFonts w:ascii="Arial" w:cs="Arial" w:eastAsia="Arial" w:hAnsi="Arial"/>
          <w:sz w:val="17"/>
          <w:szCs w:val="17"/>
          <w:color w:val="auto"/>
        </w:rPr>
      </w:pPr>
    </w:p>
    <w:p>
      <w:pPr>
        <w:ind w:left="-8" w:right="20" w:firstLine="8"/>
        <w:spacing w:after="0" w:line="284" w:lineRule="auto"/>
        <w:tabs>
          <w:tab w:leader="none" w:pos="33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days after receipt of such notice from the Company or such shorter period as may be required by the Company if the Company determines in good faith that a shorter period is necessary;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Institutional Subscription Right Investor delivers to the Company a written notice exercising its purchase rights within such ten-day period but in good faith determines that it needs a longer period to close such purchase in order to comply with notice, filing or other requirements related to antitrust compliance, the exercise period shall be extended by 90 days (with any necessary additional 30-day extensions as determined by such Institutional Subscription Right Investor in good faith) to allow such Institutional Subscription Right Investor to comply with such requirements in order to participate in such transaction;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the case of a Subscription Rights Notice relating to a proposed sale of securities for value to a third party (a “</w:t>
      </w:r>
      <w:r>
        <w:rPr>
          <w:rFonts w:ascii="Arial" w:cs="Arial" w:eastAsia="Arial" w:hAnsi="Arial"/>
          <w:sz w:val="16"/>
          <w:szCs w:val="16"/>
          <w:u w:val="single" w:color="auto"/>
          <w:color w:val="auto"/>
        </w:rPr>
        <w:t>Financing</w:t>
      </w:r>
      <w:r>
        <w:rPr>
          <w:rFonts w:ascii="Arial" w:cs="Arial" w:eastAsia="Arial" w:hAnsi="Arial"/>
          <w:sz w:val="16"/>
          <w:szCs w:val="16"/>
          <w:color w:val="auto"/>
        </w:rPr>
        <w:t xml:space="preserve">”), an Institutional Subscription Right Investor may make its exercise of its purchase rights under this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contingent upon the closing of such Financing. If all of the Proposed Securities offered to such Subscription Right Investors are not fully subscribed for by such Subscription Right Investors, the remaining Proposed Securities will be reoffered to the Subscription Right Investors purchasing their full allotment upon the terms set forth in this </w:t>
      </w:r>
      <w:r>
        <w:rPr>
          <w:rFonts w:ascii="Arial" w:cs="Arial" w:eastAsia="Arial" w:hAnsi="Arial"/>
          <w:sz w:val="16"/>
          <w:szCs w:val="16"/>
          <w:u w:val="single" w:color="auto"/>
          <w:color w:val="auto"/>
        </w:rPr>
        <w:t>Section 3(f)</w:t>
      </w:r>
      <w:r>
        <w:rPr>
          <w:rFonts w:ascii="Arial" w:cs="Arial" w:eastAsia="Arial" w:hAnsi="Arial"/>
          <w:sz w:val="16"/>
          <w:szCs w:val="16"/>
          <w:color w:val="auto"/>
        </w:rPr>
        <w:t>, until all such Proposed Securities are fully subscribed for or until all such Subscription Right Investors have subscribed for all such Proposed Securities which they desire to purchase, except that such Subscription Right Investors must exercise their purchase rights within three (3) Business Days after receipt of all such reoffers or such shorter period as may be required by the Company if the Company determines in good faith that a shorter period is necessary. To the extent that the Company offers two or more securities to all prospective purchasers in a proposed issuance in units, such as convertible notes coupled with attached warrants (and only in such units), such Subscription Right Investors must purchase such units as a whole and will not be given the opportunity to purchase only one of the securities making up such unit.</w:t>
      </w:r>
    </w:p>
    <w:p>
      <w:pPr>
        <w:spacing w:after="0" w:line="175" w:lineRule="exact"/>
        <w:rPr>
          <w:rFonts w:ascii="Arial" w:cs="Arial" w:eastAsia="Arial" w:hAnsi="Arial"/>
          <w:sz w:val="16"/>
          <w:szCs w:val="16"/>
          <w:color w:val="auto"/>
        </w:rPr>
      </w:pPr>
    </w:p>
    <w:p>
      <w:pPr>
        <w:ind w:left="-8" w:firstLine="1952"/>
        <w:spacing w:after="0" w:line="275" w:lineRule="auto"/>
        <w:tabs>
          <w:tab w:leader="none" w:pos="2601" w:val="left"/>
        </w:tabs>
        <w:numPr>
          <w:ilvl w:val="1"/>
          <w:numId w:val="210"/>
        </w:numPr>
        <w:rPr>
          <w:rFonts w:ascii="Arial" w:cs="Arial" w:eastAsia="Arial" w:hAnsi="Arial"/>
          <w:sz w:val="17"/>
          <w:szCs w:val="17"/>
          <w:color w:val="auto"/>
        </w:rPr>
      </w:pPr>
      <w:r>
        <w:rPr>
          <w:rFonts w:ascii="Arial" w:cs="Arial" w:eastAsia="Arial" w:hAnsi="Arial"/>
          <w:sz w:val="17"/>
          <w:szCs w:val="17"/>
          <w:color w:val="auto"/>
        </w:rPr>
        <w:t xml:space="preserve">Upon the expiration of the offering periods described above (as such periods may be shortened by the Company or extended by request from an Institutional Subscription Right Investor), the Company will be free to sell such Proposed Securities that such Subscription Right Investors have not elected to purchase during the ninety (90) days following such expiration on terms and conditions not materially more favorable to the purchasers thereof than those offered to such Subscription Right Investors. Any Proposed Securities offered or sold by the Company after such ninety (90)-day period must be reoffered to such Subscription Right Investors pursuant to this </w:t>
      </w:r>
      <w:r>
        <w:rPr>
          <w:rFonts w:ascii="Arial" w:cs="Arial" w:eastAsia="Arial" w:hAnsi="Arial"/>
          <w:sz w:val="17"/>
          <w:szCs w:val="17"/>
          <w:u w:val="single" w:color="auto"/>
          <w:color w:val="auto"/>
        </w:rPr>
        <w:t>Section 3(f)</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8" w:right="20" w:firstLine="1952"/>
        <w:spacing w:after="0" w:line="272" w:lineRule="auto"/>
        <w:tabs>
          <w:tab w:leader="none" w:pos="2591" w:val="left"/>
        </w:tabs>
        <w:numPr>
          <w:ilvl w:val="1"/>
          <w:numId w:val="210"/>
        </w:numPr>
        <w:rPr>
          <w:rFonts w:ascii="Arial" w:cs="Arial" w:eastAsia="Arial" w:hAnsi="Arial"/>
          <w:sz w:val="17"/>
          <w:szCs w:val="17"/>
          <w:color w:val="auto"/>
        </w:rPr>
      </w:pPr>
      <w:r>
        <w:rPr>
          <w:rFonts w:ascii="Arial" w:cs="Arial" w:eastAsia="Arial" w:hAnsi="Arial"/>
          <w:sz w:val="17"/>
          <w:szCs w:val="17"/>
          <w:color w:val="auto"/>
        </w:rPr>
        <w:t xml:space="preserve">The election by a Subscription Right Investor not to exercise such Subscription Right Investor’s subscription rights under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in any one instance shall not affect such Subscription Right Investor’s right (other than in respect of a reduction in such Subscription Right Investor’s percentage holdings) as to any subsequent proposed issuance subject to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If the Company determines in good faith that circumstances require the Company to sell the Proposed Securities to the Institutional Investors or their respective Affiliates, the Company shall be permitted to sell such Proposed Securities to such Institutional Investors and/or their respective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promptly following such sale, the Company permits each Subscription Right Investor having rights under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to purchase such Subscription Right Investor’s proportionate amount of such Proposed Securities in the manner contemplated by this </w:t>
      </w:r>
      <w:r>
        <w:rPr>
          <w:rFonts w:ascii="Arial" w:cs="Arial" w:eastAsia="Arial" w:hAnsi="Arial"/>
          <w:sz w:val="17"/>
          <w:szCs w:val="17"/>
          <w:u w:val="single" w:color="auto"/>
          <w:color w:val="auto"/>
        </w:rPr>
        <w:t>Section 3(f)</w:t>
      </w:r>
      <w:r>
        <w:rPr>
          <w:rFonts w:ascii="Arial" w:cs="Arial" w:eastAsia="Arial" w:hAnsi="Arial"/>
          <w:sz w:val="17"/>
          <w:szCs w:val="17"/>
          <w:color w:val="auto"/>
        </w:rPr>
        <w:t>.</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06" w:name="page307"/>
    <w:bookmarkEnd w:id="306"/>
    <w:p>
      <w:pPr>
        <w:ind w:right="160" w:firstLine="1952"/>
        <w:spacing w:after="0" w:line="263" w:lineRule="auto"/>
        <w:tabs>
          <w:tab w:leader="none" w:pos="260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Each such Subscription Right Investor shall, if requested by the Company and the Institutional Investors participating in such issuance of equity securities, execute a stockholders agreement (or consent to an amendment to this Agreement) with respect to such Proposed Securities with terms that are (to the extent practicable) substantially equivalent to the terms of this Agreement.</w:t>
      </w:r>
    </w:p>
    <w:p>
      <w:pPr>
        <w:spacing w:after="0" w:line="179" w:lineRule="exact"/>
        <w:rPr>
          <w:rFonts w:ascii="Arial" w:cs="Arial" w:eastAsia="Arial" w:hAnsi="Arial"/>
          <w:sz w:val="18"/>
          <w:szCs w:val="18"/>
          <w:color w:val="auto"/>
        </w:rPr>
      </w:pPr>
    </w:p>
    <w:p>
      <w:pPr>
        <w:ind w:left="1960" w:hanging="656"/>
        <w:spacing w:after="0"/>
        <w:tabs>
          <w:tab w:leader="none" w:pos="196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RESTRICTIONS ON SALES OF CONTROL OF THE COMPANY</w:t>
      </w:r>
    </w:p>
    <w:p>
      <w:pPr>
        <w:spacing w:after="0" w:line="22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7"/>
          <w:szCs w:val="17"/>
          <w:color w:val="auto"/>
        </w:rPr>
        <w:t>No Investor shall be a party to any Stock Sale unless (a) all holders of Preferred Stock are allowed to participate in such</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transaction(s) and (b) the consideration received pursuant to such transaction(s) is allocated among the parties thereto in the manner specified in the Company’s Certificate of Incorporation in effect immediately prior to the Stock Sale (as if such transaction(s) were a Deemed Liquidation Event), unless the holders of at least the requisite percentage required to waive treatment of the transaction(s) as a Deemed Liquidation Event pursuant to the terms of the Certificate of Incorporation, elect to allocate the consideration differently by written notice given to the Company at least ten (10) days prior to the effective date of any such transaction or series of related transactions.</w:t>
      </w:r>
    </w:p>
    <w:p>
      <w:pPr>
        <w:spacing w:after="0" w:line="187" w:lineRule="exact"/>
        <w:rPr>
          <w:sz w:val="20"/>
          <w:szCs w:val="20"/>
          <w:color w:val="auto"/>
        </w:rPr>
      </w:pPr>
    </w:p>
    <w:p>
      <w:pPr>
        <w:ind w:left="1960" w:hanging="656"/>
        <w:spacing w:after="0"/>
        <w:tabs>
          <w:tab w:leader="none" w:pos="196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0" w:firstLine="1304"/>
        <w:spacing w:after="0" w:line="263" w:lineRule="auto"/>
        <w:tabs>
          <w:tab w:leader="none" w:pos="194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Upon the closing of a Qualified Public Offering or, at the written election of the Majority Institutional Investors, an Initial Public Offering, this Agreement shall automatically terminate except with respect to the following Sections which shall survive such termination in accordance with their terms:</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1(a) (Legends);</w:t>
      </w:r>
    </w:p>
    <w:p>
      <w:pPr>
        <w:spacing w:after="0" w:line="225" w:lineRule="exact"/>
        <w:rPr>
          <w:rFonts w:ascii="Arial" w:cs="Arial" w:eastAsia="Arial" w:hAnsi="Arial"/>
          <w:sz w:val="18"/>
          <w:szCs w:val="18"/>
          <w:color w:val="auto"/>
        </w:rPr>
      </w:pPr>
    </w:p>
    <w:p>
      <w:pPr>
        <w:ind w:left="2640" w:hanging="688"/>
        <w:spacing w:after="0"/>
        <w:tabs>
          <w:tab w:leader="none" w:pos="26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1(f) (Confidentiality);</w:t>
      </w:r>
    </w:p>
    <w:p>
      <w:pPr>
        <w:spacing w:after="0" w:line="225" w:lineRule="exact"/>
        <w:rPr>
          <w:rFonts w:ascii="Arial" w:cs="Arial" w:eastAsia="Arial" w:hAnsi="Arial"/>
          <w:sz w:val="18"/>
          <w:szCs w:val="18"/>
          <w:color w:val="auto"/>
        </w:rPr>
      </w:pPr>
    </w:p>
    <w:p>
      <w:pPr>
        <w:ind w:left="2640" w:hanging="688"/>
        <w:spacing w:after="0"/>
        <w:tabs>
          <w:tab w:leader="none" w:pos="26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2(a)(iii) (Post-IPO Board Seat);</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2(c) (Committees of the Board);</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2(d) (Directors of Subsidiaries);</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2(e) (Indemnification, Expense Reimbursement and Other Rights);</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2(h) (Use of Name);</w:t>
      </w:r>
    </w:p>
    <w:p>
      <w:pPr>
        <w:spacing w:after="0" w:line="225" w:lineRule="exact"/>
        <w:rPr>
          <w:rFonts w:ascii="Arial" w:cs="Arial" w:eastAsia="Arial" w:hAnsi="Arial"/>
          <w:sz w:val="18"/>
          <w:szCs w:val="18"/>
          <w:color w:val="auto"/>
        </w:rPr>
      </w:pPr>
    </w:p>
    <w:p>
      <w:pPr>
        <w:ind w:left="2640" w:hanging="688"/>
        <w:spacing w:after="0"/>
        <w:tabs>
          <w:tab w:leader="none" w:pos="26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5 (Termination);</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6 (Interpretation of this Agreement); and</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Section 7 (Miscellaneous) (except Section 7(k) (Grant of Irrevocable Proxy), which shall terminate).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Upon a Deemed Liquidation Event this Agreement shall terminate.</w:t>
      </w:r>
    </w:p>
    <w:p>
      <w:pPr>
        <w:spacing w:after="0" w:line="225" w:lineRule="exact"/>
        <w:rPr>
          <w:rFonts w:ascii="Arial" w:cs="Arial" w:eastAsia="Arial" w:hAnsi="Arial"/>
          <w:sz w:val="18"/>
          <w:szCs w:val="18"/>
          <w:color w:val="auto"/>
        </w:rPr>
      </w:pPr>
    </w:p>
    <w:p>
      <w:pPr>
        <w:ind w:right="280" w:firstLine="1304"/>
        <w:spacing w:after="0" w:line="277" w:lineRule="auto"/>
        <w:tabs>
          <w:tab w:leader="none" w:pos="195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This Agreement shall terminate on the date on which the Majority Institutional Investors, the Majority Other Initial Investors and the Company shall have agreed in writing to terminate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7" w:name="page308"/>
    <w:bookmarkEnd w:id="307"/>
    <w:p>
      <w:pPr>
        <w:ind w:right="500" w:firstLine="1304"/>
        <w:spacing w:after="0" w:line="277" w:lineRule="auto"/>
        <w:tabs>
          <w:tab w:leader="none" w:pos="195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rights and obligations in connection with any Drag-Along Right exercised prior to the termination of this Agreement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survive the termination of this Agreement in accordance with the terms of </w:t>
      </w:r>
      <w:r>
        <w:rPr>
          <w:rFonts w:ascii="Arial" w:cs="Arial" w:eastAsia="Arial" w:hAnsi="Arial"/>
          <w:sz w:val="18"/>
          <w:szCs w:val="18"/>
          <w:u w:val="single" w:color="auto"/>
          <w:color w:val="auto"/>
        </w:rPr>
        <w:t>Section 3(e)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80" w:firstLine="1304"/>
        <w:spacing w:after="0" w:line="257" w:lineRule="auto"/>
        <w:tabs>
          <w:tab w:leader="none" w:pos="195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March Capital’s rights set forth in Section 1(c) (Information Rights), Section 1(d) (Inspection Rights), Section 2(g)(ii) (Board Observer Rights), Section 3(c) (Right of First Refusal), Section 3(d) (Tag-Along Rights), and Section 3(f) (Subscription Right) shall automatically terminate (i) at such time the Company reasonably determines March Capital to be engaged in Competitive Activities or (ii) at such time March Capital becomes a holder of securities of a Person engaged in Competitive Activities, and thereafter, March Capital shall be deemed, for purposes of this Agreement, an Other Non-Initial Investor.</w:t>
      </w:r>
    </w:p>
    <w:p>
      <w:pPr>
        <w:spacing w:after="0" w:line="187" w:lineRule="exact"/>
        <w:rPr>
          <w:rFonts w:ascii="Arial" w:cs="Arial" w:eastAsia="Arial" w:hAnsi="Arial"/>
          <w:sz w:val="18"/>
          <w:szCs w:val="18"/>
          <w:color w:val="auto"/>
        </w:rPr>
      </w:pPr>
    </w:p>
    <w:p>
      <w:pPr>
        <w:ind w:right="220" w:firstLine="1304"/>
        <w:spacing w:after="0" w:line="259" w:lineRule="auto"/>
        <w:tabs>
          <w:tab w:leader="none" w:pos="194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Telstra’s rights set forth in Section 1(c) (Information Rights), Section 1(d) (Inspection Rights), Section 3(c) (Right of First Refusal), Section 3(d) (Tag-Along Rights), and Section 3(f) (Subscription Right) shall automatically terminate at such time Telstra becomes a holder of securities of any one or more of the Specified Competitors, and thereafter, Telstra shall be deemed, for purposes of this Agreement, an Other Non-Initial Investor.</w:t>
      </w:r>
    </w:p>
    <w:p>
      <w:pPr>
        <w:spacing w:after="0" w:line="183" w:lineRule="exact"/>
        <w:rPr>
          <w:sz w:val="20"/>
          <w:szCs w:val="20"/>
          <w:color w:val="auto"/>
        </w:rPr>
      </w:pPr>
    </w:p>
    <w:p>
      <w:pPr>
        <w:ind w:left="1960" w:hanging="656"/>
        <w:spacing w:after="0"/>
        <w:tabs>
          <w:tab w:leader="none" w:pos="196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INTERPRETATION OF THIS AGREEMENT</w:t>
      </w:r>
    </w:p>
    <w:p>
      <w:pPr>
        <w:spacing w:after="0" w:line="229" w:lineRule="exact"/>
        <w:rPr>
          <w:sz w:val="20"/>
          <w:szCs w:val="20"/>
          <w:color w:val="auto"/>
        </w:rPr>
      </w:pPr>
    </w:p>
    <w:p>
      <w:pPr>
        <w:ind w:left="1940" w:hanging="636"/>
        <w:spacing w:after="0"/>
        <w:tabs>
          <w:tab w:leader="none" w:pos="194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Terms Defined</w:t>
      </w:r>
      <w:r>
        <w:rPr>
          <w:rFonts w:ascii="Arial" w:cs="Arial" w:eastAsia="Arial" w:hAnsi="Arial"/>
          <w:sz w:val="18"/>
          <w:szCs w:val="18"/>
          <w:color w:val="auto"/>
        </w:rPr>
        <w:t>. As used in this Agreement, the following terms have the respective meaning set forth below:</w:t>
      </w:r>
    </w:p>
    <w:p>
      <w:pPr>
        <w:spacing w:after="0" w:line="225"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u w:val="single" w:color="auto"/>
          <w:color w:val="auto"/>
        </w:rPr>
        <w:t>Accel Investors</w:t>
      </w:r>
      <w:r>
        <w:rPr>
          <w:rFonts w:ascii="Arial" w:cs="Arial" w:eastAsia="Arial" w:hAnsi="Arial"/>
          <w:sz w:val="18"/>
          <w:szCs w:val="18"/>
          <w:color w:val="auto"/>
        </w:rPr>
        <w:t>: shall mean Accel Leaders Fund L.P., Accel Leaders Fund Investors 2016 L.L.C., Accel London III L.P., Accel London Investors 2012 L.P., Accel Growth Fund II L.P., Accel Growth Fund II Strategic Partners L.P., Accel Growth Fund Investors 2013 L.L.C. and their permitted transferees and Affiliates.</w:t>
      </w:r>
    </w:p>
    <w:p>
      <w:pPr>
        <w:spacing w:after="0" w:line="184"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shall mean any Person or entity, directly or indirectly controlling, controlled by or under common control with such Person or entity, including, but not limited to, (i) a general partner, limited partner, or retired partner affiliated with such Person or entity, (ii) a fund, partnership, limited liability company or other entity that is affiliated with such Person or entity, (iii) a director, officer, stockholder, partner or member (or retired partner or member) affiliated with such Person or entity, or (iv) or to the estate of any such partner or member (or retired partner or member) affiliated with such Person or entity. Notwithstanding the above, (a) neither the Company nor any of its subsidiaries shall be deemed to be an Affiliate of any of the Investors, and (b) (1) D. Gregg Marston shall be deemed the only Affiliate of the Donald Gregg Marston and Marilyn Jane Marston Revocable Trust Dated 12/29/2004 and (2) George Kurtz shall be deemed the only Affiliate of Kurtz 2009 Spendthrift Trust, Dated 4/2/2009, Alexander Kurtz Irrevocable Gift Trust dated December 14, 2011 and Allegra Kurtz Irrevocable Gift Trust dated December 14, 2011.</w:t>
      </w:r>
    </w:p>
    <w:p>
      <w:pPr>
        <w:spacing w:after="0" w:line="178"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Sunday or a day on which banks in New York, New York are authorized or obligated by law or executive order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CapitalG</w:t>
      </w:r>
      <w:r>
        <w:rPr>
          <w:rFonts w:ascii="Arial" w:cs="Arial" w:eastAsia="Arial" w:hAnsi="Arial"/>
          <w:sz w:val="18"/>
          <w:szCs w:val="18"/>
          <w:color w:val="auto"/>
        </w:rPr>
        <w:t>: shall mean CapitalG LP, CapitalG 2015 LP and their permitted transferees and Affiliates.</w:t>
      </w:r>
    </w:p>
    <w:p>
      <w:pPr>
        <w:spacing w:after="0" w:line="225" w:lineRule="exact"/>
        <w:rPr>
          <w:sz w:val="20"/>
          <w:szCs w:val="20"/>
          <w:color w:val="auto"/>
        </w:rPr>
      </w:pPr>
    </w:p>
    <w:p>
      <w:pPr>
        <w:ind w:right="580" w:firstLine="1296"/>
        <w:spacing w:after="0" w:line="277" w:lineRule="auto"/>
        <w:rPr>
          <w:sz w:val="20"/>
          <w:szCs w:val="20"/>
          <w:color w:val="auto"/>
        </w:rPr>
      </w:pP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shall mean the Certificate of Incorporation of the Company as it may be amended from time to time, including pursuant to a Certificate of Designations, if 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08" w:name="page309"/>
    <w:bookmarkEnd w:id="308"/>
    <w:p>
      <w:pPr>
        <w:ind w:left="130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$0.0005 per share, of the Company.</w:t>
      </w:r>
    </w:p>
    <w:p>
      <w:pPr>
        <w:spacing w:after="0" w:line="225" w:lineRule="exact"/>
        <w:rPr>
          <w:sz w:val="20"/>
          <w:szCs w:val="20"/>
          <w:color w:val="auto"/>
        </w:rPr>
      </w:pPr>
    </w:p>
    <w:p>
      <w:pPr>
        <w:ind w:right="220" w:firstLine="1296"/>
        <w:spacing w:after="0" w:line="301" w:lineRule="auto"/>
        <w:rPr>
          <w:sz w:val="20"/>
          <w:szCs w:val="20"/>
          <w:color w:val="auto"/>
        </w:rPr>
      </w:pPr>
      <w:r>
        <w:rPr>
          <w:rFonts w:ascii="Arial" w:cs="Arial" w:eastAsia="Arial" w:hAnsi="Arial"/>
          <w:sz w:val="16"/>
          <w:szCs w:val="16"/>
          <w:u w:val="single" w:color="auto"/>
          <w:color w:val="auto"/>
        </w:rPr>
        <w:t>Competitive Activities</w:t>
      </w:r>
      <w:r>
        <w:rPr>
          <w:rFonts w:ascii="Arial" w:cs="Arial" w:eastAsia="Arial" w:hAnsi="Arial"/>
          <w:sz w:val="16"/>
          <w:szCs w:val="16"/>
          <w:color w:val="auto"/>
        </w:rPr>
        <w:t>: shall mean engaging in the business of monetizing network security threat intelligence data collected through a large population via the distribution of freemium endpoint security sensor software as conducted by the Company or its subsidiaries (or which the Company or its subsidiaries has committed plans to conduct) (or such other business as unanimously approved by the board of directors of the Company and its subsidiaries) and for which the Company and its subsidiaries as a whole intends to generate a material portion of revenues.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Deemed Liquidation Event</w:t>
      </w:r>
      <w:r>
        <w:rPr>
          <w:rFonts w:ascii="Arial" w:cs="Arial" w:eastAsia="Arial" w:hAnsi="Arial"/>
          <w:sz w:val="18"/>
          <w:szCs w:val="18"/>
          <w:color w:val="auto"/>
        </w:rPr>
        <w:t>: shall have the meaning set forth in the Certificate of Incorporation.</w:t>
      </w:r>
    </w:p>
    <w:p>
      <w:pPr>
        <w:spacing w:after="0" w:line="22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including the rules and regulations promulgated thereunder, or any successor statute thereto.</w:t>
      </w:r>
    </w:p>
    <w:p>
      <w:pPr>
        <w:spacing w:after="0" w:line="170"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u w:val="single" w:color="auto"/>
          <w:color w:val="auto"/>
        </w:rPr>
        <w:t>Fully Diluted Basis</w:t>
      </w:r>
      <w:r>
        <w:rPr>
          <w:rFonts w:ascii="Arial" w:cs="Arial" w:eastAsia="Arial" w:hAnsi="Arial"/>
          <w:sz w:val="18"/>
          <w:szCs w:val="18"/>
          <w:color w:val="auto"/>
        </w:rPr>
        <w:t>: shall mean all outstanding shares of the Common Stock assuming (i) the conversion of all outstanding shares of Preferred Stock and (ii) the exercise of all outstanding Share Equivalents and Granted Equity Shares without regard to any restrictions or conditions with respect to the exercisability of such Share Equivalents.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General Atlantic</w:t>
      </w:r>
      <w:r>
        <w:rPr>
          <w:rFonts w:ascii="Arial" w:cs="Arial" w:eastAsia="Arial" w:hAnsi="Arial"/>
          <w:sz w:val="18"/>
          <w:szCs w:val="18"/>
          <w:color w:val="auto"/>
        </w:rPr>
        <w:t>: shall mean General Atlantic (CS), L.P. and its permitted transferees and Affiliates.</w:t>
      </w:r>
    </w:p>
    <w:p>
      <w:pPr>
        <w:spacing w:after="0" w:line="225" w:lineRule="exact"/>
        <w:rPr>
          <w:sz w:val="20"/>
          <w:szCs w:val="20"/>
          <w:color w:val="auto"/>
        </w:rPr>
      </w:pPr>
    </w:p>
    <w:p>
      <w:pPr>
        <w:ind w:right="380" w:firstLine="1296"/>
        <w:spacing w:after="0" w:line="263" w:lineRule="auto"/>
        <w:rPr>
          <w:sz w:val="20"/>
          <w:szCs w:val="20"/>
          <w:color w:val="auto"/>
        </w:rPr>
      </w:pPr>
      <w:r>
        <w:rPr>
          <w:rFonts w:ascii="Arial" w:cs="Arial" w:eastAsia="Arial" w:hAnsi="Arial"/>
          <w:sz w:val="18"/>
          <w:szCs w:val="18"/>
          <w:u w:val="single" w:color="auto"/>
          <w:color w:val="auto"/>
        </w:rPr>
        <w:t>Granted Equity Shares</w:t>
      </w:r>
      <w:r>
        <w:rPr>
          <w:rFonts w:ascii="Arial" w:cs="Arial" w:eastAsia="Arial" w:hAnsi="Arial"/>
          <w:sz w:val="18"/>
          <w:szCs w:val="18"/>
          <w:color w:val="auto"/>
        </w:rPr>
        <w:t>: shall mean shares of Common Stock or Share Equivalents that are granted or issued pursuant to any of the Company’s or any of its subsidiaries’ stock option plans, stock bonus plans, stock incentive plans, employment agreement or other management equity program or other similar plans or programs approved by the Board.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Initial Closing Date</w:t>
      </w:r>
      <w:r>
        <w:rPr>
          <w:rFonts w:ascii="Arial" w:cs="Arial" w:eastAsia="Arial" w:hAnsi="Arial"/>
          <w:sz w:val="18"/>
          <w:szCs w:val="18"/>
          <w:color w:val="auto"/>
        </w:rPr>
        <w:t>: shall have the meaning set forth in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IVP</w:t>
      </w:r>
      <w:r>
        <w:rPr>
          <w:rFonts w:ascii="Arial" w:cs="Arial" w:eastAsia="Arial" w:hAnsi="Arial"/>
          <w:sz w:val="18"/>
          <w:szCs w:val="18"/>
          <w:color w:val="auto"/>
        </w:rPr>
        <w:t>: shall mean Institutional Venture Partners XVI, L.P. and its permitted transferees and Affiliates.</w:t>
      </w:r>
    </w:p>
    <w:p>
      <w:pPr>
        <w:spacing w:after="0" w:line="225" w:lineRule="exact"/>
        <w:rPr>
          <w:sz w:val="20"/>
          <w:szCs w:val="20"/>
          <w:color w:val="auto"/>
        </w:rPr>
      </w:pPr>
    </w:p>
    <w:p>
      <w:pPr>
        <w:ind w:firstLine="1296"/>
        <w:spacing w:after="0" w:line="288" w:lineRule="auto"/>
        <w:rPr>
          <w:sz w:val="20"/>
          <w:szCs w:val="20"/>
          <w:color w:val="auto"/>
        </w:rPr>
      </w:pPr>
      <w:r>
        <w:rPr>
          <w:rFonts w:ascii="Arial" w:cs="Arial" w:eastAsia="Arial" w:hAnsi="Arial"/>
          <w:sz w:val="16"/>
          <w:szCs w:val="16"/>
          <w:u w:val="single" w:color="auto"/>
          <w:color w:val="auto"/>
        </w:rPr>
        <w:t>Insolvency Event</w:t>
      </w:r>
      <w:r>
        <w:rPr>
          <w:rFonts w:ascii="Arial" w:cs="Arial" w:eastAsia="Arial" w:hAnsi="Arial"/>
          <w:sz w:val="16"/>
          <w:szCs w:val="16"/>
          <w:color w:val="auto"/>
        </w:rPr>
        <w:t>: means (1) the Company or any of its subsidiaries shall have commenced a voluntary case or other proceeding seeking liquidation, reorganization with respect to itself or its debts under any bankruptcy, insolvency or other similar law now or hereafter in effect or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 (2) an involuntary case or other proceeding shall be commenced against the Company or any of its subsidiaries seeking liquidation, reorganization or other relief with respect to it or its debts under bankruptcy, insolvency or other similar law now or hereafter in effect or the appointment of a trustee, receiver, liquidator, custodian or other similar official of it or any substantial part of its property, and such involuntary case or other proceeding shall remain undismissed and unstayed for a period of sixty (60) days; or (3) an order for relief shall be entered against the Company or any of its subsidiaries under the federal bankruptcy laws now or hereafter in effect or the Company admits in writing that it cannot pay its debts when due.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9" w:name="page310"/>
    <w:bookmarkEnd w:id="309"/>
    <w:p>
      <w:pPr>
        <w:ind w:left="1300"/>
        <w:spacing w:after="0"/>
        <w:rPr>
          <w:sz w:val="20"/>
          <w:szCs w:val="20"/>
          <w:color w:val="auto"/>
        </w:rPr>
      </w:pPr>
      <w:r>
        <w:rPr>
          <w:rFonts w:ascii="Arial" w:cs="Arial" w:eastAsia="Arial" w:hAnsi="Arial"/>
          <w:sz w:val="18"/>
          <w:szCs w:val="18"/>
          <w:u w:val="single" w:color="auto"/>
          <w:color w:val="auto"/>
        </w:rPr>
        <w:t>Management Individuals</w:t>
      </w:r>
      <w:r>
        <w:rPr>
          <w:rFonts w:ascii="Arial" w:cs="Arial" w:eastAsia="Arial" w:hAnsi="Arial"/>
          <w:sz w:val="18"/>
          <w:szCs w:val="18"/>
          <w:color w:val="auto"/>
        </w:rPr>
        <w:t>: shall mean George Kurtz, Dmitri Alperovitch and D. Gregg Marston.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Majority Institutional Investors</w:t>
      </w:r>
      <w:r>
        <w:rPr>
          <w:rFonts w:ascii="Arial" w:cs="Arial" w:eastAsia="Arial" w:hAnsi="Arial"/>
          <w:sz w:val="16"/>
          <w:szCs w:val="16"/>
          <w:color w:val="auto"/>
        </w:rPr>
        <w:t>: shall mean Institutional Investors Owning a majority of the Shares Owned by all Institutional Investors.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u w:val="single" w:color="auto"/>
          <w:color w:val="auto"/>
        </w:rPr>
        <w:t>Majority Other Initial Investors</w:t>
      </w:r>
      <w:r>
        <w:rPr>
          <w:rFonts w:ascii="Arial" w:cs="Arial" w:eastAsia="Arial" w:hAnsi="Arial"/>
          <w:sz w:val="17"/>
          <w:szCs w:val="17"/>
          <w:color w:val="auto"/>
        </w:rPr>
        <w:t>: shall mean the Other Initial Investors (or such Related Management Individuals, as applicable) that</w:t>
      </w:r>
    </w:p>
    <w:p>
      <w:pPr>
        <w:spacing w:after="0" w:line="35" w:lineRule="exact"/>
        <w:rPr>
          <w:sz w:val="20"/>
          <w:szCs w:val="20"/>
          <w:color w:val="auto"/>
        </w:rPr>
      </w:pPr>
    </w:p>
    <w:p>
      <w:pPr>
        <w:ind w:right="20" w:firstLine="8"/>
        <w:spacing w:after="0" w:line="277" w:lineRule="auto"/>
        <w:tabs>
          <w:tab w:leader="none" w:pos="21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are employees of the Company or its subsidiaries or members of the Board on the applicable date of determination and (ii) Own a majority of the Shares (excluding for this purpose any Granted Equity Shares that are not vested) Owned by all Other Initial Investors (or such Related Management Individuals, as applicable) that are employees of the Company or its subsidiaries or members of the Board on the applicable date of determination.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March Capital</w:t>
      </w:r>
      <w:r>
        <w:rPr>
          <w:rFonts w:ascii="Arial" w:cs="Arial" w:eastAsia="Arial" w:hAnsi="Arial"/>
          <w:sz w:val="16"/>
          <w:szCs w:val="16"/>
          <w:color w:val="auto"/>
        </w:rPr>
        <w:t>: shall mean March Capital Opportunity Fund, L.P. and March Capital Partners Fund I, L.P. and their permitted transferees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Affiliates.</w:t>
      </w:r>
    </w:p>
    <w:p>
      <w:pPr>
        <w:spacing w:after="0" w:line="211"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u w:val="single" w:color="auto"/>
          <w:color w:val="auto"/>
        </w:rPr>
        <w:t>Owns</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Owning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Owned</w:t>
      </w:r>
      <w:r>
        <w:rPr>
          <w:rFonts w:ascii="Arial" w:cs="Arial" w:eastAsia="Arial" w:hAnsi="Arial"/>
          <w:sz w:val="18"/>
          <w:szCs w:val="18"/>
          <w:color w:val="auto"/>
        </w:rPr>
        <w:t>: shall mean beneficial ownership, assuming the conversion (whether or not then convertible) of all outstanding securities convertible (including Preferred Stock) into Common Stock and the exercise of all outstanding Share Equivalents. No Investor shall be deemed to Own any shares of Series E-1 Preferred Stock issuable pursuant to the Purchase Agreement prior to the date of issuance of such shares of Series E-1 Preferred Stock to such Investor.</w:t>
      </w:r>
    </w:p>
    <w:p>
      <w:pPr>
        <w:spacing w:after="0" w:line="187" w:lineRule="exact"/>
        <w:rPr>
          <w:sz w:val="20"/>
          <w:szCs w:val="20"/>
          <w:color w:val="auto"/>
        </w:rPr>
      </w:pPr>
    </w:p>
    <w:p>
      <w:pPr>
        <w:ind w:right="60" w:firstLine="1296"/>
        <w:spacing w:after="0" w:line="270" w:lineRule="auto"/>
        <w:rPr>
          <w:sz w:val="20"/>
          <w:szCs w:val="20"/>
          <w:color w:val="auto"/>
        </w:rPr>
      </w:pPr>
      <w:r>
        <w:rPr>
          <w:rFonts w:ascii="Arial" w:cs="Arial" w:eastAsia="Arial" w:hAnsi="Arial"/>
          <w:sz w:val="17"/>
          <w:szCs w:val="17"/>
          <w:u w:val="single" w:color="auto"/>
          <w:color w:val="auto"/>
        </w:rPr>
        <w:t>Permitted Transferee</w:t>
      </w:r>
      <w:r>
        <w:rPr>
          <w:rFonts w:ascii="Arial" w:cs="Arial" w:eastAsia="Arial" w:hAnsi="Arial"/>
          <w:sz w:val="17"/>
          <w:szCs w:val="17"/>
          <w:color w:val="auto"/>
        </w:rPr>
        <w:t xml:space="preserve">: shall mean, (i) in the case of any Institutional Investor or any Other Investor that is not a natural person, any Affiliate of such Investor and (ii) in the case of Other Investors who are natural persons, (a) any trust established for the sole benefit of such Other Investor or such Other Investor’s spouse or direct lineal descendants provided such Other Investor is the trustee of such trust, (b) any Person in which the direct and beneficial owner of all voting securities of such Person is such Other Investor, (c) such Other Investor’s heirs, executors, administrators or personal representatives upon the death, incompetency or disability of such Other Investor or (d) such Other Investor’s spouse or direct lineal descendants solely to the extent previously approved by the Company and the Majority Institutional Investors, such approval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connection with such approval, the Company or the Majority Institutional Investors may request the Other Investor or such Other Investor’s spouse or lineal descendants to agree to transfer and other restrictions and terms that the Company or the Majority Institutional Investors in good faith believe are in the best interests of the Company.</w:t>
      </w:r>
    </w:p>
    <w:p>
      <w:pPr>
        <w:spacing w:after="0" w:line="181"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(whether general or limited), joint-stock company, corporation, limited liability company, trust or unincorporated organization, and a government or agency or political subdivision thereof.</w:t>
      </w:r>
    </w:p>
    <w:p>
      <w:pPr>
        <w:spacing w:after="0" w:line="170" w:lineRule="exact"/>
        <w:rPr>
          <w:sz w:val="20"/>
          <w:szCs w:val="20"/>
          <w:color w:val="auto"/>
        </w:rPr>
      </w:pPr>
    </w:p>
    <w:p>
      <w:pPr>
        <w:ind w:right="100" w:firstLine="1296"/>
        <w:spacing w:after="0" w:line="263" w:lineRule="auto"/>
        <w:rPr>
          <w:sz w:val="20"/>
          <w:szCs w:val="20"/>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 shall mean the Series A-1 Preferred Stock, the Series B Preferred Stock, the Series C Preferred Stock, the Series D Preferred Stock, the Series D-1 Preferred Stock, the Series E Preferred Stock, Series E-1 Preferred Stock and each other series of the Company’s preferred stock.</w:t>
      </w:r>
    </w:p>
    <w:p>
      <w:pPr>
        <w:spacing w:after="0" w:line="184"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u w:val="single" w:color="auto"/>
          <w:color w:val="auto"/>
        </w:rPr>
        <w:t>Purchased Equity Shares</w:t>
      </w:r>
      <w:r>
        <w:rPr>
          <w:rFonts w:ascii="Arial" w:cs="Arial" w:eastAsia="Arial" w:hAnsi="Arial"/>
          <w:sz w:val="17"/>
          <w:szCs w:val="17"/>
          <w:color w:val="auto"/>
        </w:rPr>
        <w:t>: shall mean shares of Common Stock or Share Equivalents (including the Preferred Stock) that are purchased for value by an Investor from the Company, whether or not subsequently converted to another equity security of the Company, pursuant to (i) the Securities Purchase Agreement dated as of November 18, 2011 by and between the Company and the investors identified therein, (ii) the Securities Purchase Agreement dated August 21, 2013 by and between the Company and the investors identified therein, (iii) the Securities Purchase Agreement dated June 11, 2015 by and between the Company and the investors identified therein, (iv) the Securities Purchase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dated as of May 11, 2017, by and between the Company and the investors identified therein, (v) the Securities Purchase Agreement dated as of October 13, 2017, by and between the Company and the investors identified therein, and (vi) the Purchase Agreement. In no event shall Granted Equity Shares be deemed to be Purchased Equity Shares.</w:t>
      </w:r>
    </w:p>
    <w:p>
      <w:pPr>
        <w:spacing w:after="0" w:line="184"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u w:val="single" w:color="auto"/>
          <w:color w:val="auto"/>
        </w:rPr>
        <w:t>Qualified Public Offering</w:t>
      </w:r>
      <w:r>
        <w:rPr>
          <w:rFonts w:ascii="Arial" w:cs="Arial" w:eastAsia="Arial" w:hAnsi="Arial"/>
          <w:sz w:val="18"/>
          <w:szCs w:val="18"/>
          <w:color w:val="auto"/>
        </w:rPr>
        <w:t>: shall mean an Initial Public Offering that would qualify for mandatory conversion of all Preferred Stock pursuant to the Certificate of Incorporation.</w:t>
      </w:r>
    </w:p>
    <w:p>
      <w:pPr>
        <w:spacing w:after="0" w:line="170"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u w:val="single" w:color="auto"/>
          <w:color w:val="auto"/>
        </w:rPr>
        <w:t>Qualified Purchaser</w:t>
      </w:r>
      <w:r>
        <w:rPr>
          <w:rFonts w:ascii="Arial" w:cs="Arial" w:eastAsia="Arial" w:hAnsi="Arial"/>
          <w:sz w:val="18"/>
          <w:szCs w:val="18"/>
          <w:color w:val="auto"/>
        </w:rPr>
        <w:t>: shall mean any Person that (i) is an “accredited investor” within the meaning of Rule 501(a) under the Securities Act, (ii) holds passive investments in other enterprises backed by venture capital or private equity firms, (iii) is not involved in any business activities that are competitive with the Company, (iv) is not a “strategic” or “corporate” (as such terms are commonly understood by private equity investors) or any other Person that produces a product or a provides a service that it sells or offers to customers (or a Person that serves as a holding company or subsidiary of such a Person), and (v) has not been convicted, or plead nolo contendere, in a criminal proceeding or is a named subject of a pending criminal proceeding (excluding traffic violations and other minor offenses).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Rackspace</w:t>
      </w:r>
      <w:r>
        <w:rPr>
          <w:rFonts w:ascii="Arial" w:cs="Arial" w:eastAsia="Arial" w:hAnsi="Arial"/>
          <w:sz w:val="18"/>
          <w:szCs w:val="18"/>
          <w:color w:val="auto"/>
        </w:rPr>
        <w:t>: shall mean Rackspace US, Inc. and its permitted transferees and Affiliates.</w:t>
      </w:r>
    </w:p>
    <w:p>
      <w:pPr>
        <w:spacing w:after="0" w:line="225" w:lineRule="exact"/>
        <w:rPr>
          <w:sz w:val="20"/>
          <w:szCs w:val="20"/>
          <w:color w:val="auto"/>
        </w:rPr>
      </w:pPr>
    </w:p>
    <w:p>
      <w:pPr>
        <w:ind w:right="260" w:firstLine="1296"/>
        <w:spacing w:after="0" w:line="259" w:lineRule="auto"/>
        <w:rPr>
          <w:sz w:val="20"/>
          <w:szCs w:val="20"/>
          <w:color w:val="auto"/>
        </w:rPr>
      </w:pPr>
      <w:r>
        <w:rPr>
          <w:rFonts w:ascii="Arial" w:cs="Arial" w:eastAsia="Arial" w:hAnsi="Arial"/>
          <w:sz w:val="18"/>
          <w:szCs w:val="18"/>
          <w:u w:val="single" w:color="auto"/>
          <w:color w:val="auto"/>
        </w:rPr>
        <w:t>Reference Period</w:t>
      </w:r>
      <w:r>
        <w:rPr>
          <w:rFonts w:ascii="Arial" w:cs="Arial" w:eastAsia="Arial" w:hAnsi="Arial"/>
          <w:sz w:val="18"/>
          <w:szCs w:val="18"/>
          <w:color w:val="auto"/>
        </w:rPr>
        <w:t>: shall mean, with respect to each Specified Other Initial Investor, the period beginning on November 18, 2011 and ending on the date of termination of such Specified Other Initial Investor’s employment with the Company (i) by the Company for Cause or (ii) by such Specified Other Initial Investor without Good Reason (each as defined in the Employment Agreement between the Company and such Specified Other Initial Investor, dated as of the date hereof).</w:t>
      </w:r>
    </w:p>
    <w:p>
      <w:pPr>
        <w:spacing w:after="0" w:line="187"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shall mean that certain Amended and Restated Registration Rights Agreement dated as of the date hereof by and among the Company and the stockholders named therein, as the same may be amended from time to time.</w:t>
      </w:r>
    </w:p>
    <w:p>
      <w:pPr>
        <w:spacing w:after="0" w:line="170"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u w:val="single" w:color="auto"/>
          <w:color w:val="auto"/>
        </w:rPr>
        <w:t>Related Management Individual</w:t>
      </w:r>
      <w:r>
        <w:rPr>
          <w:rFonts w:ascii="Arial" w:cs="Arial" w:eastAsia="Arial" w:hAnsi="Arial"/>
          <w:sz w:val="18"/>
          <w:szCs w:val="18"/>
          <w:color w:val="auto"/>
        </w:rPr>
        <w:t>: shall mean, with respect to an Other Initial Investor that (i) is not a natural person and (ii) qualifies as a Permitted Transferee of a Management Individual, such Management Individual.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 or any successor agency.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Security, Securities</w:t>
      </w:r>
      <w:r>
        <w:rPr>
          <w:rFonts w:ascii="Arial" w:cs="Arial" w:eastAsia="Arial" w:hAnsi="Arial"/>
          <w:sz w:val="18"/>
          <w:szCs w:val="18"/>
          <w:color w:val="auto"/>
        </w:rPr>
        <w:t>: shall have the meaning set forth in Section 2(1) of the Securities Act.</w:t>
      </w:r>
    </w:p>
    <w:p>
      <w:pPr>
        <w:sectPr>
          <w:pgSz w:w="11900" w:h="16838" w:orient="portrait"/>
          <w:cols w:equalWidth="0" w:num="1">
            <w:col w:w="11220"/>
          </w:cols>
          <w:pgMar w:left="320" w:top="341" w:right="359" w:bottom="133" w:gutter="0" w:footer="0" w:header="0"/>
        </w:sectPr>
      </w:pPr>
    </w:p>
    <w:bookmarkStart w:id="310" w:name="page311"/>
    <w:bookmarkEnd w:id="310"/>
    <w:p>
      <w:pPr>
        <w:ind w:right="620" w:firstLine="1296"/>
        <w:spacing w:after="0" w:line="277" w:lineRule="auto"/>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and the rules and regulations promulgated thereunder, or any successor statute thereto.</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u w:val="single" w:color="auto"/>
          <w:color w:val="auto"/>
        </w:rPr>
        <w:t>Share Equivalent</w:t>
      </w:r>
      <w:r>
        <w:rPr>
          <w:rFonts w:ascii="Arial" w:cs="Arial" w:eastAsia="Arial" w:hAnsi="Arial"/>
          <w:sz w:val="18"/>
          <w:szCs w:val="18"/>
          <w:color w:val="auto"/>
        </w:rPr>
        <w:t>: shall mean any stock, warrants, rights, calls, options or other securities exchangeable or exercisable for, or convertible into, directly or indirectly, Shares of Common Stock.</w:t>
      </w:r>
    </w:p>
    <w:p>
      <w:pPr>
        <w:spacing w:after="0" w:line="170"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u w:val="single" w:color="auto"/>
          <w:color w:val="auto"/>
        </w:rPr>
        <w:t>Specified Competitors</w:t>
      </w:r>
      <w:r>
        <w:rPr>
          <w:rFonts w:ascii="Arial" w:cs="Arial" w:eastAsia="Arial" w:hAnsi="Arial"/>
          <w:sz w:val="18"/>
          <w:szCs w:val="18"/>
          <w:color w:val="auto"/>
        </w:rPr>
        <w:t>: shall mean the following Persons or their respective successors (including any partnership, limited liability company, corporation, joint venture or similar arrangement (whether now existing or formed hereafter, and under any name now used or used hereafter)): Carbon Black, Cybereason, Cylance, Endgame, SentinelOne, and Tanium.</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Specified Other Initial Investors</w:t>
      </w:r>
      <w:r>
        <w:rPr>
          <w:rFonts w:ascii="Arial" w:cs="Arial" w:eastAsia="Arial" w:hAnsi="Arial"/>
          <w:sz w:val="18"/>
          <w:szCs w:val="18"/>
          <w:color w:val="auto"/>
        </w:rPr>
        <w:t>: shall mean the following: Dmitri Alperovitch and George Kurtz.</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11" w:name="page312"/>
    <w:bookmarkEnd w:id="311"/>
    <w:p>
      <w:pPr>
        <w:ind w:right="440" w:firstLine="1296"/>
        <w:spacing w:after="0" w:line="342" w:lineRule="auto"/>
        <w:rPr>
          <w:sz w:val="20"/>
          <w:szCs w:val="20"/>
          <w:color w:val="auto"/>
        </w:rPr>
      </w:pPr>
      <w:r>
        <w:rPr>
          <w:rFonts w:ascii="Arial" w:cs="Arial" w:eastAsia="Arial" w:hAnsi="Arial"/>
          <w:sz w:val="16"/>
          <w:szCs w:val="16"/>
          <w:u w:val="single" w:color="auto"/>
          <w:color w:val="auto"/>
        </w:rPr>
        <w:t>Stock Sale</w:t>
      </w:r>
      <w:r>
        <w:rPr>
          <w:rFonts w:ascii="Arial" w:cs="Arial" w:eastAsia="Arial" w:hAnsi="Arial"/>
          <w:sz w:val="16"/>
          <w:szCs w:val="16"/>
          <w:color w:val="auto"/>
        </w:rPr>
        <w:t>: shall mean a transaction or series of related transactions in which a Person, or a group of related Persons, acquires from stockholders of the Company shares representing more than fifty percent (50%) of the outstanding voting power of the Company.</w:t>
      </w:r>
    </w:p>
    <w:p>
      <w:pPr>
        <w:spacing w:after="0" w:line="124"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u w:val="single" w:color="auto"/>
          <w:color w:val="auto"/>
        </w:rPr>
        <w:t>Supermajority Holders</w:t>
      </w:r>
      <w:r>
        <w:rPr>
          <w:rFonts w:ascii="Arial" w:cs="Arial" w:eastAsia="Arial" w:hAnsi="Arial"/>
          <w:sz w:val="17"/>
          <w:szCs w:val="17"/>
          <w:color w:val="auto"/>
        </w:rPr>
        <w:t>: shall mean (i) the holders of at least 55% of the then-outstanding shares of Preferred Stock, voting together as a single class, (ii) in addition, in the event of a proposed transaction subject to the Drag-Along Right which would result in the holders of Series D Preferred Stock receiving gross proceeds per share of Series D Preferred Stock less than one and one-quarter (1.25) times the Series D Original Issue Price (as defined in the Certificate of Incorporation), the holders of at least 55% of the then-outstanding shares of Series D Preferred Stock, voting as a separate class, which holders must include each of the Accel Investors that hold Series D Preferred Stock, (iii) in addition, in the event of a proposed transaction subject to the Drag-Along Right which would result in the holders of Series D-1 Preferred Stock receiving gross proceeds per share of Series D-1 Preferred Stock less than one (1) times the Series D-1 Original Issue Price (as defined in the Certificate of Incorporation), the holders of at least 55% of the then-outstanding shares of Series D-1 Preferred Stock, voting as a separate class, and (iv) in addition, in the event of a proposed transaction subject to the Drag-Along Right which would result in the holders of Series E Preferred Stock or Series E-1 Preferred Stock receiving gross proceeds per share of Series E Preferred Stock or Series E-1 Preferred Stock less than one (1) times the Series E/E-1 Original Issue Price (as defined in the Certificate of Incorporation), the holders of at least a majority of the then-outstanding shares of Series E Preferred Stock and Series E-1 Preferred Stock, voting together as a separate class.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Telstra</w:t>
      </w:r>
      <w:r>
        <w:rPr>
          <w:rFonts w:ascii="Arial" w:cs="Arial" w:eastAsia="Arial" w:hAnsi="Arial"/>
          <w:sz w:val="18"/>
          <w:szCs w:val="18"/>
          <w:color w:val="auto"/>
        </w:rPr>
        <w:t>: shall mean Telstra Ventures Pty Ltd (ACN 125 607 454).</w:t>
      </w:r>
    </w:p>
    <w:p>
      <w:pPr>
        <w:spacing w:after="0" w:line="225" w:lineRule="exact"/>
        <w:rPr>
          <w:sz w:val="20"/>
          <w:szCs w:val="20"/>
          <w:color w:val="auto"/>
        </w:rPr>
      </w:pPr>
    </w:p>
    <w:p>
      <w:pPr>
        <w:ind w:right="1020" w:firstLine="1296"/>
        <w:spacing w:after="0" w:line="277" w:lineRule="auto"/>
        <w:rPr>
          <w:sz w:val="20"/>
          <w:szCs w:val="20"/>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shall mean any sale, assignment, pledge, transfer, hypothecation or other disposition or encumbrance, and each of “</w:t>
      </w:r>
      <w:r>
        <w:rPr>
          <w:rFonts w:ascii="Arial" w:cs="Arial" w:eastAsia="Arial" w:hAnsi="Arial"/>
          <w:sz w:val="18"/>
          <w:szCs w:val="18"/>
          <w:u w:val="single" w:color="auto"/>
          <w:color w:val="auto"/>
        </w:rPr>
        <w:t>Transferred</w:t>
      </w:r>
      <w:r>
        <w:rPr>
          <w:rFonts w:ascii="Arial" w:cs="Arial" w:eastAsia="Arial" w:hAnsi="Arial"/>
          <w:sz w:val="18"/>
          <w:szCs w:val="18"/>
          <w:color w:val="auto"/>
        </w:rPr>
        <w:t>”, “</w:t>
      </w:r>
      <w:r>
        <w:rPr>
          <w:rFonts w:ascii="Arial" w:cs="Arial" w:eastAsia="Arial" w:hAnsi="Arial"/>
          <w:sz w:val="18"/>
          <w:szCs w:val="18"/>
          <w:u w:val="single" w:color="auto"/>
          <w:color w:val="auto"/>
        </w:rPr>
        <w:t>Transferee</w:t>
      </w:r>
      <w:r>
        <w:rPr>
          <w:rFonts w:ascii="Arial" w:cs="Arial" w:eastAsia="Arial" w:hAnsi="Arial"/>
          <w:sz w:val="18"/>
          <w:szCs w:val="18"/>
          <w:color w:val="auto"/>
        </w:rPr>
        <w:t>” and “</w:t>
      </w:r>
      <w:r>
        <w:rPr>
          <w:rFonts w:ascii="Arial" w:cs="Arial" w:eastAsia="Arial" w:hAnsi="Arial"/>
          <w:sz w:val="18"/>
          <w:szCs w:val="18"/>
          <w:u w:val="single" w:color="auto"/>
          <w:color w:val="auto"/>
        </w:rPr>
        <w:t>Transferor</w:t>
      </w:r>
      <w:r>
        <w:rPr>
          <w:rFonts w:ascii="Arial" w:cs="Arial" w:eastAsia="Arial" w:hAnsi="Arial"/>
          <w:sz w:val="18"/>
          <w:szCs w:val="18"/>
          <w:color w:val="auto"/>
        </w:rPr>
        <w:t>” have a correlative meaning.</w:t>
      </w:r>
    </w:p>
    <w:p>
      <w:pPr>
        <w:spacing w:after="0" w:line="170" w:lineRule="exact"/>
        <w:rPr>
          <w:sz w:val="20"/>
          <w:szCs w:val="20"/>
          <w:color w:val="auto"/>
        </w:rPr>
      </w:pPr>
    </w:p>
    <w:p>
      <w:pPr>
        <w:ind w:right="580" w:firstLine="1296"/>
        <w:spacing w:after="0" w:line="277" w:lineRule="auto"/>
        <w:rPr>
          <w:sz w:val="20"/>
          <w:szCs w:val="20"/>
          <w:color w:val="auto"/>
        </w:rPr>
      </w:pPr>
      <w:r>
        <w:rPr>
          <w:rFonts w:ascii="Arial" w:cs="Arial" w:eastAsia="Arial" w:hAnsi="Arial"/>
          <w:sz w:val="18"/>
          <w:szCs w:val="18"/>
          <w:u w:val="single" w:color="auto"/>
          <w:color w:val="auto"/>
        </w:rPr>
        <w:t>Voting Preferred Stock</w:t>
      </w:r>
      <w:r>
        <w:rPr>
          <w:rFonts w:ascii="Arial" w:cs="Arial" w:eastAsia="Arial" w:hAnsi="Arial"/>
          <w:sz w:val="18"/>
          <w:szCs w:val="18"/>
          <w:color w:val="auto"/>
        </w:rPr>
        <w:t>: shall mean the Series A-1 Preferred Stock, the Series B Preferred Stock, the Series C Preferred Stock, the Series D Preferred Stock, the Series D-1 Preferred Stock and the Series E Preferred Stock.</w:t>
      </w:r>
    </w:p>
    <w:p>
      <w:pPr>
        <w:spacing w:after="0" w:line="170" w:lineRule="exact"/>
        <w:rPr>
          <w:sz w:val="20"/>
          <w:szCs w:val="20"/>
          <w:color w:val="auto"/>
        </w:rPr>
      </w:pPr>
    </w:p>
    <w:p>
      <w:pPr>
        <w:ind w:right="100" w:firstLine="1304"/>
        <w:spacing w:after="0" w:line="259" w:lineRule="auto"/>
        <w:tabs>
          <w:tab w:leader="none" w:pos="1951"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Accounting Principles</w:t>
      </w:r>
      <w:r>
        <w:rPr>
          <w:rFonts w:ascii="Arial" w:cs="Arial" w:eastAsia="Arial" w:hAnsi="Arial"/>
          <w:sz w:val="18"/>
          <w:szCs w:val="18"/>
          <w:color w:val="auto"/>
        </w:rPr>
        <w:t>. Where the character or amount of any asset or amount of any asset or liability or item of income or expense is required to be determined or any consolidation or other accounting computation is required to be made for the purposes of this Agreement, this shall be done in accordance with U.S. generally accepted accounting principles at the time in effect, to the extent applicable, except where such principles are inconsistent with the requirements of this Agreement.</w:t>
      </w:r>
    </w:p>
    <w:p>
      <w:pPr>
        <w:spacing w:after="0" w:line="186" w:lineRule="exact"/>
        <w:rPr>
          <w:rFonts w:ascii="Arial" w:cs="Arial" w:eastAsia="Arial" w:hAnsi="Arial"/>
          <w:sz w:val="18"/>
          <w:szCs w:val="18"/>
          <w:color w:val="auto"/>
        </w:rPr>
      </w:pPr>
    </w:p>
    <w:p>
      <w:pPr>
        <w:ind w:right="120" w:firstLine="1304"/>
        <w:spacing w:after="0" w:line="277" w:lineRule="auto"/>
        <w:tabs>
          <w:tab w:leader="none" w:pos="195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Directly or Indirectly</w:t>
      </w:r>
      <w:r>
        <w:rPr>
          <w:rFonts w:ascii="Arial" w:cs="Arial" w:eastAsia="Arial" w:hAnsi="Arial"/>
          <w:sz w:val="18"/>
          <w:szCs w:val="18"/>
          <w:color w:val="auto"/>
        </w:rPr>
        <w:t>. Where any provision in this Agreement refers to action to be taken by any Person, or which such Person is prohibited from taking, such provision shall be applicable whether such action is taken directly or indirectly by such Person.</w:t>
      </w:r>
    </w:p>
    <w:p>
      <w:pPr>
        <w:spacing w:after="0" w:line="170" w:lineRule="exact"/>
        <w:rPr>
          <w:rFonts w:ascii="Arial" w:cs="Arial" w:eastAsia="Arial" w:hAnsi="Arial"/>
          <w:sz w:val="18"/>
          <w:szCs w:val="18"/>
          <w:color w:val="auto"/>
        </w:rPr>
      </w:pPr>
    </w:p>
    <w:p>
      <w:pPr>
        <w:ind w:right="420" w:firstLine="1304"/>
        <w:spacing w:after="0" w:line="277" w:lineRule="auto"/>
        <w:tabs>
          <w:tab w:leader="none" w:pos="1951"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applicable to contracts made and to be performed entirely within such State.</w:t>
      </w:r>
    </w:p>
    <w:p>
      <w:pPr>
        <w:spacing w:after="0" w:line="170" w:lineRule="exact"/>
        <w:rPr>
          <w:rFonts w:ascii="Arial" w:cs="Arial" w:eastAsia="Arial" w:hAnsi="Arial"/>
          <w:sz w:val="18"/>
          <w:szCs w:val="18"/>
          <w:color w:val="auto"/>
        </w:rPr>
      </w:pPr>
    </w:p>
    <w:p>
      <w:pPr>
        <w:ind w:right="180" w:firstLine="1304"/>
        <w:spacing w:after="0" w:line="277" w:lineRule="auto"/>
        <w:tabs>
          <w:tab w:leader="none" w:pos="195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Section Headings</w:t>
      </w:r>
      <w:r>
        <w:rPr>
          <w:rFonts w:ascii="Arial" w:cs="Arial" w:eastAsia="Arial" w:hAnsi="Arial"/>
          <w:sz w:val="18"/>
          <w:szCs w:val="18"/>
          <w:color w:val="auto"/>
        </w:rPr>
        <w:t>. The headings of the sections and subsections of this Agreement are inserted for convenience only and shall not be deemed to constitute a part thereof.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12" w:name="page313"/>
    <w:bookmarkEnd w:id="312"/>
    <w:p>
      <w:pPr>
        <w:ind w:left="1940" w:hanging="656"/>
        <w:spacing w:after="0"/>
        <w:tabs>
          <w:tab w:leader="none" w:pos="19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1920" w:hanging="636"/>
        <w:spacing w:after="0"/>
        <w:tabs>
          <w:tab w:leader="none" w:pos="192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00" w:firstLine="1952"/>
        <w:spacing w:after="0" w:line="277" w:lineRule="auto"/>
        <w:tabs>
          <w:tab w:leader="none" w:pos="259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All communications under this Agreement shall be in writing and shall be delivered by hand or facsimile or mailed by overnight courier or by registered or certified mail, postage prepaid:</w:t>
      </w:r>
    </w:p>
    <w:p>
      <w:pPr>
        <w:spacing w:after="0" w:line="170" w:lineRule="exact"/>
        <w:rPr>
          <w:sz w:val="20"/>
          <w:szCs w:val="20"/>
          <w:color w:val="auto"/>
        </w:rPr>
      </w:pPr>
    </w:p>
    <w:p>
      <w:pPr>
        <w:ind w:left="640" w:right="440" w:firstLine="1292"/>
        <w:spacing w:after="0" w:line="342" w:lineRule="auto"/>
        <w:tabs>
          <w:tab w:leader="none" w:pos="260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if to any of the Investors, at the address or facsimile number of such Investor shown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or at such other address as the Investor may have furnished the Company and the other Investors in writing; and</w:t>
      </w:r>
    </w:p>
    <w:p>
      <w:pPr>
        <w:spacing w:after="0" w:line="123" w:lineRule="exact"/>
        <w:rPr>
          <w:rFonts w:ascii="Arial" w:cs="Arial" w:eastAsia="Arial" w:hAnsi="Arial"/>
          <w:sz w:val="16"/>
          <w:szCs w:val="16"/>
          <w:color w:val="auto"/>
        </w:rPr>
      </w:pPr>
    </w:p>
    <w:p>
      <w:pPr>
        <w:ind w:left="640" w:right="60" w:firstLine="1292"/>
        <w:spacing w:after="0" w:line="311" w:lineRule="auto"/>
        <w:tabs>
          <w:tab w:leader="none" w:pos="259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if to the Company, at CrowdStrike Holdings, Inc., 150 Mathilda Place, Suite 300, Sunnyvale, CA 94086, marked for the attention of the Chief Executive Officer, with a copy (which shall not constitute notice) to: Wilson Sonsini Goodrich &amp; Rosati, P.C. (facsimile: 650-493-6811), marked for attention of Yoichiro Taku, or at such other address as it may have furnished in writing to each of the Investors.</w:t>
      </w:r>
    </w:p>
    <w:p>
      <w:pPr>
        <w:spacing w:after="0" w:line="149" w:lineRule="exact"/>
        <w:rPr>
          <w:sz w:val="20"/>
          <w:szCs w:val="20"/>
          <w:color w:val="auto"/>
        </w:rPr>
      </w:pPr>
    </w:p>
    <w:p>
      <w:pPr>
        <w:ind w:left="-20" w:firstLine="1952"/>
        <w:spacing w:after="0" w:line="263" w:lineRule="auto"/>
        <w:tabs>
          <w:tab w:leader="none" w:pos="260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notice so addressed shall be deemed to be given: if delivered by hand or facsimile, on the date of such delivery if a Business Day and delivered during regular business hours, otherwise the first Business Day thereafter; if mailed by overnight courier, on the date of delivery; and if mailed by registered or certified mail, on the third Business Day after the date of such mailing.</w:t>
      </w:r>
    </w:p>
    <w:p>
      <w:pPr>
        <w:spacing w:after="0" w:line="183" w:lineRule="exact"/>
        <w:rPr>
          <w:rFonts w:ascii="Arial" w:cs="Arial" w:eastAsia="Arial" w:hAnsi="Arial"/>
          <w:sz w:val="18"/>
          <w:szCs w:val="18"/>
          <w:color w:val="auto"/>
        </w:rPr>
      </w:pPr>
    </w:p>
    <w:p>
      <w:pPr>
        <w:ind w:left="-20" w:right="100" w:firstLine="1304"/>
        <w:spacing w:after="0" w:line="291" w:lineRule="auto"/>
        <w:tabs>
          <w:tab w:leader="none" w:pos="1931"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Reproduction of Documents</w:t>
      </w:r>
      <w:r>
        <w:rPr>
          <w:rFonts w:ascii="Arial" w:cs="Arial" w:eastAsia="Arial" w:hAnsi="Arial"/>
          <w:sz w:val="16"/>
          <w:szCs w:val="16"/>
          <w:color w:val="auto"/>
        </w:rPr>
        <w:t>. This Agreement and all documents relating thereto, including, without limitation, (i) consents, waivers and modifications which may hereafter be executed, (ii) documents received by each Investor pursuant hereto and (iii) financial statements, certificates and other information previously or hereafter furnished to each Investor, may be reproduced by each Investor by photographic, photostatic, microfilm, microcard, miniature photographic or other similar process and each Investor may destroy any original document so reproduced. All parties hereto agree and stipulate that any such reproduction shall be admissible in evidence as the original itself in any judicial or administrative proceeding (whether or not the original is in existence and whether or not such reproduction was made by each Investor in the regular course of business) and that any enlargement, facsimile or further reproduction of such reproduction shall likewise be admissible in evidence.</w:t>
      </w:r>
    </w:p>
    <w:p>
      <w:pPr>
        <w:spacing w:after="0" w:line="166" w:lineRule="exact"/>
        <w:rPr>
          <w:rFonts w:ascii="Arial" w:cs="Arial" w:eastAsia="Arial" w:hAnsi="Arial"/>
          <w:sz w:val="16"/>
          <w:szCs w:val="16"/>
          <w:color w:val="auto"/>
        </w:rPr>
      </w:pPr>
    </w:p>
    <w:p>
      <w:pPr>
        <w:ind w:left="-20" w:firstLine="1304"/>
        <w:spacing w:after="0" w:line="257" w:lineRule="auto"/>
        <w:tabs>
          <w:tab w:leader="none" w:pos="1935"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inure to the benefit of and be binding upon the successors and permitted assigns of each of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Other Investor shall be permitted to assign any of his, her or its rights or obligations pursuant to this Agreement without the prior written consent of the Majority Institutional Investors, unless such assignment is in connection with a Transfer explicitly permitted by this Agreement and, prior to such assignment, such assignee complies with the requirements of this Agreement. Any attempted assignment by an Other Investor in violation of the foregoing shall be null and void.</w:t>
      </w:r>
    </w:p>
    <w:p>
      <w:pPr>
        <w:spacing w:after="0" w:line="187" w:lineRule="exact"/>
        <w:rPr>
          <w:rFonts w:ascii="Arial" w:cs="Arial" w:eastAsia="Arial" w:hAnsi="Arial"/>
          <w:sz w:val="18"/>
          <w:szCs w:val="18"/>
          <w:color w:val="auto"/>
        </w:rPr>
      </w:pPr>
    </w:p>
    <w:p>
      <w:pPr>
        <w:ind w:left="-20" w:right="60" w:firstLine="1304"/>
        <w:spacing w:after="0" w:line="254" w:lineRule="auto"/>
        <w:tabs>
          <w:tab w:leader="none" w:pos="1931"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 and Waiver</w:t>
      </w:r>
      <w:r>
        <w:rPr>
          <w:rFonts w:ascii="Arial" w:cs="Arial" w:eastAsia="Arial" w:hAnsi="Arial"/>
          <w:sz w:val="18"/>
          <w:szCs w:val="18"/>
          <w:color w:val="auto"/>
        </w:rPr>
        <w:t xml:space="preserve">. This Agreement, the Purchase Agreement and the Registration Rights Agreement constitute the entire understandings of the parties hereto and supersede all prior agreements or understandings with respect to the subject matter hereof among such parties. This Agreement may be amended, and the observance of any term of this Agreement may be waived, with (and only with) the written consent of the Company (with the approval of the Board), the Supermajority Holders and the Majority Other Initial Investors;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amendment or waiver which adversely affects any Institutional Investor in a manner different than any other Institutional Investor shall be effective against such Institutional Investor without such Institutional Investor’s prior written consent. The Company shall give notice of any amendment or termination hereof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313" w:name="page314"/>
    <w:bookmarkEnd w:id="313"/>
    <w:p>
      <w:pPr>
        <w:ind w:right="40"/>
        <w:spacing w:after="0" w:line="342" w:lineRule="auto"/>
        <w:rPr>
          <w:sz w:val="20"/>
          <w:szCs w:val="20"/>
          <w:color w:val="auto"/>
        </w:rPr>
      </w:pPr>
      <w:r>
        <w:rPr>
          <w:rFonts w:ascii="Arial" w:cs="Arial" w:eastAsia="Arial" w:hAnsi="Arial"/>
          <w:sz w:val="16"/>
          <w:szCs w:val="16"/>
          <w:color w:val="auto"/>
        </w:rPr>
        <w:t xml:space="preserve">or waiver hereunder to any party hereto that did not consent in writing to such amendment, termination, or waiver. Any amendment, termination, or waiver effected in accordance with this </w:t>
      </w:r>
      <w:r>
        <w:rPr>
          <w:rFonts w:ascii="Arial" w:cs="Arial" w:eastAsia="Arial" w:hAnsi="Arial"/>
          <w:sz w:val="16"/>
          <w:szCs w:val="16"/>
          <w:u w:val="single" w:color="auto"/>
          <w:color w:val="auto"/>
        </w:rPr>
        <w:t>Section 7(d)</w:t>
      </w:r>
      <w:r>
        <w:rPr>
          <w:rFonts w:ascii="Arial" w:cs="Arial" w:eastAsia="Arial" w:hAnsi="Arial"/>
          <w:sz w:val="16"/>
          <w:szCs w:val="16"/>
          <w:color w:val="auto"/>
        </w:rPr>
        <w:t xml:space="preserve"> shall be binding on all parties hereto, regardless of whether any such party has consented thereto.</w:t>
      </w:r>
    </w:p>
    <w:p>
      <w:pPr>
        <w:spacing w:after="0" w:line="124" w:lineRule="exact"/>
        <w:rPr>
          <w:sz w:val="20"/>
          <w:szCs w:val="20"/>
          <w:color w:val="auto"/>
        </w:rPr>
      </w:pPr>
    </w:p>
    <w:p>
      <w:pPr>
        <w:ind w:right="280" w:firstLine="1304"/>
        <w:spacing w:after="0" w:line="263" w:lineRule="auto"/>
        <w:tabs>
          <w:tab w:leader="none" w:pos="1955"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part or parts of this Agreement shall be held illegal or unenforceable by any court or administrative body of competent jurisdiction, such determination shall not affect the remaining provisions of this Agreement which shall remain in full force and effect.</w:t>
      </w:r>
    </w:p>
    <w:p>
      <w:pPr>
        <w:spacing w:after="0" w:line="183" w:lineRule="exact"/>
        <w:rPr>
          <w:rFonts w:ascii="Arial" w:cs="Arial" w:eastAsia="Arial" w:hAnsi="Arial"/>
          <w:sz w:val="18"/>
          <w:szCs w:val="18"/>
          <w:color w:val="auto"/>
        </w:rPr>
      </w:pPr>
    </w:p>
    <w:p>
      <w:pPr>
        <w:ind w:right="80" w:firstLine="1304"/>
        <w:spacing w:after="0" w:line="286" w:lineRule="auto"/>
        <w:tabs>
          <w:tab w:leader="none" w:pos="1948"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In connection with this Agreement and the transactions contemplated hereby, each Investor shall execute and deliver any additional documents and instruments and perform any additional acts that the Company or the Majority Institutional Investors determines to be necessary or appropriate to effectuate and perform the provisions of this Agreement and those transactions.</w:t>
      </w:r>
    </w:p>
    <w:p>
      <w:pPr>
        <w:spacing w:after="0" w:line="165" w:lineRule="exact"/>
        <w:rPr>
          <w:rFonts w:ascii="Arial" w:cs="Arial" w:eastAsia="Arial" w:hAnsi="Arial"/>
          <w:sz w:val="17"/>
          <w:szCs w:val="17"/>
          <w:color w:val="auto"/>
        </w:rPr>
      </w:pPr>
    </w:p>
    <w:p>
      <w:pPr>
        <w:ind w:right="620" w:firstLine="1304"/>
        <w:spacing w:after="0" w:line="263" w:lineRule="auto"/>
        <w:tabs>
          <w:tab w:leader="none" w:pos="1965"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No Partnership</w:t>
      </w:r>
      <w:r>
        <w:rPr>
          <w:rFonts w:ascii="Arial" w:cs="Arial" w:eastAsia="Arial" w:hAnsi="Arial"/>
          <w:sz w:val="18"/>
          <w:szCs w:val="18"/>
          <w:color w:val="auto"/>
        </w:rPr>
        <w:t>. Nothing in this Agreement and no actions taken by the parties under this Agreement shall constitute a partnership, association or other co-operative entity between any of the parties or cause any party to be deemed the agent of any other party for any purpose.</w:t>
      </w:r>
    </w:p>
    <w:p>
      <w:pPr>
        <w:spacing w:after="0" w:line="183" w:lineRule="exact"/>
        <w:rPr>
          <w:rFonts w:ascii="Arial" w:cs="Arial" w:eastAsia="Arial" w:hAnsi="Arial"/>
          <w:sz w:val="18"/>
          <w:szCs w:val="18"/>
          <w:color w:val="auto"/>
        </w:rPr>
      </w:pPr>
    </w:p>
    <w:p>
      <w:pPr>
        <w:ind w:firstLine="1304"/>
        <w:spacing w:after="0" w:line="255" w:lineRule="auto"/>
        <w:tabs>
          <w:tab w:leader="none" w:pos="1951"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It is hereby agreed and acknowledged that it will be impossible to measure in money the damages that would be suffered if the parties fail to comply with any of the obligations herein imposed on them and that, in the event of any such failure, an aggrieved Person will be irreparably damaged and will not have an adequate remedy at law. Any such party shall, therefore, be entitled (in addition to any other remedy to which such party may be entitled at law or in equity) to injunctive relief, including specific performance, to enforce such obligations, without the posting of any bond and if any action should be brought in equity to enforce any of the provisions of this Agreement, none of the parties hereto shall raise the defense that there is an adequate remedy at law.</w:t>
      </w:r>
    </w:p>
    <w:p>
      <w:pPr>
        <w:spacing w:after="0" w:line="192" w:lineRule="exact"/>
        <w:rPr>
          <w:rFonts w:ascii="Arial" w:cs="Arial" w:eastAsia="Arial" w:hAnsi="Arial"/>
          <w:sz w:val="18"/>
          <w:szCs w:val="18"/>
          <w:color w:val="auto"/>
        </w:rPr>
      </w:pPr>
    </w:p>
    <w:p>
      <w:pPr>
        <w:ind w:right="40" w:firstLine="1304"/>
        <w:spacing w:after="0" w:line="277" w:lineRule="auto"/>
        <w:tabs>
          <w:tab w:leader="none" w:pos="1965"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does not create any rights, claims or benefits inuring to any Person that is not a party hereto, and it does not create or establish any third party beneficiary hereto.</w:t>
      </w:r>
    </w:p>
    <w:p>
      <w:pPr>
        <w:spacing w:after="0" w:line="170" w:lineRule="exact"/>
        <w:rPr>
          <w:rFonts w:ascii="Arial" w:cs="Arial" w:eastAsia="Arial" w:hAnsi="Arial"/>
          <w:sz w:val="18"/>
          <w:szCs w:val="18"/>
          <w:color w:val="auto"/>
        </w:rPr>
      </w:pPr>
    </w:p>
    <w:p>
      <w:pPr>
        <w:ind w:right="300" w:firstLine="1304"/>
        <w:spacing w:after="0" w:line="277" w:lineRule="auto"/>
        <w:tabs>
          <w:tab w:leader="none" w:pos="1952"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(including by facsimile), each of which shall be deemed an original and all of which together shall be considered one and the same agreement.</w:t>
      </w:r>
    </w:p>
    <w:p>
      <w:pPr>
        <w:spacing w:after="0" w:line="166" w:lineRule="exact"/>
        <w:rPr>
          <w:rFonts w:ascii="Arial" w:cs="Arial" w:eastAsia="Arial" w:hAnsi="Arial"/>
          <w:sz w:val="18"/>
          <w:szCs w:val="18"/>
          <w:color w:val="auto"/>
        </w:rPr>
      </w:pPr>
    </w:p>
    <w:p>
      <w:pPr>
        <w:ind w:right="20" w:firstLine="1304"/>
        <w:spacing w:after="0" w:line="253" w:lineRule="auto"/>
        <w:tabs>
          <w:tab w:leader="none" w:pos="1951"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IRREVOCABLE PROXY</w:t>
      </w:r>
      <w:r>
        <w:rPr>
          <w:rFonts w:ascii="Arial" w:cs="Arial" w:eastAsia="Arial" w:hAnsi="Arial"/>
          <w:sz w:val="18"/>
          <w:szCs w:val="18"/>
          <w:b w:val="1"/>
          <w:bCs w:val="1"/>
          <w:color w:val="auto"/>
        </w:rPr>
        <w:t>. EACH OTHER INVESTOR HEREBY GRANTS TO SUCH INSTITUTIONAL INVESTOR DESIGNATED BY THE MAJORITY INSTITUTIONAL INVESTORS SUCH OTHER INVESTOR’S PROXY, AND APPOINTS SUCH INSTITUTIONAL INVESTOR DESIGNATED BY THE MAJORITY INSTITUTIONAL INVESTORS, OR ANY DESIGNEE OR NOMINEE OF THE INSTITUTIONAL INVESTORS, AS SUCH OTHER INVESTOR’S ATTORNEY-IN-FACT (WITH FULL POWER OF SUBSTITUTION AND RESUBSTITUTION), FOR AND IN ITS NAME, PLACE AND STEAD, (I) TO VOTE OR ACT BY WRITTEN CONSENT WITH RESPECT TO THE GRANTED EQUITY SHARES (WHETHER OR NOT VESTED) NOW OR HEREAFTER OWNED BY SUCH OTHER INVESTOR (OR ANY TRANSFEREE THEREOF) (INCLUDING THE RIGHT TO SIGN HIS, HER OR ITS NAME TO ANY CONSENT, CERTIFICATE OR OTHER DOCUMENT RELATING TO THE COMPANY THAT DELAWARE LAW MAY REQUIRE) IN CONNECTION WITH ANY AND ALL MATTERS, INCLUDING, WITHOUT LIMITATION, MATTERS SET FORTH HEREIN AS TO WHICH ANY VOTE OR ACTIONS MAY BE REQUESTED OR REQUIRED; PROVIDED, HOWEVER, SOLELY WITH RESPECT TO THIS CLAUSE (I) AND WITHOUT LIMITING ANY OF THE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4" w:name="page315"/>
    <w:bookmarkEnd w:id="314"/>
    <w:p>
      <w:pPr>
        <w:spacing w:after="0" w:line="251" w:lineRule="auto"/>
        <w:rPr>
          <w:sz w:val="20"/>
          <w:szCs w:val="20"/>
          <w:color w:val="auto"/>
        </w:rPr>
      </w:pPr>
      <w:r>
        <w:rPr>
          <w:rFonts w:ascii="Arial" w:cs="Arial" w:eastAsia="Arial" w:hAnsi="Arial"/>
          <w:sz w:val="18"/>
          <w:szCs w:val="18"/>
          <w:b w:val="1"/>
          <w:bCs w:val="1"/>
          <w:color w:val="auto"/>
        </w:rPr>
        <w:t xml:space="preserve">OTHER TERMS SET FORTH IN THIS SECTION 7(K), THIS CLAUSE (I) SHALL NOT BE APPLICABLE TO A SPECIFIED OTHER INITIAL INVESTOR (AS DEFINED HEREIN) DURING SUCH SPECIFIED OTHER INITIAL INVESTOR’S REFERENCE PERIOD (AS DEFINED HEREIN), IF ANY; (II) TO VOTE OR ACT BY WRITTEN CONSENT WITH RESPECT TO THE SHARES (INCLUDING ANY PURCHASED EQUITY SHARES OR GRANTED EQUITY SHARES) NOW OR HEREAFTER OWNED BY SUCH OTHER INVESTOR (OR ANY TRANSFEREE THEREOF) (INCLUDING THE RIGHT TO SIGN HIS, HER OR ITS NAME TO ANY CONSENT, CERTIFICATE OR OTHER DOCUMENT RELATING TO THE COMPANY THAT APPLICABLE LAW MAY REQUIRE) IN CONNECTION WITH ANY AND ALL MATTERS CONTEMPLATED BY </w:t>
      </w:r>
      <w:r>
        <w:rPr>
          <w:rFonts w:ascii="Arial" w:cs="Arial" w:eastAsia="Arial" w:hAnsi="Arial"/>
          <w:sz w:val="18"/>
          <w:szCs w:val="18"/>
          <w:b w:val="1"/>
          <w:bCs w:val="1"/>
          <w:u w:val="single" w:color="auto"/>
          <w:color w:val="auto"/>
        </w:rPr>
        <w:t>SECTION 3(E)</w:t>
      </w:r>
      <w:r>
        <w:rPr>
          <w:rFonts w:ascii="Arial" w:cs="Arial" w:eastAsia="Arial" w:hAnsi="Arial"/>
          <w:sz w:val="18"/>
          <w:szCs w:val="18"/>
          <w:b w:val="1"/>
          <w:bCs w:val="1"/>
          <w:color w:val="auto"/>
        </w:rPr>
        <w:t xml:space="preserve">, (III) TO TAKE ANY AND ALL REASONABLE ACTION NECESSARY TO SELL OR OTHERWISE TRANSFER ANY SHARES (INCLUDING ANY PURCHASED EQUITY SHARES OR GRANTED EQUITY SHARES) OWNED BY SUCH OTHER INVESTOR AS CONTEMPLATED BY </w:t>
      </w:r>
      <w:r>
        <w:rPr>
          <w:rFonts w:ascii="Arial" w:cs="Arial" w:eastAsia="Arial" w:hAnsi="Arial"/>
          <w:sz w:val="18"/>
          <w:szCs w:val="18"/>
          <w:b w:val="1"/>
          <w:bCs w:val="1"/>
          <w:u w:val="single" w:color="auto"/>
          <w:color w:val="auto"/>
        </w:rPr>
        <w:t>SECTION 3(E)</w:t>
      </w:r>
      <w:r>
        <w:rPr>
          <w:rFonts w:ascii="Arial" w:cs="Arial" w:eastAsia="Arial" w:hAnsi="Arial"/>
          <w:sz w:val="18"/>
          <w:szCs w:val="18"/>
          <w:b w:val="1"/>
          <w:bCs w:val="1"/>
          <w:color w:val="auto"/>
        </w:rPr>
        <w:t xml:space="preserve"> HEREOF AND (IV) WITH RESPECT TO OTHER INVESTORS THAT ARE NOT EMPLOYEES OF THE COMPANY OR ITS SUBSIDIARIES (INCLUDING FORMER EMPLOYEES, BUT EXCLUDING OTHER INVESTORS WITH A RELATED MANAGEMENT INDIVIDUAL THAT IS AN EMPLOYEE OF THE COMPANY), TO VOTE OR ACT BY WRITTEN CONSENT WITH RESPECT TO THE PURCHASED EQUITY SHARES NOW OR HEREAFTER OWNED BY SUCH OTHER INVESTOR (OR ANY TRANSFEREE THEREOF) (INCLUDING THE RIGHT TO SIGN HIS, HER OR ITS NAME TO ANY CONSENT, CERTIFICATE OR OTHER DOCUMENT RELATING TO THE COMPANY THAT DELAWARE LAW MAY REQUIRE) IN CONNECTION WITH ANY AND ALL MATTERS, INCLUDING, WITHOUT LIMITATION, MATTERS SET FORTH HEREIN AS TO WHICH ANY VOTE OR ACTIONS MAY BE REQUESTED OR REQUIRED. THIS PROXY IS COUPLED WITH AN INTEREST AND SHALL BE IRREVOCABLE, AND EACH SUCH OTHER INVESTOR WILL TAKE SUCH FURTHER ACTION OR EXECUTE SUCH OTHER INSTRUMENTS AS MAY BE REASONABLY NECESSARY TO EFFECTUATE THE INTENT OF THIS PROXY AND, EXCEPT WITH RESPECT TO ANY OTHER PROXY GIVEN BY THE OTHER INVESTOR TO THE COMPANY OR SUCH INSTITUTIONAL INVESTOR DESIGNATED BY THE MAJORITY INSTITUTIONAL INVESTORS, HEREBY REVOKES ANY PROXY PREVIOUSLY GRANTED BY SUCH OTHER INVESTOR WITH RESPECT TO SUCH OTHER INVESTOR’S SHARES. IN THE EVENT THAT THE PROXY GRANTED IN THIS </w:t>
      </w:r>
      <w:r>
        <w:rPr>
          <w:rFonts w:ascii="Arial" w:cs="Arial" w:eastAsia="Arial" w:hAnsi="Arial"/>
          <w:sz w:val="18"/>
          <w:szCs w:val="18"/>
          <w:b w:val="1"/>
          <w:bCs w:val="1"/>
          <w:u w:val="single" w:color="auto"/>
          <w:color w:val="auto"/>
        </w:rPr>
        <w:t>SECTION 7(K)</w:t>
      </w:r>
      <w:r>
        <w:rPr>
          <w:rFonts w:ascii="Arial" w:cs="Arial" w:eastAsia="Arial" w:hAnsi="Arial"/>
          <w:sz w:val="18"/>
          <w:szCs w:val="18"/>
          <w:b w:val="1"/>
          <w:bCs w:val="1"/>
          <w:color w:val="auto"/>
        </w:rPr>
        <w:t xml:space="preserve"> IS INCONSISTENT WITH THE TERMS OF ANY OTHER PROXY GRANTED BY AN OTHER INVESTOR TO SUCH INSTITUTIONAL INVESTOR DESIGNATED BY THE MAJORITY INSTITUTIONAL INVESTORS OR ANY OTHER PERSON, INCLUDING PURSUANT TO ANY STOCK INCENTIVE OR OTHER EQUITY COMPENSATION PLAN OF THE COMPANY, THEN THE TERMS OF THE PROXY GRANTED IN THIS </w:t>
      </w:r>
      <w:r>
        <w:rPr>
          <w:rFonts w:ascii="Arial" w:cs="Arial" w:eastAsia="Arial" w:hAnsi="Arial"/>
          <w:sz w:val="18"/>
          <w:szCs w:val="18"/>
          <w:b w:val="1"/>
          <w:bCs w:val="1"/>
          <w:u w:val="single" w:color="auto"/>
          <w:color w:val="auto"/>
        </w:rPr>
        <w:t>SECTION 7(K)</w:t>
      </w:r>
      <w:r>
        <w:rPr>
          <w:rFonts w:ascii="Arial" w:cs="Arial" w:eastAsia="Arial" w:hAnsi="Arial"/>
          <w:sz w:val="18"/>
          <w:szCs w:val="18"/>
          <w:b w:val="1"/>
          <w:bCs w:val="1"/>
          <w:color w:val="auto"/>
        </w:rPr>
        <w:t xml:space="preserve"> SHALL GOVERN. IN THE EVENT THAT ANY OR ALL PROVISION OF THIS </w:t>
      </w:r>
      <w:r>
        <w:rPr>
          <w:rFonts w:ascii="Arial" w:cs="Arial" w:eastAsia="Arial" w:hAnsi="Arial"/>
          <w:sz w:val="18"/>
          <w:szCs w:val="18"/>
          <w:b w:val="1"/>
          <w:bCs w:val="1"/>
          <w:u w:val="single" w:color="auto"/>
          <w:color w:val="auto"/>
        </w:rPr>
        <w:t>SECTION 7(K)</w:t>
      </w:r>
      <w:r>
        <w:rPr>
          <w:rFonts w:ascii="Arial" w:cs="Arial" w:eastAsia="Arial" w:hAnsi="Arial"/>
          <w:sz w:val="18"/>
          <w:szCs w:val="18"/>
          <w:b w:val="1"/>
          <w:bCs w:val="1"/>
          <w:color w:val="auto"/>
        </w:rPr>
        <w:t xml:space="preserve"> ARE DETERMINED TO BE UNENFORCEABLE, EACH OTHER INVESTOR WILL ENTER INTO A PROXY THAT, TO THE FULLEST EXTENT PERMITTED BY APPLICABLE LAW, PRESERVES THE INTENT AND PROVIDES SUCH INSTITUTIONAL INVESTOR DESIGNATED BY THE MAJORITY INSTITUTIONAL INVESTORS SUBSTANTIALLY THE SAME BENEFITS OF THIS </w:t>
      </w:r>
      <w:r>
        <w:rPr>
          <w:rFonts w:ascii="Arial" w:cs="Arial" w:eastAsia="Arial" w:hAnsi="Arial"/>
          <w:sz w:val="18"/>
          <w:szCs w:val="18"/>
          <w:b w:val="1"/>
          <w:bCs w:val="1"/>
          <w:u w:val="single" w:color="auto"/>
          <w:color w:val="auto"/>
        </w:rPr>
        <w:t>SECTION 7(K)</w:t>
      </w:r>
      <w:r>
        <w:rPr>
          <w:rFonts w:ascii="Arial" w:cs="Arial" w:eastAsia="Arial" w:hAnsi="Arial"/>
          <w:sz w:val="18"/>
          <w:szCs w:val="18"/>
          <w:b w:val="1"/>
          <w:bCs w:val="1"/>
          <w:color w:val="auto"/>
        </w:rPr>
        <w:t xml:space="preserve">. THE PROVISIONS OF THIS </w:t>
      </w:r>
      <w:r>
        <w:rPr>
          <w:rFonts w:ascii="Arial" w:cs="Arial" w:eastAsia="Arial" w:hAnsi="Arial"/>
          <w:sz w:val="18"/>
          <w:szCs w:val="18"/>
          <w:b w:val="1"/>
          <w:bCs w:val="1"/>
          <w:u w:val="single" w:color="auto"/>
          <w:color w:val="auto"/>
        </w:rPr>
        <w:t>SECTION 7(K)</w:t>
      </w:r>
      <w:r>
        <w:rPr>
          <w:rFonts w:ascii="Arial" w:cs="Arial" w:eastAsia="Arial" w:hAnsi="Arial"/>
          <w:sz w:val="18"/>
          <w:szCs w:val="18"/>
          <w:b w:val="1"/>
          <w:bCs w:val="1"/>
          <w:color w:val="auto"/>
        </w:rPr>
        <w:t xml:space="preserve"> GOVERNING THE VOTING OF ANY SHARES OF THE COMPANY SHALL APPLY WITH RESPECT TO SUCH SHARES ONLY TO THE EXTENT THE HOLDERS OF SUCH SHARES ARE ENTITLED TO VOTE ON THE APPLICABLE MATTER WITH RESPECT TO SUCH SHARES.</w:t>
      </w:r>
    </w:p>
    <w:p>
      <w:pPr>
        <w:spacing w:after="0" w:line="205" w:lineRule="exact"/>
        <w:rPr>
          <w:sz w:val="20"/>
          <w:szCs w:val="20"/>
          <w:color w:val="auto"/>
        </w:rPr>
      </w:pPr>
    </w:p>
    <w:p>
      <w:pPr>
        <w:ind w:right="540" w:firstLine="1304"/>
        <w:spacing w:after="0" w:line="277" w:lineRule="auto"/>
        <w:tabs>
          <w:tab w:leader="none" w:pos="196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Agreements to Be Bound</w:t>
      </w:r>
      <w:r>
        <w:rPr>
          <w:rFonts w:ascii="Arial" w:cs="Arial" w:eastAsia="Arial" w:hAnsi="Arial"/>
          <w:sz w:val="18"/>
          <w:szCs w:val="18"/>
          <w:color w:val="auto"/>
        </w:rPr>
        <w:t xml:space="preserve">. Upon acceptance by the Company of a Joinder Agreement or as contemplated by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hereof, as applicable, shall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t>amended to include the applicable joining party and attached to this Agreement and be effective with no further action or consent required.</w:t>
      </w:r>
    </w:p>
    <w:p>
      <w:pPr>
        <w:spacing w:after="0" w:line="225" w:lineRule="exact"/>
        <w:rPr>
          <w:sz w:val="20"/>
          <w:szCs w:val="20"/>
          <w:color w:val="auto"/>
        </w:rPr>
      </w:pPr>
    </w:p>
    <w:p>
      <w:pPr>
        <w:ind w:right="380" w:firstLine="1304"/>
        <w:spacing w:after="0" w:line="257" w:lineRule="auto"/>
        <w:tabs>
          <w:tab w:leader="none" w:pos="1947"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After Acquired Securities</w:t>
      </w:r>
      <w:r>
        <w:rPr>
          <w:rFonts w:ascii="Arial" w:cs="Arial" w:eastAsia="Arial" w:hAnsi="Arial"/>
          <w:sz w:val="18"/>
          <w:szCs w:val="18"/>
          <w:color w:val="auto"/>
        </w:rPr>
        <w:t>. Each Investor agrees that, except as otherwise provided herein, all of the provisions of this Agreement shall apply to all of the Shares now Owned (including any Granted Equity Shares and Purchased Equity Shares) or which may be issued or Transferred hereafter to an Investor in consequence of any additional issuance, purchase, Transfer, exchange or reclassification of any of such Shares, corporate reorganization, or any other form of recapitalization, consolidation, acquisition, stock split or stock dividend, or which are acquired by an Investor in any other manner.</w:t>
      </w:r>
    </w:p>
    <w:p>
      <w:pPr>
        <w:spacing w:after="0" w:line="187" w:lineRule="exact"/>
        <w:rPr>
          <w:rFonts w:ascii="Arial" w:cs="Arial" w:eastAsia="Arial" w:hAnsi="Arial"/>
          <w:sz w:val="18"/>
          <w:szCs w:val="18"/>
          <w:color w:val="auto"/>
        </w:rPr>
      </w:pPr>
    </w:p>
    <w:p>
      <w:pPr>
        <w:ind w:right="20" w:firstLine="1304"/>
        <w:spacing w:after="0" w:line="254" w:lineRule="auto"/>
        <w:tabs>
          <w:tab w:leader="none" w:pos="1951"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ACKNOWLEDGES AND AGREES THAT ANY CONTROVERSY WHICH MAY ARISE UNDER THIS AGREEMENT IS LIKELY TO INVOLVE COMPLICATED AND DIFFICULT ISSUES AND, THEREFORE, EACH SUCH PARTY IRREVOCABLY AND UNCONDITIONALLY WAIVES ANY RIGHT IT MAY HAVE TO A TRIAL BY JURY IN RESPECT OF ANY ACTIONS, SUITS, DEMAND LETTERS, JUDICIAL, ADMINISTRATIVE OR REGULATORY PROCEEDINGS, OR HEARINGS, NOTICES OF VIOLATION OR INVESTIGATIONS ARISING OUT OF OR RELATING TO THIS AGREEMENT. EACH PARTY TO THIS AGREEMENT CERTIFIES AND ACKNOWLEDGES THAT (A) SUCH PARTY HAS CONSIDERED THE IMPLICATIONS OF THIS WAIVER AND (B) SUCH PARTY MAKES THIS WAIVER VOLUNTARILY.</w:t>
      </w:r>
    </w:p>
    <w:p>
      <w:pPr>
        <w:spacing w:after="0" w:line="194" w:lineRule="exact"/>
        <w:rPr>
          <w:rFonts w:ascii="Arial" w:cs="Arial" w:eastAsia="Arial" w:hAnsi="Arial"/>
          <w:sz w:val="18"/>
          <w:szCs w:val="18"/>
          <w:color w:val="auto"/>
        </w:rPr>
      </w:pPr>
    </w:p>
    <w:p>
      <w:pPr>
        <w:ind w:right="120" w:firstLine="1304"/>
        <w:spacing w:after="0" w:line="342" w:lineRule="auto"/>
        <w:tabs>
          <w:tab w:leader="none" w:pos="1951"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of the Other Investors agrees to be bound by the terms of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of the Registration Rights Agreement, as may be amended from time to time, whether or not such Other Investor is a party to the Registration Rights Agreement.</w:t>
      </w:r>
    </w:p>
    <w:p>
      <w:pPr>
        <w:spacing w:after="0" w:line="123" w:lineRule="exact"/>
        <w:rPr>
          <w:rFonts w:ascii="Arial" w:cs="Arial" w:eastAsia="Arial" w:hAnsi="Arial"/>
          <w:sz w:val="16"/>
          <w:szCs w:val="16"/>
          <w:color w:val="auto"/>
        </w:rPr>
      </w:pPr>
    </w:p>
    <w:p>
      <w:pPr>
        <w:ind w:right="120" w:firstLine="1304"/>
        <w:spacing w:after="0" w:line="272" w:lineRule="auto"/>
        <w:tabs>
          <w:tab w:leader="none" w:pos="1951"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Lost, etc. Certificates Evidencing Shares; Exchange</w:t>
      </w:r>
      <w:r>
        <w:rPr>
          <w:rFonts w:ascii="Arial" w:cs="Arial" w:eastAsia="Arial" w:hAnsi="Arial"/>
          <w:sz w:val="17"/>
          <w:szCs w:val="17"/>
          <w:color w:val="auto"/>
        </w:rPr>
        <w:t>. Upon receipt by the Company of evidence reasonably satisfactory to it of the loss, theft, destruction or mutilation of any certificate evidencing any Shares owned by an Investor and (in the case of loss, theft or destruction) of a bond or an indemnity satisfactory to it, and upon surrender and cancellation of such certificate, if mutilated, the Company will make and deliver in lieu of such certificate a new certificate of like tenor and for the number of securities evidenced by such certificate which remain outstanding. Upon surrender of any certificate representing any Shares for exchange at the office of the Company, the Company at its expense will cause to be issued in exchange therefor new certificates in such denomination or denominations as may be requested for the same aggregate number of Shares represented by the certificate so surrendered and registered as such holder may request.</w:t>
      </w:r>
    </w:p>
    <w:p>
      <w:pPr>
        <w:spacing w:after="0" w:line="177" w:lineRule="exact"/>
        <w:rPr>
          <w:rFonts w:ascii="Arial" w:cs="Arial" w:eastAsia="Arial" w:hAnsi="Arial"/>
          <w:sz w:val="17"/>
          <w:szCs w:val="17"/>
          <w:color w:val="auto"/>
        </w:rPr>
      </w:pPr>
    </w:p>
    <w:p>
      <w:pPr>
        <w:ind w:firstLine="1304"/>
        <w:spacing w:after="0" w:line="291" w:lineRule="auto"/>
        <w:tabs>
          <w:tab w:leader="none" w:pos="1951"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Terms Generally</w:t>
      </w:r>
      <w:r>
        <w:rPr>
          <w:rFonts w:ascii="Arial" w:cs="Arial" w:eastAsia="Arial" w:hAnsi="Arial"/>
          <w:sz w:val="16"/>
          <w:szCs w:val="16"/>
          <w:color w:val="auto"/>
        </w:rPr>
        <w:t>. The words “hereby”, “herein”, “hereof”, “hereunder” and words of similar import refer to this Agreement as a whole and not merely to the specific section, paragraph or clause in which such word appears. All references herein to Articles and Sections shall be deemed references to Articles and Sections of this Agreement unless the context shall otherwise require. The words “include”, “includes” and “including” shall be deemed to be followed by the phrase “without limitation”. The definitions given for terms in this Agreement shall apply equally to both the singular and plural forms of the terms defined. References herein to any agreement or letter shall be deemed references to such agreement or letter as it may be amended, restated or otherwise revised from time to time. Whenever required by the context hereof, the singular number shall include the plural, and vice versa; the masculine gender shall include the feminine and neuter genders; and the neuter gender shall include the masculine and feminine genders.</w:t>
      </w:r>
    </w:p>
    <w:p>
      <w:pPr>
        <w:spacing w:after="0" w:line="166" w:lineRule="exact"/>
        <w:rPr>
          <w:rFonts w:ascii="Arial" w:cs="Arial" w:eastAsia="Arial" w:hAnsi="Arial"/>
          <w:sz w:val="16"/>
          <w:szCs w:val="16"/>
          <w:color w:val="auto"/>
        </w:rPr>
      </w:pPr>
    </w:p>
    <w:p>
      <w:pPr>
        <w:ind w:right="20" w:firstLine="1304"/>
        <w:spacing w:after="0" w:line="277" w:lineRule="auto"/>
        <w:tabs>
          <w:tab w:leader="none" w:pos="1962"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Draftsmanship</w:t>
      </w:r>
      <w:r>
        <w:rPr>
          <w:rFonts w:ascii="Arial" w:cs="Arial" w:eastAsia="Arial" w:hAnsi="Arial"/>
          <w:sz w:val="18"/>
          <w:szCs w:val="18"/>
          <w:color w:val="auto"/>
        </w:rPr>
        <w:t>. Each of the parties signing this Agreement on the date first set forth above has been represented by his, her or its own counsel and acknowledges that he, she or it has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6" w:name="page317"/>
    <w:bookmarkEnd w:id="316"/>
    <w:p>
      <w:pPr>
        <w:ind w:right="120"/>
        <w:spacing w:after="0" w:line="296" w:lineRule="auto"/>
        <w:rPr>
          <w:sz w:val="20"/>
          <w:szCs w:val="20"/>
          <w:color w:val="auto"/>
        </w:rPr>
      </w:pPr>
      <w:r>
        <w:rPr>
          <w:rFonts w:ascii="Arial" w:cs="Arial" w:eastAsia="Arial" w:hAnsi="Arial"/>
          <w:sz w:val="16"/>
          <w:szCs w:val="16"/>
          <w:color w:val="auto"/>
        </w:rPr>
        <w:t>participated in the drafting of this Agreement, and any applicable rule of construction to the effect that ambiguities are to be resolved against the drafting party shall not be applied in connection with the construction or interpretation of this Agreement. Each of the parties joining this Agreement after the date first set forth above has been represented by his, her or its own counsel, has read and understands the terms of this Agreement and has been afforded the opportunity to ask questions concerning the Company and this Agreement, and any applicable rule of construction to the effect that ambiguities are to be resolved against the drafting party shall not be applied in connection with the construction or interpretation of this Agreement.</w:t>
      </w:r>
    </w:p>
    <w:p>
      <w:pPr>
        <w:spacing w:after="0" w:line="161" w:lineRule="exact"/>
        <w:rPr>
          <w:sz w:val="20"/>
          <w:szCs w:val="20"/>
          <w:color w:val="auto"/>
        </w:rPr>
      </w:pPr>
    </w:p>
    <w:p>
      <w:pPr>
        <w:jc w:val="both"/>
        <w:ind w:right="60" w:firstLine="1304"/>
        <w:spacing w:after="0" w:line="263" w:lineRule="auto"/>
        <w:tabs>
          <w:tab w:leader="none" w:pos="1958"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State of Residence</w:t>
      </w:r>
      <w:r>
        <w:rPr>
          <w:rFonts w:ascii="Arial" w:cs="Arial" w:eastAsia="Arial" w:hAnsi="Arial"/>
          <w:sz w:val="18"/>
          <w:szCs w:val="18"/>
          <w:color w:val="auto"/>
        </w:rPr>
        <w:t>: Each Other Investor that is a natural person represents and warrants that it is a resident of the state set forth on such Other Investor’s signature page hereto. In the event an Other Investor changes its state of residence, such Other Investor shall promptly inform the Company of its new state of residence.</w:t>
      </w:r>
    </w:p>
    <w:p>
      <w:pPr>
        <w:spacing w:after="0" w:line="183" w:lineRule="exact"/>
        <w:rPr>
          <w:rFonts w:ascii="Arial" w:cs="Arial" w:eastAsia="Arial" w:hAnsi="Arial"/>
          <w:sz w:val="18"/>
          <w:szCs w:val="18"/>
          <w:color w:val="auto"/>
        </w:rPr>
      </w:pPr>
    </w:p>
    <w:p>
      <w:pPr>
        <w:ind w:firstLine="1304"/>
        <w:spacing w:after="0" w:line="259" w:lineRule="auto"/>
        <w:tabs>
          <w:tab w:leader="none" w:pos="195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Consent of Spouse</w:t>
      </w:r>
      <w:r>
        <w:rPr>
          <w:rFonts w:ascii="Arial" w:cs="Arial" w:eastAsia="Arial" w:hAnsi="Arial"/>
          <w:sz w:val="18"/>
          <w:szCs w:val="18"/>
          <w:color w:val="auto"/>
        </w:rPr>
        <w:t>. If any Other Investor (or such Related Management Individual, as applicable) is married or marries or remarries after the date of this Agreement, at the request of the Company such Other Investor (or such Related Management Individual, as applicable) shall cause his or her spouse to execute and deliver to the Company a consent of spouse in the form reasonably requested by the Company and consistent with spousal consent forms for investments of the type contemplated by this Agreement.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17" w:name="page318"/>
    <w:bookmarkEnd w:id="317"/>
    <w:p>
      <w:pPr>
        <w:jc w:val="right"/>
        <w:ind w:right="959"/>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CROWDSTRIKE HOLDINGS, INC.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George Kurtz</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CAPITALG LP</w:t>
      </w:r>
    </w:p>
    <w:p>
      <w:pPr>
        <w:sectPr>
          <w:pgSz w:w="11900" w:h="16838" w:orient="portrait"/>
          <w:cols w:equalWidth="0" w:num="1">
            <w:col w:w="10139"/>
          </w:cols>
          <w:pgMar w:left="320" w:top="341" w:right="1440"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CapitalG GP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Its General Partner</w:t>
      </w:r>
    </w:p>
    <w:p>
      <w:pPr>
        <w:spacing w:after="0" w:line="200" w:lineRule="exact"/>
        <w:rPr>
          <w:sz w:val="20"/>
          <w:szCs w:val="20"/>
          <w:color w:val="auto"/>
        </w:rPr>
      </w:pPr>
    </w:p>
    <w:p>
      <w:pPr>
        <w:sectPr>
          <w:pgSz w:w="11900" w:h="16838" w:orient="portrait"/>
          <w:cols w:equalWidth="0" w:num="2">
            <w:col w:w="260" w:space="520"/>
            <w:col w:w="9359"/>
          </w:cols>
          <w:pgMar w:left="320" w:top="341" w:right="1440" w:bottom="1440" w:gutter="0" w:footer="0" w:header="0"/>
          <w:type w:val="continuous"/>
        </w:sectPr>
      </w:pPr>
    </w:p>
    <w:p>
      <w:pPr>
        <w:spacing w:after="0" w:line="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Jeremiah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8295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Jeremiah Gordon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and Secretary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CAPITALG 2015 LP</w:t>
      </w:r>
    </w:p>
    <w:p>
      <w:pPr>
        <w:sectPr>
          <w:pgSz w:w="11900" w:h="16838" w:orient="portrait"/>
          <w:cols w:equalWidth="0" w:num="1">
            <w:col w:w="10139"/>
          </w:cols>
          <w:pgMar w:left="320" w:top="341" w:right="1440"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CapitalG 2015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260" w:space="520"/>
            <w:col w:w="9359"/>
          </w:cols>
          <w:pgMar w:left="320" w:top="341" w:right="1440" w:bottom="1440" w:gutter="0" w:footer="0" w:header="0"/>
          <w:type w:val="continuous"/>
        </w:sectPr>
      </w:pPr>
    </w:p>
    <w:p>
      <w:pPr>
        <w:spacing w:after="0" w:line="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Jeremiah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8295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Jeremiah Gordon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 and 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WARBURG PINCUS PRIVATE EQUITY X, L.P.</w:t>
      </w:r>
    </w:p>
    <w:p>
      <w:pPr>
        <w:sectPr>
          <w:pgSz w:w="11900" w:h="16838" w:orient="portrait"/>
          <w:cols w:equalWidth="0" w:num="1">
            <w:col w:w="10139"/>
          </w:cols>
          <w:pgMar w:left="320" w:top="341"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X,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X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WPP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Warburg Pincus Partners, L.P., its managing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Warburg Pincus Partners GP LLC, its general partner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&amp; Co., its managing member</w:t>
      </w:r>
    </w:p>
    <w:p>
      <w:pPr>
        <w:spacing w:after="0" w:line="200" w:lineRule="exact"/>
        <w:rPr>
          <w:sz w:val="20"/>
          <w:szCs w:val="20"/>
          <w:color w:val="auto"/>
        </w:rPr>
      </w:pPr>
    </w:p>
    <w:p>
      <w:pPr>
        <w:sectPr>
          <w:pgSz w:w="11900" w:h="16838" w:orient="portrait"/>
          <w:cols w:equalWidth="0" w:num="2">
            <w:col w:w="260" w:space="520"/>
            <w:col w:w="9359"/>
          </w:cols>
          <w:pgMar w:left="320" w:top="341" w:right="1440" w:bottom="1440" w:gutter="0" w:footer="0" w:header="0"/>
          <w:type w:val="continuous"/>
        </w:sectPr>
      </w:pPr>
    </w:p>
    <w:p>
      <w:pPr>
        <w:spacing w:after="0" w:line="1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By:</w:t>
        <w:tab/>
        <w:t>/s/ Cary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29210</wp:posOffset>
            </wp:positionV>
            <wp:extent cx="32829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 Cary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WARBURG PINCUS X PARTNERS, L.P.</w:t>
      </w:r>
    </w:p>
    <w:p>
      <w:pPr>
        <w:sectPr>
          <w:pgSz w:w="11900" w:h="16838" w:orient="portrait"/>
          <w:cols w:equalWidth="0" w:num="1">
            <w:col w:w="10139"/>
          </w:cols>
          <w:pgMar w:left="320" w:top="341"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X, L.P.,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X GP L.P.,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WPP GP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Warburg Pincus Partners, L.P., its managing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Warburg Pincus Partners GP LLC, its general partner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&amp; Co., its managing member</w:t>
      </w:r>
    </w:p>
    <w:p>
      <w:pPr>
        <w:spacing w:after="0" w:line="200" w:lineRule="exact"/>
        <w:rPr>
          <w:sz w:val="20"/>
          <w:szCs w:val="20"/>
          <w:color w:val="auto"/>
        </w:rPr>
      </w:pPr>
    </w:p>
    <w:p>
      <w:pPr>
        <w:sectPr>
          <w:pgSz w:w="11900" w:h="16838" w:orient="portrait"/>
          <w:cols w:equalWidth="0" w:num="2">
            <w:col w:w="260" w:space="520"/>
            <w:col w:w="9359"/>
          </w:cols>
          <w:pgMar w:left="320" w:top="341" w:right="1440" w:bottom="1440" w:gutter="0" w:footer="0" w:header="0"/>
          <w:type w:val="continuous"/>
        </w:sectPr>
      </w:pPr>
    </w:p>
    <w:p>
      <w:pPr>
        <w:spacing w:after="0" w:line="11"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By:</w:t>
        <w:tab/>
        <w:t>/s/ Cary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29210</wp:posOffset>
            </wp:positionV>
            <wp:extent cx="328295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 Cary Davis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1532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bookmarkStart w:id="318" w:name="page319"/>
    <w:bookmarkEnd w:id="318"/>
    <w:p>
      <w:pPr>
        <w:spacing w:after="0"/>
        <w:rPr>
          <w:sz w:val="20"/>
          <w:szCs w:val="20"/>
          <w:color w:val="auto"/>
        </w:rPr>
      </w:pPr>
      <w:r>
        <w:rPr>
          <w:rFonts w:ascii="Arial" w:cs="Arial" w:eastAsia="Arial" w:hAnsi="Arial"/>
          <w:sz w:val="18"/>
          <w:szCs w:val="18"/>
          <w:b w:val="1"/>
          <w:bCs w:val="1"/>
          <w:color w:val="auto"/>
        </w:rPr>
        <w:t>INSTITUTIONAL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LEADERS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Pr>
          <w:p>
            <w:pPr>
              <w:ind w:left="320"/>
              <w:spacing w:after="0"/>
              <w:rPr>
                <w:sz w:val="20"/>
                <w:szCs w:val="20"/>
                <w:color w:val="auto"/>
              </w:rPr>
            </w:pPr>
            <w:r>
              <w:rPr>
                <w:rFonts w:ascii="Arial" w:cs="Arial" w:eastAsia="Arial" w:hAnsi="Arial"/>
                <w:sz w:val="18"/>
                <w:szCs w:val="18"/>
                <w:color w:val="auto"/>
              </w:rPr>
              <w:t>Accel Leaders Fund Associates L.L.C.,</w:t>
            </w:r>
          </w:p>
        </w:tc>
      </w:tr>
      <w:tr>
        <w:trPr>
          <w:trHeight w:val="230"/>
        </w:trPr>
        <w:tc>
          <w:tcPr>
            <w:tcW w:w="44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Its General Partner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L. Sedlock</w:t>
            </w:r>
          </w:p>
        </w:tc>
      </w:tr>
      <w:tr>
        <w:trPr>
          <w:trHeight w:val="224"/>
        </w:trPr>
        <w:tc>
          <w:tcPr>
            <w:tcW w:w="440" w:type="dxa"/>
            <w:vAlign w:val="bottom"/>
          </w:tcPr>
          <w:p>
            <w:pPr>
              <w:spacing w:after="0"/>
              <w:rPr>
                <w:sz w:val="19"/>
                <w:szCs w:val="19"/>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Attorney-in-Fact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LEADERS FUND INVESTORS 2016 L.L.C.</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Tracy L. Sedlock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3000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GROWTH FUND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Pr>
          <w:p>
            <w:pPr>
              <w:ind w:left="320"/>
              <w:spacing w:after="0"/>
              <w:rPr>
                <w:sz w:val="20"/>
                <w:szCs w:val="20"/>
                <w:color w:val="auto"/>
              </w:rPr>
            </w:pPr>
            <w:r>
              <w:rPr>
                <w:rFonts w:ascii="Arial" w:cs="Arial" w:eastAsia="Arial" w:hAnsi="Arial"/>
                <w:sz w:val="18"/>
                <w:szCs w:val="18"/>
                <w:color w:val="auto"/>
              </w:rPr>
              <w:t>Accel Growth Fund II Associates L.L.C.,</w:t>
            </w:r>
          </w:p>
        </w:tc>
      </w:tr>
      <w:tr>
        <w:trPr>
          <w:trHeight w:val="230"/>
        </w:trPr>
        <w:tc>
          <w:tcPr>
            <w:tcW w:w="44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Its General Partner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L. Sedlock</w:t>
            </w:r>
          </w:p>
        </w:tc>
      </w:tr>
      <w:tr>
        <w:trPr>
          <w:trHeight w:val="224"/>
        </w:trPr>
        <w:tc>
          <w:tcPr>
            <w:tcW w:w="440" w:type="dxa"/>
            <w:vAlign w:val="bottom"/>
          </w:tcPr>
          <w:p>
            <w:pPr>
              <w:spacing w:after="0"/>
              <w:rPr>
                <w:sz w:val="19"/>
                <w:szCs w:val="19"/>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Attorney-in-Fact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GROWTH FUND II STRATEGIC PARTNERS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Pr>
          <w:p>
            <w:pPr>
              <w:ind w:left="320"/>
              <w:spacing w:after="0"/>
              <w:rPr>
                <w:sz w:val="20"/>
                <w:szCs w:val="20"/>
                <w:color w:val="auto"/>
              </w:rPr>
            </w:pPr>
            <w:r>
              <w:rPr>
                <w:rFonts w:ascii="Arial" w:cs="Arial" w:eastAsia="Arial" w:hAnsi="Arial"/>
                <w:sz w:val="18"/>
                <w:szCs w:val="18"/>
                <w:color w:val="auto"/>
              </w:rPr>
              <w:t>Accel Growth Fund II Associates L.L.C.,</w:t>
            </w:r>
          </w:p>
        </w:tc>
      </w:tr>
      <w:tr>
        <w:trPr>
          <w:trHeight w:val="230"/>
        </w:trPr>
        <w:tc>
          <w:tcPr>
            <w:tcW w:w="44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Its General Partner</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Tracy L. Sedlock</w:t>
            </w:r>
          </w:p>
        </w:tc>
      </w:tr>
      <w:tr>
        <w:trPr>
          <w:trHeight w:val="224"/>
        </w:trPr>
        <w:tc>
          <w:tcPr>
            <w:tcW w:w="440" w:type="dxa"/>
            <w:vAlign w:val="bottom"/>
          </w:tcPr>
          <w:p>
            <w:pPr>
              <w:spacing w:after="0"/>
              <w:rPr>
                <w:sz w:val="19"/>
                <w:szCs w:val="19"/>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Attorney-in-Fact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GROWTH FUND INVESTORS 2013 L.L.C.</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Tracy L. Sedlock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3000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color w:val="auto"/>
        </w:rPr>
        <w:t>INSTITUTIONAL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LONDON III L.P.</w:t>
      </w:r>
    </w:p>
    <w:p>
      <w:pPr>
        <w:sectPr>
          <w:pgSz w:w="11900" w:h="16838" w:orient="portrait"/>
          <w:cols w:equalWidth="0" w:num="1">
            <w:col w:w="10139"/>
          </w:cols>
          <w:pgMar w:left="320" w:top="337" w:right="1440"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Accel London Management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ectPr>
          <w:pgSz w:w="11900" w:h="16838" w:orient="portrait"/>
          <w:cols w:equalWidth="0" w:num="2">
            <w:col w:w="260" w:space="500"/>
            <w:col w:w="9379"/>
          </w:cols>
          <w:pgMar w:left="320" w:top="337" w:right="1440" w:bottom="1440" w:gutter="0" w:footer="0" w:header="0"/>
          <w:type w:val="continuous"/>
        </w:sectPr>
      </w:pPr>
    </w:p>
    <w:p>
      <w:pPr>
        <w:spacing w:after="0" w:line="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Kris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918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Kris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ACCEL LONDON INVESTORS 2012 L.P.</w:t>
      </w:r>
    </w:p>
    <w:p>
      <w:pPr>
        <w:sectPr>
          <w:pgSz w:w="11900" w:h="16838" w:orient="portrait"/>
          <w:cols w:equalWidth="0" w:num="1">
            <w:col w:w="10139"/>
          </w:cols>
          <w:pgMar w:left="320" w:top="337"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Accel London Management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ectPr>
          <w:pgSz w:w="11900" w:h="16838" w:orient="portrait"/>
          <w:cols w:equalWidth="0" w:num="2">
            <w:col w:w="260" w:space="500"/>
            <w:col w:w="9379"/>
          </w:cols>
          <w:pgMar w:left="320" w:top="337" w:right="1440" w:bottom="1440" w:gutter="0" w:footer="0" w:header="0"/>
          <w:type w:val="continuous"/>
        </w:sectPr>
      </w:pPr>
    </w:p>
    <w:p>
      <w:pPr>
        <w:spacing w:after="0" w:line="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Kris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9184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Kris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VENTURE PARTNERS XVI,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Institutional Venture Management Holdings XVI,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Institutional Venture Management XVI, LLC</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jc w:val="right"/>
        <w:ind w:right="8299"/>
        <w:spacing w:after="0"/>
        <w:tabs>
          <w:tab w:leader="none" w:pos="3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Harrick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9184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jc w:val="right"/>
        <w:ind w:right="8319"/>
        <w:spacing w:after="0"/>
        <w:rPr>
          <w:sz w:val="20"/>
          <w:szCs w:val="20"/>
          <w:color w:val="auto"/>
        </w:rPr>
      </w:pPr>
      <w:r>
        <w:rPr>
          <w:rFonts w:ascii="Arial" w:cs="Arial" w:eastAsia="Arial" w:hAnsi="Arial"/>
          <w:sz w:val="18"/>
          <w:szCs w:val="18"/>
          <w:color w:val="auto"/>
        </w:rPr>
        <w:t>Managing Director</w:t>
      </w:r>
    </w:p>
    <w:p>
      <w:pPr>
        <w:sectPr>
          <w:pgSz w:w="11900" w:h="16838" w:orient="portrait"/>
          <w:cols w:equalWidth="0" w:num="1">
            <w:col w:w="10139"/>
          </w:cols>
          <w:pgMar w:left="320" w:top="33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2, Suite 250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Menlo Park, CA 94025</w:t>
      </w:r>
    </w:p>
    <w:p>
      <w:pPr>
        <w:spacing w:after="0" w:line="200" w:lineRule="exact"/>
        <w:rPr>
          <w:sz w:val="20"/>
          <w:szCs w:val="20"/>
          <w:color w:val="auto"/>
        </w:rPr>
      </w:pPr>
    </w:p>
    <w:p>
      <w:pPr>
        <w:sectPr>
          <w:pgSz w:w="11900" w:h="16838" w:orient="portrait"/>
          <w:cols w:equalWidth="0" w:num="2">
            <w:col w:w="780" w:space="720"/>
            <w:col w:w="8639"/>
          </w:cols>
          <w:pgMar w:left="320" w:top="337" w:right="1440"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ATLANTIC (CS), L.P.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By: General Atlantic (SPV) GP, LLC, its General Partner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General Atlantic LLC, its Sole Member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 Frank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9184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 Frank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320" w:name="page321"/>
    <w:bookmarkEnd w:id="320"/>
    <w:p>
      <w:pPr>
        <w:spacing w:after="0"/>
        <w:rPr>
          <w:sz w:val="20"/>
          <w:szCs w:val="20"/>
          <w:color w:val="auto"/>
        </w:rPr>
      </w:pPr>
      <w:r>
        <w:rPr>
          <w:rFonts w:ascii="Arial" w:cs="Arial" w:eastAsia="Arial" w:hAnsi="Arial"/>
          <w:sz w:val="18"/>
          <w:szCs w:val="18"/>
          <w:b w:val="1"/>
          <w:bCs w:val="1"/>
          <w:color w:val="auto"/>
        </w:rPr>
        <w:t>INSTITUTIONAL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CAPITAL OPPORTUNITY FUND, L.P.</w:t>
      </w:r>
    </w:p>
    <w:p>
      <w:pPr>
        <w:sectPr>
          <w:pgSz w:w="11900" w:h="16838" w:orient="portrait"/>
          <w:cols w:equalWidth="0" w:num="1">
            <w:col w:w="10139"/>
          </w:cols>
          <w:pgMar w:left="320" w:top="337" w:right="1440"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March Capital Opportunity Fund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260" w:space="520"/>
            <w:col w:w="9359"/>
          </w:cols>
          <w:pgMar w:left="320" w:top="337" w:right="1440" w:bottom="1440" w:gutter="0" w:footer="0" w:header="0"/>
          <w:type w:val="continuous"/>
        </w:sectPr>
      </w:pPr>
    </w:p>
    <w:p>
      <w:pPr>
        <w:spacing w:after="0" w:line="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James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8295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Montgomery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CAPITAL OPPORTUNITY FUND II, L.P.</w:t>
      </w:r>
    </w:p>
    <w:p>
      <w:pPr>
        <w:sectPr>
          <w:pgSz w:w="11900" w:h="16838" w:orient="portrait"/>
          <w:cols w:equalWidth="0" w:num="1">
            <w:col w:w="10139"/>
          </w:cols>
          <w:pgMar w:left="320" w:top="337" w:right="1440"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March Capital Opportunity Fund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260" w:space="520"/>
            <w:col w:w="9359"/>
          </w:cols>
          <w:pgMar w:left="320" w:top="337" w:right="1440" w:bottom="1440" w:gutter="0" w:footer="0" w:header="0"/>
          <w:type w:val="continuous"/>
        </w:sectPr>
      </w:pP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James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8295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Montgomery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CAPITAL PARTNERS FUND I, L.P.</w:t>
      </w:r>
    </w:p>
    <w:p>
      <w:pPr>
        <w:sectPr>
          <w:pgSz w:w="11900" w:h="16838" w:orient="portrait"/>
          <w:cols w:equalWidth="0" w:num="1">
            <w:col w:w="10139"/>
          </w:cols>
          <w:pgMar w:left="320" w:top="337"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March Capital Partners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260" w:space="520"/>
            <w:col w:w="9359"/>
          </w:cols>
          <w:pgMar w:left="320" w:top="337" w:right="1440" w:bottom="1440" w:gutter="0" w:footer="0" w:header="0"/>
          <w:type w:val="continuous"/>
        </w:sectPr>
      </w:pP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James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8295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Montgomery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CAPITAL PARTNERS FUND II, L.P.</w:t>
      </w:r>
    </w:p>
    <w:p>
      <w:pPr>
        <w:sectPr>
          <w:pgSz w:w="11900" w:h="16838" w:orient="portrait"/>
          <w:cols w:equalWidth="0" w:num="1">
            <w:col w:w="10139"/>
          </w:cols>
          <w:pgMar w:left="320" w:top="337" w:right="1440"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March Capital Partners GP,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260" w:space="520"/>
            <w:col w:w="9359"/>
          </w:cols>
          <w:pgMar w:left="320" w:top="337" w:right="1440" w:bottom="1440" w:gutter="0" w:footer="0" w:header="0"/>
          <w:type w:val="continuous"/>
        </w:sectPr>
      </w:pP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By:</w:t>
        <w:tab/>
        <w:t>/s/ James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29210</wp:posOffset>
            </wp:positionV>
            <wp:extent cx="328295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Name: James Montgomery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Title: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321" w:name="page322"/>
    <w:bookmarkEnd w:id="321"/>
    <w:p>
      <w:pPr>
        <w:spacing w:after="0"/>
        <w:rPr>
          <w:sz w:val="20"/>
          <w:szCs w:val="20"/>
          <w:color w:val="auto"/>
        </w:rPr>
      </w:pPr>
      <w:r>
        <w:rPr>
          <w:rFonts w:ascii="Arial" w:cs="Arial" w:eastAsia="Arial" w:hAnsi="Arial"/>
          <w:sz w:val="18"/>
          <w:szCs w:val="18"/>
          <w:b w:val="1"/>
          <w:bCs w:val="1"/>
          <w:color w:val="auto"/>
        </w:rPr>
        <w:t>OTHER INITIAL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KURTZ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KURTZ 2009 SPENDTHRIFT TRUST, DATED 4/2/2009</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8295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George Kurtz</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ALLEGRA KURTZ IRREVOCABLE GIFT TRUST DATED DECEMBER 14, 2011</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8295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George Kurtz</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ALEXANDER KURTZ IRREVOCABLE GIFT TRUST DATED DECEMBER 14, 2011</w:t>
      </w: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829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George Kurtz</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DMITRI ALPEROVITCH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Dmitri Alperovitch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INDIVIDUAL: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KURTZ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DMITRI ALPEROVITCH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Dmitri Alperovitch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color w:val="auto"/>
        </w:rPr>
        <w:t>OTHER NON-INITIAL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MONTGOMERY FAMILY TRUST</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918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Montgomery</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MONTGOMERY 2012 FAMILY TRUST</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9184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James Montgomery</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Trustee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BAYSIDE INVESTMENTS, GP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Sandler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9184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Richard Sandler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 FALCON PARTNERS,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Its General Partner, Section Partners Associates III,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Its Managing Member, Crowder Ventures Management,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V. Crowder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918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V. Crowder, President</w:t>
      </w:r>
    </w:p>
    <w:p>
      <w:pPr>
        <w:spacing w:after="0" w:line="200" w:lineRule="exact"/>
        <w:rPr>
          <w:sz w:val="20"/>
          <w:szCs w:val="20"/>
          <w:color w:val="auto"/>
        </w:rPr>
      </w:pPr>
    </w:p>
    <w:p>
      <w:pPr>
        <w:spacing w:after="0" w:line="236" w:lineRule="exact"/>
        <w:rPr>
          <w:sz w:val="20"/>
          <w:szCs w:val="20"/>
          <w:color w:val="auto"/>
        </w:rPr>
      </w:pPr>
    </w:p>
    <w:p>
      <w:pPr>
        <w:ind w:right="4959"/>
        <w:spacing w:after="0" w:line="282" w:lineRule="auto"/>
        <w:rPr>
          <w:sz w:val="20"/>
          <w:szCs w:val="20"/>
          <w:color w:val="auto"/>
        </w:rPr>
      </w:pPr>
      <w:r>
        <w:rPr>
          <w:rFonts w:ascii="Arial" w:cs="Arial" w:eastAsia="Arial" w:hAnsi="Arial"/>
          <w:sz w:val="18"/>
          <w:szCs w:val="18"/>
          <w:b w:val="1"/>
          <w:bCs w:val="1"/>
          <w:color w:val="auto"/>
        </w:rPr>
        <w:t>SECTION CAPITAL SERIES, LP, SOLELY WITH RESPECT TO SERIES FUND III</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Its General Partner, Section Capital Series LP Associates,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Its Managing Member, Crowder Ventures Management,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V. Crowder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918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V. Crowder,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color w:val="auto"/>
        </w:rPr>
        <w:t>OTHER NON-INITIAL INVESTORS: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CLOUD APPS CAPITAL PARTNERS,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Cloud Apps Capital Partners GP, LLC, its general partner</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Holleran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30009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Matthew Holleran, Managing Member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VALLEY ADMINISTRATORS, INC.</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Merkin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3000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Richard Merkin</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HSBC INVESTMENT BANK HOLDINGS LIMITED</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Oreoluwa Adeyemi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33000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Oreoluwa Adeyemi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300" w:type="dxa"/>
            <w:vAlign w:val="bottom"/>
            <w:gridSpan w:val="3"/>
          </w:tcPr>
          <w:p>
            <w:pPr>
              <w:jc w:val="center"/>
              <w:ind w:right="3842"/>
              <w:spacing w:after="0"/>
              <w:rPr>
                <w:sz w:val="20"/>
                <w:szCs w:val="20"/>
                <w:color w:val="auto"/>
              </w:rPr>
            </w:pPr>
            <w:r>
              <w:rPr>
                <w:rFonts w:ascii="Arial" w:cs="Arial" w:eastAsia="Arial" w:hAnsi="Arial"/>
                <w:sz w:val="18"/>
                <w:szCs w:val="18"/>
                <w:b w:val="1"/>
                <w:bCs w:val="1"/>
                <w:color w:val="auto"/>
              </w:rPr>
              <w:t>SCHEDULE I</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4"/>
                <w:szCs w:val="24"/>
                <w:color w:val="auto"/>
              </w:rPr>
            </w:pPr>
          </w:p>
        </w:tc>
        <w:tc>
          <w:tcPr>
            <w:tcW w:w="7300" w:type="dxa"/>
            <w:vAlign w:val="bottom"/>
            <w:gridSpan w:val="3"/>
          </w:tcPr>
          <w:p>
            <w:pPr>
              <w:jc w:val="center"/>
              <w:ind w:right="3862"/>
              <w:spacing w:after="0"/>
              <w:rPr>
                <w:sz w:val="20"/>
                <w:szCs w:val="20"/>
                <w:color w:val="auto"/>
              </w:rPr>
            </w:pPr>
            <w:r>
              <w:rPr>
                <w:rFonts w:ascii="Arial" w:cs="Arial" w:eastAsia="Arial" w:hAnsi="Arial"/>
                <w:sz w:val="18"/>
                <w:szCs w:val="18"/>
                <w:b w:val="1"/>
                <w:bCs w:val="1"/>
                <w:color w:val="auto"/>
              </w:rPr>
              <w:t>INSTITUTIONAL INVESTORS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HOLDER</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rPr>
              <w:t>WITH A COPY (WHICH SHALL NOT CONSTITUTE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Warburg Pincus Private Equity X, L.P.</w:t>
            </w:r>
          </w:p>
        </w:tc>
        <w:tc>
          <w:tcPr>
            <w:tcW w:w="1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Willkie Farr &amp; Gallagher LLP</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 Warburg Pincus &amp; Co.</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787 Seventh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450 Lexington Avenue</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York, NY 10019</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Steven J. Gartner, Esq.</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Cary Davis</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Warburg Pincus X Partners, L.P.</w:t>
            </w:r>
          </w:p>
        </w:tc>
        <w:tc>
          <w:tcPr>
            <w:tcW w:w="158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Willkie Farr &amp; Gallagher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 Warburg Pincus &amp; Co.</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787 Seventh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450 Lexington Avenue</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York, NY 10019</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Steven J. Gartner, Esq.</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Cary Davis</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Growth Fund II L.P.</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Growth Fund II Strategic Partners L.P.</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Growth Fund Investors 2013 L.L.C.</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Leaders Fund Investors 2016 L.L.C.</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Leaders Fund L.P.</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London III L.P.</w:t>
            </w:r>
          </w:p>
        </w:tc>
        <w:tc>
          <w:tcPr>
            <w:tcW w:w="158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Accel Partners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Rich Zamboldi</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6th Floor, 1 New Burlington Palace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London W1S 2HR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London Investors 2012 L.P.</w:t>
            </w:r>
          </w:p>
        </w:tc>
        <w:tc>
          <w:tcPr>
            <w:tcW w:w="158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Accel Partners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Rich Zamboldi</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6th Floor, 1 New Burlington Palace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London W1S 2HR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58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94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HOLDER</w:t>
            </w:r>
          </w:p>
        </w:tc>
        <w:tc>
          <w:tcPr>
            <w:tcW w:w="220" w:type="dxa"/>
            <w:vAlign w:val="bottom"/>
          </w:tcPr>
          <w:p>
            <w:pPr>
              <w:spacing w:after="0"/>
              <w:rPr>
                <w:sz w:val="14"/>
                <w:szCs w:val="14"/>
                <w:color w:val="auto"/>
              </w:rPr>
            </w:pP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rPr>
              <w:t>WITH A COPY (WHICH SHALL NOT CONSTITUTE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CapitalG 2015 LP</w:t>
            </w:r>
          </w:p>
        </w:tc>
        <w:tc>
          <w:tcPr>
            <w:tcW w:w="22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Wilmer Cutler Pickering Hale and Dorr LLP 350 South Grand Avenue,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1600 Amphitheatre Parkway</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Suite 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Mountain View, CA 94043</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 Angeles, CA 90071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Attention: Jeremiah Gordon</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Christopher A. Rose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CapitalG LP</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Wilmer Cutler Pickering Hale and Dorr LLP 350 South Grand Avenue,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1600 Amphitheatre Parkway</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Suite 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Mountain View, CA 94043</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 Angeles, CA 90071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Attention: Jeremiah Gordon</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Christopher A. Rose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General Atlantic (CS), L.P.</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Cooley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line="216" w:lineRule="exact"/>
              <w:rPr>
                <w:sz w:val="20"/>
                <w:szCs w:val="20"/>
                <w:color w:val="auto"/>
              </w:rPr>
            </w:pPr>
            <w:r>
              <w:rPr>
                <w:rFonts w:ascii="Arial" w:cs="Arial" w:eastAsia="Arial" w:hAnsi="Arial"/>
                <w:sz w:val="18"/>
                <w:szCs w:val="18"/>
                <w:color w:val="auto"/>
              </w:rPr>
              <w:t>55 East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tc>
        <w:tc>
          <w:tcPr>
            <w:tcW w:w="57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8"/>
                <w:szCs w:val="18"/>
                <w:color w:val="auto"/>
              </w:rPr>
              <w:t>101 California Street,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York, NY 10055</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San Francisco, CA 94111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Attention: Gordon Cruess</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Craig D. Jacoby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IVP - Institutional Venture Partners XVI, L.P.</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Cooley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3000 Sand Hill Road</w:t>
            </w:r>
          </w:p>
        </w:tc>
        <w:tc>
          <w:tcPr>
            <w:tcW w:w="57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8"/>
                <w:szCs w:val="18"/>
                <w:color w:val="auto"/>
              </w:rPr>
              <w:t>101 California Street,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Building 2, Suite 250</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San Francisco, CA 94111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Menlo Park, CA 94025</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Craig D. Jacoby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March Capital Opportunity Fund, L.P.</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Gibson, Dunn &amp; Crutcher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725 Arizona, Suite 304</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333 South Grand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Santa Monica, CA 90401</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 Angeles, CA 90071-3197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James Montgomery</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Bradford P. Weirick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March Capital Opportunity Fund II, L.P.</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Gibson, Dunn &amp; Crutcher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725 Arizona, Suite 304</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333 South Grand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Santa Monica, CA 90401</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 Angeles, CA 90071-3197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James Montgomery</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Bradford P. Weirick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March Capital Partners Fund I, L.P.</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Gibson, Dunn &amp; Crutcher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725 Arizona, Suite 304</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333 South Grand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Santa Monica, CA 90401</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 Angeles, CA 90071-3197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James Montgomery</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Bradford P. Weirick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March Capital Partners Fund II, L.P.</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Gibson, Dunn &amp; Crutcher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725 Arizona, Suite 304</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333 South Grand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Santa Monica, CA 90401</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 Angeles, CA 90071-3197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James Montgomery</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Bradford P. Weirick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Rackspace US, Inc.</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Rackspace US, Inc.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 Fanatical Place</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 Fanatical Place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City of Windcrest</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City of Windcrest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Antonio, TX 78218</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San Antonio, TX 78218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Taylor Rhodes, CEO</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Attn: Office of the General Counsel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Telstra Ventures Pty Ltd</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Gunderson Dettmer Stough Villeneuve Franklin &amp; Hachigian,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TV Company Secretary</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1200 Seaport Boulevard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 Level 41</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Redwood City, CA 94063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242 Exhibition Street</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Trevor S. Knapp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Melbourne, Victoria</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Australia 3000</w:t>
            </w: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5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326" w:name="page327"/>
    <w:bookmarkEnd w:id="326"/>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INITIAL INVESTORS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HOLDER</w:t>
            </w:r>
          </w:p>
        </w:tc>
        <w:tc>
          <w:tcPr>
            <w:tcW w:w="220" w:type="dxa"/>
            <w:vAlign w:val="bottom"/>
          </w:tcPr>
          <w:p>
            <w:pPr>
              <w:spacing w:after="0"/>
              <w:rPr>
                <w:sz w:val="14"/>
                <w:szCs w:val="14"/>
                <w:color w:val="auto"/>
              </w:rPr>
            </w:pP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rPr>
              <w:t>WITH A COPY (WHICH SHALL NOT CONSTITUTE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Alexander Kurtz Irrevocable Gift Trust dated December 14, 2011</w:t>
            </w:r>
          </w:p>
        </w:tc>
        <w:tc>
          <w:tcPr>
            <w:tcW w:w="22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Allegra Kurtz Irrevocable Gift Trust dated December 14, 2011</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 Gregg Marston</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Dmitri Alperovitch</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Donald Gregg Marston and Marilyn Jane Marston</w:t>
            </w:r>
          </w:p>
        </w:tc>
        <w:tc>
          <w:tcPr>
            <w:tcW w:w="572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Revocable Trust Dated 12/29/2004</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George Kurtz</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Kurtz 2009 Spendthrift Trust, Dated 4/2/2009</w:t>
            </w: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5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3"/>
          </w:tcPr>
          <w:p>
            <w:pPr>
              <w:jc w:val="center"/>
              <w:ind w:right="3628"/>
              <w:spacing w:after="0"/>
              <w:rPr>
                <w:sz w:val="20"/>
                <w:szCs w:val="20"/>
                <w:color w:val="auto"/>
              </w:rPr>
            </w:pPr>
            <w:r>
              <w:rPr>
                <w:rFonts w:ascii="Arial" w:cs="Arial" w:eastAsia="Arial" w:hAnsi="Arial"/>
                <w:sz w:val="18"/>
                <w:szCs w:val="18"/>
                <w:b w:val="1"/>
                <w:bCs w:val="1"/>
                <w:color w:val="auto"/>
              </w:rPr>
              <w:t>SCHEDULE III</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7540" w:type="dxa"/>
            <w:vAlign w:val="bottom"/>
            <w:gridSpan w:val="3"/>
          </w:tcPr>
          <w:p>
            <w:pPr>
              <w:jc w:val="center"/>
              <w:ind w:right="3608"/>
              <w:spacing w:after="0"/>
              <w:rPr>
                <w:sz w:val="20"/>
                <w:szCs w:val="20"/>
                <w:color w:val="auto"/>
              </w:rPr>
            </w:pPr>
            <w:r>
              <w:rPr>
                <w:rFonts w:ascii="Arial" w:cs="Arial" w:eastAsia="Arial" w:hAnsi="Arial"/>
                <w:sz w:val="18"/>
                <w:szCs w:val="18"/>
                <w:b w:val="1"/>
                <w:bCs w:val="1"/>
                <w:color w:val="auto"/>
              </w:rPr>
              <w:t>OTHER NON-INITIAL INVESTORS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HOLDER</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rPr>
              <w:t>WITH A COPY (WHICH SHALL NOT CONSTITUTE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Arnulf Damerau</w:t>
            </w:r>
          </w:p>
        </w:tc>
        <w:tc>
          <w:tcPr>
            <w:tcW w:w="1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EuroAtlantic Ltd</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Avid Park Ventures, LP</w:t>
            </w:r>
          </w:p>
        </w:tc>
        <w:tc>
          <w:tcPr>
            <w:tcW w:w="18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Avid Park Ventures, 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Rob Chandra</w:t>
            </w:r>
          </w:p>
        </w:tc>
        <w:tc>
          <w:tcPr>
            <w:tcW w:w="18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Robin White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555 Mission Street, Suite #3325</w:t>
            </w:r>
          </w:p>
        </w:tc>
        <w:tc>
          <w:tcPr>
            <w:tcW w:w="18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555 Bryant Street, Suite #310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94105</w:t>
            </w:r>
          </w:p>
        </w:tc>
        <w:tc>
          <w:tcPr>
            <w:tcW w:w="18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Bayside Investments, GP</w:t>
            </w: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1250 Fourth Street, 5th Floor</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Santa Monica, CA 90401</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Attn: Diane Kim</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Central Valley Administrators, Inc.</w:t>
            </w: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3115 Ocean Front Walk, Suite 301</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Marina del Rey, CA 90292</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Attention: Richard Merkin</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Clavius Capital LLC</w:t>
            </w:r>
          </w:p>
        </w:tc>
        <w:tc>
          <w:tcPr>
            <w:tcW w:w="18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Cloud Apps Capital Partners, LP</w:t>
            </w: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Attn: Matt Holleran, General Partner</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1 Sutter Street, Suite 900</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94104</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Denis O’Leary</w:t>
            </w:r>
          </w:p>
        </w:tc>
        <w:tc>
          <w:tcPr>
            <w:tcW w:w="18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HSBC Investment Bank Holdings Limited</w:t>
            </w:r>
          </w:p>
        </w:tc>
        <w:tc>
          <w:tcPr>
            <w:tcW w:w="182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8 Canada Square</w:t>
            </w:r>
          </w:p>
        </w:tc>
        <w:tc>
          <w:tcPr>
            <w:tcW w:w="18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London E14 5HQ</w:t>
            </w:r>
          </w:p>
        </w:tc>
        <w:tc>
          <w:tcPr>
            <w:tcW w:w="18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820" w:type="dxa"/>
            <w:vAlign w:val="bottom"/>
            <w:shd w:val="clear" w:color="auto" w:fill="CCEEFF"/>
          </w:tcPr>
          <w:p>
            <w:pPr>
              <w:spacing w:after="0"/>
              <w:rPr>
                <w:sz w:val="20"/>
                <w:szCs w:val="20"/>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InstantScale XIX LLC</w:t>
            </w: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3021 Via La Selva</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Palos Verdes Estates, CA 90274</w:t>
            </w: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James Montgomery 2012 Family Trust</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37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HOLDER</w:t>
            </w:r>
          </w:p>
        </w:tc>
        <w:tc>
          <w:tcPr>
            <w:tcW w:w="6500" w:type="dxa"/>
            <w:vAlign w:val="bottom"/>
          </w:tcPr>
          <w:p>
            <w:pPr>
              <w:jc w:val="center"/>
              <w:ind w:left="3008"/>
              <w:spacing w:after="0"/>
              <w:rPr>
                <w:sz w:val="20"/>
                <w:szCs w:val="20"/>
                <w:color w:val="auto"/>
              </w:rPr>
            </w:pPr>
            <w:r>
              <w:rPr>
                <w:rFonts w:ascii="Arial" w:cs="Arial" w:eastAsia="Arial" w:hAnsi="Arial"/>
                <w:sz w:val="14"/>
                <w:szCs w:val="14"/>
                <w:b w:val="1"/>
                <w:bCs w:val="1"/>
                <w:color w:val="auto"/>
              </w:rPr>
              <w:t>WITH A COPY (WHICH SHALL NOT CONSTITUTE</w:t>
            </w:r>
          </w:p>
        </w:tc>
        <w:tc>
          <w:tcPr>
            <w:tcW w:w="0" w:type="dxa"/>
            <w:vAlign w:val="bottom"/>
          </w:tcPr>
          <w:p>
            <w:pPr>
              <w:spacing w:after="0"/>
              <w:rPr>
                <w:sz w:val="1"/>
                <w:szCs w:val="1"/>
                <w:color w:val="auto"/>
              </w:rPr>
            </w:pPr>
          </w:p>
        </w:tc>
      </w:tr>
      <w:tr>
        <w:trPr>
          <w:trHeight w:val="186"/>
        </w:trPr>
        <w:tc>
          <w:tcPr>
            <w:tcW w:w="3700" w:type="dxa"/>
            <w:vAlign w:val="bottom"/>
            <w:vMerge w:val="continue"/>
          </w:tcPr>
          <w:p>
            <w:pPr>
              <w:spacing w:after="0"/>
              <w:rPr>
                <w:sz w:val="16"/>
                <w:szCs w:val="16"/>
                <w:color w:val="auto"/>
              </w:rPr>
            </w:pPr>
          </w:p>
        </w:tc>
        <w:tc>
          <w:tcPr>
            <w:tcW w:w="6500" w:type="dxa"/>
            <w:vAlign w:val="bottom"/>
          </w:tcPr>
          <w:p>
            <w:pPr>
              <w:jc w:val="center"/>
              <w:ind w:left="3008"/>
              <w:spacing w:after="0"/>
              <w:rPr>
                <w:sz w:val="20"/>
                <w:szCs w:val="20"/>
                <w:color w:val="auto"/>
              </w:rPr>
            </w:pPr>
            <w:r>
              <w:rPr>
                <w:rFonts w:ascii="Arial" w:cs="Arial" w:eastAsia="Arial" w:hAnsi="Arial"/>
                <w:sz w:val="14"/>
                <w:szCs w:val="14"/>
                <w:b w:val="1"/>
                <w:bCs w:val="1"/>
                <w:color w:val="auto"/>
              </w:rPr>
              <w:t>NOTICE) 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John Thompson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 vc,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5106 Braeburn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Bellaire, TX 77401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Okapi Ventures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1590 S. Coast Hwy, Suite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Laguna Beach, CA 92651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Ronnie Wiessbrod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Fund 1,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2033 San Elijo Avenue, #565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Cardiff-by-the-Sea, CA 92007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Capital Series, LP, solely with respect to Series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Dave Crowder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855 El Camino Real, Bldg. 5, Ste. 316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 Falcon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Dave Crowder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855 El Camino Real, Bldg. 5, Ste. 316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E.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Sven Krasser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Trustees of the Leland Stanford Junior University (SBST)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6858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Stanford Management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Jeffrey Sefa-Boakye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635 Knight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Stanford, CA 94305-7297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TriplePoint Venture Growth BDC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2755 Sand Hill Road, Suite 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200"/>
          </w:cols>
          <w:pgMar w:left="320" w:top="320" w:right="137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HOLDER</w:t>
            </w:r>
          </w:p>
        </w:tc>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20" w:type="dxa"/>
            <w:vAlign w:val="bottom"/>
          </w:tcPr>
          <w:p>
            <w:pPr>
              <w:jc w:val="center"/>
              <w:ind w:right="908"/>
              <w:spacing w:after="0"/>
              <w:rPr>
                <w:sz w:val="20"/>
                <w:szCs w:val="20"/>
                <w:color w:val="auto"/>
              </w:rPr>
            </w:pPr>
            <w:r>
              <w:rPr>
                <w:rFonts w:ascii="Arial" w:cs="Arial" w:eastAsia="Arial" w:hAnsi="Arial"/>
                <w:sz w:val="14"/>
                <w:szCs w:val="14"/>
                <w:b w:val="1"/>
                <w:bCs w:val="1"/>
                <w:color w:val="auto"/>
              </w:rPr>
              <w:t>WITH A COPY (WHICH SHALL NOT CONSTITUTE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vMerge w:val="continue"/>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520" w:type="dxa"/>
            <w:vAlign w:val="bottom"/>
            <w:tcBorders>
              <w:bottom w:val="single" w:sz="8" w:color="auto"/>
            </w:tcBorders>
          </w:tcPr>
          <w:p>
            <w:pPr>
              <w:jc w:val="center"/>
              <w:ind w:right="908"/>
              <w:spacing w:after="0"/>
              <w:rPr>
                <w:sz w:val="20"/>
                <w:szCs w:val="20"/>
                <w:color w:val="auto"/>
              </w:rPr>
            </w:pPr>
            <w:r>
              <w:rPr>
                <w:rFonts w:ascii="Arial" w:cs="Arial" w:eastAsia="Arial" w:hAnsi="Arial"/>
                <w:sz w:val="14"/>
                <w:szCs w:val="14"/>
                <w:b w:val="1"/>
                <w:bCs w:val="1"/>
                <w:color w:val="auto"/>
              </w:rPr>
              <w:t>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WS Investment Company, LLC</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650 Page Mill Road</w:t>
            </w:r>
          </w:p>
        </w:tc>
        <w:tc>
          <w:tcPr>
            <w:tcW w:w="100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Palo Alto, CA 94304</w:t>
            </w:r>
          </w:p>
        </w:tc>
        <w:tc>
          <w:tcPr>
            <w:tcW w:w="100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Attention: James Terranova</w:t>
            </w:r>
          </w:p>
        </w:tc>
        <w:tc>
          <w:tcPr>
            <w:tcW w:w="1000" w:type="dxa"/>
            <w:vAlign w:val="bottom"/>
            <w:shd w:val="clear" w:color="auto" w:fill="CCEEFF"/>
          </w:tcPr>
          <w:p>
            <w:pPr>
              <w:spacing w:after="0"/>
              <w:rPr>
                <w:sz w:val="20"/>
                <w:szCs w:val="20"/>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gridSpan w:val="3"/>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6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720" w:type="dxa"/>
            <w:vAlign w:val="bottom"/>
            <w:gridSpan w:val="4"/>
          </w:tcPr>
          <w:p>
            <w:pPr>
              <w:jc w:val="center"/>
              <w:ind w:right="4448"/>
              <w:spacing w:after="0"/>
              <w:rPr>
                <w:sz w:val="20"/>
                <w:szCs w:val="20"/>
                <w:color w:val="auto"/>
              </w:rPr>
            </w:pPr>
            <w:r>
              <w:rPr>
                <w:rFonts w:ascii="Arial" w:cs="Arial" w:eastAsia="Arial" w:hAnsi="Arial"/>
                <w:sz w:val="18"/>
                <w:szCs w:val="18"/>
                <w:b w:val="1"/>
                <w:bCs w:val="1"/>
                <w:color w:val="auto"/>
              </w:rPr>
              <w:t>SCHEDULE IV</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720" w:type="dxa"/>
            <w:vAlign w:val="bottom"/>
            <w:gridSpan w:val="4"/>
          </w:tcPr>
          <w:p>
            <w:pPr>
              <w:jc w:val="center"/>
              <w:ind w:right="4448"/>
              <w:spacing w:after="0"/>
              <w:rPr>
                <w:sz w:val="20"/>
                <w:szCs w:val="20"/>
                <w:color w:val="auto"/>
              </w:rPr>
            </w:pPr>
            <w:r>
              <w:rPr>
                <w:rFonts w:ascii="Arial" w:cs="Arial" w:eastAsia="Arial" w:hAnsi="Arial"/>
                <w:sz w:val="18"/>
                <w:szCs w:val="18"/>
                <w:b w:val="1"/>
                <w:bCs w:val="1"/>
                <w:color w:val="auto"/>
                <w:w w:val="89"/>
              </w:rPr>
              <w:t>Subscription Right Investors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40" w:type="dxa"/>
            <w:vAlign w:val="bottom"/>
          </w:tcPr>
          <w:p>
            <w:pPr>
              <w:ind w:left="340"/>
              <w:spacing w:after="0"/>
              <w:rPr>
                <w:sz w:val="20"/>
                <w:szCs w:val="20"/>
                <w:color w:val="auto"/>
              </w:rPr>
            </w:pPr>
            <w:r>
              <w:rPr>
                <w:rFonts w:ascii="Arial" w:cs="Arial" w:eastAsia="Arial" w:hAnsi="Arial"/>
                <w:sz w:val="18"/>
                <w:szCs w:val="18"/>
                <w:color w:val="auto"/>
              </w:rPr>
              <w:t>1.</w:t>
            </w:r>
          </w:p>
        </w:tc>
        <w:tc>
          <w:tcPr>
            <w:tcW w:w="3880" w:type="dxa"/>
            <w:vAlign w:val="bottom"/>
          </w:tcPr>
          <w:p>
            <w:pPr>
              <w:ind w:left="20"/>
              <w:spacing w:after="0"/>
              <w:rPr>
                <w:sz w:val="20"/>
                <w:szCs w:val="20"/>
                <w:color w:val="auto"/>
              </w:rPr>
            </w:pPr>
            <w:r>
              <w:rPr>
                <w:rFonts w:ascii="Arial" w:cs="Arial" w:eastAsia="Arial" w:hAnsi="Arial"/>
                <w:sz w:val="18"/>
                <w:szCs w:val="18"/>
                <w:color w:val="auto"/>
              </w:rPr>
              <w:t>Dmitri Alperovitch</w:t>
            </w: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ind w:left="340"/>
              <w:spacing w:after="0"/>
              <w:rPr>
                <w:sz w:val="20"/>
                <w:szCs w:val="20"/>
                <w:color w:val="auto"/>
              </w:rPr>
            </w:pPr>
            <w:r>
              <w:rPr>
                <w:rFonts w:ascii="Arial" w:cs="Arial" w:eastAsia="Arial" w:hAnsi="Arial"/>
                <w:sz w:val="18"/>
                <w:szCs w:val="18"/>
                <w:color w:val="auto"/>
              </w:rPr>
              <w:t>2.</w:t>
            </w:r>
          </w:p>
        </w:tc>
        <w:tc>
          <w:tcPr>
            <w:tcW w:w="3880" w:type="dxa"/>
            <w:vAlign w:val="bottom"/>
          </w:tcPr>
          <w:p>
            <w:pPr>
              <w:ind w:left="20"/>
              <w:spacing w:after="0"/>
              <w:rPr>
                <w:sz w:val="20"/>
                <w:szCs w:val="20"/>
                <w:color w:val="auto"/>
              </w:rPr>
            </w:pPr>
            <w:r>
              <w:rPr>
                <w:rFonts w:ascii="Arial" w:cs="Arial" w:eastAsia="Arial" w:hAnsi="Arial"/>
                <w:sz w:val="18"/>
                <w:szCs w:val="18"/>
                <w:color w:val="auto"/>
              </w:rPr>
              <w:t>George Kurtz</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38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-1289050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-1289050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330" w:name="page331"/>
    <w:bookmarkEnd w:id="330"/>
    <w:tbl>
      <w:tblPr>
        <w:tblLayout w:type="fixed"/>
        <w:tblInd w:w="130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8"/>
                <w:szCs w:val="18"/>
                <w:b w:val="1"/>
                <w:bCs w:val="1"/>
                <w:color w:val="auto"/>
                <w:w w:val="92"/>
              </w:rPr>
              <w:t>Exhibit A</w:t>
            </w:r>
          </w:p>
        </w:tc>
        <w:tc>
          <w:tcPr>
            <w:tcW w:w="128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53"/>
        </w:trPr>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15"/>
          </w:tcPr>
          <w:p>
            <w:pPr>
              <w:jc w:val="center"/>
              <w:ind w:right="1260"/>
              <w:spacing w:after="0"/>
              <w:rPr>
                <w:sz w:val="20"/>
                <w:szCs w:val="20"/>
                <w:color w:val="auto"/>
              </w:rPr>
            </w:pPr>
            <w:r>
              <w:rPr>
                <w:rFonts w:ascii="Arial" w:cs="Arial" w:eastAsia="Arial" w:hAnsi="Arial"/>
                <w:sz w:val="18"/>
                <w:szCs w:val="18"/>
                <w:color w:val="auto"/>
                <w:w w:val="93"/>
              </w:rPr>
              <w:t>FORM OF</w:t>
            </w:r>
          </w:p>
        </w:tc>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40" w:type="dxa"/>
            <w:vAlign w:val="bottom"/>
            <w:gridSpan w:val="18"/>
          </w:tcPr>
          <w:p>
            <w:pPr>
              <w:jc w:val="center"/>
              <w:ind w:right="180"/>
              <w:spacing w:after="0"/>
              <w:rPr>
                <w:sz w:val="20"/>
                <w:szCs w:val="20"/>
                <w:color w:val="auto"/>
              </w:rPr>
            </w:pPr>
            <w:r>
              <w:rPr>
                <w:rFonts w:ascii="Arial" w:cs="Arial" w:eastAsia="Arial" w:hAnsi="Arial"/>
                <w:sz w:val="18"/>
                <w:szCs w:val="18"/>
                <w:color w:val="auto"/>
                <w:w w:val="95"/>
              </w:rPr>
              <w:t>JOINDER AGREEMENT</w:t>
            </w:r>
          </w:p>
        </w:tc>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92"/>
        </w:trPr>
        <w:tc>
          <w:tcPr>
            <w:tcW w:w="6040" w:type="dxa"/>
            <w:vAlign w:val="bottom"/>
            <w:gridSpan w:val="21"/>
          </w:tcPr>
          <w:p>
            <w:pPr>
              <w:spacing w:after="0"/>
              <w:rPr>
                <w:sz w:val="20"/>
                <w:szCs w:val="20"/>
                <w:color w:val="auto"/>
              </w:rPr>
            </w:pPr>
            <w:r>
              <w:rPr>
                <w:rFonts w:ascii="Arial" w:cs="Arial" w:eastAsia="Arial" w:hAnsi="Arial"/>
                <w:sz w:val="18"/>
                <w:szCs w:val="18"/>
                <w:color w:val="auto"/>
              </w:rPr>
              <w:t>THIS JOINDER AGREEMENT (the “Agreement”) is made as of the   day of</w:t>
            </w:r>
          </w:p>
        </w:tc>
        <w:tc>
          <w:tcPr>
            <w:tcW w:w="900" w:type="dxa"/>
            <w:vAlign w:val="bottom"/>
          </w:tcPr>
          <w:p>
            <w:pPr>
              <w:ind w:left="300"/>
              <w:spacing w:after="0"/>
              <w:rPr>
                <w:sz w:val="20"/>
                <w:szCs w:val="20"/>
                <w:color w:val="auto"/>
              </w:rPr>
            </w:pPr>
            <w:r>
              <w:rPr>
                <w:rFonts w:ascii="Arial" w:cs="Arial" w:eastAsia="Arial" w:hAnsi="Arial"/>
                <w:sz w:val="18"/>
                <w:szCs w:val="18"/>
                <w:color w:val="auto"/>
              </w:rPr>
              <w:t>by</w:t>
            </w:r>
          </w:p>
        </w:tc>
        <w:tc>
          <w:tcPr>
            <w:tcW w:w="1960" w:type="dxa"/>
            <w:vAlign w:val="bottom"/>
          </w:tcPr>
          <w:p>
            <w:pPr>
              <w:ind w:left="400"/>
              <w:spacing w:after="0"/>
              <w:rPr>
                <w:sz w:val="20"/>
                <w:szCs w:val="20"/>
                <w:color w:val="auto"/>
              </w:rPr>
            </w:pPr>
            <w:r>
              <w:rPr>
                <w:rFonts w:ascii="Arial" w:cs="Arial" w:eastAsia="Arial" w:hAnsi="Arial"/>
                <w:sz w:val="18"/>
                <w:szCs w:val="18"/>
                <w:color w:val="auto"/>
                <w:w w:val="86"/>
              </w:rPr>
              <w:t>, having an address at</w:t>
            </w:r>
          </w:p>
        </w:tc>
      </w:tr>
      <w:tr>
        <w:trPr>
          <w:trHeight w:val="196"/>
        </w:trPr>
        <w:tc>
          <w:tcPr>
            <w:tcW w:w="28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(the “Joining Party”).</w:t>
            </w:r>
          </w:p>
        </w:tc>
        <w:tc>
          <w:tcPr>
            <w:tcW w:w="800" w:type="dxa"/>
            <w:vAlign w:val="bottom"/>
            <w:tcBorders>
              <w:top w:val="single" w:sz="8" w:color="auto"/>
            </w:tcBorders>
          </w:tcPr>
          <w:p>
            <w:pPr>
              <w:spacing w:after="0"/>
              <w:rPr>
                <w:sz w:val="17"/>
                <w:szCs w:val="17"/>
                <w:color w:val="auto"/>
              </w:rPr>
            </w:pPr>
          </w:p>
        </w:tc>
        <w:tc>
          <w:tcPr>
            <w:tcW w:w="244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12"/>
        </w:trPr>
        <w:tc>
          <w:tcPr>
            <w:tcW w:w="4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40" w:type="dxa"/>
            <w:vAlign w:val="bottom"/>
            <w:gridSpan w:val="17"/>
          </w:tcPr>
          <w:p>
            <w:pPr>
              <w:jc w:val="center"/>
              <w:ind w:right="940"/>
              <w:spacing w:after="0"/>
              <w:rPr>
                <w:sz w:val="20"/>
                <w:szCs w:val="20"/>
                <w:color w:val="auto"/>
              </w:rPr>
            </w:pPr>
            <w:r>
              <w:rPr>
                <w:rFonts w:ascii="Arial" w:cs="Arial" w:eastAsia="Arial" w:hAnsi="Arial"/>
                <w:sz w:val="18"/>
                <w:szCs w:val="18"/>
                <w:color w:val="auto"/>
                <w:w w:val="91"/>
              </w:rPr>
              <w:t xml:space="preserve">W </w:t>
            </w:r>
            <w:r>
              <w:rPr>
                <w:rFonts w:ascii="Arial" w:cs="Arial" w:eastAsia="Arial" w:hAnsi="Arial"/>
                <w:sz w:val="18"/>
                <w:szCs w:val="18"/>
                <w:u w:val="single" w:color="auto"/>
                <w:color w:val="auto"/>
                <w:w w:val="91"/>
              </w:rPr>
              <w:t>I</w:t>
            </w:r>
            <w:r>
              <w:rPr>
                <w:rFonts w:ascii="Arial" w:cs="Arial" w:eastAsia="Arial" w:hAnsi="Arial"/>
                <w:sz w:val="18"/>
                <w:szCs w:val="18"/>
                <w:color w:val="auto"/>
                <w:w w:val="91"/>
              </w:rPr>
              <w:t xml:space="preserve"> T N E S S E T H</w:t>
            </w:r>
          </w:p>
        </w:tc>
        <w:tc>
          <w:tcPr>
            <w:tcW w:w="9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color w:val="auto"/>
        </w:rPr>
        <w:t>WHEREAS, CrowdStrike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is a party to that certain Amended and Restated Stockholders’ Agreement, dated as of June 21, 2018 (as the same may be amended from time to time,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(Capitalized terms used but not defined herein shall have the meanings ascribed to them in the Stockholders’ Agreement);</w:t>
      </w:r>
    </w:p>
    <w:p>
      <w:pPr>
        <w:spacing w:after="0" w:line="184"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WHEREAS, the Stockholders’ Agreement provides that as a condition to becoming an Investor, a Person must execute and deliver to the Company a Joinder Agreement pursuant to which such Person agrees to be bound by the terms and conditions of the Stockholders’ Agreement;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Joining Party desires to become an Investor of the Company by executing a copy of this Agreement; and</w:t>
      </w:r>
    </w:p>
    <w:p>
      <w:pPr>
        <w:spacing w:after="0" w:line="225"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WHEREAS, the Joining Party has reviewed the terms of the Stockholders’ Agreement and determined that it is desirable and in the Joining Party’s best interests to execute this Joinder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Joining Party hereby agrees as follows:</w:t>
      </w:r>
    </w:p>
    <w:p>
      <w:pPr>
        <w:spacing w:after="0" w:line="225" w:lineRule="exact"/>
        <w:rPr>
          <w:sz w:val="20"/>
          <w:szCs w:val="20"/>
          <w:color w:val="auto"/>
        </w:rPr>
      </w:pPr>
    </w:p>
    <w:p>
      <w:pPr>
        <w:ind w:left="1960" w:hanging="656"/>
        <w:spacing w:after="0"/>
        <w:tabs>
          <w:tab w:leader="none" w:pos="196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Joinder of Stockholders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52"/>
        <w:spacing w:after="0" w:line="296" w:lineRule="auto"/>
        <w:tabs>
          <w:tab w:leader="none" w:pos="2613" w:val="left"/>
        </w:tabs>
        <w:numPr>
          <w:ilvl w:val="1"/>
          <w:numId w:val="229"/>
        </w:numPr>
        <w:rPr>
          <w:rFonts w:ascii="Arial" w:cs="Arial" w:eastAsia="Arial" w:hAnsi="Arial"/>
          <w:sz w:val="16"/>
          <w:szCs w:val="16"/>
          <w:color w:val="auto"/>
        </w:rPr>
      </w:pPr>
      <w:r>
        <w:rPr>
          <w:rFonts w:ascii="Arial" w:cs="Arial" w:eastAsia="Arial" w:hAnsi="Arial"/>
          <w:sz w:val="16"/>
          <w:szCs w:val="16"/>
          <w:color w:val="auto"/>
        </w:rPr>
        <w:t xml:space="preserve">By executing this Joinder Agreement, the Joining Party (a) accepts and agrees to be bound by all of the terms and provisions of the Stockholders Agreement as if he, she or it were an original signatory thereto, (b) shall be deemed to be, and, subject to clause (ii) below, shall be entitled to all of the rights and subject to all of the obligations of an {Other Investor} {Institutional Investor} thereunder {(provided, the Joining Party shall not have the tag-along rights or subscription rights contemplated therein)}, (c) acknowledges its grant of an irrevocable proxy pursuant to </w:t>
      </w:r>
      <w:r>
        <w:rPr>
          <w:rFonts w:ascii="Arial" w:cs="Arial" w:eastAsia="Arial" w:hAnsi="Arial"/>
          <w:sz w:val="16"/>
          <w:szCs w:val="16"/>
          <w:u w:val="single" w:color="auto"/>
          <w:color w:val="auto"/>
        </w:rPr>
        <w:t>Section 7(k)</w:t>
      </w:r>
      <w:r>
        <w:rPr>
          <w:rFonts w:ascii="Arial" w:cs="Arial" w:eastAsia="Arial" w:hAnsi="Arial"/>
          <w:sz w:val="16"/>
          <w:szCs w:val="16"/>
          <w:color w:val="auto"/>
        </w:rPr>
        <w:t xml:space="preserve"> of the Stockholders Agreement and (d) shall be added to either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II</w:t>
      </w:r>
      <w:r>
        <w:rPr>
          <w:rFonts w:ascii="Arial" w:cs="Arial" w:eastAsia="Arial" w:hAnsi="Arial"/>
          <w:sz w:val="16"/>
          <w:szCs w:val="16"/>
          <w:color w:val="auto"/>
        </w:rPr>
        <w:t>, as applicable, of the Stockholders Agreement.</w:t>
      </w:r>
    </w:p>
    <w:p>
      <w:pPr>
        <w:spacing w:after="0" w:line="161" w:lineRule="exact"/>
        <w:rPr>
          <w:rFonts w:ascii="Arial" w:cs="Arial" w:eastAsia="Arial" w:hAnsi="Arial"/>
          <w:sz w:val="16"/>
          <w:szCs w:val="16"/>
          <w:color w:val="auto"/>
        </w:rPr>
      </w:pPr>
    </w:p>
    <w:p>
      <w:pPr>
        <w:ind w:left="2640" w:hanging="688"/>
        <w:spacing w:after="0"/>
        <w:tabs>
          <w:tab w:leader="none" w:pos="26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Joining Party shall not have any rights pursuant to </w:t>
      </w:r>
      <w:r>
        <w:rPr>
          <w:rFonts w:ascii="Arial" w:cs="Arial" w:eastAsia="Arial" w:hAnsi="Arial"/>
          <w:sz w:val="18"/>
          <w:szCs w:val="18"/>
          <w:u w:val="single" w:color="auto"/>
          <w:color w:val="auto"/>
        </w:rPr>
        <w:t>Schedule 3(f)</w:t>
      </w:r>
      <w:r>
        <w:rPr>
          <w:rFonts w:ascii="Arial" w:cs="Arial" w:eastAsia="Arial" w:hAnsi="Arial"/>
          <w:sz w:val="18"/>
          <w:szCs w:val="18"/>
          <w:color w:val="auto"/>
        </w:rPr>
        <w:t xml:space="preserve"> of the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Stockholders’ Agreement.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331" w:name="page332"/>
    <w:bookmarkEnd w:id="331"/>
    <w:p>
      <w:pPr>
        <w:ind w:left="1960" w:hanging="656"/>
        <w:spacing w:after="0"/>
        <w:tabs>
          <w:tab w:leader="none" w:pos="196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This Agreement constitutes a valid and binding obligation enforceable against the Joining Party in accordance with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firstLine="1952"/>
        <w:spacing w:after="0" w:line="342" w:lineRule="auto"/>
        <w:tabs>
          <w:tab w:leader="none" w:pos="2623"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Joining Party has received a copy of the Stockholders Agreement. The Joining Party has read and understands the terms of the Stockholders Agreement and has been afforded the opportunity to ask questions concerning the Company and the Stockholders Agreement.</w:t>
      </w:r>
    </w:p>
    <w:p>
      <w:pPr>
        <w:spacing w:after="0" w:line="123" w:lineRule="exact"/>
        <w:rPr>
          <w:rFonts w:ascii="Arial" w:cs="Arial" w:eastAsia="Arial" w:hAnsi="Arial"/>
          <w:sz w:val="16"/>
          <w:szCs w:val="16"/>
          <w:color w:val="auto"/>
        </w:rPr>
      </w:pPr>
    </w:p>
    <w:p>
      <w:pPr>
        <w:ind w:right="20" w:firstLine="1304"/>
        <w:spacing w:after="0" w:line="277" w:lineRule="auto"/>
        <w:tabs>
          <w:tab w:leader="none" w:pos="194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expressly modified by this Agreement, all of the terms, covenants, agreements, conditions and other provisions of the Stockholders’ Agreement shall remain in full force and effect in accordance with its terms.</w:t>
      </w:r>
    </w:p>
    <w:p>
      <w:pPr>
        <w:spacing w:after="0" w:line="170" w:lineRule="exact"/>
        <w:rPr>
          <w:rFonts w:ascii="Arial" w:cs="Arial" w:eastAsia="Arial" w:hAnsi="Arial"/>
          <w:sz w:val="18"/>
          <w:szCs w:val="18"/>
          <w:color w:val="auto"/>
        </w:rPr>
      </w:pPr>
    </w:p>
    <w:p>
      <w:pPr>
        <w:ind w:right="180" w:firstLine="1304"/>
        <w:spacing w:after="0" w:line="277" w:lineRule="auto"/>
        <w:tabs>
          <w:tab w:leader="none" w:pos="194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provided to the Joining Party shall be sent or delivered to the Joining Party at the address set forth on the signature page hereto unless and until the Company has received written notice from the Joining Party of a changed address.</w:t>
      </w:r>
    </w:p>
    <w:p>
      <w:pPr>
        <w:spacing w:after="0" w:line="170" w:lineRule="exact"/>
        <w:rPr>
          <w:rFonts w:ascii="Arial" w:cs="Arial" w:eastAsia="Arial" w:hAnsi="Arial"/>
          <w:sz w:val="18"/>
          <w:szCs w:val="18"/>
          <w:color w:val="auto"/>
        </w:rPr>
      </w:pPr>
    </w:p>
    <w:p>
      <w:pPr>
        <w:ind w:right="380" w:firstLine="1304"/>
        <w:spacing w:after="0" w:line="277" w:lineRule="auto"/>
        <w:tabs>
          <w:tab w:leader="none" w:pos="1944"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applicable to contracts made and to be performed entirely within such state.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32" w:name="page333"/>
    <w:bookmarkEnd w:id="332"/>
    <w:p>
      <w:pPr>
        <w:jc w:val="right"/>
        <w:ind w:right="59"/>
        <w:spacing w:after="0"/>
        <w:rPr>
          <w:sz w:val="20"/>
          <w:szCs w:val="20"/>
          <w:color w:val="auto"/>
        </w:rPr>
      </w:pPr>
      <w:r>
        <w:rPr>
          <w:rFonts w:ascii="Arial" w:cs="Arial" w:eastAsia="Arial" w:hAnsi="Arial"/>
          <w:sz w:val="18"/>
          <w:szCs w:val="18"/>
          <w:color w:val="auto"/>
        </w:rPr>
        <w:t>IN WITNESS WHEREOF, the Joining Party has executed and delivered this Agreement as of the date first above written.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JOINING PARTY</w:t>
      </w:r>
    </w:p>
    <w:p>
      <w:pPr>
        <w:spacing w:after="0" w:line="200" w:lineRule="exact"/>
        <w:rPr>
          <w:sz w:val="20"/>
          <w:szCs w:val="20"/>
          <w:color w:val="auto"/>
        </w:rPr>
      </w:pP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-130175</wp:posOffset>
            </wp:positionV>
            <wp:extent cx="35490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Facsimile: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Resident of the State 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wp:posOffset>
            </wp:positionV>
            <wp:extent cx="312864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5715</wp:posOffset>
            </wp:positionV>
            <wp:extent cx="312864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5715</wp:posOffset>
            </wp:positionV>
            <wp:extent cx="312864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333" w:name="page334"/>
    <w:bookmarkEnd w:id="333"/>
    <w:p>
      <w:pPr>
        <w:jc w:val="center"/>
        <w:ind w:right="-39"/>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STOCKHOLDERS AGREEMENT</w:t>
      </w:r>
    </w:p>
    <w:p>
      <w:pPr>
        <w:spacing w:after="0" w:line="20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This Amendment No. 1 to Amended and Restated Stockholders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September 25, 2018 by and among CrowdStrike Holdings,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Investors listed on the signature pages hereto (the “</w:t>
      </w:r>
      <w:r>
        <w:rPr>
          <w:rFonts w:ascii="Arial" w:cs="Arial" w:eastAsia="Arial" w:hAnsi="Arial"/>
          <w:sz w:val="18"/>
          <w:szCs w:val="18"/>
          <w:b w:val="1"/>
          <w:bCs w:val="1"/>
          <w:color w:val="auto"/>
        </w:rPr>
        <w:t>Investors</w:t>
      </w:r>
      <w:r>
        <w:rPr>
          <w:rFonts w:ascii="Arial" w:cs="Arial" w:eastAsia="Arial" w:hAnsi="Arial"/>
          <w:sz w:val="18"/>
          <w:szCs w:val="18"/>
          <w:color w:val="auto"/>
        </w:rPr>
        <w:t>”) and the Other Initial Investors listed on the signature pages hereto (the “</w:t>
      </w:r>
      <w:r>
        <w:rPr>
          <w:rFonts w:ascii="Arial" w:cs="Arial" w:eastAsia="Arial" w:hAnsi="Arial"/>
          <w:sz w:val="18"/>
          <w:szCs w:val="18"/>
          <w:b w:val="1"/>
          <w:bCs w:val="1"/>
          <w:color w:val="auto"/>
        </w:rPr>
        <w:t>Other Initial Investors</w:t>
      </w:r>
      <w:r>
        <w:rPr>
          <w:rFonts w:ascii="Arial" w:cs="Arial" w:eastAsia="Arial" w:hAnsi="Arial"/>
          <w:sz w:val="18"/>
          <w:szCs w:val="18"/>
          <w:color w:val="auto"/>
        </w:rPr>
        <w:t>” and together with the Company and the Investors, the “</w:t>
      </w:r>
      <w:r>
        <w:rPr>
          <w:rFonts w:ascii="Arial" w:cs="Arial" w:eastAsia="Arial" w:hAnsi="Arial"/>
          <w:sz w:val="18"/>
          <w:szCs w:val="18"/>
          <w:b w:val="1"/>
          <w:bCs w:val="1"/>
          <w:color w:val="auto"/>
        </w:rPr>
        <w:t>Parties</w:t>
      </w:r>
      <w:r>
        <w:rPr>
          <w:rFonts w:ascii="Arial" w:cs="Arial" w:eastAsia="Arial" w:hAnsi="Arial"/>
          <w:sz w:val="18"/>
          <w:szCs w:val="18"/>
          <w:color w:val="auto"/>
        </w:rPr>
        <w:t>”), and amends that certain Amended and Restated Stockholders Agreement dated June 21, 2018 (the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the Company and the Investors listed on Schedules I, II and III thereto. All capitalized terms used but not otherwise defined herein shall have the meanings given such terms in the Agreement.</w:t>
      </w:r>
    </w:p>
    <w:p>
      <w:pPr>
        <w:spacing w:after="0" w:line="18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terms and provisions of the Agreement with respect to, among other things, the size and composition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62"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7(d) of the Agreement, the Agreement may be amended with (and only with) the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the approval of the Board), the Supermajority Holders and the Majority Other Initial Investors;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previously approved this Amendment and the terms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Parties constitute the Company, the Supermajority Holders and the Majority Other Initial Investors.</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promises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hereto agree as follows:</w:t>
      </w:r>
    </w:p>
    <w:p>
      <w:pPr>
        <w:spacing w:after="0" w:line="162"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of Section 2 of the Agreement</w:t>
      </w:r>
      <w:r>
        <w:rPr>
          <w:rFonts w:ascii="Arial" w:cs="Arial" w:eastAsia="Arial" w:hAnsi="Arial"/>
          <w:sz w:val="16"/>
          <w:szCs w:val="16"/>
          <w:color w:val="auto"/>
        </w:rPr>
        <w:t>. Section 2(a)(i) of the Agreement is hereby amended and restated to read in its entirety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As of the date of Amendment No. 1 to this Agreement, the Board will consist of:</w:t>
      </w:r>
    </w:p>
    <w:p>
      <w:pPr>
        <w:spacing w:after="0" w:line="225" w:lineRule="exact"/>
        <w:rPr>
          <w:sz w:val="20"/>
          <w:szCs w:val="20"/>
          <w:color w:val="auto"/>
        </w:rPr>
      </w:pPr>
    </w:p>
    <w:p>
      <w:pPr>
        <w:ind w:left="2280" w:hanging="328"/>
        <w:spacing w:after="0"/>
        <w:tabs>
          <w:tab w:leader="none" w:pos="2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George Kurtz (as the Chief Executive Officer Director);</w:t>
      </w:r>
    </w:p>
    <w:p>
      <w:pPr>
        <w:spacing w:after="0" w:line="23" w:lineRule="exact"/>
        <w:rPr>
          <w:rFonts w:ascii="Arial" w:cs="Arial" w:eastAsia="Arial" w:hAnsi="Arial"/>
          <w:sz w:val="18"/>
          <w:szCs w:val="18"/>
          <w:color w:val="auto"/>
        </w:rPr>
      </w:pPr>
    </w:p>
    <w:p>
      <w:pPr>
        <w:ind w:left="2280" w:hanging="328"/>
        <w:spacing w:after="0"/>
        <w:tabs>
          <w:tab w:leader="none" w:pos="2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Gerhard Watzinger (as an Independent Director);</w:t>
      </w:r>
    </w:p>
    <w:p>
      <w:pPr>
        <w:spacing w:after="0" w:line="9" w:lineRule="exact"/>
        <w:rPr>
          <w:rFonts w:ascii="Arial" w:cs="Arial" w:eastAsia="Arial" w:hAnsi="Arial"/>
          <w:sz w:val="18"/>
          <w:szCs w:val="18"/>
          <w:color w:val="auto"/>
        </w:rPr>
      </w:pPr>
    </w:p>
    <w:p>
      <w:pPr>
        <w:ind w:left="2280" w:hanging="328"/>
        <w:spacing w:after="0"/>
        <w:tabs>
          <w:tab w:leader="none" w:pos="2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Denis O’Leary (as an Independent Director);</w:t>
      </w:r>
    </w:p>
    <w:p>
      <w:pPr>
        <w:spacing w:after="0" w:line="9" w:lineRule="exact"/>
        <w:rPr>
          <w:rFonts w:ascii="Arial" w:cs="Arial" w:eastAsia="Arial" w:hAnsi="Arial"/>
          <w:sz w:val="18"/>
          <w:szCs w:val="18"/>
          <w:color w:val="auto"/>
        </w:rPr>
      </w:pPr>
    </w:p>
    <w:p>
      <w:pPr>
        <w:ind w:left="2280" w:hanging="328"/>
        <w:spacing w:after="0"/>
        <w:tabs>
          <w:tab w:leader="none" w:pos="2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Godfrey Sullivan (as an Independent Director);</w:t>
      </w:r>
    </w:p>
    <w:p>
      <w:pPr>
        <w:spacing w:after="0" w:line="9" w:lineRule="exact"/>
        <w:rPr>
          <w:rFonts w:ascii="Arial" w:cs="Arial" w:eastAsia="Arial" w:hAnsi="Arial"/>
          <w:sz w:val="18"/>
          <w:szCs w:val="18"/>
          <w:color w:val="auto"/>
        </w:rPr>
      </w:pPr>
    </w:p>
    <w:p>
      <w:pPr>
        <w:ind w:left="2280" w:hanging="328"/>
        <w:spacing w:after="0"/>
        <w:tabs>
          <w:tab w:leader="none" w:pos="2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Roxanne Austin (as an Independent Director);</w:t>
      </w:r>
    </w:p>
    <w:p>
      <w:pPr>
        <w:spacing w:after="0" w:line="9" w:lineRule="exact"/>
        <w:rPr>
          <w:rFonts w:ascii="Arial" w:cs="Arial" w:eastAsia="Arial" w:hAnsi="Arial"/>
          <w:sz w:val="18"/>
          <w:szCs w:val="18"/>
          <w:color w:val="auto"/>
        </w:rPr>
      </w:pPr>
    </w:p>
    <w:p>
      <w:pPr>
        <w:ind w:left="2280" w:hanging="328"/>
        <w:spacing w:after="0"/>
        <w:tabs>
          <w:tab w:leader="none" w:pos="2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Cary Davis (as a Series A-1 Preferred Director);</w:t>
      </w:r>
    </w:p>
    <w:p>
      <w:pPr>
        <w:spacing w:after="0" w:line="9" w:lineRule="exact"/>
        <w:rPr>
          <w:rFonts w:ascii="Arial" w:cs="Arial" w:eastAsia="Arial" w:hAnsi="Arial"/>
          <w:sz w:val="18"/>
          <w:szCs w:val="18"/>
          <w:color w:val="auto"/>
        </w:rPr>
      </w:pPr>
    </w:p>
    <w:p>
      <w:pPr>
        <w:ind w:left="2280" w:hanging="328"/>
        <w:spacing w:after="0"/>
        <w:tabs>
          <w:tab w:leader="none" w:pos="2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Joe Landy (as a Series A-1 Preferred Director);</w:t>
      </w:r>
    </w:p>
    <w:p>
      <w:pPr>
        <w:spacing w:after="0" w:line="9" w:lineRule="exact"/>
        <w:rPr>
          <w:rFonts w:ascii="Arial" w:cs="Arial" w:eastAsia="Arial" w:hAnsi="Arial"/>
          <w:sz w:val="18"/>
          <w:szCs w:val="18"/>
          <w:color w:val="auto"/>
        </w:rPr>
      </w:pPr>
    </w:p>
    <w:p>
      <w:pPr>
        <w:ind w:left="2280" w:hanging="328"/>
        <w:spacing w:after="0"/>
        <w:tabs>
          <w:tab w:leader="none" w:pos="2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Sameer Gandhi (as the Series B Preferred Director); and</w:t>
      </w:r>
    </w:p>
    <w:p>
      <w:pPr>
        <w:spacing w:after="0" w:line="9" w:lineRule="exact"/>
        <w:rPr>
          <w:rFonts w:ascii="Arial" w:cs="Arial" w:eastAsia="Arial" w:hAnsi="Arial"/>
          <w:sz w:val="18"/>
          <w:szCs w:val="18"/>
          <w:color w:val="auto"/>
        </w:rPr>
      </w:pPr>
    </w:p>
    <w:p>
      <w:pPr>
        <w:ind w:left="2280" w:hanging="328"/>
        <w:spacing w:after="0"/>
        <w:tabs>
          <w:tab w:leader="none" w:pos="22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Joe Sexton (as the Mutual Director).</w:t>
      </w:r>
    </w:p>
    <w:p>
      <w:pPr>
        <w:spacing w:after="0" w:line="211" w:lineRule="exact"/>
        <w:rPr>
          <w:sz w:val="20"/>
          <w:szCs w:val="20"/>
          <w:color w:val="auto"/>
        </w:rPr>
      </w:pPr>
    </w:p>
    <w:p>
      <w:pPr>
        <w:jc w:val="both"/>
        <w:ind w:left="660" w:right="200"/>
        <w:spacing w:after="0" w:line="279" w:lineRule="auto"/>
        <w:rPr>
          <w:sz w:val="20"/>
          <w:szCs w:val="20"/>
          <w:color w:val="auto"/>
        </w:rPr>
      </w:pPr>
      <w:r>
        <w:rPr>
          <w:rFonts w:ascii="Arial" w:cs="Arial" w:eastAsia="Arial" w:hAnsi="Arial"/>
          <w:sz w:val="17"/>
          <w:szCs w:val="17"/>
          <w:color w:val="auto"/>
        </w:rPr>
        <w:t>From and after the Initial Closing Date, the Investors and the Company shall take all reasonable action within their respective power, including, but not limited to, the voting of (or acting by written consent with respect to) all shares of voting capital stock of the Company Owned by them (including the Shares), required to cause the Board to consist of nine (9) members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number of directors that may serve on the Board may be expanded in accordance with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hereof) which shall include:</w:t>
      </w:r>
    </w:p>
    <w:p>
      <w:pPr>
        <w:spacing w:after="0" w:line="171" w:lineRule="exact"/>
        <w:rPr>
          <w:sz w:val="20"/>
          <w:szCs w:val="20"/>
          <w:color w:val="auto"/>
        </w:rPr>
      </w:pPr>
    </w:p>
    <w:p>
      <w:pPr>
        <w:ind w:left="2620" w:hanging="668"/>
        <w:spacing w:after="0"/>
        <w:tabs>
          <w:tab w:leader="none" w:pos="26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then-current 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4" w:name="page335"/>
    <w:bookmarkEnd w:id="334"/>
    <w:p>
      <w:pPr>
        <w:ind w:left="1620" w:right="20" w:firstLine="332"/>
        <w:spacing w:after="0" w:line="291" w:lineRule="auto"/>
        <w:tabs>
          <w:tab w:leader="none" w:pos="260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four (4) representatives (each an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xml:space="preserve">”) designated by (x) the Majority Institutional Investors and George Kurtz for so long as Mr. Kurtz is an employee of the Company or its subsidiaries, or (y) if Mr. Kurtz is no longer an employee of the Company, vote or consent of a majority of the members of the Board at the time of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majority approval includes the approval of a Series A-1 Preferred Director (the “</w:t>
      </w:r>
      <w:r>
        <w:rPr>
          <w:rFonts w:ascii="Arial" w:cs="Arial" w:eastAsia="Arial" w:hAnsi="Arial"/>
          <w:sz w:val="16"/>
          <w:szCs w:val="16"/>
          <w:u w:val="single" w:color="auto"/>
          <w:color w:val="auto"/>
        </w:rPr>
        <w:t>Required Board Approval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absent an agreement between the Majority Institutional Investors and George Kurtz (for so long as Mr. Kurtz is an employee of the Company or its subsidiaries) or the Required Board Approval, as applicable, with respect to the designation of any such Independent Director, such directorship shall remain vacant until such time as such holders reach an agreement with respect to such directorship;</w:t>
      </w:r>
    </w:p>
    <w:p>
      <w:pPr>
        <w:spacing w:after="0" w:line="166" w:lineRule="exact"/>
        <w:rPr>
          <w:rFonts w:ascii="Arial" w:cs="Arial" w:eastAsia="Arial" w:hAnsi="Arial"/>
          <w:sz w:val="16"/>
          <w:szCs w:val="16"/>
          <w:color w:val="auto"/>
        </w:rPr>
      </w:pPr>
    </w:p>
    <w:p>
      <w:pPr>
        <w:jc w:val="both"/>
        <w:ind w:left="1620" w:right="180" w:firstLine="332"/>
        <w:spacing w:after="0" w:line="263" w:lineRule="auto"/>
        <w:tabs>
          <w:tab w:leader="none" w:pos="260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one (1) representative designated by the holders of record of at least a majority of the outstanding shares of Series B Preferred Stock, exclusively and as a separate class, in accordance with the terms of the Certificate of Incorporation (the “</w:t>
      </w:r>
      <w:r>
        <w:rPr>
          <w:rFonts w:ascii="Arial" w:cs="Arial" w:eastAsia="Arial" w:hAnsi="Arial"/>
          <w:sz w:val="18"/>
          <w:szCs w:val="18"/>
          <w:u w:val="single" w:color="auto"/>
          <w:color w:val="auto"/>
        </w:rPr>
        <w:t>Series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Director</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620" w:hanging="668"/>
        <w:spacing w:after="0"/>
        <w:tabs>
          <w:tab w:leader="none" w:pos="26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one (1) representative shall be designated by holders of record of at least a majority of the outstanding shares of</w:t>
      </w:r>
    </w:p>
    <w:p>
      <w:pPr>
        <w:spacing w:after="0" w:line="35" w:lineRule="exact"/>
        <w:rPr>
          <w:sz w:val="20"/>
          <w:szCs w:val="20"/>
          <w:color w:val="auto"/>
        </w:rPr>
      </w:pPr>
    </w:p>
    <w:p>
      <w:pPr>
        <w:ind w:left="1620" w:right="80"/>
        <w:spacing w:after="0" w:line="255" w:lineRule="auto"/>
        <w:rPr>
          <w:sz w:val="20"/>
          <w:szCs w:val="20"/>
          <w:color w:val="auto"/>
        </w:rPr>
      </w:pPr>
      <w:r>
        <w:rPr>
          <w:rFonts w:ascii="Arial" w:cs="Arial" w:eastAsia="Arial" w:hAnsi="Arial"/>
          <w:sz w:val="18"/>
          <w:szCs w:val="18"/>
          <w:color w:val="auto"/>
        </w:rPr>
        <w:t xml:space="preserve">Series A-1 Preferred Stock, exclusively and as a separate class, in accordance with the terms of the Certificate of Incorporation; </w:t>
      </w:r>
      <w:r>
        <w:rPr>
          <w:rFonts w:ascii="Arial" w:cs="Arial" w:eastAsia="Arial" w:hAnsi="Arial"/>
          <w:sz w:val="18"/>
          <w:szCs w:val="18"/>
          <w:u w:val="single" w:color="auto"/>
          <w:color w:val="auto"/>
        </w:rPr>
        <w:t>provided that</w:t>
      </w:r>
      <w:r>
        <w:rPr>
          <w:rFonts w:ascii="Arial" w:cs="Arial" w:eastAsia="Arial" w:hAnsi="Arial"/>
          <w:sz w:val="18"/>
          <w:szCs w:val="18"/>
          <w:color w:val="auto"/>
        </w:rPr>
        <w:t>, if Mr. Kurtz is an employee of the Company or its subsidiaries at the time of designation, such representative shall be reasonably acceptable to George Kurtz (such director, the “</w:t>
      </w:r>
      <w:r>
        <w:rPr>
          <w:rFonts w:ascii="Arial" w:cs="Arial" w:eastAsia="Arial" w:hAnsi="Arial"/>
          <w:sz w:val="18"/>
          <w:szCs w:val="18"/>
          <w:u w:val="single" w:color="auto"/>
          <w:color w:val="auto"/>
        </w:rPr>
        <w:t>Mutual Director</w:t>
      </w:r>
      <w:r>
        <w:rPr>
          <w:rFonts w:ascii="Arial" w:cs="Arial" w:eastAsia="Arial" w:hAnsi="Arial"/>
          <w:sz w:val="18"/>
          <w:szCs w:val="18"/>
          <w:color w:val="auto"/>
        </w:rPr>
        <w:t>”); and</w:t>
      </w:r>
    </w:p>
    <w:p>
      <w:pPr>
        <w:spacing w:after="0" w:line="190" w:lineRule="exact"/>
        <w:rPr>
          <w:sz w:val="20"/>
          <w:szCs w:val="20"/>
          <w:color w:val="auto"/>
        </w:rPr>
      </w:pPr>
    </w:p>
    <w:p>
      <w:pPr>
        <w:jc w:val="both"/>
        <w:ind w:left="1620" w:firstLine="332"/>
        <w:spacing w:after="0" w:line="259" w:lineRule="auto"/>
        <w:tabs>
          <w:tab w:leader="none" w:pos="260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two (2) representatives designated by the holders of record of at least a majority of the outstanding shares of Series A-1 Preferred Stock, exclusively and as a separate class, in accordance with the terms of the Certificate of Incorporation (the “</w:t>
      </w:r>
      <w:r>
        <w:rPr>
          <w:rFonts w:ascii="Arial" w:cs="Arial" w:eastAsia="Arial" w:hAnsi="Arial"/>
          <w:sz w:val="18"/>
          <w:szCs w:val="18"/>
          <w:u w:val="single" w:color="auto"/>
          <w:color w:val="auto"/>
        </w:rPr>
        <w:t>Series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Preferred Directors</w:t>
      </w:r>
      <w:r>
        <w:rPr>
          <w:rFonts w:ascii="Arial" w:cs="Arial" w:eastAsia="Arial" w:hAnsi="Arial"/>
          <w:sz w:val="18"/>
          <w:szCs w:val="18"/>
          <w:color w:val="auto"/>
        </w:rPr>
        <w:t>”, each a “</w:t>
      </w:r>
      <w:r>
        <w:rPr>
          <w:rFonts w:ascii="Arial" w:cs="Arial" w:eastAsia="Arial" w:hAnsi="Arial"/>
          <w:sz w:val="18"/>
          <w:szCs w:val="18"/>
          <w:u w:val="single" w:color="auto"/>
          <w:color w:val="auto"/>
        </w:rPr>
        <w:t>Series A-1 Preferred Director</w:t>
      </w:r>
      <w:r>
        <w:rPr>
          <w:rFonts w:ascii="Arial" w:cs="Arial" w:eastAsia="Arial" w:hAnsi="Arial"/>
          <w:sz w:val="18"/>
          <w:szCs w:val="18"/>
          <w:color w:val="auto"/>
        </w:rPr>
        <w:t>”, and together with the Mutual Director and the Series B Director, the “</w:t>
      </w:r>
      <w:r>
        <w:rPr>
          <w:rFonts w:ascii="Arial" w:cs="Arial" w:eastAsia="Arial" w:hAnsi="Arial"/>
          <w:sz w:val="18"/>
          <w:szCs w:val="18"/>
          <w:u w:val="single" w:color="auto"/>
          <w:color w:val="auto"/>
        </w:rPr>
        <w:t>Preferred Directors</w:t>
      </w:r>
      <w:r>
        <w:rPr>
          <w:rFonts w:ascii="Arial" w:cs="Arial" w:eastAsia="Arial" w:hAnsi="Arial"/>
          <w:sz w:val="18"/>
          <w:szCs w:val="18"/>
          <w:color w:val="auto"/>
        </w:rPr>
        <w:t>”, each a “</w:t>
      </w:r>
      <w:r>
        <w:rPr>
          <w:rFonts w:ascii="Arial" w:cs="Arial" w:eastAsia="Arial" w:hAnsi="Arial"/>
          <w:sz w:val="18"/>
          <w:szCs w:val="18"/>
          <w:u w:val="single" w:color="auto"/>
          <w:color w:val="auto"/>
        </w:rPr>
        <w:t>Preferred Director</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Each member of the Board shall have one vote on matters submitted to the Board for approval. “</w:t>
      </w:r>
    </w:p>
    <w:p>
      <w:pPr>
        <w:spacing w:after="0" w:line="221" w:lineRule="exact"/>
        <w:rPr>
          <w:sz w:val="20"/>
          <w:szCs w:val="20"/>
          <w:color w:val="auto"/>
        </w:rPr>
      </w:pPr>
    </w:p>
    <w:p>
      <w:pPr>
        <w:ind w:left="1300" w:hanging="644"/>
        <w:spacing w:after="0"/>
        <w:tabs>
          <w:tab w:leader="none" w:pos="1300" w:val="left"/>
        </w:tabs>
        <w:numPr>
          <w:ilvl w:val="0"/>
          <w:numId w:val="238"/>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w:t>
      </w:r>
      <w:r>
        <w:rPr>
          <w:rFonts w:ascii="Arial" w:cs="Arial" w:eastAsia="Arial" w:hAnsi="Arial"/>
          <w:sz w:val="17"/>
          <w:szCs w:val="17"/>
          <w:color w:val="auto"/>
        </w:rPr>
        <w:t>. The Agreement, as amended hereby, is hereby ratified and confirmed in all respects and shall remain in full force and effect.</w:t>
      </w:r>
    </w:p>
    <w:p>
      <w:pPr>
        <w:spacing w:after="0" w:line="236" w:lineRule="exact"/>
        <w:rPr>
          <w:rFonts w:ascii="Arial" w:cs="Arial" w:eastAsia="Arial" w:hAnsi="Arial"/>
          <w:sz w:val="17"/>
          <w:szCs w:val="17"/>
          <w:color w:val="auto"/>
        </w:rPr>
      </w:pPr>
    </w:p>
    <w:p>
      <w:pPr>
        <w:ind w:right="740" w:firstLine="656"/>
        <w:spacing w:after="0" w:line="347" w:lineRule="auto"/>
        <w:tabs>
          <w:tab w:leader="none" w:pos="1296" w:val="left"/>
        </w:tabs>
        <w:numPr>
          <w:ilvl w:val="0"/>
          <w:numId w:val="23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Amendment shall be governed in all respects by the internal laws of the State of Delaware as applied to</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entered into among Delaware residents to be performed entirely within Delaware, without regard to principles of conflicts of law.</w:t>
      </w:r>
    </w:p>
    <w:p>
      <w:pPr>
        <w:spacing w:after="0" w:line="115" w:lineRule="exact"/>
        <w:rPr>
          <w:rFonts w:ascii="Arial" w:cs="Arial" w:eastAsia="Arial" w:hAnsi="Arial"/>
          <w:sz w:val="16"/>
          <w:szCs w:val="16"/>
          <w:color w:val="auto"/>
        </w:rPr>
      </w:pPr>
    </w:p>
    <w:p>
      <w:pPr>
        <w:ind w:right="140" w:firstLine="656"/>
        <w:spacing w:after="0" w:line="282" w:lineRule="auto"/>
        <w:tabs>
          <w:tab w:leader="none" w:pos="1296"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Neither this Amendment nor any term hereof may be amended, waived, discharged or terminated other than by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signed by the Company and the Investors owning a majority of the Shares then outstanding.</w:t>
      </w:r>
    </w:p>
    <w:p>
      <w:pPr>
        <w:spacing w:after="0" w:line="161" w:lineRule="exact"/>
        <w:rPr>
          <w:rFonts w:ascii="Arial" w:cs="Arial" w:eastAsia="Arial" w:hAnsi="Arial"/>
          <w:sz w:val="18"/>
          <w:szCs w:val="18"/>
          <w:color w:val="auto"/>
        </w:rPr>
      </w:pPr>
    </w:p>
    <w:p>
      <w:pPr>
        <w:ind w:right="60" w:firstLine="656"/>
        <w:spacing w:after="0" w:line="282" w:lineRule="auto"/>
        <w:tabs>
          <w:tab w:leader="none" w:pos="1296"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any number of counterparts, each of which shall be enforceable against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executing such counterparts, and all of which together shall constitute one instrument.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35" w:name="page336"/>
    <w:bookmarkEnd w:id="335"/>
    <w:p>
      <w:pPr>
        <w:spacing w:after="0"/>
        <w:rPr>
          <w:sz w:val="20"/>
          <w:szCs w:val="20"/>
          <w:color w:val="auto"/>
        </w:rPr>
      </w:pPr>
      <w:r>
        <w:rPr>
          <w:rFonts w:ascii="Arial" w:cs="Arial" w:eastAsia="Arial" w:hAnsi="Arial"/>
          <w:sz w:val="16"/>
          <w:szCs w:val="16"/>
          <w:color w:val="auto"/>
        </w:rPr>
        <w:t>The parties are signing this Amendment No. 1 to Amended and Restated Stockholders Agreement as of the date stated in the introductory clause.</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CROWDSTRIKE HOLDINGS</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5240"/>
        <w:spacing w:after="0"/>
        <w:tabs>
          <w:tab w:leader="none" w:pos="568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14605</wp:posOffset>
            </wp:positionV>
            <wp:extent cx="30943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 George Kurtz</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209550</wp:posOffset>
            </wp:positionV>
            <wp:extent cx="71532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440"/>
          </w:cols>
          <w:pgMar w:left="980" w:top="341" w:right="479" w:bottom="1440" w:gutter="0" w:footer="0" w:header="0"/>
        </w:sectPr>
      </w:pPr>
    </w:p>
    <w:bookmarkStart w:id="336" w:name="page337"/>
    <w:bookmarkEnd w:id="336"/>
    <w:p>
      <w:pPr>
        <w:ind w:left="660"/>
        <w:spacing w:after="0"/>
        <w:rPr>
          <w:sz w:val="20"/>
          <w:szCs w:val="20"/>
          <w:color w:val="auto"/>
        </w:rPr>
      </w:pPr>
      <w:r>
        <w:rPr>
          <w:rFonts w:ascii="Arial" w:cs="Arial" w:eastAsia="Arial" w:hAnsi="Arial"/>
          <w:sz w:val="16"/>
          <w:szCs w:val="16"/>
          <w:color w:val="auto"/>
        </w:rPr>
        <w:t>The parties are signing this Amendment No. 1 to Amended and Restated Stockholders Agreement as of the date stated in the introductory clause.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LEADERS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Accel Leaders Fund Associates L.L.C.,</w:t>
            </w:r>
          </w:p>
        </w:tc>
      </w:tr>
      <w:tr>
        <w:trPr>
          <w:trHeight w:val="23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Its General Partner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/s/ Tracy L. Sedlock</w:t>
            </w:r>
          </w:p>
        </w:tc>
      </w:tr>
      <w:tr>
        <w:trPr>
          <w:trHeight w:val="224"/>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Attorney-in-Fact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LEADERS FUND INVESTORS 2016 L.L.C.</w:t>
      </w:r>
    </w:p>
    <w:p>
      <w:pPr>
        <w:spacing w:after="0" w:line="229" w:lineRule="exact"/>
        <w:rPr>
          <w:sz w:val="20"/>
          <w:szCs w:val="20"/>
          <w:color w:val="auto"/>
        </w:rPr>
      </w:pPr>
    </w:p>
    <w:p>
      <w:pPr>
        <w:jc w:val="right"/>
        <w:ind w:right="9200"/>
        <w:spacing w:after="0"/>
        <w:tabs>
          <w:tab w:leader="none" w:pos="10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Tracy L. Sedlock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8295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jc w:val="right"/>
        <w:ind w:right="918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GROWTH FUND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Accel Growth Fund II Associates L.L.C.,</w:t>
            </w:r>
          </w:p>
        </w:tc>
      </w:tr>
      <w:tr>
        <w:trPr>
          <w:trHeight w:val="23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Its General Partner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/s/ Tracy L. Sedlock</w:t>
            </w:r>
          </w:p>
        </w:tc>
      </w:tr>
      <w:tr>
        <w:trPr>
          <w:trHeight w:val="224"/>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Attorney-in-Fact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GROWTH FUND II STRATEGIC PARTNERS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Accel Growth Fund II Associates L.L.C.,</w:t>
            </w:r>
          </w:p>
        </w:tc>
      </w:tr>
      <w:tr>
        <w:trPr>
          <w:trHeight w:val="23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Its General Partner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/s/ Tracy L. Sedlock</w:t>
            </w:r>
          </w:p>
        </w:tc>
      </w:tr>
      <w:tr>
        <w:trPr>
          <w:trHeight w:val="224"/>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Attorney-in-Fact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GROWTH FUND INVESTORS 2013 L.L.C.</w:t>
      </w:r>
    </w:p>
    <w:p>
      <w:pPr>
        <w:spacing w:after="0" w:line="229" w:lineRule="exact"/>
        <w:rPr>
          <w:sz w:val="20"/>
          <w:szCs w:val="20"/>
          <w:color w:val="auto"/>
        </w:rPr>
      </w:pPr>
    </w:p>
    <w:p>
      <w:pPr>
        <w:jc w:val="right"/>
        <w:ind w:right="9200"/>
        <w:spacing w:after="0"/>
        <w:tabs>
          <w:tab w:leader="none" w:pos="10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Tracy L. Sedlock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829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jc w:val="right"/>
        <w:ind w:right="918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LONDON III L.P.</w:t>
      </w:r>
    </w:p>
    <w:p>
      <w:pPr>
        <w:sectPr>
          <w:pgSz w:w="11900" w:h="16838" w:orient="portrait"/>
          <w:cols w:equalWidth="0" w:num="1">
            <w:col w:w="11100"/>
          </w:cols>
          <w:pgMar w:left="320" w:top="341" w:right="4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Accel London Management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ectPr>
          <w:pgSz w:w="11900" w:h="16838" w:orient="portrait"/>
          <w:cols w:equalWidth="0" w:num="2">
            <w:col w:w="260" w:space="460"/>
            <w:col w:w="10380"/>
          </w:cols>
          <w:pgMar w:left="320" w:top="341" w:right="479" w:bottom="1440" w:gutter="0" w:footer="0" w:header="0"/>
          <w:type w:val="continuous"/>
        </w:sectPr>
      </w:pPr>
    </w:p>
    <w:p>
      <w:pPr>
        <w:spacing w:after="0" w:line="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Whittaker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8295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Andrew Whittaker</w:t>
      </w:r>
    </w:p>
    <w:p>
      <w:pPr>
        <w:spacing w:after="0" w:line="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ACCEL LONDON INVESTORS 2012 L.P.</w:t>
      </w:r>
    </w:p>
    <w:p>
      <w:pPr>
        <w:sectPr>
          <w:pgSz w:w="11900" w:h="16838" w:orient="portrait"/>
          <w:cols w:equalWidth="0" w:num="1">
            <w:col w:w="11100"/>
          </w:cols>
          <w:pgMar w:left="320" w:top="341" w:right="47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Accel London Management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00" w:lineRule="exact"/>
        <w:rPr>
          <w:sz w:val="20"/>
          <w:szCs w:val="20"/>
          <w:color w:val="auto"/>
        </w:rPr>
      </w:pPr>
    </w:p>
    <w:p>
      <w:pPr>
        <w:sectPr>
          <w:pgSz w:w="11900" w:h="16838" w:orient="portrait"/>
          <w:cols w:equalWidth="0" w:num="2">
            <w:col w:w="260" w:space="460"/>
            <w:col w:w="10380"/>
          </w:cols>
          <w:pgMar w:left="320" w:top="341" w:right="479" w:bottom="1440" w:gutter="0" w:footer="0" w:header="0"/>
          <w:type w:val="continuous"/>
        </w:sectPr>
      </w:pPr>
    </w:p>
    <w:p>
      <w:pPr>
        <w:spacing w:after="0" w:line="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Whittaker</w:t>
      </w:r>
    </w:p>
    <w:p>
      <w:pPr>
        <w:spacing w:after="0" w:line="2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Name:</w:t>
        <w:tab/>
        <w:t>Andrew Whittaker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-116205</wp:posOffset>
            </wp:positionV>
            <wp:extent cx="328295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type w:val="continuous"/>
        </w:sectPr>
      </w:pPr>
    </w:p>
    <w:bookmarkStart w:id="337" w:name="page338"/>
    <w:bookmarkEnd w:id="337"/>
    <w:p>
      <w:pPr>
        <w:ind w:left="660"/>
        <w:spacing w:after="0"/>
        <w:rPr>
          <w:sz w:val="20"/>
          <w:szCs w:val="20"/>
          <w:color w:val="auto"/>
        </w:rPr>
      </w:pPr>
      <w:r>
        <w:rPr>
          <w:rFonts w:ascii="Arial" w:cs="Arial" w:eastAsia="Arial" w:hAnsi="Arial"/>
          <w:sz w:val="16"/>
          <w:szCs w:val="16"/>
          <w:color w:val="auto"/>
        </w:rPr>
        <w:t>The parties are signing this Amendment No. 1 to Amended and Restated Stockholders Agreement as of the date stated in the introductory clause.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WARBURG PINCUS PRIVATE EQUITY X</w:t>
      </w:r>
      <w:r>
        <w:rPr>
          <w:rFonts w:ascii="Arial" w:cs="Arial" w:eastAsia="Arial" w:hAnsi="Arial"/>
          <w:sz w:val="18"/>
          <w:szCs w:val="18"/>
          <w:color w:val="auto"/>
        </w:rPr>
        <w:t>,</w:t>
      </w:r>
      <w:r>
        <w:rPr>
          <w:rFonts w:ascii="Arial" w:cs="Arial" w:eastAsia="Arial" w:hAnsi="Arial"/>
          <w:sz w:val="18"/>
          <w:szCs w:val="18"/>
          <w:b w:val="1"/>
          <w:bCs w:val="1"/>
          <w:color w:val="auto"/>
        </w:rPr>
        <w:t xml:space="preserve">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X, L.P., its general partner</w:t>
            </w:r>
          </w:p>
        </w:tc>
        <w:tc>
          <w:tcPr>
            <w:tcW w:w="566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X GP L.P., its general partner</w:t>
            </w:r>
          </w:p>
        </w:tc>
        <w:tc>
          <w:tcPr>
            <w:tcW w:w="566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WPP GP LLC, its general partner</w:t>
            </w:r>
          </w:p>
        </w:tc>
        <w:tc>
          <w:tcPr>
            <w:tcW w:w="566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Partners, L.P., its managing member</w:t>
            </w:r>
          </w:p>
        </w:tc>
        <w:tc>
          <w:tcPr>
            <w:tcW w:w="566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Partners GP LLC, its general partner</w:t>
            </w:r>
          </w:p>
        </w:tc>
        <w:tc>
          <w:tcPr>
            <w:tcW w:w="566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&amp; Co., its managing member</w:t>
            </w:r>
          </w:p>
        </w:tc>
        <w:tc>
          <w:tcPr>
            <w:tcW w:w="566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Cary Davis</w:t>
            </w:r>
          </w:p>
        </w:tc>
        <w:tc>
          <w:tcPr>
            <w:tcW w:w="5660" w:type="dxa"/>
            <w:vAlign w:val="bottom"/>
          </w:tcPr>
          <w:p>
            <w:pPr>
              <w:spacing w:after="0"/>
              <w:rPr>
                <w:sz w:val="24"/>
                <w:szCs w:val="24"/>
                <w:color w:val="auto"/>
              </w:rPr>
            </w:pP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5160" w:type="dxa"/>
            <w:vAlign w:val="bottom"/>
          </w:tcPr>
          <w:p>
            <w:pPr>
              <w:ind w:left="300"/>
              <w:spacing w:after="0" w:line="195" w:lineRule="exact"/>
              <w:rPr>
                <w:sz w:val="20"/>
                <w:szCs w:val="20"/>
                <w:color w:val="auto"/>
              </w:rPr>
            </w:pPr>
            <w:r>
              <w:rPr>
                <w:rFonts w:ascii="Arial" w:cs="Arial" w:eastAsia="Arial" w:hAnsi="Arial"/>
                <w:sz w:val="18"/>
                <w:szCs w:val="18"/>
                <w:color w:val="auto"/>
              </w:rPr>
              <w:t>Cary Davis</w:t>
            </w:r>
          </w:p>
        </w:tc>
        <w:tc>
          <w:tcPr>
            <w:tcW w:w="566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300"/>
              <w:spacing w:after="0"/>
              <w:rPr>
                <w:sz w:val="20"/>
                <w:szCs w:val="20"/>
                <w:color w:val="auto"/>
              </w:rPr>
            </w:pPr>
            <w:r>
              <w:rPr>
                <w:rFonts w:ascii="Arial" w:cs="Arial" w:eastAsia="Arial" w:hAnsi="Arial"/>
                <w:sz w:val="18"/>
                <w:szCs w:val="18"/>
                <w:color w:val="auto"/>
              </w:rPr>
              <w:t>Managing Director</w:t>
            </w:r>
          </w:p>
        </w:tc>
        <w:tc>
          <w:tcPr>
            <w:tcW w:w="5660" w:type="dxa"/>
            <w:vAlign w:val="bottom"/>
          </w:tcPr>
          <w:p>
            <w:pPr>
              <w:spacing w:after="0"/>
              <w:rPr>
                <w:sz w:val="20"/>
                <w:szCs w:val="20"/>
                <w:color w:val="auto"/>
              </w:rPr>
            </w:pPr>
          </w:p>
        </w:tc>
      </w:tr>
      <w:tr>
        <w:trPr>
          <w:trHeight w:val="64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WARBURG PINCUS X PARTNERS</w:t>
            </w:r>
            <w:r>
              <w:rPr>
                <w:rFonts w:ascii="Arial" w:cs="Arial" w:eastAsia="Arial" w:hAnsi="Arial"/>
                <w:sz w:val="18"/>
                <w:szCs w:val="18"/>
                <w:color w:val="auto"/>
              </w:rPr>
              <w:t>,</w:t>
            </w:r>
            <w:r>
              <w:rPr>
                <w:rFonts w:ascii="Arial" w:cs="Arial" w:eastAsia="Arial" w:hAnsi="Arial"/>
                <w:sz w:val="18"/>
                <w:szCs w:val="18"/>
                <w:b w:val="1"/>
                <w:bCs w:val="1"/>
                <w:color w:val="auto"/>
              </w:rPr>
              <w:t xml:space="preserve"> L.P.</w:t>
            </w:r>
          </w:p>
        </w:tc>
        <w:tc>
          <w:tcPr>
            <w:tcW w:w="5660" w:type="dxa"/>
            <w:vAlign w:val="bottom"/>
          </w:tcPr>
          <w:p>
            <w:pPr>
              <w:spacing w:after="0"/>
              <w:rPr>
                <w:sz w:val="24"/>
                <w:szCs w:val="24"/>
                <w:color w:val="auto"/>
              </w:rPr>
            </w:pP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X, L.P., its general partner</w:t>
            </w:r>
          </w:p>
        </w:tc>
        <w:tc>
          <w:tcPr>
            <w:tcW w:w="5660" w:type="dxa"/>
            <w:vAlign w:val="bottom"/>
          </w:tcPr>
          <w:p>
            <w:pPr>
              <w:spacing w:after="0"/>
              <w:rPr>
                <w:sz w:val="24"/>
                <w:szCs w:val="2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X GP L.P., its general partner</w:t>
            </w:r>
          </w:p>
        </w:tc>
        <w:tc>
          <w:tcPr>
            <w:tcW w:w="566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WPP GP LLC, its general partner</w:t>
            </w:r>
          </w:p>
        </w:tc>
        <w:tc>
          <w:tcPr>
            <w:tcW w:w="566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Partners, L.P., its managing member</w:t>
            </w:r>
          </w:p>
        </w:tc>
        <w:tc>
          <w:tcPr>
            <w:tcW w:w="5660" w:type="dxa"/>
            <w:vAlign w:val="bottom"/>
          </w:tcPr>
          <w:p>
            <w:pPr>
              <w:spacing w:after="0"/>
              <w:rPr>
                <w:sz w:val="18"/>
                <w:szCs w:val="18"/>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Partners GP LLC, its general partner</w:t>
            </w:r>
          </w:p>
        </w:tc>
        <w:tc>
          <w:tcPr>
            <w:tcW w:w="566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Pr>
          <w:p>
            <w:pPr>
              <w:ind w:left="300"/>
              <w:spacing w:after="0"/>
              <w:rPr>
                <w:sz w:val="20"/>
                <w:szCs w:val="20"/>
                <w:color w:val="auto"/>
              </w:rPr>
            </w:pPr>
            <w:r>
              <w:rPr>
                <w:rFonts w:ascii="Arial" w:cs="Arial" w:eastAsia="Arial" w:hAnsi="Arial"/>
                <w:sz w:val="18"/>
                <w:szCs w:val="18"/>
                <w:color w:val="auto"/>
              </w:rPr>
              <w:t>Warburg Pincus &amp; Co., its managing member</w:t>
            </w:r>
          </w:p>
        </w:tc>
        <w:tc>
          <w:tcPr>
            <w:tcW w:w="5660" w:type="dxa"/>
            <w:vAlign w:val="bottom"/>
          </w:tcPr>
          <w:p>
            <w:pPr>
              <w:spacing w:after="0"/>
              <w:rPr>
                <w:sz w:val="20"/>
                <w:szCs w:val="20"/>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Cary Davis</w:t>
            </w:r>
          </w:p>
        </w:tc>
        <w:tc>
          <w:tcPr>
            <w:tcW w:w="5660" w:type="dxa"/>
            <w:vAlign w:val="bottom"/>
          </w:tcPr>
          <w:p>
            <w:pPr>
              <w:spacing w:after="0"/>
              <w:rPr>
                <w:sz w:val="24"/>
                <w:szCs w:val="24"/>
                <w:color w:val="auto"/>
              </w:rPr>
            </w:pP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w w:val="82"/>
              </w:rPr>
              <w:t>Name:</w:t>
            </w:r>
          </w:p>
        </w:tc>
        <w:tc>
          <w:tcPr>
            <w:tcW w:w="5160" w:type="dxa"/>
            <w:vAlign w:val="bottom"/>
          </w:tcPr>
          <w:p>
            <w:pPr>
              <w:ind w:left="300"/>
              <w:spacing w:after="0" w:line="195" w:lineRule="exact"/>
              <w:rPr>
                <w:sz w:val="20"/>
                <w:szCs w:val="20"/>
                <w:color w:val="auto"/>
              </w:rPr>
            </w:pPr>
            <w:r>
              <w:rPr>
                <w:rFonts w:ascii="Arial" w:cs="Arial" w:eastAsia="Arial" w:hAnsi="Arial"/>
                <w:sz w:val="18"/>
                <w:szCs w:val="18"/>
                <w:color w:val="auto"/>
              </w:rPr>
              <w:t>Cary Davis</w:t>
            </w:r>
          </w:p>
        </w:tc>
        <w:tc>
          <w:tcPr>
            <w:tcW w:w="566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300"/>
              <w:spacing w:after="0"/>
              <w:rPr>
                <w:sz w:val="20"/>
                <w:szCs w:val="20"/>
                <w:color w:val="auto"/>
              </w:rPr>
            </w:pPr>
            <w:r>
              <w:rPr>
                <w:rFonts w:ascii="Arial" w:cs="Arial" w:eastAsia="Arial" w:hAnsi="Arial"/>
                <w:sz w:val="18"/>
                <w:szCs w:val="18"/>
                <w:color w:val="auto"/>
              </w:rPr>
              <w:t>Managing Director</w:t>
            </w:r>
          </w:p>
        </w:tc>
        <w:tc>
          <w:tcPr>
            <w:tcW w:w="5660" w:type="dxa"/>
            <w:vAlign w:val="bottom"/>
          </w:tcPr>
          <w:p>
            <w:pPr>
              <w:spacing w:after="0"/>
              <w:rPr>
                <w:sz w:val="20"/>
                <w:szCs w:val="20"/>
                <w:color w:val="auto"/>
              </w:rPr>
            </w:pPr>
          </w:p>
        </w:tc>
      </w:tr>
      <w:tr>
        <w:trPr>
          <w:trHeight w:val="348"/>
        </w:trPr>
        <w:tc>
          <w:tcPr>
            <w:tcW w:w="460" w:type="dxa"/>
            <w:vAlign w:val="bottom"/>
            <w:tcBorders>
              <w:bottom w:val="single" w:sz="8" w:color="808080"/>
            </w:tcBorders>
          </w:tcPr>
          <w:p>
            <w:pPr>
              <w:spacing w:after="0"/>
              <w:rPr>
                <w:sz w:val="24"/>
                <w:szCs w:val="24"/>
                <w:color w:val="auto"/>
              </w:rPr>
            </w:pPr>
          </w:p>
        </w:tc>
        <w:tc>
          <w:tcPr>
            <w:tcW w:w="516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338" w:name="page339"/>
    <w:bookmarkEnd w:id="338"/>
    <w:p>
      <w:pPr>
        <w:ind w:left="660"/>
        <w:spacing w:after="0"/>
        <w:rPr>
          <w:sz w:val="20"/>
          <w:szCs w:val="20"/>
          <w:color w:val="auto"/>
        </w:rPr>
      </w:pPr>
      <w:r>
        <w:rPr>
          <w:rFonts w:ascii="Arial" w:cs="Arial" w:eastAsia="Arial" w:hAnsi="Arial"/>
          <w:sz w:val="16"/>
          <w:szCs w:val="16"/>
          <w:color w:val="auto"/>
        </w:rPr>
        <w:t>The parties are signing this Amendment No. 1 to Amended and Restated Stockholders Agreement as of the date stated in the introductory clause.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INITIAL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KURTZ 2009 SPENDTHRIFT TRUST, DATED 4/2/2009</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2658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George Kurtz</w:t>
      </w:r>
    </w:p>
    <w:p>
      <w:pPr>
        <w:spacing w:after="0" w:line="2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KURTZ IRREVOCABLE GIFT TRUST DATED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14, 2011</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26580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George Kurtz</w:t>
      </w:r>
    </w:p>
    <w:p>
      <w:pPr>
        <w:spacing w:after="0" w:line="2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ALLEGRA KURTZ IRREVOCABLE GIFT TRUST DATED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14, 2011</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14605</wp:posOffset>
            </wp:positionV>
            <wp:extent cx="326580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George Kurtz</w:t>
      </w:r>
    </w:p>
    <w:p>
      <w:pPr>
        <w:spacing w:after="0" w:line="2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DMITRI ALPEROVITCH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Dmitri Alperovitch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339" w:name="page340"/>
    <w:bookmarkEnd w:id="339"/>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AMENDED AND RESTATED REGISTRATION RIGHTS AGREEMENT</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INVESTORS SET FORTH ON SCHEDULE A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THE HOLDERS SET FORTH ON SCHEDULE B HERETO</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as of June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218440</wp:posOffset>
            </wp:positionV>
            <wp:extent cx="71532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0" w:type="dxa"/>
            <w:vAlign w:val="bottom"/>
          </w:tcPr>
          <w:p>
            <w:pPr>
              <w:ind w:left="272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0"/>
                <w:szCs w:val="20"/>
                <w:color w:val="auto"/>
              </w:rPr>
            </w:pPr>
          </w:p>
        </w:tc>
      </w:tr>
      <w:tr>
        <w:trPr>
          <w:trHeight w:val="364"/>
        </w:trPr>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Page</w:t>
            </w: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ARTICLE I</w:t>
            </w:r>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1.01.</w:t>
            </w:r>
          </w:p>
        </w:tc>
        <w:tc>
          <w:tcPr>
            <w:tcW w:w="820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1.02.</w:t>
            </w:r>
          </w:p>
        </w:tc>
        <w:tc>
          <w:tcPr>
            <w:tcW w:w="8200" w:type="dxa"/>
            <w:vAlign w:val="bottom"/>
          </w:tcPr>
          <w:p>
            <w:pPr>
              <w:ind w:left="220"/>
              <w:spacing w:after="0"/>
              <w:rPr>
                <w:sz w:val="20"/>
                <w:szCs w:val="20"/>
                <w:color w:val="auto"/>
              </w:rPr>
            </w:pPr>
            <w:r>
              <w:rPr>
                <w:rFonts w:ascii="Arial" w:cs="Arial" w:eastAsia="Arial" w:hAnsi="Arial"/>
                <w:sz w:val="18"/>
                <w:szCs w:val="18"/>
                <w:color w:val="auto"/>
              </w:rPr>
              <w:t>Other Interpretive Provisions</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ARTICLE II</w:t>
            </w:r>
          </w:p>
        </w:tc>
        <w:tc>
          <w:tcPr>
            <w:tcW w:w="9000" w:type="dxa"/>
            <w:vAlign w:val="bottom"/>
            <w:gridSpan w:val="2"/>
          </w:tcPr>
          <w:p>
            <w:pPr>
              <w:ind w:left="140"/>
              <w:spacing w:after="0"/>
              <w:rPr>
                <w:sz w:val="20"/>
                <w:szCs w:val="20"/>
                <w:color w:val="auto"/>
              </w:rPr>
            </w:pPr>
            <w:r>
              <w:rPr>
                <w:rFonts w:ascii="Arial" w:cs="Arial" w:eastAsia="Arial" w:hAnsi="Arial"/>
                <w:sz w:val="18"/>
                <w:szCs w:val="18"/>
                <w:color w:val="auto"/>
              </w:rPr>
              <w:t>REGISTRATION RIGHTS</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2.01.</w:t>
            </w:r>
          </w:p>
        </w:tc>
        <w:tc>
          <w:tcPr>
            <w:tcW w:w="8200" w:type="dxa"/>
            <w:vAlign w:val="bottom"/>
          </w:tcPr>
          <w:p>
            <w:pPr>
              <w:ind w:left="220"/>
              <w:spacing w:after="0"/>
              <w:rPr>
                <w:sz w:val="20"/>
                <w:szCs w:val="20"/>
                <w:color w:val="auto"/>
              </w:rPr>
            </w:pPr>
            <w:r>
              <w:rPr>
                <w:rFonts w:ascii="Arial" w:cs="Arial" w:eastAsia="Arial" w:hAnsi="Arial"/>
                <w:sz w:val="18"/>
                <w:szCs w:val="18"/>
                <w:color w:val="auto"/>
              </w:rPr>
              <w:t>Demand Registration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2.02.</w:t>
            </w:r>
          </w:p>
        </w:tc>
        <w:tc>
          <w:tcPr>
            <w:tcW w:w="8200" w:type="dxa"/>
            <w:vAlign w:val="bottom"/>
          </w:tcPr>
          <w:p>
            <w:pPr>
              <w:ind w:left="220"/>
              <w:spacing w:after="0"/>
              <w:rPr>
                <w:sz w:val="20"/>
                <w:szCs w:val="20"/>
                <w:color w:val="auto"/>
              </w:rPr>
            </w:pPr>
            <w:r>
              <w:rPr>
                <w:rFonts w:ascii="Arial" w:cs="Arial" w:eastAsia="Arial" w:hAnsi="Arial"/>
                <w:sz w:val="18"/>
                <w:szCs w:val="18"/>
                <w:color w:val="auto"/>
              </w:rPr>
              <w:t>Shelf Registration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2.03.</w:t>
            </w:r>
          </w:p>
        </w:tc>
        <w:tc>
          <w:tcPr>
            <w:tcW w:w="8200" w:type="dxa"/>
            <w:vAlign w:val="bottom"/>
          </w:tcPr>
          <w:p>
            <w:pPr>
              <w:ind w:left="220"/>
              <w:spacing w:after="0"/>
              <w:rPr>
                <w:sz w:val="20"/>
                <w:szCs w:val="20"/>
                <w:color w:val="auto"/>
              </w:rPr>
            </w:pPr>
            <w:r>
              <w:rPr>
                <w:rFonts w:ascii="Arial" w:cs="Arial" w:eastAsia="Arial" w:hAnsi="Arial"/>
                <w:sz w:val="18"/>
                <w:szCs w:val="18"/>
                <w:color w:val="auto"/>
              </w:rPr>
              <w:t>Piggyback Registration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2.04.</w:t>
            </w:r>
          </w:p>
        </w:tc>
        <w:tc>
          <w:tcPr>
            <w:tcW w:w="8200" w:type="dxa"/>
            <w:vAlign w:val="bottom"/>
          </w:tcPr>
          <w:p>
            <w:pPr>
              <w:ind w:left="220"/>
              <w:spacing w:after="0"/>
              <w:rPr>
                <w:sz w:val="20"/>
                <w:szCs w:val="20"/>
                <w:color w:val="auto"/>
              </w:rPr>
            </w:pPr>
            <w:r>
              <w:rPr>
                <w:rFonts w:ascii="Arial" w:cs="Arial" w:eastAsia="Arial" w:hAnsi="Arial"/>
                <w:sz w:val="18"/>
                <w:szCs w:val="18"/>
                <w:color w:val="auto"/>
              </w:rPr>
              <w:t>Black-out Periods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2.05.</w:t>
            </w:r>
          </w:p>
        </w:tc>
        <w:tc>
          <w:tcPr>
            <w:tcW w:w="8200" w:type="dxa"/>
            <w:vAlign w:val="bottom"/>
          </w:tcPr>
          <w:p>
            <w:pPr>
              <w:ind w:left="220"/>
              <w:spacing w:after="0"/>
              <w:rPr>
                <w:sz w:val="20"/>
                <w:szCs w:val="20"/>
                <w:color w:val="auto"/>
              </w:rPr>
            </w:pPr>
            <w:r>
              <w:rPr>
                <w:rFonts w:ascii="Arial" w:cs="Arial" w:eastAsia="Arial" w:hAnsi="Arial"/>
                <w:sz w:val="18"/>
                <w:szCs w:val="18"/>
                <w:color w:val="auto"/>
              </w:rPr>
              <w:t>Registration Procedures</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2.06.</w:t>
            </w:r>
          </w:p>
        </w:tc>
        <w:tc>
          <w:tcPr>
            <w:tcW w:w="8200" w:type="dxa"/>
            <w:vAlign w:val="bottom"/>
          </w:tcPr>
          <w:p>
            <w:pPr>
              <w:ind w:left="220"/>
              <w:spacing w:after="0"/>
              <w:rPr>
                <w:sz w:val="20"/>
                <w:szCs w:val="20"/>
                <w:color w:val="auto"/>
              </w:rPr>
            </w:pPr>
            <w:r>
              <w:rPr>
                <w:rFonts w:ascii="Arial" w:cs="Arial" w:eastAsia="Arial" w:hAnsi="Arial"/>
                <w:sz w:val="18"/>
                <w:szCs w:val="18"/>
                <w:color w:val="auto"/>
              </w:rPr>
              <w:t>Underwritten Offerings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2.07.</w:t>
            </w:r>
          </w:p>
        </w:tc>
        <w:tc>
          <w:tcPr>
            <w:tcW w:w="8200" w:type="dxa"/>
            <w:vAlign w:val="bottom"/>
          </w:tcPr>
          <w:p>
            <w:pPr>
              <w:ind w:left="220"/>
              <w:spacing w:after="0"/>
              <w:rPr>
                <w:sz w:val="20"/>
                <w:szCs w:val="20"/>
                <w:color w:val="auto"/>
              </w:rPr>
            </w:pPr>
            <w:r>
              <w:rPr>
                <w:rFonts w:ascii="Arial" w:cs="Arial" w:eastAsia="Arial" w:hAnsi="Arial"/>
                <w:sz w:val="18"/>
                <w:szCs w:val="18"/>
                <w:color w:val="auto"/>
              </w:rPr>
              <w:t>No Inconsistent Agreements; Additional Rights</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2.08.</w:t>
            </w:r>
          </w:p>
        </w:tc>
        <w:tc>
          <w:tcPr>
            <w:tcW w:w="8200" w:type="dxa"/>
            <w:vAlign w:val="bottom"/>
          </w:tcPr>
          <w:p>
            <w:pPr>
              <w:ind w:left="220"/>
              <w:spacing w:after="0"/>
              <w:rPr>
                <w:sz w:val="20"/>
                <w:szCs w:val="20"/>
                <w:color w:val="auto"/>
              </w:rPr>
            </w:pPr>
            <w:r>
              <w:rPr>
                <w:rFonts w:ascii="Arial" w:cs="Arial" w:eastAsia="Arial" w:hAnsi="Arial"/>
                <w:sz w:val="18"/>
                <w:szCs w:val="18"/>
                <w:color w:val="auto"/>
              </w:rPr>
              <w:t>Registration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2.09.</w:t>
            </w:r>
          </w:p>
        </w:tc>
        <w:tc>
          <w:tcPr>
            <w:tcW w:w="820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2.10.</w:t>
            </w:r>
          </w:p>
        </w:tc>
        <w:tc>
          <w:tcPr>
            <w:tcW w:w="8200" w:type="dxa"/>
            <w:vAlign w:val="bottom"/>
          </w:tcPr>
          <w:p>
            <w:pPr>
              <w:ind w:left="220"/>
              <w:spacing w:after="0"/>
              <w:rPr>
                <w:sz w:val="20"/>
                <w:szCs w:val="20"/>
                <w:color w:val="auto"/>
              </w:rPr>
            </w:pPr>
            <w:r>
              <w:rPr>
                <w:rFonts w:ascii="Arial" w:cs="Arial" w:eastAsia="Arial" w:hAnsi="Arial"/>
                <w:sz w:val="18"/>
                <w:szCs w:val="18"/>
                <w:color w:val="auto"/>
              </w:rPr>
              <w:t>Rules 144 and 144A and Regulation S</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2.11.</w:t>
            </w:r>
          </w:p>
        </w:tc>
        <w:tc>
          <w:tcPr>
            <w:tcW w:w="8200" w:type="dxa"/>
            <w:vAlign w:val="bottom"/>
          </w:tcPr>
          <w:p>
            <w:pPr>
              <w:ind w:left="220"/>
              <w:spacing w:after="0"/>
              <w:rPr>
                <w:sz w:val="20"/>
                <w:szCs w:val="20"/>
                <w:color w:val="auto"/>
              </w:rPr>
            </w:pPr>
            <w:r>
              <w:rPr>
                <w:rFonts w:ascii="Arial" w:cs="Arial" w:eastAsia="Arial" w:hAnsi="Arial"/>
                <w:sz w:val="18"/>
                <w:szCs w:val="18"/>
                <w:color w:val="auto"/>
              </w:rPr>
              <w:t>Limitation on Registrations and Underwritten Offerings</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2.12.</w:t>
            </w:r>
          </w:p>
        </w:tc>
        <w:tc>
          <w:tcPr>
            <w:tcW w:w="8200" w:type="dxa"/>
            <w:vAlign w:val="bottom"/>
          </w:tcPr>
          <w:p>
            <w:pPr>
              <w:ind w:left="220"/>
              <w:spacing w:after="0"/>
              <w:rPr>
                <w:sz w:val="20"/>
                <w:szCs w:val="20"/>
                <w:color w:val="auto"/>
              </w:rPr>
            </w:pPr>
            <w:r>
              <w:rPr>
                <w:rFonts w:ascii="Arial" w:cs="Arial" w:eastAsia="Arial" w:hAnsi="Arial"/>
                <w:sz w:val="18"/>
                <w:szCs w:val="18"/>
                <w:color w:val="auto"/>
              </w:rPr>
              <w:t>Clear Market</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2.13.</w:t>
            </w:r>
          </w:p>
        </w:tc>
        <w:tc>
          <w:tcPr>
            <w:tcW w:w="8200" w:type="dxa"/>
            <w:vAlign w:val="bottom"/>
          </w:tcPr>
          <w:p>
            <w:pPr>
              <w:ind w:left="220"/>
              <w:spacing w:after="0"/>
              <w:rPr>
                <w:sz w:val="20"/>
                <w:szCs w:val="20"/>
                <w:color w:val="auto"/>
              </w:rPr>
            </w:pPr>
            <w:r>
              <w:rPr>
                <w:rFonts w:ascii="Arial" w:cs="Arial" w:eastAsia="Arial" w:hAnsi="Arial"/>
                <w:sz w:val="18"/>
                <w:szCs w:val="18"/>
                <w:color w:val="auto"/>
              </w:rPr>
              <w:t>In-Kind Distributions</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ARTICLE III</w:t>
            </w:r>
          </w:p>
        </w:tc>
        <w:tc>
          <w:tcPr>
            <w:tcW w:w="9000" w:type="dxa"/>
            <w:vAlign w:val="bottom"/>
            <w:gridSpan w:val="2"/>
          </w:tcPr>
          <w:p>
            <w:pPr>
              <w:ind w:left="140"/>
              <w:spacing w:after="0"/>
              <w:rPr>
                <w:sz w:val="20"/>
                <w:szCs w:val="20"/>
                <w:color w:val="auto"/>
              </w:rPr>
            </w:pPr>
            <w:r>
              <w:rPr>
                <w:rFonts w:ascii="Arial" w:cs="Arial" w:eastAsia="Arial" w:hAnsi="Arial"/>
                <w:sz w:val="18"/>
                <w:szCs w:val="18"/>
                <w:color w:val="auto"/>
              </w:rPr>
              <w:t>MISCELLANEOUS</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3.01.</w:t>
            </w:r>
          </w:p>
        </w:tc>
        <w:tc>
          <w:tcPr>
            <w:tcW w:w="8200" w:type="dxa"/>
            <w:vAlign w:val="bottom"/>
          </w:tcPr>
          <w:p>
            <w:pPr>
              <w:ind w:left="220"/>
              <w:spacing w:after="0"/>
              <w:rPr>
                <w:sz w:val="20"/>
                <w:szCs w:val="20"/>
                <w:color w:val="auto"/>
              </w:rPr>
            </w:pPr>
            <w:r>
              <w:rPr>
                <w:rFonts w:ascii="Arial" w:cs="Arial" w:eastAsia="Arial" w:hAnsi="Arial"/>
                <w:sz w:val="18"/>
                <w:szCs w:val="18"/>
                <w:color w:val="auto"/>
              </w:rPr>
              <w:t>Term</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3.02.</w:t>
            </w:r>
          </w:p>
        </w:tc>
        <w:tc>
          <w:tcPr>
            <w:tcW w:w="8200" w:type="dxa"/>
            <w:vAlign w:val="bottom"/>
          </w:tcPr>
          <w:p>
            <w:pPr>
              <w:ind w:left="220"/>
              <w:spacing w:after="0"/>
              <w:rPr>
                <w:sz w:val="20"/>
                <w:szCs w:val="20"/>
                <w:color w:val="auto"/>
              </w:rPr>
            </w:pPr>
            <w:r>
              <w:rPr>
                <w:rFonts w:ascii="Arial" w:cs="Arial" w:eastAsia="Arial" w:hAnsi="Arial"/>
                <w:sz w:val="18"/>
                <w:szCs w:val="18"/>
                <w:color w:val="auto"/>
              </w:rPr>
              <w:t>Injunctive Relief</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3.03.</w:t>
            </w:r>
          </w:p>
        </w:tc>
        <w:tc>
          <w:tcPr>
            <w:tcW w:w="8200" w:type="dxa"/>
            <w:vAlign w:val="bottom"/>
          </w:tcPr>
          <w:p>
            <w:pPr>
              <w:ind w:left="220"/>
              <w:spacing w:after="0"/>
              <w:rPr>
                <w:sz w:val="20"/>
                <w:szCs w:val="20"/>
                <w:color w:val="auto"/>
              </w:rPr>
            </w:pPr>
            <w:r>
              <w:rPr>
                <w:rFonts w:ascii="Arial" w:cs="Arial" w:eastAsia="Arial" w:hAnsi="Arial"/>
                <w:sz w:val="18"/>
                <w:szCs w:val="18"/>
                <w:color w:val="auto"/>
              </w:rPr>
              <w:t>Attorneys’ Fees</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3.04.</w:t>
            </w:r>
          </w:p>
        </w:tc>
        <w:tc>
          <w:tcPr>
            <w:tcW w:w="8200" w:type="dxa"/>
            <w:vAlign w:val="bottom"/>
          </w:tcPr>
          <w:p>
            <w:pPr>
              <w:ind w:left="220"/>
              <w:spacing w:after="0"/>
              <w:rPr>
                <w:sz w:val="20"/>
                <w:szCs w:val="20"/>
                <w:color w:val="auto"/>
              </w:rPr>
            </w:pPr>
            <w:r>
              <w:rPr>
                <w:rFonts w:ascii="Arial" w:cs="Arial" w:eastAsia="Arial" w:hAnsi="Arial"/>
                <w:sz w:val="18"/>
                <w:szCs w:val="18"/>
                <w:color w:val="auto"/>
              </w:rPr>
              <w:t>Notices</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3.05.</w:t>
            </w:r>
          </w:p>
        </w:tc>
        <w:tc>
          <w:tcPr>
            <w:tcW w:w="8200" w:type="dxa"/>
            <w:vAlign w:val="bottom"/>
          </w:tcPr>
          <w:p>
            <w:pPr>
              <w:ind w:left="220"/>
              <w:spacing w:after="0"/>
              <w:rPr>
                <w:sz w:val="20"/>
                <w:szCs w:val="20"/>
                <w:color w:val="auto"/>
              </w:rPr>
            </w:pPr>
            <w:r>
              <w:rPr>
                <w:rFonts w:ascii="Arial" w:cs="Arial" w:eastAsia="Arial" w:hAnsi="Arial"/>
                <w:sz w:val="18"/>
                <w:szCs w:val="18"/>
                <w:color w:val="auto"/>
              </w:rPr>
              <w:t>Publicity and Confidentiality</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3.06.</w:t>
            </w:r>
          </w:p>
        </w:tc>
        <w:tc>
          <w:tcPr>
            <w:tcW w:w="820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3.07.</w:t>
            </w:r>
          </w:p>
        </w:tc>
        <w:tc>
          <w:tcPr>
            <w:tcW w:w="8200" w:type="dxa"/>
            <w:vAlign w:val="bottom"/>
          </w:tcPr>
          <w:p>
            <w:pPr>
              <w:ind w:left="220"/>
              <w:spacing w:after="0"/>
              <w:rPr>
                <w:sz w:val="20"/>
                <w:szCs w:val="20"/>
                <w:color w:val="auto"/>
              </w:rPr>
            </w:pPr>
            <w:r>
              <w:rPr>
                <w:rFonts w:ascii="Arial" w:cs="Arial" w:eastAsia="Arial" w:hAnsi="Arial"/>
                <w:sz w:val="18"/>
                <w:szCs w:val="18"/>
                <w:color w:val="auto"/>
              </w:rPr>
              <w:t>Successors, Assigns and Transferees</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3.08.</w:t>
            </w:r>
          </w:p>
        </w:tc>
        <w:tc>
          <w:tcPr>
            <w:tcW w:w="8200" w:type="dxa"/>
            <w:vAlign w:val="bottom"/>
          </w:tcPr>
          <w:p>
            <w:pPr>
              <w:ind w:left="220"/>
              <w:spacing w:after="0"/>
              <w:rPr>
                <w:sz w:val="20"/>
                <w:szCs w:val="20"/>
                <w:color w:val="auto"/>
              </w:rPr>
            </w:pPr>
            <w:r>
              <w:rPr>
                <w:rFonts w:ascii="Arial" w:cs="Arial" w:eastAsia="Arial" w:hAnsi="Arial"/>
                <w:sz w:val="18"/>
                <w:szCs w:val="18"/>
                <w:color w:val="auto"/>
              </w:rPr>
              <w:t>Binding Effect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3.09.</w:t>
            </w:r>
          </w:p>
        </w:tc>
        <w:tc>
          <w:tcPr>
            <w:tcW w:w="8200" w:type="dxa"/>
            <w:vAlign w:val="bottom"/>
          </w:tcPr>
          <w:p>
            <w:pPr>
              <w:ind w:left="220"/>
              <w:spacing w:after="0"/>
              <w:rPr>
                <w:sz w:val="20"/>
                <w:szCs w:val="20"/>
                <w:color w:val="auto"/>
              </w:rPr>
            </w:pPr>
            <w:r>
              <w:rPr>
                <w:rFonts w:ascii="Arial" w:cs="Arial" w:eastAsia="Arial" w:hAnsi="Arial"/>
                <w:sz w:val="18"/>
                <w:szCs w:val="18"/>
                <w:color w:val="auto"/>
              </w:rPr>
              <w:t>Third Party Beneficiaries</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3.10.</w:t>
            </w:r>
          </w:p>
        </w:tc>
        <w:tc>
          <w:tcPr>
            <w:tcW w:w="8200" w:type="dxa"/>
            <w:vAlign w:val="bottom"/>
          </w:tcPr>
          <w:p>
            <w:pPr>
              <w:ind w:left="220"/>
              <w:spacing w:after="0"/>
              <w:rPr>
                <w:sz w:val="20"/>
                <w:szCs w:val="20"/>
                <w:color w:val="auto"/>
              </w:rPr>
            </w:pPr>
            <w:r>
              <w:rPr>
                <w:rFonts w:ascii="Arial" w:cs="Arial" w:eastAsia="Arial" w:hAnsi="Arial"/>
                <w:sz w:val="18"/>
                <w:szCs w:val="18"/>
                <w:color w:val="auto"/>
              </w:rPr>
              <w:t>Governing Law; Jurisdiction</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3.11.</w:t>
            </w:r>
          </w:p>
        </w:tc>
        <w:tc>
          <w:tcPr>
            <w:tcW w:w="820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3.12.</w:t>
            </w:r>
          </w:p>
        </w:tc>
        <w:tc>
          <w:tcPr>
            <w:tcW w:w="82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3.13.</w:t>
            </w:r>
          </w:p>
        </w:tc>
        <w:tc>
          <w:tcPr>
            <w:tcW w:w="820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3.14.</w:t>
            </w:r>
          </w:p>
        </w:tc>
        <w:tc>
          <w:tcPr>
            <w:tcW w:w="8200" w:type="dxa"/>
            <w:vAlign w:val="bottom"/>
          </w:tcPr>
          <w:p>
            <w:pPr>
              <w:ind w:left="220"/>
              <w:spacing w:after="0"/>
              <w:rPr>
                <w:sz w:val="20"/>
                <w:szCs w:val="20"/>
                <w:color w:val="auto"/>
              </w:rPr>
            </w:pPr>
            <w:r>
              <w:rPr>
                <w:rFonts w:ascii="Arial" w:cs="Arial" w:eastAsia="Arial" w:hAnsi="Arial"/>
                <w:sz w:val="18"/>
                <w:szCs w:val="18"/>
                <w:color w:val="auto"/>
              </w:rPr>
              <w:t>Headings</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940" w:type="dxa"/>
            <w:vAlign w:val="bottom"/>
            <w:gridSpan w:val="2"/>
          </w:tcPr>
          <w:p>
            <w:pPr>
              <w:ind w:left="540"/>
              <w:spacing w:after="0"/>
              <w:rPr>
                <w:sz w:val="20"/>
                <w:szCs w:val="20"/>
                <w:color w:val="auto"/>
              </w:rPr>
            </w:pPr>
            <w:r>
              <w:rPr>
                <w:rFonts w:ascii="Arial" w:cs="Arial" w:eastAsia="Arial" w:hAnsi="Arial"/>
                <w:sz w:val="18"/>
                <w:szCs w:val="18"/>
                <w:color w:val="auto"/>
              </w:rPr>
              <w:t>SECTION 3.15.</w:t>
            </w:r>
          </w:p>
        </w:tc>
        <w:tc>
          <w:tcPr>
            <w:tcW w:w="8200" w:type="dxa"/>
            <w:vAlign w:val="bottom"/>
          </w:tcPr>
          <w:p>
            <w:pPr>
              <w:ind w:left="220"/>
              <w:spacing w:after="0"/>
              <w:rPr>
                <w:sz w:val="20"/>
                <w:szCs w:val="20"/>
                <w:color w:val="auto"/>
              </w:rPr>
            </w:pPr>
            <w:r>
              <w:rPr>
                <w:rFonts w:ascii="Arial" w:cs="Arial" w:eastAsia="Arial" w:hAnsi="Arial"/>
                <w:sz w:val="18"/>
                <w:szCs w:val="18"/>
                <w:color w:val="auto"/>
              </w:rPr>
              <w:t>Joinder</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1" w:name="page342"/>
    <w:bookmarkEnd w:id="341"/>
    <w:p>
      <w:pPr>
        <w:jc w:val="center"/>
        <w:ind w:right="-19"/>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This Amended and Restated Registration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made, entered into and effective June 21, 2018, by and among the investors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the Holders other than the Investors (each as defined herein)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and CrowdStrike Holdings, Inc., a Delaware corporation (including any of its successors by merger, acquisition, reorganization, conversion or otherwise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WHEREAS, the Company and certain of the Holders and Investors previously entered into an Amended and Restated Registration Rights Agreement dated as of October 13, 2017 (the “</w:t>
      </w:r>
      <w:r>
        <w:rPr>
          <w:rFonts w:ascii="Arial" w:cs="Arial" w:eastAsia="Arial" w:hAnsi="Arial"/>
          <w:sz w:val="18"/>
          <w:szCs w:val="18"/>
          <w:u w:val="single" w:color="auto"/>
          <w:color w:val="auto"/>
        </w:rPr>
        <w:t>Prior Agreement</w:t>
      </w:r>
      <w:r>
        <w:rPr>
          <w:rFonts w:ascii="Arial" w:cs="Arial" w:eastAsia="Arial" w:hAnsi="Arial"/>
          <w:sz w:val="18"/>
          <w:szCs w:val="18"/>
          <w:color w:val="auto"/>
        </w:rPr>
        <w:t>”); and</w:t>
      </w:r>
    </w:p>
    <w:p>
      <w:pPr>
        <w:spacing w:after="0" w:line="170"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WHEREAS, in connection with the Company’s sale of shares of Series E Convertible Preferred Stock and Series E-1 Convertible Preferred Stock, the parties hereto, including certain of the Holders and Investors, desire to amend and restate the Prior Agreement in its entirety to set forth certain registration rights applicable to the Registrable Securities.</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NOW, THEREFORE, in consideration of the foregoing and the mutual promises, covenants and agreements of the parties hereto, and for other good and valuable consideration the receipt and sufficiency of which are hereby acknowledged, the parties hereto agree to amend and restate the Prior Agreement in its entirety as follows: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following meanings:</w:t>
      </w:r>
    </w:p>
    <w:p>
      <w:pPr>
        <w:spacing w:after="0" w:line="225" w:lineRule="exact"/>
        <w:rPr>
          <w:sz w:val="20"/>
          <w:szCs w:val="20"/>
          <w:color w:val="auto"/>
        </w:rPr>
      </w:pPr>
    </w:p>
    <w:p>
      <w:pPr>
        <w:ind w:right="38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Accel</w:t>
      </w:r>
      <w:r>
        <w:rPr>
          <w:rFonts w:ascii="Arial" w:cs="Arial" w:eastAsia="Arial" w:hAnsi="Arial"/>
          <w:sz w:val="17"/>
          <w:szCs w:val="17"/>
          <w:color w:val="auto"/>
        </w:rPr>
        <w:t>” means Accel Leaders Fund L.P., Accel Leaders Fund Investors 2016 L.L.C., Accel London III L.P., Accel London Investors 2012 L.P., Accel Growth Fund II L.P., Accel Growth Fund II Strategic Partners L.P. and Accel Growth Fund Investors 2013 L.L.C.</w:t>
      </w:r>
    </w:p>
    <w:p>
      <w:pPr>
        <w:spacing w:after="0" w:line="146" w:lineRule="exact"/>
        <w:rPr>
          <w:sz w:val="20"/>
          <w:szCs w:val="20"/>
          <w:color w:val="auto"/>
        </w:rPr>
      </w:pPr>
    </w:p>
    <w:p>
      <w:pPr>
        <w:ind w:right="6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Adverse Disclosure</w:t>
      </w:r>
      <w:r>
        <w:rPr>
          <w:rFonts w:ascii="Arial" w:cs="Arial" w:eastAsia="Arial" w:hAnsi="Arial"/>
          <w:sz w:val="17"/>
          <w:szCs w:val="17"/>
          <w:color w:val="auto"/>
        </w:rPr>
        <w:t xml:space="preserve">” means public disclosure of material non-public information that, in the Board of Directors’ good faith judgment, after consultation with independent outside counsel to the Company, would be required to be made in any Registration Statement filed with the SEC by the Company so that such Registration Statement would not be materially misleading and would not be required to be made at such time but for the filing of such Registration Statement, but which information the Company has a </w:t>
      </w:r>
      <w:r>
        <w:rPr>
          <w:rFonts w:ascii="Arial" w:cs="Arial" w:eastAsia="Arial" w:hAnsi="Arial"/>
          <w:sz w:val="17"/>
          <w:szCs w:val="17"/>
          <w:u w:val="single" w:color="auto"/>
          <w:color w:val="auto"/>
        </w:rPr>
        <w:t>bona fide</w:t>
      </w:r>
      <w:r>
        <w:rPr>
          <w:rFonts w:ascii="Arial" w:cs="Arial" w:eastAsia="Arial" w:hAnsi="Arial"/>
          <w:sz w:val="17"/>
          <w:szCs w:val="17"/>
          <w:color w:val="auto"/>
        </w:rPr>
        <w:t xml:space="preserve"> business purpose for not disclosing publicly.</w:t>
      </w:r>
    </w:p>
    <w:p>
      <w:pPr>
        <w:spacing w:after="0" w:line="171"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has the meaning specified in Rule 12b-2 under the Exchange Act and, if the Holder is a venture capital fund or similar fund, shall include the affiliated funds of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Holder shall be deemed an Affiliate of the Company or its Subsidiaries for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neither portfolio companies (as such term is commonly used in the private equity industry) of an Institutional Investor nor limited partners, non-managing members or other similar direct or indirect investors in an Institutional Investor shall be deemed to be Affiliates of such Institutional Investor. The term “</w:t>
      </w:r>
      <w:r>
        <w:rPr>
          <w:rFonts w:ascii="Arial" w:cs="Arial" w:eastAsia="Arial" w:hAnsi="Arial"/>
          <w:sz w:val="18"/>
          <w:szCs w:val="18"/>
          <w:u w:val="single" w:color="auto"/>
          <w:color w:val="auto"/>
        </w:rPr>
        <w:t>Affiliated</w:t>
      </w:r>
      <w:r>
        <w:rPr>
          <w:rFonts w:ascii="Arial" w:cs="Arial" w:eastAsia="Arial" w:hAnsi="Arial"/>
          <w:sz w:val="18"/>
          <w:szCs w:val="18"/>
          <w:color w:val="auto"/>
        </w:rPr>
        <w:t>” has a correlative meaning.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2" w:name="page343"/>
    <w:bookmarkEnd w:id="342"/>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 day on which commercial banks located in New York, New York are required or authorized by law or executive order to be closed.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CapitalG</w:t>
      </w:r>
      <w:r>
        <w:rPr>
          <w:rFonts w:ascii="Arial" w:cs="Arial" w:eastAsia="Arial" w:hAnsi="Arial"/>
          <w:sz w:val="18"/>
          <w:szCs w:val="18"/>
          <w:color w:val="auto"/>
        </w:rPr>
        <w:t>” means CapitalG LP and CapitalG 2015 LP.</w:t>
      </w:r>
    </w:p>
    <w:p>
      <w:pPr>
        <w:spacing w:after="0" w:line="225" w:lineRule="exact"/>
        <w:rPr>
          <w:sz w:val="20"/>
          <w:szCs w:val="20"/>
          <w:color w:val="auto"/>
        </w:rPr>
      </w:pPr>
    </w:p>
    <w:p>
      <w:pPr>
        <w:ind w:right="80"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of any of the following: (i) the sale, lease or transfer, in a single transaction or in a series of related transactions, of all or substantially all of the assets of the Company and its Subsidiaries, taken as a whole, to any Person or (ii) the acquisition by any Person or group (within the meaning of Section 13(d)(3) or Section 14(d)(2) of the Exchange Act, or any successor provision) (other than the Institutional Investors and their Affiliates), including any group acting for the purpose of acquiring, holding or disposing of securities (within the meaning of Rule 13d-5(b)(1) under the Exchange Act, or any successor provision), in a single transaction or in a series of related transactions, by way of merger, consolidation or other business combination or purchase of beneficial ownership (within the meaning of Rule 13d-3 under the Exchange Act, or any successor provision) of 50% or more of the total voting power of the Company or any of its direct or indirect parent companies holding directly or indirectly 100% of the total voting power of the Company.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Public Sale</w:t>
      </w:r>
      <w:r>
        <w:rPr>
          <w:rFonts w:ascii="Arial" w:cs="Arial" w:eastAsia="Arial" w:hAnsi="Arial"/>
          <w:sz w:val="18"/>
          <w:szCs w:val="18"/>
          <w:color w:val="auto"/>
        </w:rPr>
        <w:t>” has the meaning set forth in Section 2.03(a).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 Equivalent</w:t>
      </w:r>
      <w:r>
        <w:rPr>
          <w:rFonts w:ascii="Arial" w:cs="Arial" w:eastAsia="Arial" w:hAnsi="Arial"/>
          <w:sz w:val="16"/>
          <w:szCs w:val="16"/>
          <w:color w:val="auto"/>
        </w:rPr>
        <w:t>” means, without duplication, securities exercisable, exchangeable or convertible into Company Shares.</w:t>
      </w:r>
    </w:p>
    <w:p>
      <w:pPr>
        <w:spacing w:after="0" w:line="248"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the shares of common stock, par value $0.0005 per share, of the Company, and without duplication, any securities into which such shares of common stock shall have been changed, or any securities resulting from any reclassification, recapitalization or similar transactions with respect to such shares of common stock.</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Company Notice</w:t>
      </w:r>
      <w:r>
        <w:rPr>
          <w:rFonts w:ascii="Arial" w:cs="Arial" w:eastAsia="Arial" w:hAnsi="Arial"/>
          <w:sz w:val="18"/>
          <w:szCs w:val="18"/>
          <w:color w:val="auto"/>
        </w:rPr>
        <w:t>” has the meaning set forth in Section 2.01(d).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Notice</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Party</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Period</w:t>
      </w:r>
      <w:r>
        <w:rPr>
          <w:rFonts w:ascii="Arial" w:cs="Arial" w:eastAsia="Arial" w:hAnsi="Arial"/>
          <w:sz w:val="18"/>
          <w:szCs w:val="18"/>
          <w:color w:val="auto"/>
        </w:rPr>
        <w:t>” has the meaning set forth in Section 2.01(c).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Suspension</w:t>
      </w:r>
      <w:r>
        <w:rPr>
          <w:rFonts w:ascii="Arial" w:cs="Arial" w:eastAsia="Arial" w:hAnsi="Arial"/>
          <w:sz w:val="18"/>
          <w:szCs w:val="18"/>
          <w:color w:val="auto"/>
        </w:rPr>
        <w:t>” has the meaning set forth in Section 2.01(e).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Eligibility Notice</w:t>
      </w:r>
      <w:r>
        <w:rPr>
          <w:rFonts w:ascii="Arial" w:cs="Arial" w:eastAsia="Arial" w:hAnsi="Arial"/>
          <w:sz w:val="18"/>
          <w:szCs w:val="18"/>
          <w:color w:val="auto"/>
        </w:rPr>
        <w:t>” has the meaning set forth in Section 2.02(a)(i).</w:t>
      </w:r>
    </w:p>
    <w:p>
      <w:pPr>
        <w:spacing w:after="0" w:line="225" w:lineRule="exact"/>
        <w:rPr>
          <w:sz w:val="20"/>
          <w:szCs w:val="20"/>
          <w:color w:val="auto"/>
        </w:rPr>
      </w:pPr>
    </w:p>
    <w:p>
      <w:pPr>
        <w:ind w:right="4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thereto, and any rules and regulations promulgated thereunder, all as the same shall be in effect from time to time.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43" w:name="page344"/>
    <w:bookmarkEnd w:id="34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S-1</w:t>
      </w:r>
      <w:r>
        <w:rPr>
          <w:rFonts w:ascii="Arial" w:cs="Arial" w:eastAsia="Arial" w:hAnsi="Arial"/>
          <w:sz w:val="16"/>
          <w:szCs w:val="16"/>
          <w:color w:val="auto"/>
        </w:rPr>
        <w:t>” means a registration statement on Form S-1 under the Securities Act, or any comparable or successor form or forms thereto.</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S-3</w:t>
      </w:r>
      <w:r>
        <w:rPr>
          <w:rFonts w:ascii="Arial" w:cs="Arial" w:eastAsia="Arial" w:hAnsi="Arial"/>
          <w:sz w:val="16"/>
          <w:szCs w:val="16"/>
          <w:color w:val="auto"/>
        </w:rPr>
        <w:t>” means a registration statement on Form S-3 under the Securities Act, or any comparable or successor form or forms thereto.</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Atlantic</w:t>
      </w:r>
      <w:r>
        <w:rPr>
          <w:rFonts w:ascii="Arial" w:cs="Arial" w:eastAsia="Arial" w:hAnsi="Arial"/>
          <w:sz w:val="18"/>
          <w:szCs w:val="18"/>
          <w:color w:val="auto"/>
        </w:rPr>
        <w:t>” means General Atlantic (CS), L.P.</w:t>
      </w:r>
    </w:p>
    <w:p>
      <w:pPr>
        <w:spacing w:after="0" w:line="225" w:lineRule="exact"/>
        <w:rPr>
          <w:sz w:val="20"/>
          <w:szCs w:val="20"/>
          <w:color w:val="auto"/>
        </w:rPr>
      </w:pPr>
    </w:p>
    <w:p>
      <w:pPr>
        <w:jc w:val="both"/>
        <w:ind w:right="2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any holder of Registrable Securities that is a party hereto or that succeeds to rights hereunder pursuant to Section 3.07 and shall include, with respect to an Other Investor that is not an Individual, such Management Individual that would be a Permitted Transferee (as such term is defined in the Stockholders Agreement) of such Other Investor.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S-3 Holder</w:t>
      </w:r>
      <w:r>
        <w:rPr>
          <w:rFonts w:ascii="Arial" w:cs="Arial" w:eastAsia="Arial" w:hAnsi="Arial"/>
          <w:sz w:val="18"/>
          <w:szCs w:val="18"/>
          <w:color w:val="auto"/>
        </w:rPr>
        <w:t>” has the meaning set forth in Section 2.02(a)(i).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Initiating Holder</w:t>
      </w:r>
      <w:r>
        <w:rPr>
          <w:rFonts w:ascii="Arial" w:cs="Arial" w:eastAsia="Arial" w:hAnsi="Arial"/>
          <w:sz w:val="18"/>
          <w:szCs w:val="18"/>
          <w:color w:val="auto"/>
        </w:rPr>
        <w:t>” has the meaning set forth in Section 2.02(a)(ii).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Initiating Shelf Take-Down Holder</w:t>
      </w:r>
      <w:r>
        <w:rPr>
          <w:rFonts w:ascii="Arial" w:cs="Arial" w:eastAsia="Arial" w:hAnsi="Arial"/>
          <w:sz w:val="18"/>
          <w:szCs w:val="18"/>
          <w:color w:val="auto"/>
        </w:rPr>
        <w:t>” has the meaning set forth in Section 2.02(e)(i).</w:t>
      </w:r>
    </w:p>
    <w:p>
      <w:pPr>
        <w:spacing w:after="0" w:line="225"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Institutional Investor</w:t>
      </w:r>
      <w:r>
        <w:rPr>
          <w:rFonts w:ascii="Arial" w:cs="Arial" w:eastAsia="Arial" w:hAnsi="Arial"/>
          <w:sz w:val="16"/>
          <w:szCs w:val="16"/>
          <w:color w:val="auto"/>
        </w:rPr>
        <w:t>” or “</w:t>
      </w:r>
      <w:r>
        <w:rPr>
          <w:rFonts w:ascii="Arial" w:cs="Arial" w:eastAsia="Arial" w:hAnsi="Arial"/>
          <w:sz w:val="16"/>
          <w:szCs w:val="16"/>
          <w:u w:val="single" w:color="auto"/>
          <w:color w:val="auto"/>
        </w:rPr>
        <w:t>Institutional Investors</w:t>
      </w:r>
      <w:r>
        <w:rPr>
          <w:rFonts w:ascii="Arial" w:cs="Arial" w:eastAsia="Arial" w:hAnsi="Arial"/>
          <w:sz w:val="16"/>
          <w:szCs w:val="16"/>
          <w:color w:val="auto"/>
        </w:rPr>
        <w:t xml:space="preserve">” means Accel, CapitalG, General Atlantic, IVP, March Capital, Rackspace, Telstra, WPX and WPXP, any successor funds thereto, and their respective Affiliates that are direct or indirect equity investors in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March Capital shall not be deemed an Institutional Investor (and shall be deemed a Holder other than the Investors) (i) at such time the Company reasonably determines such Person to be engaged in Competitive Activities (as such term is defined in the Stockholders Agreement) or (ii) at such time such Person becomes a holder of securities of a Person engaged in Competitive Activities (as such term is defined in the Stockholders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Telstra shall not be deemed an Institutional Investor (and shall be deemed a Holder other than the Investors) at such time Telstra becomes a holder of securities of any one or more of the Specified Competitors (as such term is defined in the Stockholders Agreement).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Institutional Investor Registration Demands</w:t>
      </w:r>
      <w:r>
        <w:rPr>
          <w:rFonts w:ascii="Arial" w:cs="Arial" w:eastAsia="Arial" w:hAnsi="Arial"/>
          <w:sz w:val="18"/>
          <w:szCs w:val="18"/>
          <w:color w:val="auto"/>
        </w:rPr>
        <w:t>” has the meaning set forth in Section 2.11(c).</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or “</w:t>
      </w:r>
      <w:r>
        <w:rPr>
          <w:rFonts w:ascii="Arial" w:cs="Arial" w:eastAsia="Arial" w:hAnsi="Arial"/>
          <w:sz w:val="18"/>
          <w:szCs w:val="18"/>
          <w:u w:val="single" w:color="auto"/>
          <w:color w:val="auto"/>
        </w:rPr>
        <w:t>Investors</w:t>
      </w:r>
      <w:r>
        <w:rPr>
          <w:rFonts w:ascii="Arial" w:cs="Arial" w:eastAsia="Arial" w:hAnsi="Arial"/>
          <w:sz w:val="18"/>
          <w:szCs w:val="18"/>
          <w:color w:val="auto"/>
        </w:rPr>
        <w:t>” means the Institutional Investors and the Other Investors.</w:t>
      </w:r>
    </w:p>
    <w:p>
      <w:pPr>
        <w:spacing w:after="0" w:line="225"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first underwritten public offering and sale of Company Shares for cash pursuant to an effective registration statement (other than on Form S-4, S-8 or a comparable form) under the Securities Act.</w:t>
      </w:r>
    </w:p>
    <w:p>
      <w:pPr>
        <w:spacing w:after="0" w:line="170"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 issuer free writing prospectus, as defined in Rule 433 under the Securities Act, relating to an offer of Registrable Securities.</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IVP</w:t>
      </w:r>
      <w:r>
        <w:rPr>
          <w:rFonts w:ascii="Arial" w:cs="Arial" w:eastAsia="Arial" w:hAnsi="Arial"/>
          <w:sz w:val="18"/>
          <w:szCs w:val="18"/>
          <w:color w:val="auto"/>
        </w:rPr>
        <w:t>” means Institutional Venture Partners XVI, L.P.</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Long-Form Registration</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or “</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set forth in Section 2.09(a).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4" w:name="page345"/>
    <w:bookmarkEnd w:id="34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Individual</w:t>
      </w:r>
      <w:r>
        <w:rPr>
          <w:rFonts w:ascii="Arial" w:cs="Arial" w:eastAsia="Arial" w:hAnsi="Arial"/>
          <w:sz w:val="18"/>
          <w:szCs w:val="18"/>
          <w:color w:val="auto"/>
        </w:rPr>
        <w:t>” means George Kurtz, Dmitri Alperovitch and D. Gregg Marston.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March Capital</w:t>
      </w:r>
      <w:r>
        <w:rPr>
          <w:rFonts w:ascii="Arial" w:cs="Arial" w:eastAsia="Arial" w:hAnsi="Arial"/>
          <w:sz w:val="18"/>
          <w:szCs w:val="18"/>
          <w:color w:val="auto"/>
        </w:rPr>
        <w:t>” means March Capital Opportunity Fund, L.P. and March Capital Partners Fund I, L.P.</w:t>
      </w:r>
    </w:p>
    <w:p>
      <w:pPr>
        <w:spacing w:after="0" w:line="225" w:lineRule="exact"/>
        <w:rPr>
          <w:sz w:val="20"/>
          <w:szCs w:val="20"/>
          <w:color w:val="auto"/>
        </w:rPr>
      </w:pPr>
    </w:p>
    <w:p>
      <w:pPr>
        <w:ind w:right="100" w:firstLine="1296"/>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Marketed Underwritten Offering</w:t>
      </w:r>
      <w:r>
        <w:rPr>
          <w:rFonts w:ascii="Arial" w:cs="Arial" w:eastAsia="Arial" w:hAnsi="Arial"/>
          <w:sz w:val="17"/>
          <w:szCs w:val="17"/>
          <w:color w:val="auto"/>
        </w:rPr>
        <w:t xml:space="preserve">” means any Underwritten Offering (including a Marketed Underwritten Shelf Take-Down, but, for the avoidance of doubt, not including any Shelf Take-Down that is not a Marketed Underwritten Shelf Take-Down) </w:t>
      </w:r>
      <w:r>
        <w:rPr>
          <w:rFonts w:ascii="Arial" w:cs="Arial" w:eastAsia="Arial" w:hAnsi="Arial"/>
          <w:sz w:val="16"/>
          <w:szCs w:val="16"/>
          <w:color w:val="auto"/>
        </w:rPr>
        <w:t>that involves a customary “road show”</w:t>
      </w:r>
      <w:r>
        <w:rPr>
          <w:rFonts w:ascii="Arial" w:cs="Arial" w:eastAsia="Arial" w:hAnsi="Arial"/>
          <w:sz w:val="17"/>
          <w:szCs w:val="17"/>
          <w:color w:val="auto"/>
        </w:rPr>
        <w:t xml:space="preserve"> </w:t>
      </w:r>
      <w:r>
        <w:rPr>
          <w:rFonts w:ascii="Arial" w:cs="Arial" w:eastAsia="Arial" w:hAnsi="Arial"/>
          <w:sz w:val="16"/>
          <w:szCs w:val="16"/>
          <w:color w:val="auto"/>
        </w:rPr>
        <w:t>(including an “electronic road show”) or other substantial marketing effort by the Company and the underwriters over a period of at least 48 hours.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Marketed Underwritten Shelf Take-Down</w:t>
      </w:r>
      <w:r>
        <w:rPr>
          <w:rFonts w:ascii="Arial" w:cs="Arial" w:eastAsia="Arial" w:hAnsi="Arial"/>
          <w:sz w:val="18"/>
          <w:szCs w:val="18"/>
          <w:color w:val="auto"/>
        </w:rPr>
        <w:t>” has the meaning set forth in Section 2.02(e).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Marketed Underwritten Shelf Take-Down Notice</w:t>
      </w:r>
      <w:r>
        <w:rPr>
          <w:rFonts w:ascii="Arial" w:cs="Arial" w:eastAsia="Arial" w:hAnsi="Arial"/>
          <w:sz w:val="18"/>
          <w:szCs w:val="18"/>
          <w:color w:val="auto"/>
        </w:rPr>
        <w:t>” has the meaning set forth in Section 2.02(e).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Investors</w:t>
      </w:r>
      <w:r>
        <w:rPr>
          <w:rFonts w:ascii="Arial" w:cs="Arial" w:eastAsia="Arial" w:hAnsi="Arial"/>
          <w:sz w:val="18"/>
          <w:szCs w:val="18"/>
          <w:color w:val="auto"/>
        </w:rPr>
        <w:t xml:space="preserve">” means the parties set forth as such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5" w:lineRule="exact"/>
        <w:rPr>
          <w:sz w:val="20"/>
          <w:szCs w:val="20"/>
          <w:color w:val="auto"/>
        </w:rPr>
      </w:pPr>
    </w:p>
    <w:p>
      <w:pPr>
        <w:ind w:right="800" w:firstLine="133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Holder</w:t>
      </w:r>
      <w:r>
        <w:rPr>
          <w:rFonts w:ascii="Arial" w:cs="Arial" w:eastAsia="Arial" w:hAnsi="Arial"/>
          <w:sz w:val="18"/>
          <w:szCs w:val="18"/>
          <w:color w:val="auto"/>
        </w:rPr>
        <w:t>” means, with respect to any Registration, any Holder of Registrable Securities covered by the applicable Registration Statement.</w:t>
      </w:r>
    </w:p>
    <w:p>
      <w:pPr>
        <w:spacing w:after="0" w:line="170" w:lineRule="exact"/>
        <w:rPr>
          <w:sz w:val="20"/>
          <w:szCs w:val="20"/>
          <w:color w:val="auto"/>
        </w:rPr>
      </w:pPr>
    </w:p>
    <w:p>
      <w:pPr>
        <w:ind w:right="3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Institutional Investor</w:t>
      </w:r>
      <w:r>
        <w:rPr>
          <w:rFonts w:ascii="Arial" w:cs="Arial" w:eastAsia="Arial" w:hAnsi="Arial"/>
          <w:sz w:val="18"/>
          <w:szCs w:val="18"/>
          <w:color w:val="auto"/>
        </w:rPr>
        <w:t>” means, with respect to any Registration, any Institutional Investor that is a Holder of Registrable Securities covered by the applicable Registration Statement.</w:t>
      </w:r>
    </w:p>
    <w:p>
      <w:pPr>
        <w:spacing w:after="0" w:line="170"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Investor</w:t>
      </w:r>
      <w:r>
        <w:rPr>
          <w:rFonts w:ascii="Arial" w:cs="Arial" w:eastAsia="Arial" w:hAnsi="Arial"/>
          <w:sz w:val="18"/>
          <w:szCs w:val="18"/>
          <w:color w:val="auto"/>
        </w:rPr>
        <w:t>” means, with respect to any Registration, any Investor that is a Holder of Registrable Securities covered by the applicable Registration Statement.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has the meaning set forth in Section 3.07.</w:t>
      </w:r>
    </w:p>
    <w:p>
      <w:pPr>
        <w:spacing w:after="0" w:line="22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corporation, limited liability company, unincorporated organization, trust or joint venture, or a governmental agency or political subdivision thereof or any other entity.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has the meaning set forth in Section 2.03(a).</w:t>
      </w:r>
    </w:p>
    <w:p>
      <w:pPr>
        <w:spacing w:after="0" w:line="225"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Rata Investor Shelf Percentage</w:t>
      </w:r>
      <w:r>
        <w:rPr>
          <w:rFonts w:ascii="Arial" w:cs="Arial" w:eastAsia="Arial" w:hAnsi="Arial"/>
          <w:sz w:val="17"/>
          <w:szCs w:val="17"/>
          <w:color w:val="auto"/>
        </w:rPr>
        <w:t>” means, as of the date that an Initiating Holder delivers a Shelf Notice to the Company pursuant to Section 2.02(a), any other Participating Investor delivers a written notice to the Company with respect to such Shelf Notice pursuant to Section 2.02(c) or the Initial S-3 Holders deliver S-3 Shelf Notices to the Company pursuant to Section 2.02(a), an amount equal to the fraction (expressed as a percentage) determined by dividing (i) the number of Registrable Securities held by such Initiating Holder (and its Affiliates and Permitted Assignees), any other Participating Investor (and its Affiliates and Permitted Assignees) or the Initial S-3 Holders, respectively, requested by such Initiating Holder, other Participating Investor or Initial S-3 Holders, respectively, to be registered on the applicable Shelf Registration Statement as of such date by (ii) the total number of Registrable Securities held as of such date by such Initiating Holder (and its Affiliates and Permitted Assignees), any other Participating Investor (and its Affiliates and Permitted Assignees) or Initial S-3 Holders,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5" w:name="page346"/>
    <w:bookmarkEnd w:id="345"/>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Shelf Percentage</w:t>
      </w:r>
      <w:r>
        <w:rPr>
          <w:rFonts w:ascii="Arial" w:cs="Arial" w:eastAsia="Arial" w:hAnsi="Arial"/>
          <w:sz w:val="18"/>
          <w:szCs w:val="18"/>
          <w:color w:val="auto"/>
        </w:rPr>
        <w:t>” means, as of any date, with respect to a Holder, a number of Registrable Securities equal to (i) the number of Registrable Securities held by such Holder as of such date multiplied by (ii) the largest Pro Rata Investor Shelf Percentage with respect to the Participating Investor(s) for the applicable Shelf Registration Statement.</w:t>
      </w:r>
    </w:p>
    <w:p>
      <w:pPr>
        <w:spacing w:after="0" w:line="184" w:lineRule="exact"/>
        <w:rPr>
          <w:sz w:val="20"/>
          <w:szCs w:val="20"/>
          <w:color w:val="auto"/>
        </w:rPr>
      </w:pPr>
    </w:p>
    <w:p>
      <w:pPr>
        <w:ind w:right="66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included in any Registration Statement, all amendments and supplements to such prospectus, including pre- and post-effective amendments to such Registration Statement, and all other material incorporated by reference in such prospectus.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Rackspace</w:t>
      </w:r>
      <w:r>
        <w:rPr>
          <w:rFonts w:ascii="Arial" w:cs="Arial" w:eastAsia="Arial" w:hAnsi="Arial"/>
          <w:sz w:val="18"/>
          <w:szCs w:val="18"/>
          <w:color w:val="auto"/>
        </w:rPr>
        <w:t>” means Rackspace US, Inc.</w:t>
      </w:r>
    </w:p>
    <w:p>
      <w:pPr>
        <w:spacing w:after="0" w:line="225" w:lineRule="exact"/>
        <w:rPr>
          <w:sz w:val="20"/>
          <w:szCs w:val="20"/>
          <w:color w:val="auto"/>
        </w:rPr>
      </w:pPr>
    </w:p>
    <w:p>
      <w:pPr>
        <w:ind w:right="20"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any Company Shares and any securities that may be issued or distributed or be issuable or distributable in respect of, or in substitution for, any Company Shares by way of conversion, exercise, dividend, stock split or other distribution, merger, consolidation, exchange, recapitalization or reclassification or similar transaction, in each case whether now owned or hereinafter acquired;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Registrable Securities shall cease to be Registrable Securities to the extent (i) a Registration Statement with respect to the sale of such Registrable Securities has been declared effective under the Securities Act and such Registrable Securities have been disposed of in accordance with the plan of distribution set forth in such Registration Statement, (ii) such Registrable Securities have been distributed pursuant to Rule 144 or Rule 145 of the Securities Act (or any successor rule) and new certificates for them not bearing a legend restricting transfer shall have been delivered by the Company,</w:t>
      </w:r>
    </w:p>
    <w:p>
      <w:pPr>
        <w:spacing w:after="0" w:line="2" w:lineRule="exact"/>
        <w:rPr>
          <w:sz w:val="20"/>
          <w:szCs w:val="20"/>
          <w:color w:val="auto"/>
        </w:rPr>
      </w:pPr>
    </w:p>
    <w:p>
      <w:pPr>
        <w:ind w:right="40" w:firstLine="8"/>
        <w:spacing w:after="0" w:line="252" w:lineRule="auto"/>
        <w:tabs>
          <w:tab w:leader="none" w:pos="31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Registration Statement on Form S-8 (or any successor form) covering such securities is effective or (iv) such security ceases to be outstanding. For the avoidance of doubt, it is understood that, with respect to any Registrable Securities for which a Holder holds vested but unexercised options or other Company Share Equivalents at such time exercisable for, convertible into or exchangeable for Company Shares, to the extent that such Registrable Securities are to be sold pursuant to this Agreement, such Holder must exercise the relevant option or exercise, convert or exchange such other relevant Company Share Equivalent and transfer the underlying Registrable Securities (in each case, net of any amounts required to be withheld by the Company in connection with such exercise).</w:t>
      </w:r>
    </w:p>
    <w:p>
      <w:pPr>
        <w:spacing w:after="0" w:line="194" w:lineRule="exact"/>
        <w:rPr>
          <w:sz w:val="20"/>
          <w:szCs w:val="20"/>
          <w:color w:val="auto"/>
        </w:rPr>
      </w:pPr>
    </w:p>
    <w:p>
      <w:pPr>
        <w:ind w:right="6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w:t>
      </w:r>
      <w:r>
        <w:rPr>
          <w:rFonts w:ascii="Arial" w:cs="Arial" w:eastAsia="Arial" w:hAnsi="Arial"/>
          <w:sz w:val="18"/>
          <w:szCs w:val="18"/>
          <w:color w:val="auto"/>
        </w:rPr>
        <w:t>” means a registration with the SEC of the Company’s securities for offer and sale to the public under a Registration Statement. The terms “</w:t>
      </w:r>
      <w:r>
        <w:rPr>
          <w:rFonts w:ascii="Arial" w:cs="Arial" w:eastAsia="Arial" w:hAnsi="Arial"/>
          <w:sz w:val="18"/>
          <w:szCs w:val="18"/>
          <w:u w:val="single" w:color="auto"/>
          <w:color w:val="auto"/>
        </w:rPr>
        <w:t>Register</w:t>
      </w:r>
      <w:r>
        <w:rPr>
          <w:rFonts w:ascii="Arial" w:cs="Arial" w:eastAsia="Arial" w:hAnsi="Arial"/>
          <w:sz w:val="18"/>
          <w:szCs w:val="18"/>
          <w:color w:val="auto"/>
        </w:rPr>
        <w:t>” and “</w:t>
      </w:r>
      <w:r>
        <w:rPr>
          <w:rFonts w:ascii="Arial" w:cs="Arial" w:eastAsia="Arial" w:hAnsi="Arial"/>
          <w:sz w:val="18"/>
          <w:szCs w:val="18"/>
          <w:u w:val="single" w:color="auto"/>
          <w:color w:val="auto"/>
        </w:rPr>
        <w:t>Registered</w:t>
      </w:r>
      <w:r>
        <w:rPr>
          <w:rFonts w:ascii="Arial" w:cs="Arial" w:eastAsia="Arial" w:hAnsi="Arial"/>
          <w:sz w:val="18"/>
          <w:szCs w:val="18"/>
          <w:color w:val="auto"/>
        </w:rPr>
        <w:t>” shall have correlative meanings.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has the meaning set forth in Section 2.08.</w:t>
      </w:r>
    </w:p>
    <w:p>
      <w:pPr>
        <w:spacing w:after="0" w:line="225" w:lineRule="exact"/>
        <w:rPr>
          <w:sz w:val="20"/>
          <w:szCs w:val="20"/>
          <w:color w:val="auto"/>
        </w:rPr>
      </w:pPr>
    </w:p>
    <w:p>
      <w:pPr>
        <w:ind w:right="14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that covers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and all material incorporated by reference in such registration statement.</w:t>
      </w:r>
    </w:p>
    <w:p>
      <w:pPr>
        <w:spacing w:after="0" w:line="187" w:lineRule="exact"/>
        <w:rPr>
          <w:sz w:val="20"/>
          <w:szCs w:val="20"/>
          <w:color w:val="auto"/>
        </w:rPr>
      </w:pPr>
    </w:p>
    <w:p>
      <w:pPr>
        <w:ind w:right="10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with respect to any Person, any of such Person’s officers, directors, employees, agents, attorneys, accountants, actuaries, consultants, equity financing partners or financial advisors or other Person associated with, or acting on behalf of, such Person.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(or any successor provisions)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S-3 Eligibility Date</w:t>
      </w:r>
      <w:r>
        <w:rPr>
          <w:rFonts w:ascii="Arial" w:cs="Arial" w:eastAsia="Arial" w:hAnsi="Arial"/>
          <w:sz w:val="18"/>
          <w:szCs w:val="18"/>
          <w:color w:val="auto"/>
        </w:rPr>
        <w:t>” has the meaning set forth in Section 2.02(a)(i).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S-3 Shelf Notice</w:t>
      </w:r>
      <w:r>
        <w:rPr>
          <w:rFonts w:ascii="Arial" w:cs="Arial" w:eastAsia="Arial" w:hAnsi="Arial"/>
          <w:sz w:val="18"/>
          <w:szCs w:val="18"/>
          <w:color w:val="auto"/>
        </w:rPr>
        <w:t>” has the meaning set forth in Section 2.02(a)(i).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6" w:name="page347"/>
    <w:bookmarkEnd w:id="34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any successor thereto, and any rules and regulations promulgated thereunder, all as the same shall be in effect from time to time.</w:t>
      </w:r>
    </w:p>
    <w:p>
      <w:pPr>
        <w:spacing w:after="0" w:line="170" w:lineRule="exact"/>
        <w:rPr>
          <w:sz w:val="20"/>
          <w:szCs w:val="20"/>
          <w:color w:val="auto"/>
        </w:rPr>
      </w:pPr>
    </w:p>
    <w:p>
      <w:pPr>
        <w:ind w:right="40"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Purchase Agreements</w:t>
      </w:r>
      <w:r>
        <w:rPr>
          <w:rFonts w:ascii="Arial" w:cs="Arial" w:eastAsia="Arial" w:hAnsi="Arial"/>
          <w:sz w:val="16"/>
          <w:szCs w:val="16"/>
          <w:color w:val="auto"/>
        </w:rPr>
        <w:t>” means (i) the Securities Purchase Agreement, dated as of November 18, 2011, as amended, among the investors identified therein and the Company, (ii) the Securities Purchase Agreement dated as of August 21, 2013, among the investors identified therein and the Company, (iii) the Securities Purchase Agreement dated as of June 11, 2015, among the investors identified therein and the Company, (iv) the Securities Purchase Agreement dated as of May 11, 2017, among the investors identified therein and the Company, (v) the Securities Purchase Agreement dated as of October 13, 2017, among the investors identified therein and the Company, and (vi) the Series E &amp; E-1 Securities Purchase Agreement.</w:t>
      </w:r>
    </w:p>
    <w:p>
      <w:pPr>
        <w:spacing w:after="0" w:line="161" w:lineRule="exact"/>
        <w:rPr>
          <w:sz w:val="20"/>
          <w:szCs w:val="20"/>
          <w:color w:val="auto"/>
        </w:rPr>
      </w:pPr>
    </w:p>
    <w:p>
      <w:pPr>
        <w:ind w:right="5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 &amp; E-1 Purchase Agreement</w:t>
      </w:r>
      <w:r>
        <w:rPr>
          <w:rFonts w:ascii="Arial" w:cs="Arial" w:eastAsia="Arial" w:hAnsi="Arial"/>
          <w:sz w:val="18"/>
          <w:szCs w:val="18"/>
          <w:color w:val="auto"/>
        </w:rPr>
        <w:t>” means the Securities Purchase Agreement dated of even date herewith, among the investors identified therein and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Holder</w:t>
      </w:r>
      <w:r>
        <w:rPr>
          <w:rFonts w:ascii="Arial" w:cs="Arial" w:eastAsia="Arial" w:hAnsi="Arial"/>
          <w:sz w:val="18"/>
          <w:szCs w:val="18"/>
          <w:color w:val="auto"/>
        </w:rPr>
        <w:t>” has the meaning set forth in Section 2.02(c).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Notice</w:t>
      </w:r>
      <w:r>
        <w:rPr>
          <w:rFonts w:ascii="Arial" w:cs="Arial" w:eastAsia="Arial" w:hAnsi="Arial"/>
          <w:sz w:val="18"/>
          <w:szCs w:val="18"/>
          <w:color w:val="auto"/>
        </w:rPr>
        <w:t>” has the meaning set forth in Section 2.02(a)(ii).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Period</w:t>
      </w:r>
      <w:r>
        <w:rPr>
          <w:rFonts w:ascii="Arial" w:cs="Arial" w:eastAsia="Arial" w:hAnsi="Arial"/>
          <w:sz w:val="18"/>
          <w:szCs w:val="18"/>
          <w:color w:val="auto"/>
        </w:rPr>
        <w:t>” has the meaning set forth in Section 2.02(b).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means a Registration effected pursuant to Section 2.02.</w:t>
      </w:r>
    </w:p>
    <w:p>
      <w:pPr>
        <w:spacing w:after="0" w:line="225"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a Registration Statement of the Company filed with the SEC on either (i) Form S-3 or (ii) if the Company is not permitted to file a Registration Statement on Form S-3, an evergreen Registration Statement on Form S-1, in each case for an offering to be made on a continuous basis pursuant to Rule 415 under the Securities Act (or any successor provision) covering all or any portion of the Registrable Securities, as applicable.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Suspension</w:t>
      </w:r>
      <w:r>
        <w:rPr>
          <w:rFonts w:ascii="Arial" w:cs="Arial" w:eastAsia="Arial" w:hAnsi="Arial"/>
          <w:sz w:val="18"/>
          <w:szCs w:val="18"/>
          <w:color w:val="auto"/>
        </w:rPr>
        <w:t>” has the meaning set forth in Section 2.02(d).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has the meaning set forth in Section 2.02(e).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Short-Form Registration</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Registration</w:t>
      </w:r>
      <w:r>
        <w:rPr>
          <w:rFonts w:ascii="Arial" w:cs="Arial" w:eastAsia="Arial" w:hAnsi="Arial"/>
          <w:sz w:val="18"/>
          <w:szCs w:val="18"/>
          <w:color w:val="auto"/>
        </w:rPr>
        <w:t>” has the meaning set forth in Section 2.12.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Competitors</w:t>
      </w:r>
      <w:r>
        <w:rPr>
          <w:rFonts w:ascii="Arial" w:cs="Arial" w:eastAsia="Arial" w:hAnsi="Arial"/>
          <w:sz w:val="18"/>
          <w:szCs w:val="18"/>
          <w:color w:val="auto"/>
        </w:rPr>
        <w:t>” has the meaning set forth in the Stockholders Agreement.</w:t>
      </w:r>
    </w:p>
    <w:p>
      <w:pPr>
        <w:spacing w:after="0" w:line="225"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xml:space="preserve">” means the Amended and Restated Stockholders Agreement of the Company, dated of even date herewith, by and among the institutional investors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thereto, the other initial investors whose names and addresses appear from time to time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thereto, the other non-initial investors whose names and addresses appear from time to time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thereto and the Company, as amended, modified or supplemented from time to time.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Telstra</w:t>
      </w:r>
      <w:r>
        <w:rPr>
          <w:rFonts w:ascii="Arial" w:cs="Arial" w:eastAsia="Arial" w:hAnsi="Arial"/>
          <w:sz w:val="18"/>
          <w:szCs w:val="18"/>
          <w:color w:val="auto"/>
        </w:rPr>
        <w:t>” means Telstra Ventures Pty Ltd (ACN 125 607 454).</w:t>
      </w:r>
    </w:p>
    <w:p>
      <w:pPr>
        <w:spacing w:after="0" w:line="225"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Registration in which securities of the Company are sold to an underwriter or underwriters on a firm commitment basis for reoffering to the public.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7" w:name="page348"/>
    <w:bookmarkEnd w:id="347"/>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Shelf Take-Down Notice</w:t>
      </w:r>
      <w:r>
        <w:rPr>
          <w:rFonts w:ascii="Arial" w:cs="Arial" w:eastAsia="Arial" w:hAnsi="Arial"/>
          <w:sz w:val="18"/>
          <w:szCs w:val="18"/>
          <w:color w:val="auto"/>
        </w:rPr>
        <w:t>” has the meaning set forth in Section 2.02(e).</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WPX</w:t>
      </w:r>
      <w:r>
        <w:rPr>
          <w:rFonts w:ascii="Arial" w:cs="Arial" w:eastAsia="Arial" w:hAnsi="Arial"/>
          <w:sz w:val="18"/>
          <w:szCs w:val="18"/>
          <w:color w:val="auto"/>
        </w:rPr>
        <w:t>” means Warburg Pincus Private Equity X, L.P.</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WPXP</w:t>
      </w:r>
      <w:r>
        <w:rPr>
          <w:rFonts w:ascii="Arial" w:cs="Arial" w:eastAsia="Arial" w:hAnsi="Arial"/>
          <w:sz w:val="18"/>
          <w:szCs w:val="18"/>
          <w:color w:val="auto"/>
        </w:rPr>
        <w:t>” means Warburg Pincus X Partners, L.P.</w:t>
      </w:r>
    </w:p>
    <w:p>
      <w:pPr>
        <w:spacing w:after="0" w:line="225" w:lineRule="exact"/>
        <w:rPr>
          <w:sz w:val="20"/>
          <w:szCs w:val="20"/>
          <w:color w:val="auto"/>
        </w:rPr>
      </w:pPr>
    </w:p>
    <w:p>
      <w:pPr>
        <w:ind w:left="1280"/>
        <w:spacing w:after="0"/>
        <w:tabs>
          <w:tab w:leader="none" w:pos="30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 (a) In this Agreement, except as otherwise provided:</w:t>
      </w:r>
    </w:p>
    <w:p>
      <w:pPr>
        <w:spacing w:after="0" w:line="225" w:lineRule="exact"/>
        <w:rPr>
          <w:sz w:val="20"/>
          <w:szCs w:val="20"/>
          <w:color w:val="auto"/>
        </w:rPr>
      </w:pPr>
    </w:p>
    <w:p>
      <w:pPr>
        <w:ind w:left="640" w:right="140" w:firstLine="644"/>
        <w:spacing w:after="0" w:line="277" w:lineRule="auto"/>
        <w:tabs>
          <w:tab w:leader="none" w:pos="195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reference to an Article, Section, Schedule or Exhibit is a reference to an Article or Section of, or Schedule or Exhibit to, this Agreement, and references to this Agreement include any recital in or Schedule or Exhibit to this Agreement.</w:t>
      </w:r>
    </w:p>
    <w:p>
      <w:pPr>
        <w:spacing w:after="0" w:line="170" w:lineRule="exact"/>
        <w:rPr>
          <w:rFonts w:ascii="Arial" w:cs="Arial" w:eastAsia="Arial" w:hAnsi="Arial"/>
          <w:sz w:val="18"/>
          <w:szCs w:val="18"/>
          <w:color w:val="auto"/>
        </w:rPr>
      </w:pPr>
    </w:p>
    <w:p>
      <w:pPr>
        <w:ind w:left="1960" w:hanging="676"/>
        <w:spacing w:after="0"/>
        <w:tabs>
          <w:tab w:leader="none" w:pos="19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Schedules and Exhibits form an integral part of and are hereby incorporated by reference into this Agreement.</w:t>
      </w:r>
    </w:p>
    <w:p>
      <w:pPr>
        <w:spacing w:after="0" w:line="225" w:lineRule="exact"/>
        <w:rPr>
          <w:rFonts w:ascii="Arial" w:cs="Arial" w:eastAsia="Arial" w:hAnsi="Arial"/>
          <w:sz w:val="18"/>
          <w:szCs w:val="18"/>
          <w:color w:val="auto"/>
        </w:rPr>
      </w:pPr>
    </w:p>
    <w:p>
      <w:pPr>
        <w:ind w:left="1980" w:hanging="696"/>
        <w:spacing w:after="0"/>
        <w:tabs>
          <w:tab w:leader="none" w:pos="19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Headings and the Table of Contents are inserted for convenience only and shall not affect the construction or interpretation of</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left="640" w:right="220" w:firstLine="644"/>
        <w:spacing w:after="0" w:line="263" w:lineRule="auto"/>
        <w:tabs>
          <w:tab w:leader="none" w:pos="195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Unless the context otherwise requires, words importing the singular include the plural and vice versa, words importing the masculine include the feminine and vice versa, and words importing persons include corporations, associations, partnerships, joint ventures and limited liability companies and vice versa.</w:t>
      </w:r>
    </w:p>
    <w:p>
      <w:pPr>
        <w:spacing w:after="0" w:line="183" w:lineRule="exact"/>
        <w:rPr>
          <w:rFonts w:ascii="Arial" w:cs="Arial" w:eastAsia="Arial" w:hAnsi="Arial"/>
          <w:sz w:val="18"/>
          <w:szCs w:val="18"/>
          <w:color w:val="auto"/>
        </w:rPr>
      </w:pPr>
    </w:p>
    <w:p>
      <w:pPr>
        <w:ind w:left="640" w:firstLine="644"/>
        <w:spacing w:after="0" w:line="263" w:lineRule="auto"/>
        <w:tabs>
          <w:tab w:leader="none" w:pos="194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Unless the context otherwise requires, the words “hereof” and “herein”, and words of similar meaning refer to this Agreement as a whole and not to any particular Article, Section or clause. The words “include”, “includes” and “including” shall be deemed to be followed by the words “without limitation.”</w:t>
      </w:r>
    </w:p>
    <w:p>
      <w:pPr>
        <w:spacing w:after="0" w:line="183" w:lineRule="exact"/>
        <w:rPr>
          <w:rFonts w:ascii="Arial" w:cs="Arial" w:eastAsia="Arial" w:hAnsi="Arial"/>
          <w:sz w:val="18"/>
          <w:szCs w:val="18"/>
          <w:color w:val="auto"/>
        </w:rPr>
      </w:pPr>
    </w:p>
    <w:p>
      <w:pPr>
        <w:ind w:left="640" w:right="80" w:firstLine="644"/>
        <w:spacing w:after="0" w:line="277" w:lineRule="auto"/>
        <w:tabs>
          <w:tab w:leader="none" w:pos="195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reference to any legislation or to any provision of any legislation shall include any amendment, modification or re-enactment thereof and any legislative provision substituted therefor.</w:t>
      </w:r>
    </w:p>
    <w:p>
      <w:pPr>
        <w:spacing w:after="0" w:line="170" w:lineRule="exact"/>
        <w:rPr>
          <w:sz w:val="20"/>
          <w:szCs w:val="20"/>
          <w:color w:val="auto"/>
        </w:rPr>
      </w:pPr>
    </w:p>
    <w:p>
      <w:pPr>
        <w:ind w:left="-20" w:right="140" w:firstLine="1304"/>
        <w:spacing w:after="0" w:line="286" w:lineRule="auto"/>
        <w:tabs>
          <w:tab w:leader="none" w:pos="1931"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parties hereto have participated jointly in the negotiation and drafting of this Agreement. In the event an ambiguity or question of intention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REGISTRATION RIGHTS</w:t>
      </w:r>
    </w:p>
    <w:p>
      <w:pPr>
        <w:spacing w:after="0" w:line="225" w:lineRule="exact"/>
        <w:rPr>
          <w:sz w:val="20"/>
          <w:szCs w:val="20"/>
          <w:color w:val="auto"/>
        </w:rPr>
      </w:pPr>
    </w:p>
    <w:p>
      <w:pPr>
        <w:ind w:left="1280"/>
        <w:spacing w:after="0"/>
        <w:tabs>
          <w:tab w:leader="none" w:pos="30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ind w:left="-20" w:right="180" w:firstLine="1304"/>
        <w:spacing w:after="0" w:line="296" w:lineRule="auto"/>
        <w:tabs>
          <w:tab w:leader="none" w:pos="1921"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Demand by Institutional Investor or Other Investor</w:t>
      </w:r>
      <w:r>
        <w:rPr>
          <w:rFonts w:ascii="Arial" w:cs="Arial" w:eastAsia="Arial" w:hAnsi="Arial"/>
          <w:sz w:val="16"/>
          <w:szCs w:val="16"/>
          <w:color w:val="auto"/>
        </w:rPr>
        <w:t>. At any time following the six (6) month anniversary of the IPO, any Institutional Investor or Other Investor (such Institutional Investor or Other Investor, a “</w:t>
      </w:r>
      <w:r>
        <w:rPr>
          <w:rFonts w:ascii="Arial" w:cs="Arial" w:eastAsia="Arial" w:hAnsi="Arial"/>
          <w:sz w:val="16"/>
          <w:szCs w:val="16"/>
          <w:u w:val="single" w:color="auto"/>
          <w:color w:val="auto"/>
        </w:rPr>
        <w:t>Demand Party</w:t>
      </w:r>
      <w:r>
        <w:rPr>
          <w:rFonts w:ascii="Arial" w:cs="Arial" w:eastAsia="Arial" w:hAnsi="Arial"/>
          <w:sz w:val="16"/>
          <w:szCs w:val="16"/>
          <w:color w:val="auto"/>
        </w:rPr>
        <w:t>”) may, subject to Section 2.11, make a written request (a “</w:t>
      </w:r>
      <w:r>
        <w:rPr>
          <w:rFonts w:ascii="Arial" w:cs="Arial" w:eastAsia="Arial" w:hAnsi="Arial"/>
          <w:sz w:val="16"/>
          <w:szCs w:val="16"/>
          <w:u w:val="single" w:color="auto"/>
          <w:color w:val="auto"/>
        </w:rPr>
        <w:t>Demand Notice</w:t>
      </w:r>
      <w:r>
        <w:rPr>
          <w:rFonts w:ascii="Arial" w:cs="Arial" w:eastAsia="Arial" w:hAnsi="Arial"/>
          <w:sz w:val="16"/>
          <w:szCs w:val="16"/>
          <w:color w:val="auto"/>
        </w:rPr>
        <w:t>”) to the Company for Registration of all or part of the Registrable Securities held by such Demand Party (i) on Form S-1 (a “</w:t>
      </w:r>
      <w:r>
        <w:rPr>
          <w:rFonts w:ascii="Arial" w:cs="Arial" w:eastAsia="Arial" w:hAnsi="Arial"/>
          <w:sz w:val="16"/>
          <w:szCs w:val="16"/>
          <w:u w:val="single" w:color="auto"/>
          <w:color w:val="auto"/>
        </w:rPr>
        <w:t>Long-Form Registration</w:t>
      </w:r>
      <w:r>
        <w:rPr>
          <w:rFonts w:ascii="Arial" w:cs="Arial" w:eastAsia="Arial" w:hAnsi="Arial"/>
          <w:sz w:val="16"/>
          <w:szCs w:val="16"/>
          <w:color w:val="auto"/>
        </w:rPr>
        <w:t>”) or (ii) on Form S-3 (a “</w:t>
      </w:r>
      <w:r>
        <w:rPr>
          <w:rFonts w:ascii="Arial" w:cs="Arial" w:eastAsia="Arial" w:hAnsi="Arial"/>
          <w:sz w:val="16"/>
          <w:szCs w:val="16"/>
          <w:u w:val="single" w:color="auto"/>
          <w:color w:val="auto"/>
        </w:rPr>
        <w:t>Short-Form Registration</w:t>
      </w:r>
      <w:r>
        <w:rPr>
          <w:rFonts w:ascii="Arial" w:cs="Arial" w:eastAsia="Arial" w:hAnsi="Arial"/>
          <w:sz w:val="16"/>
          <w:szCs w:val="16"/>
          <w:color w:val="auto"/>
        </w:rPr>
        <w:t>”) if the Company qualifies to use such short form (any such requested Long-Form Registration or Short-Form Registration,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Each Demand Notice shall specify the aggregate amount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348" w:name="page349"/>
    <w:bookmarkEnd w:id="348"/>
    <w:p>
      <w:pPr>
        <w:ind w:right="40"/>
        <w:spacing w:after="0" w:line="291" w:lineRule="auto"/>
        <w:rPr>
          <w:sz w:val="20"/>
          <w:szCs w:val="20"/>
          <w:color w:val="auto"/>
        </w:rPr>
      </w:pPr>
      <w:r>
        <w:rPr>
          <w:rFonts w:ascii="Arial" w:cs="Arial" w:eastAsia="Arial" w:hAnsi="Arial"/>
          <w:sz w:val="16"/>
          <w:szCs w:val="16"/>
          <w:color w:val="auto"/>
        </w:rPr>
        <w:t>Registrable Securities of the Demand Party to be registered and the intended methods of disposition thereof. Subject to Section 2.11, after delivery of such Demand Notice, the Company (x) shall file promptly (and, in any event, within (i) ninety (90) days in the case of a request for a Long-Form Registration or</w:t>
      </w:r>
    </w:p>
    <w:p>
      <w:pPr>
        <w:ind w:right="20" w:firstLine="8"/>
        <w:spacing w:after="0" w:line="253" w:lineRule="auto"/>
        <w:tabs>
          <w:tab w:leader="none" w:pos="26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thirty (30) days in the case of a request for a Short-Form Registration, in each case, following delivery of such Demand Notice) with the SEC a Registration Statement relating to such Demand Registration (a “</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and (y) shall use its reasonable best efforts to cause such Demand Registration Statement to promptly be declared effective under (x) the Securities Act and (y) the “Blue Sky” laws of such jurisdictions as any Participating Holder or any underwriter, if any, reasonably requests.</w:t>
      </w:r>
    </w:p>
    <w:p>
      <w:pPr>
        <w:spacing w:after="0" w:line="192" w:lineRule="exact"/>
        <w:rPr>
          <w:rFonts w:ascii="Arial" w:cs="Arial" w:eastAsia="Arial" w:hAnsi="Arial"/>
          <w:sz w:val="18"/>
          <w:szCs w:val="18"/>
          <w:color w:val="auto"/>
        </w:rPr>
      </w:pPr>
    </w:p>
    <w:p>
      <w:pPr>
        <w:jc w:val="both"/>
        <w:ind w:right="40" w:firstLine="1304"/>
        <w:spacing w:after="0" w:line="259" w:lineRule="auto"/>
        <w:tabs>
          <w:tab w:leader="none" w:pos="1951"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Demand Withdrawal</w:t>
      </w:r>
      <w:r>
        <w:rPr>
          <w:rFonts w:ascii="Arial" w:cs="Arial" w:eastAsia="Arial" w:hAnsi="Arial"/>
          <w:sz w:val="18"/>
          <w:szCs w:val="18"/>
          <w:color w:val="auto"/>
        </w:rPr>
        <w:t>. A Demand Party may withdraw its Registrable Securities from a Demand Registration at any time prior to the effectiveness of the applicable Demand Registration Statement. Upon delivery of a notice by the Demand Party to such effect, the Company shall cease all efforts to secure effectiveness of the applicable Demand Registration Statement, and such Registration shall not be deemed to be a Demand Registration with respect to such Demand Party for purposes of Section 2.11.</w:t>
      </w:r>
    </w:p>
    <w:p>
      <w:pPr>
        <w:spacing w:after="0" w:line="186" w:lineRule="exact"/>
        <w:rPr>
          <w:rFonts w:ascii="Arial" w:cs="Arial" w:eastAsia="Arial" w:hAnsi="Arial"/>
          <w:sz w:val="18"/>
          <w:szCs w:val="18"/>
          <w:color w:val="auto"/>
        </w:rPr>
      </w:pPr>
    </w:p>
    <w:p>
      <w:pPr>
        <w:ind w:firstLine="1304"/>
        <w:spacing w:after="0" w:line="289" w:lineRule="auto"/>
        <w:tabs>
          <w:tab w:leader="none" w:pos="1955"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Effective Registration</w:t>
      </w:r>
      <w:r>
        <w:rPr>
          <w:rFonts w:ascii="Arial" w:cs="Arial" w:eastAsia="Arial" w:hAnsi="Arial"/>
          <w:sz w:val="16"/>
          <w:szCs w:val="16"/>
          <w:color w:val="auto"/>
        </w:rPr>
        <w:t>. The Company shall be deemed to have effected a Demand Registration with respect to the applicable Demand Party for purposes of Section 2.11 if the Demand Registration Statement is declared effective by the SEC and remains effective for not less than 180 days (or such shorter period as shall terminate when all Registrable Securities covered by such Registration Statement have been sold or withdrawn), or if such Registration Statement relates to an Underwritten Offering, such longer period as, in the opinion of counsel for the underwriter or underwriters, a Prospectus is required by law to be delivered in connection with sales of Registrable Securities by an underwriter or dealer (the applicable period, the “</w:t>
      </w:r>
      <w:r>
        <w:rPr>
          <w:rFonts w:ascii="Arial" w:cs="Arial" w:eastAsia="Arial" w:hAnsi="Arial"/>
          <w:sz w:val="16"/>
          <w:szCs w:val="16"/>
          <w:u w:val="single" w:color="auto"/>
          <w:color w:val="auto"/>
        </w:rPr>
        <w:t>Demand Period</w:t>
      </w:r>
      <w:r>
        <w:rPr>
          <w:rFonts w:ascii="Arial" w:cs="Arial" w:eastAsia="Arial" w:hAnsi="Arial"/>
          <w:sz w:val="16"/>
          <w:szCs w:val="16"/>
          <w:color w:val="auto"/>
        </w:rPr>
        <w:t>”). No Demand Registration shall be deemed to have been effected for purposes of Section 2.11 if (i) during the Demand Period such Registration is interfered with by any stop order, injunction or other order or requirement of the SEC or other governmental agency or court, (ii) the conditions to closing specified in the underwriting agreement, if any, entered into in connection with such Registration are not satisfied other than by reason of a wrongful act, misrepresentation or breach of such applicable underwriting agreement by a Demand Party or (iii) there is a Demand Suspension.</w:t>
      </w:r>
    </w:p>
    <w:p>
      <w:pPr>
        <w:spacing w:after="0" w:line="166" w:lineRule="exact"/>
        <w:rPr>
          <w:rFonts w:ascii="Arial" w:cs="Arial" w:eastAsia="Arial" w:hAnsi="Arial"/>
          <w:sz w:val="16"/>
          <w:szCs w:val="16"/>
          <w:color w:val="auto"/>
        </w:rPr>
      </w:pPr>
    </w:p>
    <w:p>
      <w:pPr>
        <w:ind w:right="80" w:firstLine="1304"/>
        <w:spacing w:after="0" w:line="296" w:lineRule="auto"/>
        <w:tabs>
          <w:tab w:leader="none" w:pos="1951"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Demand Company Notice</w:t>
      </w:r>
      <w:r>
        <w:rPr>
          <w:rFonts w:ascii="Arial" w:cs="Arial" w:eastAsia="Arial" w:hAnsi="Arial"/>
          <w:sz w:val="16"/>
          <w:szCs w:val="16"/>
          <w:color w:val="auto"/>
        </w:rPr>
        <w:t>. Subject to Section 2.11, promptly upon delivery of any Demand Notice (but in no event more than five (5) Business Days thereafter), the Company shall deliver a written notice (a “</w:t>
      </w:r>
      <w:r>
        <w:rPr>
          <w:rFonts w:ascii="Arial" w:cs="Arial" w:eastAsia="Arial" w:hAnsi="Arial"/>
          <w:sz w:val="16"/>
          <w:szCs w:val="16"/>
          <w:u w:val="single" w:color="auto"/>
          <w:color w:val="auto"/>
        </w:rPr>
        <w:t>Demand Company Notice</w:t>
      </w:r>
      <w:r>
        <w:rPr>
          <w:rFonts w:ascii="Arial" w:cs="Arial" w:eastAsia="Arial" w:hAnsi="Arial"/>
          <w:sz w:val="16"/>
          <w:szCs w:val="16"/>
          <w:color w:val="auto"/>
        </w:rPr>
        <w:t>”) of any such Registration request to all Holders (other than the Demand Party), and the Company shall include in such Demand Registration all such Registrable Securities of such Holders which the Company has received written requests for inclusion therein within ten (10) Business Days after the date that such Demand Company Notice has been delivered. All requests made pursuant to this Section 2.01(d) shall specify the aggregate amount of Registrable Securities of such Holder to be registered.</w:t>
      </w:r>
    </w:p>
    <w:p>
      <w:pPr>
        <w:spacing w:after="0" w:line="161" w:lineRule="exact"/>
        <w:rPr>
          <w:rFonts w:ascii="Arial" w:cs="Arial" w:eastAsia="Arial" w:hAnsi="Arial"/>
          <w:sz w:val="16"/>
          <w:szCs w:val="16"/>
          <w:color w:val="auto"/>
        </w:rPr>
      </w:pPr>
    </w:p>
    <w:p>
      <w:pPr>
        <w:ind w:right="80" w:firstLine="1304"/>
        <w:spacing w:after="0" w:line="291" w:lineRule="auto"/>
        <w:tabs>
          <w:tab w:leader="none" w:pos="1955"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Delay in Filing; Suspension of Registration</w:t>
      </w:r>
      <w:r>
        <w:rPr>
          <w:rFonts w:ascii="Arial" w:cs="Arial" w:eastAsia="Arial" w:hAnsi="Arial"/>
          <w:sz w:val="16"/>
          <w:szCs w:val="16"/>
          <w:color w:val="auto"/>
        </w:rPr>
        <w:t>. If the Company shall furnish to the Participating Holders a certificate signed by the Chief Executive Officer or equivalent senior executive officer of the Company stating that the filing, effectiveness or continued use of a Demand Registration Statement would require the Company to make an Adverse Disclosure, then the Company may delay the filing (but not the preparation of) or initial effectiveness of, or suspend use of, the Demand Registration Statement (a “</w:t>
      </w:r>
      <w:r>
        <w:rPr>
          <w:rFonts w:ascii="Arial" w:cs="Arial" w:eastAsia="Arial" w:hAnsi="Arial"/>
          <w:sz w:val="16"/>
          <w:szCs w:val="16"/>
          <w:u w:val="single" w:color="auto"/>
          <w:color w:val="auto"/>
        </w:rPr>
        <w:t>Demand Suspension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unless otherwise approved in writing by the Institutional Investors holding at least 55% of the then-outstanding Registrable Securities held by all Institutional Investors, shall not be permitted to exercise aggregate Demand Suspensions and Shelf Suspensions more than twice, or for more than an aggregate of 90 days, in each case, during any 12-month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event of a Demand Suspension, such Demand Suspension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shall terminate at such earlier time as the Company would no longer be required to make any Adverse Disclosure. Each Participating Holder shall keep confidential the fact that a Demand Suspension is in effect, the certificate referred to above and its contents unless and until otherwise notified by the Company, except (A) for disclosure to such Participating Holder’s employees, agents and professional advisers who reasonably need to know such information for purposes of assisting the Participating Holder with respect to its investment in the Company Shares and agree to keep it confidential,</w:t>
      </w:r>
    </w:p>
    <w:p>
      <w:pPr>
        <w:spacing w:after="0" w:line="1" w:lineRule="exact"/>
        <w:rPr>
          <w:sz w:val="20"/>
          <w:szCs w:val="20"/>
          <w:color w:val="auto"/>
        </w:rPr>
      </w:pPr>
    </w:p>
    <w:p>
      <w:pPr>
        <w:ind w:right="20" w:firstLine="8"/>
        <w:spacing w:after="0" w:line="285" w:lineRule="auto"/>
        <w:tabs>
          <w:tab w:leader="none" w:pos="28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for disclosures to the extent required in order to comply with reporting obligations to its limited partners or other direct or indirect investors who have agreed to keep such information confidential, (C) if and to the extent such matters are publicly disclosed by the Company or any of its Subsidiaries or any other Person that, to the actual knowledge of such Participating Holder, was not subject to an obligation or duty of confidentiality to the Company and its Subsidiaries and (D) as required by law, rule or regulation. In the case of a Demand Suspension, the Participating Holders agree to suspend use of the applicable Prospectus and any Issuer Free Writing Prospectus in connection with any sale or purchase of, or offer to sell or purchase, Registrable Securities, upon delivery of the notice referred to above. The Company shall immediately notify the Participating Holders upon the termination of any Demand Suspension, amend or supplement the Prospectus and any Issuer Free Writing Prospectus, if necessary, so it does not contain any untrue statement or omission and furnish to the Participating Holders such numbers of copies of the Prospectus and any Issuer Free Writing Prospectus as so amended or supplemented as the Participating Holders may reasonably request. The Company agrees, if necessary, to supplement or make amendments to the Demand Registration Statement if required by the registration form used by the Company for the applicable Registration or by the instructions applicable to such registration form or by the Securities Act or the rules or regulations promulgated thereunder, or as may reasonably be requested by any Demand Party.</w:t>
      </w:r>
    </w:p>
    <w:p>
      <w:pPr>
        <w:spacing w:after="0" w:line="174" w:lineRule="exact"/>
        <w:rPr>
          <w:rFonts w:ascii="Arial" w:cs="Arial" w:eastAsia="Arial" w:hAnsi="Arial"/>
          <w:sz w:val="16"/>
          <w:szCs w:val="16"/>
          <w:color w:val="auto"/>
        </w:rPr>
      </w:pPr>
    </w:p>
    <w:p>
      <w:pPr>
        <w:ind w:right="160" w:firstLine="1304"/>
        <w:spacing w:after="0" w:line="257" w:lineRule="auto"/>
        <w:tabs>
          <w:tab w:leader="none" w:pos="1948"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Demand Party so requests, an offering of Registrable Securities pursuant to a Demand Registration shall be in the form of an Underwritten Offering, and such Demand Party shall have the right to select the managing underwriter or underwriters to administer the offering. If the Demand Party intends to sell the Registrable Securities covered by its demand by means of an Underwritten Offering, such Demand Party shall so advise the Company as part of its Demand Notice, and the Company shall include such information in the Demand Company Notice.</w:t>
      </w:r>
    </w:p>
    <w:p>
      <w:pPr>
        <w:spacing w:after="0" w:line="187" w:lineRule="exact"/>
        <w:rPr>
          <w:rFonts w:ascii="Arial" w:cs="Arial" w:eastAsia="Arial" w:hAnsi="Arial"/>
          <w:sz w:val="18"/>
          <w:szCs w:val="18"/>
          <w:color w:val="auto"/>
        </w:rPr>
      </w:pPr>
    </w:p>
    <w:p>
      <w:pPr>
        <w:ind w:right="20" w:firstLine="1304"/>
        <w:spacing w:after="0" w:line="286" w:lineRule="auto"/>
        <w:tabs>
          <w:tab w:leader="none" w:pos="1965"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Priority of Securities Registered Pursuant to Demand Registrations</w:t>
      </w:r>
      <w:r>
        <w:rPr>
          <w:rFonts w:ascii="Arial" w:cs="Arial" w:eastAsia="Arial" w:hAnsi="Arial"/>
          <w:sz w:val="16"/>
          <w:szCs w:val="16"/>
          <w:color w:val="auto"/>
        </w:rPr>
        <w:t xml:space="preserve">. If the managing underwriter or underwriters of a proposed Underwritten Offering of the Registrable Securities included in a Demand Registration advise the Board of Directors in writing that, in its or their opinion, the number of securities requested to be included in such Demand Registration exceeds the number which can be sold in such offering without being likely to have a significant adverse effect on the price, timing or distribution of the securities offered or the market for the securities offered, the securities to be included in such Demand Registration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allocated to the Demand Party that has initiated such Demand Registration, (ii)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and only if all the securities referred to in clause (i) have been included in such Registration, shall be allocated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the Investors (other than the Demand Party) that have requested to participate in such Demand Registration based on the number of Registrable Securities then held by each such Investor relative to the number of Registrable Securities then held by all Investors (other than the Demand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securities thereby allocated to an Investor (other than the Demand Party) that exceed such Investor’s request shall be reallocated among the remaining requesting Investors (other than the Demand Party) in like manner), (iii)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and only if all the securities referred to in clauses (i) and (ii) have been included in such Registration, shall be allocated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the Holders (excluding the Investors, as applicable) that have requested to participate in such Demand Registration based on the relative number of Registrable Securities then held by each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securities thereby allocated to a Holder that exceed such Holder’s request shall be reallocated among the remaining requesting Holders in like manner), (iv) </w:t>
      </w:r>
      <w:r>
        <w:rPr>
          <w:rFonts w:ascii="Arial" w:cs="Arial" w:eastAsia="Arial" w:hAnsi="Arial"/>
          <w:sz w:val="16"/>
          <w:szCs w:val="16"/>
          <w:u w:val="single" w:color="auto"/>
          <w:color w:val="auto"/>
        </w:rPr>
        <w:t>fourth</w:t>
      </w:r>
      <w:r>
        <w:rPr>
          <w:rFonts w:ascii="Arial" w:cs="Arial" w:eastAsia="Arial" w:hAnsi="Arial"/>
          <w:sz w:val="16"/>
          <w:szCs w:val="16"/>
          <w:color w:val="auto"/>
        </w:rPr>
        <w:t>, and only if all the securities referred to in clauses (i), (ii) and (iii) have been included in such Registration, the number of</w:t>
      </w:r>
    </w:p>
    <w:p>
      <w:pPr>
        <w:sectPr>
          <w:pgSz w:w="11900" w:h="16838" w:orient="portrait"/>
          <w:cols w:equalWidth="0" w:num="1">
            <w:col w:w="11240"/>
          </w:cols>
          <w:pgMar w:left="320" w:top="341" w:right="339" w:bottom="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118110</wp:posOffset>
            </wp:positionV>
            <wp:extent cx="71532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50" w:name="page351"/>
    <w:bookmarkEnd w:id="350"/>
    <w:p>
      <w:pPr>
        <w:ind w:right="160"/>
        <w:spacing w:after="0" w:line="259" w:lineRule="auto"/>
        <w:rPr>
          <w:sz w:val="20"/>
          <w:szCs w:val="20"/>
          <w:color w:val="auto"/>
        </w:rPr>
      </w:pPr>
      <w:r>
        <w:rPr>
          <w:rFonts w:ascii="Arial" w:cs="Arial" w:eastAsia="Arial" w:hAnsi="Arial"/>
          <w:sz w:val="18"/>
          <w:szCs w:val="18"/>
          <w:color w:val="auto"/>
        </w:rPr>
        <w:t xml:space="preserve">securities that the Company proposes to include in such Registration that, in the opinion of the managing underwriter or underwriters, can be sold without having such adverse effect and (v) </w:t>
      </w:r>
      <w:r>
        <w:rPr>
          <w:rFonts w:ascii="Arial" w:cs="Arial" w:eastAsia="Arial" w:hAnsi="Arial"/>
          <w:sz w:val="18"/>
          <w:szCs w:val="18"/>
          <w:u w:val="single" w:color="auto"/>
          <w:color w:val="auto"/>
        </w:rPr>
        <w:t>fifth</w:t>
      </w:r>
      <w:r>
        <w:rPr>
          <w:rFonts w:ascii="Arial" w:cs="Arial" w:eastAsia="Arial" w:hAnsi="Arial"/>
          <w:sz w:val="18"/>
          <w:szCs w:val="18"/>
          <w:color w:val="auto"/>
        </w:rPr>
        <w:t>, and only if all of the securities referred to in clause (iii) have been included in such Registration, any other securities eligible for inclusion in such Registration that, in the opinion of the managing underwriter or underwriters, can be sold without having such adverse effect.</w:t>
      </w:r>
    </w:p>
    <w:p>
      <w:pPr>
        <w:spacing w:after="0" w:line="187"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225" w:lineRule="exact"/>
        <w:rPr>
          <w:sz w:val="20"/>
          <w:szCs w:val="20"/>
          <w:color w:val="auto"/>
        </w:rPr>
      </w:pPr>
    </w:p>
    <w:p>
      <w:pPr>
        <w:ind w:left="1940" w:hanging="636"/>
        <w:spacing w:after="0"/>
        <w:tabs>
          <w:tab w:leader="none" w:pos="1940"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Filing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952"/>
        <w:spacing w:after="0" w:line="286" w:lineRule="auto"/>
        <w:tabs>
          <w:tab w:leader="none" w:pos="2613" w:val="left"/>
        </w:tabs>
        <w:numPr>
          <w:ilvl w:val="2"/>
          <w:numId w:val="245"/>
        </w:numPr>
        <w:rPr>
          <w:rFonts w:ascii="Arial" w:cs="Arial" w:eastAsia="Arial" w:hAnsi="Arial"/>
          <w:sz w:val="16"/>
          <w:szCs w:val="16"/>
          <w:color w:val="auto"/>
        </w:rPr>
      </w:pPr>
      <w:r>
        <w:rPr>
          <w:rFonts w:ascii="Arial" w:cs="Arial" w:eastAsia="Arial" w:hAnsi="Arial"/>
          <w:sz w:val="16"/>
          <w:szCs w:val="16"/>
          <w:color w:val="auto"/>
        </w:rPr>
        <w:t>Following the IPO, the Company shall use its reasonable best efforts to qualify for Registration on Form S-3 for secondary sales. Promptly following the date on which the Company becomes eligible to Register on Form S-3 (the “</w:t>
      </w:r>
      <w:r>
        <w:rPr>
          <w:rFonts w:ascii="Arial" w:cs="Arial" w:eastAsia="Arial" w:hAnsi="Arial"/>
          <w:sz w:val="16"/>
          <w:szCs w:val="16"/>
          <w:u w:val="single" w:color="auto"/>
          <w:color w:val="auto"/>
        </w:rPr>
        <w:t>S-3 Eligibility Date</w:t>
      </w:r>
      <w:r>
        <w:rPr>
          <w:rFonts w:ascii="Arial" w:cs="Arial" w:eastAsia="Arial" w:hAnsi="Arial"/>
          <w:sz w:val="16"/>
          <w:szCs w:val="16"/>
          <w:color w:val="auto"/>
        </w:rPr>
        <w:t>”), the Company shall notify, in writing, the Investors of such eligibility and its intention to file and maintain a Shelf Registration Statement on Form S-3 covering the Registrable Securities held by the Investors (the “</w:t>
      </w:r>
      <w:r>
        <w:rPr>
          <w:rFonts w:ascii="Arial" w:cs="Arial" w:eastAsia="Arial" w:hAnsi="Arial"/>
          <w:sz w:val="16"/>
          <w:szCs w:val="16"/>
          <w:u w:val="single" w:color="auto"/>
          <w:color w:val="auto"/>
        </w:rPr>
        <w:t>Eligibility Notice</w:t>
      </w:r>
      <w:r>
        <w:rPr>
          <w:rFonts w:ascii="Arial" w:cs="Arial" w:eastAsia="Arial" w:hAnsi="Arial"/>
          <w:sz w:val="16"/>
          <w:szCs w:val="16"/>
          <w:color w:val="auto"/>
        </w:rPr>
        <w:t>”). Promptly following receipt of such Eligibility Notice (but in no event more than ten</w:t>
      </w:r>
    </w:p>
    <w:p>
      <w:pPr>
        <w:spacing w:after="0" w:line="1" w:lineRule="exact"/>
        <w:rPr>
          <w:rFonts w:ascii="Arial" w:cs="Arial" w:eastAsia="Arial" w:hAnsi="Arial"/>
          <w:sz w:val="16"/>
          <w:szCs w:val="16"/>
          <w:color w:val="auto"/>
        </w:rPr>
      </w:pPr>
    </w:p>
    <w:p>
      <w:pPr>
        <w:ind w:firstLine="8"/>
        <w:spacing w:after="0" w:line="267" w:lineRule="auto"/>
        <w:tabs>
          <w:tab w:leader="none" w:pos="34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days after receipt of such Eligibility Notice), the Investors shall deliver a written notice to the Company, which notice shall specify the aggregate amount of Registrable Securities held by such Investor to be covered by such Shelf Registration Form and the intended methods of distribution thereof (the “</w:t>
      </w:r>
      <w:r>
        <w:rPr>
          <w:rFonts w:ascii="Arial" w:cs="Arial" w:eastAsia="Arial" w:hAnsi="Arial"/>
          <w:sz w:val="17"/>
          <w:szCs w:val="17"/>
          <w:u w:val="single" w:color="auto"/>
          <w:color w:val="auto"/>
        </w:rPr>
        <w:t>S-3 Shelf Notice</w:t>
      </w:r>
      <w:r>
        <w:rPr>
          <w:rFonts w:ascii="Arial" w:cs="Arial" w:eastAsia="Arial" w:hAnsi="Arial"/>
          <w:sz w:val="17"/>
          <w:szCs w:val="17"/>
          <w:color w:val="auto"/>
        </w:rPr>
        <w:t>” and such Investors, the “</w:t>
      </w:r>
      <w:r>
        <w:rPr>
          <w:rFonts w:ascii="Arial" w:cs="Arial" w:eastAsia="Arial" w:hAnsi="Arial"/>
          <w:sz w:val="17"/>
          <w:szCs w:val="17"/>
          <w:u w:val="single" w:color="auto"/>
          <w:color w:val="auto"/>
        </w:rPr>
        <w:t>Initial S-3 Holders</w:t>
      </w:r>
      <w:r>
        <w:rPr>
          <w:rFonts w:ascii="Arial" w:cs="Arial" w:eastAsia="Arial" w:hAnsi="Arial"/>
          <w:sz w:val="17"/>
          <w:szCs w:val="17"/>
          <w:color w:val="auto"/>
        </w:rPr>
        <w:t xml:space="preserve">”). Following delivery of the S-3 Shelf Notices, the Company (x) shall file promptly (and, in any event, within the earlier of (i) thirty (30) days of receipt of the S-3 Shelf Notices and (ii) forty (40) days after delivery of the Eligibility Notice) with the SEC such Shelf Registration Statement (which shall be an automatic Shelf Registration Statement if the Company qualifies at such time to file such a Shelf Registration Statement) relating to the offer and sale of all Registrable Securities requested for inclusion therein by the Initial S-3 Holders and, to the extent requested under Section 2.02(c), the other Holders from time to time in accordance with the methods of distribution elected by such Holders (to the extent permitted in this Section 2.02) and set forth in the Shelf Registration Statement and (y) shall use its reasonable best efforts to cause such Shelf Registration Statement to be promptly declared effective under the Securities Act (including upon the filing thereof if the Company qualifies to file an automatic Shelf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 Institutional Investor reasonably believes that the Company will become S-3 eligible and delivers a S-3 Shelf Notice following the IPO but prior to the S-3 Eligibility Date, the Company shall not be obligated to file (but shall be obligated to prepare) such Shelf Registration Statement on Form S-3.</w:t>
      </w:r>
    </w:p>
    <w:p>
      <w:pPr>
        <w:spacing w:after="0" w:line="184" w:lineRule="exact"/>
        <w:rPr>
          <w:rFonts w:ascii="Arial" w:cs="Arial" w:eastAsia="Arial" w:hAnsi="Arial"/>
          <w:sz w:val="17"/>
          <w:szCs w:val="17"/>
          <w:color w:val="auto"/>
        </w:rPr>
      </w:pPr>
    </w:p>
    <w:p>
      <w:pPr>
        <w:ind w:firstLine="1952"/>
        <w:spacing w:after="0" w:line="269" w:lineRule="auto"/>
        <w:tabs>
          <w:tab w:leader="none" w:pos="2623" w:val="left"/>
        </w:tabs>
        <w:numPr>
          <w:ilvl w:val="2"/>
          <w:numId w:val="246"/>
        </w:numPr>
        <w:rPr>
          <w:rFonts w:ascii="Arial" w:cs="Arial" w:eastAsia="Arial" w:hAnsi="Arial"/>
          <w:sz w:val="17"/>
          <w:szCs w:val="17"/>
          <w:color w:val="auto"/>
        </w:rPr>
      </w:pPr>
      <w:r>
        <w:rPr>
          <w:rFonts w:ascii="Arial" w:cs="Arial" w:eastAsia="Arial" w:hAnsi="Arial"/>
          <w:sz w:val="17"/>
          <w:szCs w:val="17"/>
          <w:color w:val="auto"/>
        </w:rPr>
        <w:t>Subject to the right to deliver a Shelf Notice in the manner contemplated by the first proviso below, at any time following the first anniversary of the IPO, to the extent that the Company is not eligible to file or maintain a Shelf Registration Statement on Form S-3 as contemplated by Section 2.02(a)(i), any Institutional Investor (such Institutional Investor, the “</w:t>
      </w:r>
      <w:r>
        <w:rPr>
          <w:rFonts w:ascii="Arial" w:cs="Arial" w:eastAsia="Arial" w:hAnsi="Arial"/>
          <w:sz w:val="17"/>
          <w:szCs w:val="17"/>
          <w:u w:val="single" w:color="auto"/>
          <w:color w:val="auto"/>
        </w:rPr>
        <w:t>Initiating Holder</w:t>
      </w:r>
      <w:r>
        <w:rPr>
          <w:rFonts w:ascii="Arial" w:cs="Arial" w:eastAsia="Arial" w:hAnsi="Arial"/>
          <w:sz w:val="17"/>
          <w:szCs w:val="17"/>
          <w:color w:val="auto"/>
        </w:rPr>
        <w:t>”) may, subject to Section 2.11, make a written request to the Company to file a Shelf Registration Statement on Form S-1 (a “</w:t>
      </w:r>
      <w:r>
        <w:rPr>
          <w:rFonts w:ascii="Arial" w:cs="Arial" w:eastAsia="Arial" w:hAnsi="Arial"/>
          <w:sz w:val="17"/>
          <w:szCs w:val="17"/>
          <w:u w:val="single" w:color="auto"/>
          <w:color w:val="auto"/>
        </w:rPr>
        <w:t>Shelf Notice</w:t>
      </w:r>
      <w:r>
        <w:rPr>
          <w:rFonts w:ascii="Arial" w:cs="Arial" w:eastAsia="Arial" w:hAnsi="Arial"/>
          <w:sz w:val="17"/>
          <w:szCs w:val="17"/>
          <w:color w:val="auto"/>
        </w:rPr>
        <w:t>”), which Shelf Notice shall specify the aggregate amount of Registrable Securities of the Initiating Holder to be registered therein and the intended methods of distribution thereof. Following the delivery of a Shelf Notice, the Company (x) shall file promptly (and, in any event, within ninety (90) days following delivery of such Shelf Notice) with the SEC such Shelf Registration Statement relating to the offer and sale of all Registrable Securities requested for inclusion therein by the Initiating Holder and, to the extent requested under Section 2.02(c), the other Holders from time to time in accordance with the methods of distribution elected by such Holders (to the extent permitted in this Section 2.02) and set forth in the Shelf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 Shelf Notice is delivered prior to the first anniversary of the IPO, the Company shall not be obligated to file (but shall be obligated to prepare) such Shelf Registration Statement prior to the first anniversary of the IPO) and (y) shall use its reasonable best efforts to cause such Shelf Registration Statement to be promptly declared effective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Shelf Registration Statement request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1" w:name="page352"/>
    <w:bookmarkEnd w:id="351"/>
    <w:p>
      <w:pPr>
        <w:ind w:right="80"/>
        <w:spacing w:after="0" w:line="259" w:lineRule="auto"/>
        <w:rPr>
          <w:sz w:val="20"/>
          <w:szCs w:val="20"/>
          <w:color w:val="auto"/>
        </w:rPr>
      </w:pPr>
      <w:r>
        <w:rPr>
          <w:rFonts w:ascii="Arial" w:cs="Arial" w:eastAsia="Arial" w:hAnsi="Arial"/>
          <w:sz w:val="18"/>
          <w:szCs w:val="18"/>
          <w:color w:val="auto"/>
        </w:rPr>
        <w:t>shall be deemed to be, for purposes of Section 2.11, a Demand Registration effected by the Initiating Holder and subject to the limitations set forth therein. If, on the date of any such request (or, in the event of a request that is delivered prior to the first anniversary of the IPO, on the date following the first anniversary of the IPO), the Company does not qualify to file a Shelf Registration Statement under the Securities Act, the provisions of this Section 2.02 shall not apply, and the provisions of Section 2.01 shall apply instead.</w:t>
      </w:r>
    </w:p>
    <w:p>
      <w:pPr>
        <w:spacing w:after="0" w:line="187" w:lineRule="exact"/>
        <w:rPr>
          <w:sz w:val="20"/>
          <w:szCs w:val="20"/>
          <w:color w:val="auto"/>
        </w:rPr>
      </w:pPr>
    </w:p>
    <w:p>
      <w:pPr>
        <w:ind w:right="80" w:firstLine="1304"/>
        <w:spacing w:after="0" w:line="283" w:lineRule="auto"/>
        <w:tabs>
          <w:tab w:leader="none" w:pos="1951"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Continued Effectiveness</w:t>
      </w:r>
      <w:r>
        <w:rPr>
          <w:rFonts w:ascii="Arial" w:cs="Arial" w:eastAsia="Arial" w:hAnsi="Arial"/>
          <w:sz w:val="16"/>
          <w:szCs w:val="16"/>
          <w:color w:val="auto"/>
        </w:rPr>
        <w:t>. The Company shall use its reasonable best efforts to keep any Shelf Registration Statement filed pursuant to Section 2.02(a) continuously effective under the Securities Act in order to permit the Prospectus forming a part thereof to be usable by Shelf Holders until the earliest of (i) the date as of which all Registrable Securities have been sold pursuant to the Shelf Registration Statement or another Registration Statement filed under the Securities Act (but in no event prior to the applicable period referred to in Section 4(3) of the Securities Act and Rule 174 thereunder), (ii) the date as of which each of the Shelf Holders is permitted to sell its Registrable Securities without Registration pursuant to Rule 144 without volume limitation or other restrictions on transfer thereunder and (iii) such shorter period as the Institutional Investors with respect to such Shelf Registration shall agree in writing (such period of effectiveness, the “</w:t>
      </w:r>
      <w:r>
        <w:rPr>
          <w:rFonts w:ascii="Arial" w:cs="Arial" w:eastAsia="Arial" w:hAnsi="Arial"/>
          <w:sz w:val="16"/>
          <w:szCs w:val="16"/>
          <w:u w:val="single" w:color="auto"/>
          <w:color w:val="auto"/>
        </w:rPr>
        <w:t>Shelf Period</w:t>
      </w:r>
      <w:r>
        <w:rPr>
          <w:rFonts w:ascii="Arial" w:cs="Arial" w:eastAsia="Arial" w:hAnsi="Arial"/>
          <w:sz w:val="16"/>
          <w:szCs w:val="16"/>
          <w:color w:val="auto"/>
        </w:rPr>
        <w:t>”). Subject to Section 2.02(d), the Company shall not be deemed to have used its reasonable best efforts to keep the Shelf Registration Statement effective during the Shelf Period if the Company voluntarily takes any action or omits to take any action that would result in Shelf Holders not being able to offer and sell any Registrable Securities pursuant to such Shelf Registration Statement during the Shelf Period, unless such action or omission is (x) a Shelf Suspension permitted pursuant to Section 2.02(d) or</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required by applicable law, rule or regulation.</w:t>
      </w:r>
    </w:p>
    <w:p>
      <w:pPr>
        <w:spacing w:after="0" w:line="210" w:lineRule="exact"/>
        <w:rPr>
          <w:rFonts w:ascii="Arial" w:cs="Arial" w:eastAsia="Arial" w:hAnsi="Arial"/>
          <w:sz w:val="18"/>
          <w:szCs w:val="18"/>
          <w:color w:val="auto"/>
        </w:rPr>
      </w:pPr>
    </w:p>
    <w:p>
      <w:pPr>
        <w:ind w:left="1960" w:hanging="656"/>
        <w:spacing w:after="0"/>
        <w:tabs>
          <w:tab w:leader="none" w:pos="1960"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t>Company Notices</w:t>
      </w:r>
      <w:r>
        <w:rPr>
          <w:rFonts w:ascii="Arial" w:cs="Arial" w:eastAsia="Arial" w:hAnsi="Arial"/>
          <w:sz w:val="16"/>
          <w:szCs w:val="16"/>
          <w:color w:val="auto"/>
        </w:rPr>
        <w:t>. Promptly upon delivery of any Shelf Notice pursuant to Section 2.02(a)(ii) (but in no event more than five</w:t>
      </w:r>
    </w:p>
    <w:p>
      <w:pPr>
        <w:spacing w:after="0" w:line="46" w:lineRule="exact"/>
        <w:rPr>
          <w:rFonts w:ascii="Arial" w:cs="Arial" w:eastAsia="Arial" w:hAnsi="Arial"/>
          <w:sz w:val="16"/>
          <w:szCs w:val="16"/>
          <w:color w:val="auto"/>
        </w:rPr>
      </w:pPr>
    </w:p>
    <w:p>
      <w:pPr>
        <w:ind w:right="40"/>
        <w:spacing w:after="0" w:line="284" w:lineRule="auto"/>
        <w:rPr>
          <w:rFonts w:ascii="Arial" w:cs="Arial" w:eastAsia="Arial" w:hAnsi="Arial"/>
          <w:sz w:val="16"/>
          <w:szCs w:val="16"/>
          <w:color w:val="auto"/>
        </w:rPr>
      </w:pPr>
      <w:r>
        <w:rPr>
          <w:rFonts w:ascii="Arial" w:cs="Arial" w:eastAsia="Arial" w:hAnsi="Arial"/>
          <w:sz w:val="16"/>
          <w:szCs w:val="16"/>
          <w:color w:val="auto"/>
        </w:rPr>
        <w:t>(5) Business Days thereafter), the Company shall deliver a written notice of such Shelf Notice to the Investors (other than the Initiating Holder) and the Company shall include in such Shelf Registration all such Registrable Securities of such other Investors which the Company has received a written request for inclusion therein within five (5) Business Days after such written notice is delivered to such other Investors. Promptly after (i) delivery of any such written request by the other Investors or (ii) after delivery of the S-3 Shelf Notices pursuant to Section 2.02(a) (but in no event more than ten (10) Business Days after delivery of the S-3 Shelf Notices or the Shelf Notice, as applicable), the Company shall deliver a written notice of the S-3 Shelf Notices or the Shelf Notice, as applicable, to all Holders other than the Investors (which notice shall specify the Pro Rata Investor Shelf Percentage applicable to such Shelf Registration) and the Company shall include in such Shelf Registration all such Registrable Securities of such Holders which the Company has received written requests for inclusion therein within five (5) Business Days after such written notice is delivered to such Holders (each such Holder delivering such a request and the other Investors if Participating Investors, together with the Initiating Holder, if applicable, a “</w:t>
      </w:r>
      <w:r>
        <w:rPr>
          <w:rFonts w:ascii="Arial" w:cs="Arial" w:eastAsia="Arial" w:hAnsi="Arial"/>
          <w:sz w:val="16"/>
          <w:szCs w:val="16"/>
          <w:u w:val="single" w:color="auto"/>
          <w:color w:val="auto"/>
        </w:rPr>
        <w:t>Shelf 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Company shall not include in such Shelf Registration Registrable Securities of any Holder (other than an Investor) in an amount in excess of such Holder’s Pro Rata Shelf Percentage. If the Company is permitted by applicable law, rule or regulation to add selling stockholders to a Shelf Registration Statement without filing a post-effective amendment, a Holder may request the inclusion of an amount of such Holder’s Registrable Securities not to exceed, in the case of a Holder that is not an Investor, such Holder’s Pro Rata Shelf Percentage in such Shelf Registration Statement at any time or from time to time after the filing of a Shelf Registration Statement, and the Company shall add such Registrable Securities to the Shelf Registration Statement as promptly as reasonably practicable, and such Holder shall be deemed a Shelf Holder.</w:t>
      </w:r>
    </w:p>
    <w:p>
      <w:pPr>
        <w:spacing w:after="0" w:line="175" w:lineRule="exact"/>
        <w:rPr>
          <w:rFonts w:ascii="Arial" w:cs="Arial" w:eastAsia="Arial" w:hAnsi="Arial"/>
          <w:sz w:val="16"/>
          <w:szCs w:val="16"/>
          <w:color w:val="auto"/>
        </w:rPr>
      </w:pPr>
    </w:p>
    <w:p>
      <w:pPr>
        <w:ind w:firstLine="1304"/>
        <w:spacing w:after="0" w:line="277" w:lineRule="auto"/>
        <w:tabs>
          <w:tab w:leader="none" w:pos="1951" w:val="left"/>
        </w:tabs>
        <w:numPr>
          <w:ilvl w:val="1"/>
          <w:numId w:val="248"/>
        </w:numPr>
        <w:rPr>
          <w:rFonts w:ascii="Arial" w:cs="Arial" w:eastAsia="Arial" w:hAnsi="Arial"/>
          <w:sz w:val="18"/>
          <w:szCs w:val="18"/>
          <w:color w:val="auto"/>
        </w:rPr>
      </w:pPr>
      <w:r>
        <w:rPr>
          <w:rFonts w:ascii="Arial" w:cs="Arial" w:eastAsia="Arial" w:hAnsi="Arial"/>
          <w:sz w:val="18"/>
          <w:szCs w:val="18"/>
          <w:u w:val="single" w:color="auto"/>
          <w:color w:val="auto"/>
        </w:rPr>
        <w:t>Suspension of Registration</w:t>
      </w:r>
      <w:r>
        <w:rPr>
          <w:rFonts w:ascii="Arial" w:cs="Arial" w:eastAsia="Arial" w:hAnsi="Arial"/>
          <w:sz w:val="18"/>
          <w:szCs w:val="18"/>
          <w:color w:val="auto"/>
        </w:rPr>
        <w:t>. If the Company shall furnish to the Shelf Holders a certificate signed by the Chief Executive Officer or equivalent senior executive officer of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2" w:name="page353"/>
    <w:bookmarkEnd w:id="352"/>
    <w:p>
      <w:pPr>
        <w:spacing w:after="0" w:line="285" w:lineRule="auto"/>
        <w:rPr>
          <w:sz w:val="20"/>
          <w:szCs w:val="20"/>
          <w:color w:val="auto"/>
        </w:rPr>
      </w:pPr>
      <w:r>
        <w:rPr>
          <w:rFonts w:ascii="Arial" w:cs="Arial" w:eastAsia="Arial" w:hAnsi="Arial"/>
          <w:sz w:val="16"/>
          <w:szCs w:val="16"/>
          <w:color w:val="auto"/>
        </w:rPr>
        <w:t>stating that the continued use of a Shelf Registration Statement filed pursuant to Section 2.02(a) would require the Company to make an Adverse Disclosure, then the Company may suspend use of the Shelf Registration Statement (a “</w:t>
      </w:r>
      <w:r>
        <w:rPr>
          <w:rFonts w:ascii="Arial" w:cs="Arial" w:eastAsia="Arial" w:hAnsi="Arial"/>
          <w:sz w:val="16"/>
          <w:szCs w:val="16"/>
          <w:u w:val="single" w:color="auto"/>
          <w:color w:val="auto"/>
        </w:rPr>
        <w:t>Shelf Suspension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unless otherwise approved in writing by the Institutional Investors holding at least 55% of the then-outstanding Registrable Securities held by all Institutional Investors, shall not be permitted to exercise aggregate Demand Suspensions and Shelf Suspensions more than twice, or for more than an aggregate of 90 days, in each case, during any 12-month period;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event of a Shelf Suspension, such Shelf Suspension shall terminate at such earlier time as the Company would no longer be required to make any Adverse Disclosure. Each Shelf Holder shall keep confidential the fact that a Shelf Suspension is in effect, the certificate referred to above and its contents unless and until otherwise notified by the Company, except (A) for disclosure to such Shelf Holder’s employees, agents and professional advisers who reasonably need to know such information for purposes of assisting the Holder with respect to its investment in the Company Shares and agree to keep it confidential, (B) for disclosures to the extent required in order to comply with reporting obligations to its limited partners or other direct or indirect investors who have agreed to keep such information confidential, (C) if and to the extent such matters are publicly disclosed by the Company or any of its Subsidiaries or any other Person that, to the actual knowledge of such Shelf Holder, was not subject to an obligation or duty of confidentiality to the Company and its Subsidiaries and (D) as required by law, rule or regulation. In the case of a Shelf Suspension, the Holders agree to suspend use of the applicable Prospectus and any Issuer Free Writing Prospectus in connection with any sale or purchase of, or offer to sell or purchase, Registrable Securities, upon delivery of the notice referred to above. The Company shall immediately notify the Shelf Holders upon the termination of any Shelf Suspension, amend or supplement the Prospectus and any Issuer Free Writing Prospectus, if necessary, so it does not contain any untrue statement or omission and furnish to the Shelf Holders such numbers of copies of the Prospectus and any Issuer Free Writing Prospectus as so amended or supplemented as the Shelf Holders may reasonably request. The Company agrees, if necessary, to supplement or make amendments to the Shelf Registration Statement if required by the registration form used by the Company for the applicable Registration or by the instructions applicable to such registration form or by the Securities Act or the rules or regulations promulgated thereunder, or as may reasonably be requested by any Initiating Holder.</w:t>
      </w:r>
    </w:p>
    <w:p>
      <w:pPr>
        <w:spacing w:after="0" w:line="385" w:lineRule="exact"/>
        <w:rPr>
          <w:sz w:val="20"/>
          <w:szCs w:val="20"/>
          <w:color w:val="auto"/>
        </w:rPr>
      </w:pPr>
    </w:p>
    <w:p>
      <w:pPr>
        <w:ind w:left="1960" w:hanging="656"/>
        <w:spacing w:after="0"/>
        <w:tabs>
          <w:tab w:leader="none" w:pos="1960"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Shelf Take-Downs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952"/>
        <w:spacing w:after="0" w:line="301" w:lineRule="auto"/>
        <w:tabs>
          <w:tab w:leader="none" w:pos="2613" w:val="left"/>
        </w:tabs>
        <w:numPr>
          <w:ilvl w:val="2"/>
          <w:numId w:val="249"/>
        </w:numPr>
        <w:rPr>
          <w:rFonts w:ascii="Arial" w:cs="Arial" w:eastAsia="Arial" w:hAnsi="Arial"/>
          <w:sz w:val="16"/>
          <w:szCs w:val="16"/>
          <w:color w:val="auto"/>
        </w:rPr>
      </w:pPr>
      <w:r>
        <w:rPr>
          <w:rFonts w:ascii="Arial" w:cs="Arial" w:eastAsia="Arial" w:hAnsi="Arial"/>
          <w:sz w:val="16"/>
          <w:szCs w:val="16"/>
          <w:color w:val="auto"/>
        </w:rPr>
        <w:t>An offering or sale of Registrable Securities pursuant to a Shelf Registration Statement (each, a “</w:t>
      </w:r>
      <w:r>
        <w:rPr>
          <w:rFonts w:ascii="Arial" w:cs="Arial" w:eastAsia="Arial" w:hAnsi="Arial"/>
          <w:sz w:val="16"/>
          <w:szCs w:val="16"/>
          <w:u w:val="single" w:color="auto"/>
          <w:color w:val="auto"/>
        </w:rPr>
        <w:t>Shelf Take-Down</w:t>
      </w:r>
      <w:r>
        <w:rPr>
          <w:rFonts w:ascii="Arial" w:cs="Arial" w:eastAsia="Arial" w:hAnsi="Arial"/>
          <w:sz w:val="16"/>
          <w:szCs w:val="16"/>
          <w:color w:val="auto"/>
        </w:rPr>
        <w:t>”) may be initiated only by an Institutional Investor (an “</w:t>
      </w:r>
      <w:r>
        <w:rPr>
          <w:rFonts w:ascii="Arial" w:cs="Arial" w:eastAsia="Arial" w:hAnsi="Arial"/>
          <w:sz w:val="16"/>
          <w:szCs w:val="16"/>
          <w:u w:val="single" w:color="auto"/>
          <w:color w:val="auto"/>
        </w:rPr>
        <w:t>Initiating Shelf Take-Down Holder</w:t>
      </w:r>
      <w:r>
        <w:rPr>
          <w:rFonts w:ascii="Arial" w:cs="Arial" w:eastAsia="Arial" w:hAnsi="Arial"/>
          <w:sz w:val="16"/>
          <w:szCs w:val="16"/>
          <w:color w:val="auto"/>
        </w:rPr>
        <w:t>”). Except as set forth in Section 2.02(e)(iii) with respect to Marketed Underwritten Shelf Take-Downs, each such Initiating Shelf Take-Down Holder shall not be required to permit the offer and sale of Registrable Securities by other Shelf Holders in connection with any such Shelf Take-Down initiated by such Initiating Shelf Take-Down Holder.</w:t>
      </w:r>
    </w:p>
    <w:p>
      <w:pPr>
        <w:spacing w:after="0" w:line="157" w:lineRule="exact"/>
        <w:rPr>
          <w:rFonts w:ascii="Arial" w:cs="Arial" w:eastAsia="Arial" w:hAnsi="Arial"/>
          <w:sz w:val="16"/>
          <w:szCs w:val="16"/>
          <w:color w:val="auto"/>
        </w:rPr>
      </w:pPr>
    </w:p>
    <w:p>
      <w:pPr>
        <w:ind w:right="140" w:firstLine="1952"/>
        <w:spacing w:after="0" w:line="257" w:lineRule="auto"/>
        <w:tabs>
          <w:tab w:leader="none" w:pos="2623" w:val="left"/>
        </w:tabs>
        <w:numPr>
          <w:ilvl w:val="2"/>
          <w:numId w:val="249"/>
        </w:numPr>
        <w:rPr>
          <w:rFonts w:ascii="Arial" w:cs="Arial" w:eastAsia="Arial" w:hAnsi="Arial"/>
          <w:sz w:val="18"/>
          <w:szCs w:val="18"/>
          <w:color w:val="auto"/>
        </w:rPr>
      </w:pPr>
      <w:r>
        <w:rPr>
          <w:rFonts w:ascii="Arial" w:cs="Arial" w:eastAsia="Arial" w:hAnsi="Arial"/>
          <w:sz w:val="18"/>
          <w:szCs w:val="18"/>
          <w:color w:val="auto"/>
        </w:rPr>
        <w:t>Subject to Section 2.11, if the Initiating Shelf Take-Down Holder elects by written request to the Company, a Shelf Take-Down shall be in the form of an Underwritten Offering (an “</w:t>
      </w:r>
      <w:r>
        <w:rPr>
          <w:rFonts w:ascii="Arial" w:cs="Arial" w:eastAsia="Arial" w:hAnsi="Arial"/>
          <w:sz w:val="18"/>
          <w:szCs w:val="18"/>
          <w:u w:val="single" w:color="auto"/>
          <w:color w:val="auto"/>
        </w:rPr>
        <w:t>Underwritten Shelf Take-Down Notice</w:t>
      </w:r>
      <w:r>
        <w:rPr>
          <w:rFonts w:ascii="Arial" w:cs="Arial" w:eastAsia="Arial" w:hAnsi="Arial"/>
          <w:sz w:val="18"/>
          <w:szCs w:val="18"/>
          <w:color w:val="auto"/>
        </w:rPr>
        <w:t>”) and the Company shall amend or supplement the Shelf Registration Statement for such purpose as soon as practicable. Such Initiating Shelf Take-Down Holder shall have the right to select the managing underwriter or underwriters to administer such offering. The provisions of Section 2.01(g) shall apply to any Underwritten Offering pursuant to this Section 2.02(e).</w:t>
      </w:r>
    </w:p>
    <w:p>
      <w:pPr>
        <w:spacing w:after="0" w:line="187" w:lineRule="exact"/>
        <w:rPr>
          <w:rFonts w:ascii="Arial" w:cs="Arial" w:eastAsia="Arial" w:hAnsi="Arial"/>
          <w:sz w:val="18"/>
          <w:szCs w:val="18"/>
          <w:color w:val="auto"/>
        </w:rPr>
      </w:pPr>
    </w:p>
    <w:p>
      <w:pPr>
        <w:ind w:right="20" w:firstLine="1952"/>
        <w:spacing w:after="0" w:line="287" w:lineRule="auto"/>
        <w:tabs>
          <w:tab w:leader="none" w:pos="2632" w:val="left"/>
        </w:tabs>
        <w:numPr>
          <w:ilvl w:val="2"/>
          <w:numId w:val="249"/>
        </w:numPr>
        <w:rPr>
          <w:rFonts w:ascii="Arial" w:cs="Arial" w:eastAsia="Arial" w:hAnsi="Arial"/>
          <w:sz w:val="16"/>
          <w:szCs w:val="16"/>
          <w:color w:val="auto"/>
        </w:rPr>
      </w:pPr>
      <w:r>
        <w:rPr>
          <w:rFonts w:ascii="Arial" w:cs="Arial" w:eastAsia="Arial" w:hAnsi="Arial"/>
          <w:sz w:val="16"/>
          <w:szCs w:val="16"/>
          <w:color w:val="auto"/>
        </w:rPr>
        <w:t>If the plan of distribution set forth in any Underwritten Shelf Take-Down Notice includes a customary “road show” (including an “electronic road show”) or other substantial marketing effort by the Company and the underwriters over a period expected to exceed 48 hours (a “</w:t>
      </w:r>
      <w:r>
        <w:rPr>
          <w:rFonts w:ascii="Arial" w:cs="Arial" w:eastAsia="Arial" w:hAnsi="Arial"/>
          <w:sz w:val="16"/>
          <w:szCs w:val="16"/>
          <w:u w:val="single" w:color="auto"/>
          <w:color w:val="auto"/>
        </w:rPr>
        <w:t>Marketed Underwritten Shelf Take-Down</w:t>
      </w:r>
      <w:r>
        <w:rPr>
          <w:rFonts w:ascii="Arial" w:cs="Arial" w:eastAsia="Arial" w:hAnsi="Arial"/>
          <w:sz w:val="16"/>
          <w:szCs w:val="16"/>
          <w:color w:val="auto"/>
        </w:rPr>
        <w:t>”), promptly upon delivery of such Underwritten Shelf Take-Down Notice (but in no event more than three</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Business Days thereafter), the Company shall promptly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3" w:name="page354"/>
    <w:bookmarkEnd w:id="353"/>
    <w:p>
      <w:pPr>
        <w:spacing w:after="0" w:line="255" w:lineRule="auto"/>
        <w:rPr>
          <w:sz w:val="20"/>
          <w:szCs w:val="20"/>
          <w:color w:val="auto"/>
        </w:rPr>
      </w:pPr>
      <w:r>
        <w:rPr>
          <w:rFonts w:ascii="Arial" w:cs="Arial" w:eastAsia="Arial" w:hAnsi="Arial"/>
          <w:sz w:val="18"/>
          <w:szCs w:val="18"/>
          <w:color w:val="auto"/>
        </w:rPr>
        <w:t>deliver a written notice (a “</w:t>
      </w:r>
      <w:r>
        <w:rPr>
          <w:rFonts w:ascii="Arial" w:cs="Arial" w:eastAsia="Arial" w:hAnsi="Arial"/>
          <w:sz w:val="18"/>
          <w:szCs w:val="18"/>
          <w:u w:val="single" w:color="auto"/>
          <w:color w:val="auto"/>
        </w:rPr>
        <w:t>Marketed Underwritten Shelf Take-Down Notice</w:t>
      </w:r>
      <w:r>
        <w:rPr>
          <w:rFonts w:ascii="Arial" w:cs="Arial" w:eastAsia="Arial" w:hAnsi="Arial"/>
          <w:sz w:val="18"/>
          <w:szCs w:val="18"/>
          <w:color w:val="auto"/>
        </w:rPr>
        <w:t>”) of such Marketed Underwritten Shelf Take-Down to all Shelf Holders (other than the Initiating Shelf Take-Down Holder), and the Company shall include in such Marketed Underwritten Shelf Take-Down all such Registrable Securities of such Shelf Holders that are Registered on such Shelf Registration Statement for which the Company has received written requests, which requests must specify the aggregate amount of such Registrable Securities of such Holder to be offered and sold pursuant to such Marketed Underwritten Shelf Take-Down, for inclusion therein within three (3) Business Days after the date that such Marketed Underwritten Shelf Take-Down Notice has been delivered.</w:t>
      </w:r>
    </w:p>
    <w:p>
      <w:pPr>
        <w:spacing w:after="0" w:line="192"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225" w:lineRule="exact"/>
        <w:rPr>
          <w:sz w:val="20"/>
          <w:szCs w:val="20"/>
          <w:color w:val="auto"/>
        </w:rPr>
      </w:pPr>
    </w:p>
    <w:p>
      <w:pPr>
        <w:ind w:right="20" w:firstLine="1304"/>
        <w:spacing w:after="0" w:line="284" w:lineRule="auto"/>
        <w:tabs>
          <w:tab w:leader="none" w:pos="1941"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If the Company at any time proposes to file a Registration Statement with respect to any offering of its equity securities for its own account or for the account of any other Persons (other than (i) a Registration under Section 2.01 or 2.02, it being understood that this clause (i) does not limit the rights of Holders to make written requests pursuant to Sections 2.01 or 2.02 or otherwise limit the applicability thereof, (ii) a Registration Statement on Form S-4 or S-8 (or such other similar successor forms then in effect under the Securities Act), (iii) a registration of securities solely relating to an offering and sale to employees, directors or consultants of the Company or its Subsidiaries pursuant to any employee stock plan or other employee benefit plan arrangement, (iv) a registration not otherwise covered by clause (ii) above pursuant to which the Company is offering to exchange its own securities for other securities, (v) a Registration Statement relating solely to dividend reinvestment or similar plans or (vi) a Shelf Registration Statement pursuant to which only the initial purchasers and subsequent transferees of debt securities of the Company or any of its Subsidiaries that are convertible or exchangeable for Company Shares and that are initially issued pursuant to Rule 144A and/or Regulation S (or any successor provisions) of the Securities Act may resell such notes and sell the Company Shares into which such notes may be converted or exchanged) (a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Public Sale</w:t>
      </w:r>
      <w:r>
        <w:rPr>
          <w:rFonts w:ascii="Arial" w:cs="Arial" w:eastAsia="Arial" w:hAnsi="Arial"/>
          <w:sz w:val="16"/>
          <w:szCs w:val="16"/>
          <w:color w:val="auto"/>
        </w:rPr>
        <w:t>”), then, (A) as soon as practicable (but in no event less than 30 days prior to the proposed date of filing of such Registration Statement), the Company shall give written notice of such proposed filing to the Investors, and such notice shall offer each Investor the opportunity to Register under such Registration Statement such number of Registrable Securities as such Investor may request in writing delivered to the Company within ten (10) days of delivery of such written notice by the Company, and (B) subject to Section 2.03(c), as soon as practicable after the expiration of such 10-day period (but in no event less than fifteen (15) days prior to the proposed date of filing of such Registration Statement), the Company shall give written notice of such proposed filing to the Holders (other than the Investors), and such notice shall offer each such Holder the opportunity to Register under such Registration Statement such number of Registrable Securities as such Holder may request in writing within ten (10) days of delivery of such written notice by the Company. Subject to Sections 2.03(b) and (c), the Company shall include in such Registration Statement all such Registrable Securities that are requested by Holders to be included therein in compliance with the immediately foregoing sentence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after giving written notice of its intention to Register any equity securities and prior to the effective date of the Registration Statement filed in connection with such Piggyback Registration, the Company shall determine for any reason not to Register or to delay Registration of the equity securities covered by such Piggyback Registration, the Company shall give written notice of such determination to each Holder that had requested to Register its, his or her Registrable Securities in such Registration Statement and, thereupon, (1) in the case of a determination not to Register, shall be relieved of its obligation to Register any Registrable Securities in connection with such Registration (but not from its obligation to pay the Registration Expenses in connection therewith, to the extent payable), without prejudice, however, to the rights of the Investors to request that such Registration be effected as a Demand Registration under Section 2.01, and (2) in the case of a determination to delay Registering, in the absence of a request by the Investors to request that such Registration be effected as a Demand Registration under Section 2.01, shall be permitted to delay Registering any Registrable Securities, for the same period as the delay in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4" w:name="page355"/>
    <w:bookmarkEnd w:id="354"/>
    <w:p>
      <w:pPr>
        <w:ind w:right="20"/>
        <w:spacing w:after="0" w:line="270" w:lineRule="auto"/>
        <w:rPr>
          <w:sz w:val="20"/>
          <w:szCs w:val="20"/>
          <w:color w:val="auto"/>
        </w:rPr>
      </w:pPr>
      <w:r>
        <w:rPr>
          <w:rFonts w:ascii="Arial" w:cs="Arial" w:eastAsia="Arial" w:hAnsi="Arial"/>
          <w:sz w:val="17"/>
          <w:szCs w:val="17"/>
          <w:color w:val="auto"/>
        </w:rPr>
        <w:t>Registering the other equity securities covered by such Piggyback Registration. If the offering pursuant to such Registration Statement is to be underwritten, the Company shall so advise the Holders as a part of the written notice given pursuant this Section 2.03(a), and each Holder making a request for a Piggyback Registration pursuant to this Section 2.03(a) must, and the Company shall make such arrangements with the managing underwriter or underwriters so that each such Holder may, participate in such Underwritten Offering, subject to the conditions of Section 2.03(b) and (c). If the offering pursuant to such Registration Statement is to be on any other basis, the Company shall so advise the Holders as part of the written notice given pursuant to this Section 2.03(a), and each Holder making a request for a Piggyback Registration pursuant to this Section 2.03(a) must, and the Company shall make such arrangements so that each such Holder may, participate in such offering on such basis, subject to the conditions of Section 2.03(b) and (c). Each Holder shall be permitted to withdraw all or part of its Registrable Securities from a Piggyback Registration at any time prior to the effectiveness of such Registration Statement.</w:t>
      </w:r>
    </w:p>
    <w:p>
      <w:pPr>
        <w:spacing w:after="0" w:line="181" w:lineRule="exact"/>
        <w:rPr>
          <w:sz w:val="20"/>
          <w:szCs w:val="20"/>
          <w:color w:val="auto"/>
        </w:rPr>
      </w:pPr>
    </w:p>
    <w:p>
      <w:pPr>
        <w:ind w:firstLine="1304"/>
        <w:spacing w:after="0" w:line="282" w:lineRule="auto"/>
        <w:tabs>
          <w:tab w:leader="none" w:pos="1951"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Priority of Piggyback Registration</w:t>
      </w:r>
      <w:r>
        <w:rPr>
          <w:rFonts w:ascii="Arial" w:cs="Arial" w:eastAsia="Arial" w:hAnsi="Arial"/>
          <w:sz w:val="16"/>
          <w:szCs w:val="16"/>
          <w:color w:val="auto"/>
        </w:rPr>
        <w:t xml:space="preserve">. If the managing underwriter or underwriters of any proposed Underwritten Offering of Registrable Securities included in a Piggyback Registration informs the Company and the Holders that have requested to participate in such Piggyback Registration in writing that, in its or their opinion, the number of securities which such Holders and any other Persons intend to include in such offering exceeds the number which can be sold in such offering without being likely to have a significant adverse effect on the price, timing or distribution of the securities offered or the market for the securities offered, then the securities to be included in such Registration shall be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in the case of the IPO, 100% of the securities that the Company proposes to sell, and in the case of any other proposed Underwritten Offering, such number of securities that the Company proposes to sell so long as the number of Registrable Securities sold by Investors pursuant to clause (ii) are not reduced below 30% of the total number of securities included in the Underwritten Offering, (ii) </w:t>
      </w:r>
      <w:r>
        <w:rPr>
          <w:rFonts w:ascii="Arial" w:cs="Arial" w:eastAsia="Arial" w:hAnsi="Arial"/>
          <w:sz w:val="16"/>
          <w:szCs w:val="16"/>
          <w:u w:val="single" w:color="auto"/>
          <w:color w:val="auto"/>
        </w:rPr>
        <w:t>second</w:t>
      </w:r>
      <w:r>
        <w:rPr>
          <w:rFonts w:ascii="Arial" w:cs="Arial" w:eastAsia="Arial" w:hAnsi="Arial"/>
          <w:sz w:val="16"/>
          <w:szCs w:val="16"/>
          <w:color w:val="auto"/>
        </w:rPr>
        <w:t>, and in the case of the IPO only if all the securities referred to in clause (i) have been included, the number of Registrable Securities that, in the opinion of such managing underwriter or underwriters, can be sold without having such adverse effect in such Registration (the “</w:t>
      </w:r>
      <w:r>
        <w:rPr>
          <w:rFonts w:ascii="Arial" w:cs="Arial" w:eastAsia="Arial" w:hAnsi="Arial"/>
          <w:sz w:val="16"/>
          <w:szCs w:val="16"/>
          <w:u w:val="single" w:color="auto"/>
          <w:color w:val="auto"/>
        </w:rPr>
        <w:t>Determined Number</w:t>
      </w:r>
      <w:r>
        <w:rPr>
          <w:rFonts w:ascii="Arial" w:cs="Arial" w:eastAsia="Arial" w:hAnsi="Arial"/>
          <w:sz w:val="16"/>
          <w:szCs w:val="16"/>
          <w:color w:val="auto"/>
        </w:rPr>
        <w:t xml:space="preserve">”), which such Determined Number shall be allocated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the Investors that have requested to participate in such Registration based on the relative number of Registrable Securities then held by each such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securities thereby allocated to an Investor that exceed such Investor’s request shall be reallocated among the remaining requesting Investors in like manner) and such Determined Number of Registrable Securities is not reduced below 30% of the total number of securities included in such Underwritten Offering (other than the IPO), (iii)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and only if all the securities referred to in clause (ii) have been included, the number of Registrable Securities that, in the opinion of such managing underwriter or underwriters, can be sold without having such adverse effect in such Registration, which such number shall be allocated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among the Holders (excluding the Investors) that have requested to participate in such Registration based on the relative number of Registrable Securities then held by each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securities thereby allocated to a Holder that exceed such Holder’s request shall be reallocated among the remaining requesting Holders in like manner) and (iv) </w:t>
      </w:r>
      <w:r>
        <w:rPr>
          <w:rFonts w:ascii="Arial" w:cs="Arial" w:eastAsia="Arial" w:hAnsi="Arial"/>
          <w:sz w:val="16"/>
          <w:szCs w:val="16"/>
          <w:u w:val="single" w:color="auto"/>
          <w:color w:val="auto"/>
        </w:rPr>
        <w:t>fourth</w:t>
      </w:r>
      <w:r>
        <w:rPr>
          <w:rFonts w:ascii="Arial" w:cs="Arial" w:eastAsia="Arial" w:hAnsi="Arial"/>
          <w:sz w:val="16"/>
          <w:szCs w:val="16"/>
          <w:color w:val="auto"/>
        </w:rPr>
        <w:t>, and only if all of the Registrable Securities referred to in clause</w:t>
      </w:r>
    </w:p>
    <w:p>
      <w:pPr>
        <w:spacing w:after="0" w:line="11" w:lineRule="exact"/>
        <w:rPr>
          <w:rFonts w:ascii="Arial" w:cs="Arial" w:eastAsia="Arial" w:hAnsi="Arial"/>
          <w:sz w:val="16"/>
          <w:szCs w:val="16"/>
          <w:color w:val="auto"/>
        </w:rPr>
      </w:pPr>
    </w:p>
    <w:p>
      <w:pPr>
        <w:ind w:firstLine="8"/>
        <w:spacing w:after="0" w:line="260" w:lineRule="auto"/>
        <w:tabs>
          <w:tab w:leader="none" w:pos="31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have been included in such Registration, any other securities eligible for inclusion in such Registration that, in the opinion of the managing underwriter or underwriters, can be sold without having such adverse effect in such Registration.</w:t>
      </w:r>
    </w:p>
    <w:p>
      <w:pPr>
        <w:spacing w:after="0" w:line="185" w:lineRule="exact"/>
        <w:rPr>
          <w:rFonts w:ascii="Arial" w:cs="Arial" w:eastAsia="Arial" w:hAnsi="Arial"/>
          <w:sz w:val="18"/>
          <w:szCs w:val="18"/>
          <w:color w:val="auto"/>
        </w:rPr>
      </w:pPr>
    </w:p>
    <w:p>
      <w:pPr>
        <w:jc w:val="both"/>
        <w:ind w:right="280" w:firstLine="1304"/>
        <w:spacing w:after="0" w:line="263" w:lineRule="auto"/>
        <w:tabs>
          <w:tab w:leader="none" w:pos="1955"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Restrictions on Non-Institutional Investor Holders</w:t>
      </w:r>
      <w:r>
        <w:rPr>
          <w:rFonts w:ascii="Arial" w:cs="Arial" w:eastAsia="Arial" w:hAnsi="Arial"/>
          <w:sz w:val="18"/>
          <w:szCs w:val="18"/>
          <w:color w:val="auto"/>
        </w:rPr>
        <w:t>. Notwithstanding any provisions contained herein, Holders other than the Institutional Investors shall not be able to exercise the right to a Piggyback Registration unless at least one Institutional Investor exercises its rights with respect to such Piggyback Registration.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5" w:name="page356"/>
    <w:bookmarkEnd w:id="355"/>
    <w:p>
      <w:pPr>
        <w:ind w:right="220" w:firstLine="1304"/>
        <w:spacing w:after="0" w:line="263" w:lineRule="auto"/>
        <w:tabs>
          <w:tab w:leader="none" w:pos="1951"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No Effect on Demand Registrations</w:t>
      </w:r>
      <w:r>
        <w:rPr>
          <w:rFonts w:ascii="Arial" w:cs="Arial" w:eastAsia="Arial" w:hAnsi="Arial"/>
          <w:sz w:val="18"/>
          <w:szCs w:val="18"/>
          <w:color w:val="auto"/>
        </w:rPr>
        <w:t>. No Registration of Registrable Securities effected pursuant to a request under this Section 2.03 shall be deemed to have been effected pursuant to Section 2.01 or 2.02 or shall relieve the Company of its obligations under Section 2.01 or 2.02.</w:t>
      </w:r>
    </w:p>
    <w:p>
      <w:pPr>
        <w:spacing w:after="0" w:line="184"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Black-out Periods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67" w:lineRule="auto"/>
        <w:tabs>
          <w:tab w:leader="none" w:pos="1941"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Black-out Periods for Holders</w:t>
      </w:r>
      <w:r>
        <w:rPr>
          <w:rFonts w:ascii="Arial" w:cs="Arial" w:eastAsia="Arial" w:hAnsi="Arial"/>
          <w:sz w:val="17"/>
          <w:szCs w:val="17"/>
          <w:color w:val="auto"/>
        </w:rPr>
        <w:t xml:space="preserve">. In the event of a Company Public Sale of the Company’s equity securities in an Underwritten Offering, each of the Holders agrees, if requested by the managing underwriter or underwriters in such Underwritten Offering, not to (1) 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undersigned in accordance with the rules and regulations of the SEC and Company Shares that may be issued upon exercise of any options or warrants) or securities convertible into or exercisable or exchangeable for Company Shares, (2) enter into any swap or other derivatives transaction that transfers to another, in whole or in part, any of the economic benefits or risks of ownership of Company Shares, whether any such transaction described in clause (1) or (2) above is to be settled by delivery of Company Shares or other securities, in cash or otherwise, (3) make any demand for or exercise any right or cause to be filed a Registration Statement, including any amendments thereto, with respect to the registration of any Company Shares or securities convertible into or exercisable or exchangeable for Company Shares or any other securities of the Company or (4) publicly disclose the intention to do any of the foregoing, in each case, during the period beginning seven (7) days before and ending 180 days (in the event of the IPO) or 90 days (in the event of any other Company Public Sale) (or, in each case, such other period as may be reasonably requested by the Company or the managing underwriter or underwriters to accommodate regulatory restrictions on (i) the publication or other distribution of research reports and (ii) analyst recommendations and opinions, including, but not limited to, the restrictions contained in the FINRA rules or any successor provisions or amendments thereto) after the date of the underwriting agreement entered into in connection with such Company Public Sale, to the extent timely notified in writing by the Company or the managing underwriter or underwriters; </w:t>
      </w:r>
      <w:r>
        <w:rPr>
          <w:rFonts w:ascii="Arial" w:cs="Arial" w:eastAsia="Arial" w:hAnsi="Arial"/>
          <w:sz w:val="17"/>
          <w:szCs w:val="17"/>
          <w:u w:val="single" w:color="auto"/>
          <w:color w:val="auto"/>
        </w:rPr>
        <w:t>provided</w:t>
      </w:r>
      <w:r>
        <w:rPr>
          <w:rFonts w:ascii="Arial" w:cs="Arial" w:eastAsia="Arial" w:hAnsi="Arial"/>
          <w:sz w:val="17"/>
          <w:szCs w:val="17"/>
          <w:color w:val="auto"/>
        </w:rPr>
        <w:t>, that no Holder shall be subject to any such black-out period of longer duration than that applicable to any Investor or any director or executive officer who holds Registrable Securities. If requested by the managing underwriter or underwriters of any such Company Public Sale (and, with respect to any such Company Public Sale other than the IPO, if and only if the Institutional Investors holding at least 55% of the then-outstanding Registrable Securities held by all Institutional Investors agree to such request), the Holders shall execute a separate agreement to the foregoing effect. The Company may impose stop-transfer instructions with respect to the Company Shares (or other securities) subject to the foregoing restriction until the end of the period referenced above.</w:t>
      </w:r>
    </w:p>
    <w:p>
      <w:pPr>
        <w:spacing w:after="0" w:line="185" w:lineRule="exact"/>
        <w:rPr>
          <w:rFonts w:ascii="Arial" w:cs="Arial" w:eastAsia="Arial" w:hAnsi="Arial"/>
          <w:sz w:val="17"/>
          <w:szCs w:val="17"/>
          <w:color w:val="auto"/>
        </w:rPr>
      </w:pPr>
    </w:p>
    <w:p>
      <w:pPr>
        <w:ind w:left="1960" w:hanging="656"/>
        <w:spacing w:after="0"/>
        <w:tabs>
          <w:tab w:leader="none" w:pos="1960"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Black-out Period for the Company and Others</w:t>
      </w:r>
      <w:r>
        <w:rPr>
          <w:rFonts w:ascii="Arial" w:cs="Arial" w:eastAsia="Arial" w:hAnsi="Arial"/>
          <w:sz w:val="16"/>
          <w:szCs w:val="16"/>
          <w:color w:val="auto"/>
        </w:rPr>
        <w:t>. In the case of an offering of Registrable Securities pursuant to Section 2.01 or</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2.02 that is a Marketed Underwritten Offering, the Company and each of the Holders agree, if requested by a Participating Institutional Investor or the managing underwriter or underwriters with respect to such Marketed Underwritten Offering, not to (1) 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undersigned in accordance with the rules and regulations of the SEC and Company Shares that may be issued upon exercise of any options or warrants) or securities convertible into or exercisable or exchangeable for Company Shares, (2) enter into any swap or other derivatives transaction that transfers to another, in whole or in part, any of the economic benefits or risks of ownership of Company Shares, whether any such transaction described in clause (1) or (2) above is to be settled by delivery of Company Shares or other securities, in cash or otherwise, (3) make any demand for or exercise any right or cause to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56" w:name="page357"/>
    <w:bookmarkEnd w:id="356"/>
    <w:p>
      <w:pPr>
        <w:spacing w:after="0" w:line="282" w:lineRule="auto"/>
        <w:rPr>
          <w:sz w:val="20"/>
          <w:szCs w:val="20"/>
          <w:color w:val="auto"/>
        </w:rPr>
      </w:pPr>
      <w:r>
        <w:rPr>
          <w:rFonts w:ascii="Arial" w:cs="Arial" w:eastAsia="Arial" w:hAnsi="Arial"/>
          <w:sz w:val="16"/>
          <w:szCs w:val="16"/>
          <w:color w:val="auto"/>
        </w:rPr>
        <w:t xml:space="preserve">be filed a Registration Statement, including any amendments thereto, with respect to the registration of any Company Shares or securities convertible into or exercisable or exchangeable for Company Shares or any other securities of the Company or (4) publicly disclose the intention to do any of the foregoing, in each case, during the period beginning seven (7) days before, and ending 90 days (or such lesser period as may be agreed by a Participating Institutional Investor or, if applicable, the managing underwriter or underwriters) (or such other period as may be reasonably requested by a Participating Institutional Investor or the managing underwriter or underwriters to accommodate regulatory restrictions on (i) the publication or other distribution of research reports and (ii) analyst recommendations and opinions, including, but not limited to, the restrictions contained in the FINRA rules or any successor provisions or amendments thereto) after, the date of the underwriting agreement entered into in connection with such Marketed Underwritten Offering, to the extent timely notified in writing by a Participating Institutional Investor or the managing underwriter or underwriters,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Holder shall be subject to any such black-out period of longer duration than that applicable to any Participating Institutional Investor. Notwithstanding the foregoing, the Company may effect a public sale or distribution of securities of the type described above and during the periods described above if such sale or distribution is made pursuant to Registrations on Form S-4 or S-8 or any successor form to such Forms or as part of any Registration of securities for offering and sale to employees, directors or consultants of the Company and its Subsidiaries pursuant to any employee stock plan or other employee benefit plan arrangement. The Company agrees to use its reasonable best efforts to obtain from each of its directors and officers and each other holder of restricted securities of the Company which securities are the same as or similar to the Registrable Securities being Registered, or any restricted securities convertible into or exchangeable or exercisable for any of such securities, an agreement not to effect any public sale or distribution of such securities during any such period referred to in this paragraph, except as part of any such Registration, if permitted. Without limiting the foregoing (but subject to</w:t>
      </w:r>
    </w:p>
    <w:p>
      <w:pPr>
        <w:spacing w:after="0" w:line="1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Section 2.07), if after the date hereof the Company or any of its Subsidiaries grants any Person (other than a Holder) any rights to demand or participate in a Registration, the Company shall, and shall cause its Subsidiaries to, provide that the agreement with respect thereto shall include such Person’s agreement to comply with any black-out period required by this Section as if it were a Holder hereunder. If requested by the managing underwriter or underwriters of any such Marketed Underwritten Offering, the Holders shall execute a separate agreement to the foregoing effect. The Company may impose stop-transfer instructions with respect to the Company Shares (or other securities) subject to the foregoing restriction until the end of the period referenced above.</w:t>
      </w:r>
    </w:p>
    <w:p>
      <w:pPr>
        <w:spacing w:after="0" w:line="162"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Registration Procedures</w:t>
      </w:r>
      <w:r>
        <w:rPr>
          <w:rFonts w:ascii="Arial" w:cs="Arial" w:eastAsia="Arial" w:hAnsi="Arial"/>
          <w:sz w:val="16"/>
          <w:szCs w:val="16"/>
          <w:color w:val="auto"/>
        </w:rPr>
        <w:t>.</w:t>
      </w:r>
    </w:p>
    <w:p>
      <w:pPr>
        <w:spacing w:after="0" w:line="225" w:lineRule="exact"/>
        <w:rPr>
          <w:sz w:val="20"/>
          <w:szCs w:val="20"/>
          <w:color w:val="auto"/>
        </w:rPr>
      </w:pPr>
    </w:p>
    <w:p>
      <w:pPr>
        <w:ind w:right="300" w:firstLine="1304"/>
        <w:spacing w:after="0" w:line="259" w:lineRule="auto"/>
        <w:tabs>
          <w:tab w:leader="none" w:pos="194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connection with the Company’s Registration obligations under Sections 2.01, 2.02 and 2.03 and subject to the applicable terms and conditions set forth therein, the Company shall use its reasonable best efforts to effect such Registration to permit the sale of such Registrable Securities in accordance with the intended method or methods of distribution thereof as expeditiously as reasonably practicable, and in connection therewith the Company shall:</w:t>
      </w:r>
    </w:p>
    <w:p>
      <w:pPr>
        <w:spacing w:after="0" w:line="186" w:lineRule="exact"/>
        <w:rPr>
          <w:rFonts w:ascii="Arial" w:cs="Arial" w:eastAsia="Arial" w:hAnsi="Arial"/>
          <w:sz w:val="18"/>
          <w:szCs w:val="18"/>
          <w:color w:val="auto"/>
        </w:rPr>
      </w:pPr>
    </w:p>
    <w:p>
      <w:pPr>
        <w:ind w:firstLine="1952"/>
        <w:spacing w:after="0" w:line="255" w:lineRule="auto"/>
        <w:tabs>
          <w:tab w:leader="none" w:pos="2613" w:val="left"/>
        </w:tabs>
        <w:numPr>
          <w:ilvl w:val="1"/>
          <w:numId w:val="256"/>
        </w:numPr>
        <w:rPr>
          <w:rFonts w:ascii="Arial" w:cs="Arial" w:eastAsia="Arial" w:hAnsi="Arial"/>
          <w:sz w:val="18"/>
          <w:szCs w:val="18"/>
          <w:color w:val="auto"/>
        </w:rPr>
      </w:pPr>
      <w:r>
        <w:rPr>
          <w:rFonts w:ascii="Arial" w:cs="Arial" w:eastAsia="Arial" w:hAnsi="Arial"/>
          <w:sz w:val="18"/>
          <w:szCs w:val="18"/>
          <w:color w:val="auto"/>
        </w:rPr>
        <w:t>prepare the required Registration Statement including all exhibits and financial statements required under the Securities Act to be filed therewith, and before filing a Registration Statement, Prospectus or any Issuer Free Writing Prospectus, or any amendments or supplements thereto, (x) furnish to the underwriters, if any, and the Participating Investors, if any, copies of all documents prepared to be filed, which documents shall be subject to the review of such underwriters and the Participating Investors and their respective counsel and (y) except in the case of a Registration under Section 2.03, not file any Registration Statement or Prospectus or amendments or supplements thereto to which any Participating Investor or the underwriters, if any, shall reasonably object;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7" w:name="page358"/>
    <w:bookmarkEnd w:id="357"/>
    <w:p>
      <w:pPr>
        <w:ind w:left="-20" w:firstLine="1952"/>
        <w:spacing w:after="0" w:line="263" w:lineRule="auto"/>
        <w:tabs>
          <w:tab w:leader="none" w:pos="260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as promptly as practicable file with the SEC a Registration Statement relating to the Registrable Securities including all exhibits and financial statements required by the SEC to be filed therewith, and use its reasonable best efforts to cause such Registration Statement to become effective under the Securities Act as soon as practicable;</w:t>
      </w:r>
    </w:p>
    <w:p>
      <w:pPr>
        <w:spacing w:after="0" w:line="183" w:lineRule="exact"/>
        <w:rPr>
          <w:rFonts w:ascii="Arial" w:cs="Arial" w:eastAsia="Arial" w:hAnsi="Arial"/>
          <w:sz w:val="18"/>
          <w:szCs w:val="18"/>
          <w:color w:val="auto"/>
        </w:rPr>
      </w:pPr>
    </w:p>
    <w:p>
      <w:pPr>
        <w:ind w:left="-20" w:right="40" w:firstLine="1952"/>
        <w:spacing w:after="0" w:line="273" w:lineRule="auto"/>
        <w:tabs>
          <w:tab w:leader="none" w:pos="2612" w:val="left"/>
        </w:tabs>
        <w:numPr>
          <w:ilvl w:val="0"/>
          <w:numId w:val="257"/>
        </w:numPr>
        <w:rPr>
          <w:rFonts w:ascii="Arial" w:cs="Arial" w:eastAsia="Arial" w:hAnsi="Arial"/>
          <w:sz w:val="17"/>
          <w:szCs w:val="17"/>
          <w:color w:val="auto"/>
        </w:rPr>
      </w:pPr>
      <w:r>
        <w:rPr>
          <w:rFonts w:ascii="Arial" w:cs="Arial" w:eastAsia="Arial" w:hAnsi="Arial"/>
          <w:sz w:val="17"/>
          <w:szCs w:val="17"/>
          <w:color w:val="auto"/>
        </w:rPr>
        <w:t>prepare and file with the SEC such pre- and post-effective amendments to such Registration Statement, supplements to the Prospectus and such amendments or supplements to any Issuer Free Writing Prospectus as may be (x) reasonably requested by any Participating Investor, (y) reasonably requested by any other Participating Holder (to the extent such request relates to information relating to such Participating Holder), or (z)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177" w:lineRule="exact"/>
        <w:rPr>
          <w:rFonts w:ascii="Arial" w:cs="Arial" w:eastAsia="Arial" w:hAnsi="Arial"/>
          <w:sz w:val="17"/>
          <w:szCs w:val="17"/>
          <w:color w:val="auto"/>
        </w:rPr>
      </w:pPr>
    </w:p>
    <w:p>
      <w:pPr>
        <w:ind w:left="-20" w:right="20" w:firstLine="1952"/>
        <w:spacing w:after="0" w:line="269" w:lineRule="auto"/>
        <w:tabs>
          <w:tab w:leader="none" w:pos="2589" w:val="left"/>
        </w:tabs>
        <w:numPr>
          <w:ilvl w:val="0"/>
          <w:numId w:val="257"/>
        </w:numPr>
        <w:rPr>
          <w:rFonts w:ascii="Arial" w:cs="Arial" w:eastAsia="Arial" w:hAnsi="Arial"/>
          <w:sz w:val="17"/>
          <w:szCs w:val="17"/>
          <w:color w:val="auto"/>
        </w:rPr>
      </w:pPr>
      <w:r>
        <w:rPr>
          <w:rFonts w:ascii="Arial" w:cs="Arial" w:eastAsia="Arial" w:hAnsi="Arial"/>
          <w:sz w:val="17"/>
          <w:szCs w:val="17"/>
          <w:color w:val="auto"/>
        </w:rPr>
        <w:t>promptly notify the Participating Holders and the managing underwriter or underwriters, if any, and (if requested) confirm such advice in writing and provide copies of the relevant documents, as soon as reasonably practicable after notice thereof is received by the Company (A) when the applicable Registration Statement or any amendment thereto has been filed or becomes effective, and when the applicable Prospectus or Issuer Free Writing Prospectus or any amendment or supplement thereto has been filed, (B) of any written comments by the SEC or any request by the SEC or any other federal or state governmental authority for amendments or supplements to such Registration Statement, Prospectus or Issuer Free Writing Prospectus or for additional information, (C) of the issuance by the SEC of any stop order suspending the effectiveness of such Registration Statement or any order by the SEC or any other regulatory authority preventing or suspending the use of any preliminary or final Prospectus or any Issuer Free Writing Prospectus or the initiation or threatening of any proceedings for such purposes, (D) if, at any time, the representations and warranties of the Company in any applicable underwriting agreement cease to be true and correct in all material respects, (E) of the receipt by the Company of any notification with respect to the suspension of the qualification of the Registrable Securities for offering or sale in any jurisdiction and (F) of the receipt by the Company of any notification with respect to the initiation or threatening of any proceeding for the suspension of the qualification of the Registrable Securities for offering or sale in any jurisdiction;</w:t>
      </w:r>
    </w:p>
    <w:p>
      <w:pPr>
        <w:spacing w:after="0" w:line="178" w:lineRule="exact"/>
        <w:rPr>
          <w:rFonts w:ascii="Arial" w:cs="Arial" w:eastAsia="Arial" w:hAnsi="Arial"/>
          <w:sz w:val="17"/>
          <w:szCs w:val="17"/>
          <w:color w:val="auto"/>
        </w:rPr>
      </w:pPr>
    </w:p>
    <w:p>
      <w:pPr>
        <w:ind w:left="-20" w:right="160" w:firstLine="1952"/>
        <w:spacing w:after="0" w:line="269" w:lineRule="auto"/>
        <w:tabs>
          <w:tab w:leader="none" w:pos="2579" w:val="left"/>
        </w:tabs>
        <w:numPr>
          <w:ilvl w:val="0"/>
          <w:numId w:val="257"/>
        </w:numPr>
        <w:rPr>
          <w:rFonts w:ascii="Arial" w:cs="Arial" w:eastAsia="Arial" w:hAnsi="Arial"/>
          <w:sz w:val="17"/>
          <w:szCs w:val="17"/>
          <w:color w:val="auto"/>
        </w:rPr>
      </w:pPr>
      <w:r>
        <w:rPr>
          <w:rFonts w:ascii="Arial" w:cs="Arial" w:eastAsia="Arial" w:hAnsi="Arial"/>
          <w:sz w:val="17"/>
          <w:szCs w:val="17"/>
          <w:color w:val="auto"/>
        </w:rPr>
        <w:t>promptly notify the Participating Holders and the managing underwriter or underwriters, if any, when the Company becomes aware of the happening of any event as a result of which the applicable Registration Statement, the Prospectus included in such Registration Statement (as then in effect) or any Issuer Free Writing Prospectus contains any untrue statement of a material fact or omits to state a material fact necessary to make the statements therein (in the case of such Prospectus, any preliminary Prospectus or any Issuer Free Writing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Prospectus or Issuer Free Writing Prospectus in order to comply with the Securities Act and, in either case as promptly as reasonably practicable thereafter, prepare and file with the SEC, and furnish without charge to the Participating Holders and the managing underwriter or underwriters, if any, an amendment or supplement to such Registration Statement, Prospectus or Issuer Free Writing Prospectus which shall correct such misstatement or omission or effect such compliance;</w:t>
      </w:r>
    </w:p>
    <w:p>
      <w:pPr>
        <w:spacing w:after="0" w:line="185" w:lineRule="exact"/>
        <w:rPr>
          <w:rFonts w:ascii="Arial" w:cs="Arial" w:eastAsia="Arial" w:hAnsi="Arial"/>
          <w:sz w:val="17"/>
          <w:szCs w:val="17"/>
          <w:color w:val="auto"/>
        </w:rPr>
      </w:pPr>
    </w:p>
    <w:p>
      <w:pPr>
        <w:ind w:left="-20" w:right="140" w:firstLine="1952"/>
        <w:spacing w:after="0" w:line="277" w:lineRule="auto"/>
        <w:tabs>
          <w:tab w:leader="none" w:pos="258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use its reasonable best efforts to prevent, or obtain the withdrawal of, any stop order or other order suspending the use of any preliminary or final Prospectus or any Issuer Free Writing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358" w:name="page359"/>
    <w:bookmarkEnd w:id="358"/>
    <w:p>
      <w:pPr>
        <w:ind w:right="80" w:firstLine="1952"/>
        <w:spacing w:after="0" w:line="275" w:lineRule="auto"/>
        <w:tabs>
          <w:tab w:leader="none" w:pos="261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promptly incorporate in a Prospectus supplement, Issuer Free Writing Prospectus or post-effective amendment to the applicable Registration Statement such information as the managing underwriter or underwriters and the Participating Investor(s)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spacing w:after="0" w:line="176" w:lineRule="exact"/>
        <w:rPr>
          <w:rFonts w:ascii="Arial" w:cs="Arial" w:eastAsia="Arial" w:hAnsi="Arial"/>
          <w:sz w:val="17"/>
          <w:szCs w:val="17"/>
          <w:color w:val="auto"/>
        </w:rPr>
      </w:pPr>
    </w:p>
    <w:p>
      <w:pPr>
        <w:ind w:right="240" w:firstLine="1952"/>
        <w:spacing w:after="0" w:line="259" w:lineRule="auto"/>
        <w:tabs>
          <w:tab w:leader="none" w:pos="262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furnish to each Participating Holder and each underwriter, if any, without charge, as many conformed copies as such Participating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w:t>
      </w:r>
    </w:p>
    <w:p>
      <w:pPr>
        <w:spacing w:after="0" w:line="186" w:lineRule="exact"/>
        <w:rPr>
          <w:rFonts w:ascii="Arial" w:cs="Arial" w:eastAsia="Arial" w:hAnsi="Arial"/>
          <w:sz w:val="18"/>
          <w:szCs w:val="18"/>
          <w:color w:val="auto"/>
        </w:rPr>
      </w:pPr>
    </w:p>
    <w:p>
      <w:pPr>
        <w:ind w:right="80" w:firstLine="1952"/>
        <w:spacing w:after="0" w:line="273" w:lineRule="auto"/>
        <w:tabs>
          <w:tab w:leader="none" w:pos="2609" w:val="left"/>
        </w:tabs>
        <w:numPr>
          <w:ilvl w:val="0"/>
          <w:numId w:val="258"/>
        </w:numPr>
        <w:rPr>
          <w:rFonts w:ascii="Arial" w:cs="Arial" w:eastAsia="Arial" w:hAnsi="Arial"/>
          <w:sz w:val="17"/>
          <w:szCs w:val="17"/>
          <w:color w:val="auto"/>
        </w:rPr>
      </w:pPr>
      <w:r>
        <w:rPr>
          <w:rFonts w:ascii="Arial" w:cs="Arial" w:eastAsia="Arial" w:hAnsi="Arial"/>
          <w:sz w:val="17"/>
          <w:szCs w:val="17"/>
          <w:color w:val="auto"/>
        </w:rPr>
        <w:t>deliver to each Participating Holder and each underwriter, if any, without charge, as many copies of the applicable Prospectus (including each preliminary Prospectus), any Issuer Free Writing Prospectus and any amendment or supplement thereto as such Participating Holder or underwriter may reasonably request (it being understood that the Company consents to the use of such Prospectus, any Issuer Free Writing Prospectus and any amendment or supplement thereto by such Participating Holder and the underwriters, if any, in connection with the offering and sale of the Registrable Securities thereby) and such other documents as such Participating Holder or underwriter may reasonably request in order to facilitate the disposition of the Registrable Securities by such Participating Holder or underwriter;</w:t>
      </w:r>
    </w:p>
    <w:p>
      <w:pPr>
        <w:spacing w:after="0" w:line="177" w:lineRule="exact"/>
        <w:rPr>
          <w:rFonts w:ascii="Arial" w:cs="Arial" w:eastAsia="Arial" w:hAnsi="Arial"/>
          <w:sz w:val="17"/>
          <w:szCs w:val="17"/>
          <w:color w:val="auto"/>
        </w:rPr>
      </w:pPr>
    </w:p>
    <w:p>
      <w:pPr>
        <w:ind w:right="40" w:firstLine="1952"/>
        <w:spacing w:after="0" w:line="254" w:lineRule="auto"/>
        <w:tabs>
          <w:tab w:leader="none" w:pos="259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on or prior to the date on which the applicable Registration Statement is declared effective, use its reasonable best efforts to register or qualify, and cooperate with the Participating Holders,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Participating Holder or managing underwriter or underwriters, if any, or their respective counsel reasonably request in writing and do any and all other acts or things reasonably necessary or advisable to keep such registration or qualification in effect for such period as required by Section 2.01(c) or 2.02(b), whichever is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191" w:lineRule="exact"/>
        <w:rPr>
          <w:rFonts w:ascii="Arial" w:cs="Arial" w:eastAsia="Arial" w:hAnsi="Arial"/>
          <w:sz w:val="18"/>
          <w:szCs w:val="18"/>
          <w:color w:val="auto"/>
        </w:rPr>
      </w:pPr>
    </w:p>
    <w:p>
      <w:pPr>
        <w:jc w:val="both"/>
        <w:ind w:right="140" w:firstLine="1952"/>
        <w:spacing w:after="0" w:line="259" w:lineRule="auto"/>
        <w:tabs>
          <w:tab w:leader="none" w:pos="260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cooperate with the Participating Holders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two (2) Business Days prior to any sale of Registrable Securities to the underwriters;</w:t>
      </w:r>
    </w:p>
    <w:p>
      <w:pPr>
        <w:spacing w:after="0" w:line="186" w:lineRule="exact"/>
        <w:rPr>
          <w:rFonts w:ascii="Arial" w:cs="Arial" w:eastAsia="Arial" w:hAnsi="Arial"/>
          <w:sz w:val="18"/>
          <w:szCs w:val="18"/>
          <w:color w:val="auto"/>
        </w:rPr>
      </w:pPr>
    </w:p>
    <w:p>
      <w:pPr>
        <w:jc w:val="both"/>
        <w:ind w:firstLine="1952"/>
        <w:spacing w:after="0" w:line="263" w:lineRule="auto"/>
        <w:tabs>
          <w:tab w:leader="none" w:pos="261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use its reasonable best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183" w:lineRule="exact"/>
        <w:rPr>
          <w:rFonts w:ascii="Arial" w:cs="Arial" w:eastAsia="Arial" w:hAnsi="Arial"/>
          <w:sz w:val="18"/>
          <w:szCs w:val="18"/>
          <w:color w:val="auto"/>
        </w:rPr>
      </w:pPr>
    </w:p>
    <w:p>
      <w:pPr>
        <w:ind w:right="100" w:firstLine="1952"/>
        <w:spacing w:after="0" w:line="263" w:lineRule="auto"/>
        <w:tabs>
          <w:tab w:leader="none" w:pos="262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not later than the effective date of the applicable Registration Statement, provide a CUSIP number for all Registrable Securities and provide the applicable transfer agent with printed certificates for the Registrable Securities which are in a form eligible for deposit with The Depository Trust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20" w:firstLine="1952"/>
        <w:spacing w:after="0" w:line="277" w:lineRule="auto"/>
        <w:tabs>
          <w:tab w:leader="none" w:pos="260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make such representations and warranties to the Participating Holders and the underwriters or agents, if any, in form, substance and scope as are customarily made by issuers in secondary underwritten public offerings;</w:t>
      </w:r>
    </w:p>
    <w:p>
      <w:pPr>
        <w:spacing w:after="0" w:line="170" w:lineRule="exact"/>
        <w:rPr>
          <w:rFonts w:ascii="Arial" w:cs="Arial" w:eastAsia="Arial" w:hAnsi="Arial"/>
          <w:sz w:val="18"/>
          <w:szCs w:val="18"/>
          <w:color w:val="auto"/>
        </w:rPr>
      </w:pPr>
    </w:p>
    <w:p>
      <w:pPr>
        <w:ind w:firstLine="1952"/>
        <w:spacing w:after="0" w:line="263" w:lineRule="auto"/>
        <w:tabs>
          <w:tab w:leader="none" w:pos="259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enter into such customary agreements (including underwriting and indemnification agreements) and take all such other actions as any Participating Investor or the managing underwriter or underwriters, if any, reasonably request in order to expedite or facilitate the registration and disposition of such Registrable Securities;</w:t>
      </w:r>
    </w:p>
    <w:p>
      <w:pPr>
        <w:spacing w:after="0" w:line="183" w:lineRule="exact"/>
        <w:rPr>
          <w:rFonts w:ascii="Arial" w:cs="Arial" w:eastAsia="Arial" w:hAnsi="Arial"/>
          <w:sz w:val="18"/>
          <w:szCs w:val="18"/>
          <w:color w:val="auto"/>
        </w:rPr>
      </w:pPr>
    </w:p>
    <w:p>
      <w:pPr>
        <w:jc w:val="both"/>
        <w:ind w:right="180" w:firstLine="1952"/>
        <w:spacing w:after="0" w:line="259" w:lineRule="auto"/>
        <w:tabs>
          <w:tab w:leader="none" w:pos="260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obtain for delivery to the Participating Holders and to the underwriter or underwriters, if any, an opinion or opinions from counsel for the Company dated the effective date of the Registration Statement or, in the event of an Underwritten Offering, the date of the closing under the underwriting agreement, in customary form, scope and substance, which opinions shall be reasonably satisfactory to such Participating Holders or underwriters, as the case may be, and their respective counsel;</w:t>
      </w:r>
    </w:p>
    <w:p>
      <w:pPr>
        <w:spacing w:after="0" w:line="186" w:lineRule="exact"/>
        <w:rPr>
          <w:rFonts w:ascii="Arial" w:cs="Arial" w:eastAsia="Arial" w:hAnsi="Arial"/>
          <w:sz w:val="18"/>
          <w:szCs w:val="18"/>
          <w:color w:val="auto"/>
        </w:rPr>
      </w:pPr>
    </w:p>
    <w:p>
      <w:pPr>
        <w:ind w:right="260" w:firstLine="1952"/>
        <w:spacing w:after="0" w:line="301" w:lineRule="auto"/>
        <w:tabs>
          <w:tab w:leader="none" w:pos="261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 the case of an Underwritten Offering, obtain for delivery to the Company and the managing underwriter or underwriters, with copies to the Participating Holders, a cold comfort letter from the Company’s independent certified public accountants in customary form and covering such matters of the type customarily covered by cold comfort letters as the managing underwriter or underwriters reasonably request, dated the date of execution of the underwriting agreement and brought down to the closing under the underwriting agreement;</w:t>
      </w:r>
    </w:p>
    <w:p>
      <w:pPr>
        <w:spacing w:after="0" w:line="157" w:lineRule="exact"/>
        <w:rPr>
          <w:rFonts w:ascii="Arial" w:cs="Arial" w:eastAsia="Arial" w:hAnsi="Arial"/>
          <w:sz w:val="16"/>
          <w:szCs w:val="16"/>
          <w:color w:val="auto"/>
        </w:rPr>
      </w:pPr>
    </w:p>
    <w:p>
      <w:pPr>
        <w:ind w:right="760" w:firstLine="1952"/>
        <w:spacing w:after="0" w:line="308" w:lineRule="auto"/>
        <w:tabs>
          <w:tab w:leader="none" w:pos="2623" w:val="left"/>
        </w:tabs>
        <w:numPr>
          <w:ilvl w:val="0"/>
          <w:numId w:val="259"/>
        </w:numPr>
        <w:rPr>
          <w:rFonts w:ascii="Arial" w:cs="Arial" w:eastAsia="Arial" w:hAnsi="Arial"/>
          <w:sz w:val="17"/>
          <w:szCs w:val="17"/>
          <w:color w:val="auto"/>
        </w:rPr>
      </w:pPr>
      <w:r>
        <w:rPr>
          <w:rFonts w:ascii="Arial" w:cs="Arial" w:eastAsia="Arial" w:hAnsi="Arial"/>
          <w:sz w:val="17"/>
          <w:szCs w:val="17"/>
          <w:color w:val="auto"/>
        </w:rPr>
        <w:t>cooperate with each Participating Holder and each underwriter, if any, participating in the disposition of such Registrable Securities and their respective counsel in connection with any filings required to be made with the FINRA;</w:t>
      </w:r>
    </w:p>
    <w:p>
      <w:pPr>
        <w:spacing w:after="0" w:line="146" w:lineRule="exact"/>
        <w:rPr>
          <w:rFonts w:ascii="Arial" w:cs="Arial" w:eastAsia="Arial" w:hAnsi="Arial"/>
          <w:sz w:val="17"/>
          <w:szCs w:val="17"/>
          <w:color w:val="auto"/>
        </w:rPr>
      </w:pPr>
    </w:p>
    <w:p>
      <w:pPr>
        <w:ind w:firstLine="1952"/>
        <w:spacing w:after="0" w:line="263" w:lineRule="auto"/>
        <w:tabs>
          <w:tab w:leader="none" w:pos="260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use its reasonable best efforts to comply with all applicable securities laws and make available to its security holders, as soon as reasonably practicable, an earnings statement satisfying the provisions of Section 11(a) of the Securities Act and the rules and regulations promulgated thereunder;</w:t>
      </w:r>
    </w:p>
    <w:p>
      <w:pPr>
        <w:spacing w:after="0" w:line="183" w:lineRule="exact"/>
        <w:rPr>
          <w:rFonts w:ascii="Arial" w:cs="Arial" w:eastAsia="Arial" w:hAnsi="Arial"/>
          <w:sz w:val="18"/>
          <w:szCs w:val="18"/>
          <w:color w:val="auto"/>
        </w:rPr>
      </w:pPr>
    </w:p>
    <w:p>
      <w:pPr>
        <w:ind w:firstLine="1952"/>
        <w:spacing w:after="0" w:line="277" w:lineRule="auto"/>
        <w:tabs>
          <w:tab w:leader="none" w:pos="259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170" w:lineRule="exact"/>
        <w:rPr>
          <w:rFonts w:ascii="Arial" w:cs="Arial" w:eastAsia="Arial" w:hAnsi="Arial"/>
          <w:sz w:val="18"/>
          <w:szCs w:val="18"/>
          <w:color w:val="auto"/>
        </w:rPr>
      </w:pPr>
    </w:p>
    <w:p>
      <w:pPr>
        <w:jc w:val="both"/>
        <w:ind w:right="20" w:firstLine="1952"/>
        <w:spacing w:after="0" w:line="263" w:lineRule="auto"/>
        <w:tabs>
          <w:tab w:leader="none" w:pos="260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use its reasonable best efforts to cause all Registrable Securities covered by the applicable Registration Statement to be listed on each securities exchange on which any of the Company Shares are then listed or quoted and on each inter-dealer quotation system on which any of the Company Shares are then quoted;</w:t>
      </w:r>
    </w:p>
    <w:p>
      <w:pPr>
        <w:sectPr>
          <w:pgSz w:w="11900" w:h="16838" w:orient="portrait"/>
          <w:cols w:equalWidth="0" w:num="1">
            <w:col w:w="11240"/>
          </w:cols>
          <w:pgMar w:left="320" w:top="341" w:right="339" w:bottom="91" w:gutter="0" w:footer="0" w:header="0"/>
        </w:sectPr>
      </w:pPr>
    </w:p>
    <w:bookmarkStart w:id="359" w:name="page360"/>
    <w:bookmarkEnd w:id="359"/>
    <w:p>
      <w:pPr>
        <w:ind w:left="-180" w:firstLine="1952"/>
        <w:spacing w:after="0" w:line="291" w:lineRule="auto"/>
        <w:tabs>
          <w:tab w:leader="none" w:pos="243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make available upon reasonable notice at reasonable times and for reasonable periods for inspection by any Participating Investor, by any underwriter participating in any disposition to be effected pursuant to such Registration Statement and by any attorney, accountant or other agent retained by such Participating Investor(s) or any such underwriter, all pertinent financial and other records, pertinent corporate documents and properties of the Company, and cause all of the Company’s officers, directors and employees and the independent public accountants who have certified its financial statements to make themselves available to discuss the business of the Company and to supply all information reasonably requested by any such Person in connection with such Registration Statement as shall be necessary to enable them to exercise their due diligence responsibility;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such Person gaining access to information regarding the Company pursuant to this Section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1532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80"/>
          </w:cols>
          <w:pgMar w:left="500" w:top="125" w:right="519" w:bottom="1440" w:gutter="0" w:footer="0" w:header="0"/>
        </w:sectPr>
      </w:pPr>
    </w:p>
    <w:bookmarkStart w:id="360" w:name="page361"/>
    <w:bookmarkEnd w:id="360"/>
    <w:p>
      <w:pPr>
        <w:spacing w:after="0" w:line="255" w:lineRule="auto"/>
        <w:rPr>
          <w:sz w:val="20"/>
          <w:szCs w:val="20"/>
          <w:color w:val="auto"/>
        </w:rPr>
      </w:pPr>
      <w:r>
        <w:rPr>
          <w:rFonts w:ascii="Arial" w:cs="Arial" w:eastAsia="Arial" w:hAnsi="Arial"/>
          <w:sz w:val="18"/>
          <w:szCs w:val="18"/>
          <w:color w:val="auto"/>
        </w:rPr>
        <w:t>2.05(a)(xxii) shall agree to hold in strict confidence and shall not make any disclosure or use any information regarding the Company that the Company determines in good faith to be confidential, and of which determination such Person is notified, unless (w) the release of such information is requested or required by law or by deposition, interrogatory, requests for information or documents by a governmental entity, subpoena or similar process, (x) such information is or becomes publicly known other than through a breach of this or any other agreement of which such Person has actual knowledge, (y) such information is or becomes available to such Person on a non-confidential basis from a source other than the Company or (z) such information is independently developed by such Person; and</w:t>
      </w:r>
    </w:p>
    <w:p>
      <w:pPr>
        <w:spacing w:after="0" w:line="192" w:lineRule="exact"/>
        <w:rPr>
          <w:sz w:val="20"/>
          <w:szCs w:val="20"/>
          <w:color w:val="auto"/>
        </w:rPr>
      </w:pPr>
    </w:p>
    <w:p>
      <w:pPr>
        <w:ind w:right="200" w:firstLine="1952"/>
        <w:spacing w:after="0" w:line="311" w:lineRule="auto"/>
        <w:tabs>
          <w:tab w:leader="none" w:pos="2623" w:val="left"/>
        </w:tabs>
        <w:numPr>
          <w:ilvl w:val="1"/>
          <w:numId w:val="261"/>
        </w:numPr>
        <w:rPr>
          <w:rFonts w:ascii="Arial" w:cs="Arial" w:eastAsia="Arial" w:hAnsi="Arial"/>
          <w:sz w:val="16"/>
          <w:szCs w:val="16"/>
          <w:color w:val="auto"/>
        </w:rPr>
      </w:pPr>
      <w:r>
        <w:rPr>
          <w:rFonts w:ascii="Arial" w:cs="Arial" w:eastAsia="Arial" w:hAnsi="Arial"/>
          <w:sz w:val="16"/>
          <w:szCs w:val="16"/>
          <w:color w:val="auto"/>
        </w:rPr>
        <w:t>in the case of an Underwritten Offering, cause the senior executive officers of the Company to participate in the customary “road show” presentations that may be reasonably requested by the managing underwriter or underwriters in any such Underwritten Offering and otherwise to facilitate, cooperate with, and participate in each proposed offering contemplated herein and customary selling efforts related thereto.</w:t>
      </w:r>
    </w:p>
    <w:p>
      <w:pPr>
        <w:spacing w:after="0" w:line="148" w:lineRule="exact"/>
        <w:rPr>
          <w:rFonts w:ascii="Arial" w:cs="Arial" w:eastAsia="Arial" w:hAnsi="Arial"/>
          <w:sz w:val="16"/>
          <w:szCs w:val="16"/>
          <w:color w:val="auto"/>
        </w:rPr>
      </w:pPr>
    </w:p>
    <w:p>
      <w:pPr>
        <w:ind w:firstLine="1304"/>
        <w:spacing w:after="0" w:line="279" w:lineRule="auto"/>
        <w:tabs>
          <w:tab w:leader="none" w:pos="195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Company may require each Participating Holder to furnish to the Company such information regarding the distribution of such securities and such other information relating to such Participating Holder and its ownership of Registrable Securities as the Company may from time to time reasonably request in writing. Each Participating Holder agrees to furnish such information to the Company and to cooperate with the Company as reasonably necessary to enable the Company to comply with the provisions of this Agreement.</w:t>
      </w:r>
    </w:p>
    <w:p>
      <w:pPr>
        <w:spacing w:after="0" w:line="171" w:lineRule="exact"/>
        <w:rPr>
          <w:rFonts w:ascii="Arial" w:cs="Arial" w:eastAsia="Arial" w:hAnsi="Arial"/>
          <w:sz w:val="17"/>
          <w:szCs w:val="17"/>
          <w:color w:val="auto"/>
        </w:rPr>
      </w:pPr>
    </w:p>
    <w:p>
      <w:pPr>
        <w:ind w:firstLine="1304"/>
        <w:spacing w:after="0" w:line="286" w:lineRule="auto"/>
        <w:tabs>
          <w:tab w:leader="none" w:pos="195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Each Participating Holder agrees that, upon delivery of any notice by the Company of the happening of any event of the kind described in Section 2.05(a)(iv)(C), (D), or (E) or Section 2.05(a)(v), such Participating Holder will forthwith discontinue disposition of Registrable Securities pursuant to such Registration Statement until (i) such Participating Holder’s receipt of the copies of the supplemented or amended Prospectus or Issuer Free Writing Prospectus contemplated by Section 2.05(a)(v), (ii) such Participating Holder is advised in writing by the Company that the use of the Prospectus or Issuer Free Writing Prospectus, as the case may be, may be resumed, (iii) such Participating Holder is advised in writing by the Company of the termination, expiration or cessation of such order or suspension referenced in Section 2.05(a)(iv)(C) or (E) or (iv) such Participating Holder is advised in writing by the Company that the representations and warranties of the Company in such applicable underwriting agreement are true and correct in all material respects. If so directed by the Company, such Participating Holder shall deliver to the Company (at the Company’s expense) all copies, other than permanent file copies then in such Participating Holder’s possession, of the Prospectus or any Issuer Free Writing Prospectus covering such Registrable Securities current at the time of delivery of such notice.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or Issuer Free Writing Prospectus contemplated by Section 2.05(a)(v) or is advised in writing by the Company that the use of the Prospectus or Issuer Free Writing Prospectus may be resumed.</w:t>
      </w:r>
    </w:p>
    <w:p>
      <w:pPr>
        <w:spacing w:after="0" w:line="171"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Underwritten Offerings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41"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Demand and Shelf Registrations</w:t>
      </w:r>
      <w:r>
        <w:rPr>
          <w:rFonts w:ascii="Arial" w:cs="Arial" w:eastAsia="Arial" w:hAnsi="Arial"/>
          <w:sz w:val="18"/>
          <w:szCs w:val="18"/>
          <w:color w:val="auto"/>
        </w:rPr>
        <w:t>. If requested by the underwriters for any Underwritten Offering requested by any Participating Investor pursuant to a Registration under Section 2.01 or Section 2.02, the Company shall enter into an underwriting agreement with such underwriters for such offering, such agreement to be reasonably satisfactory in substance and form to the Company, each Participating Investor and the underwriters, and to contain such representations and warranties by the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61" w:name="page362"/>
    <w:bookmarkEnd w:id="361"/>
    <w:p>
      <w:pPr>
        <w:spacing w:after="0" w:line="286" w:lineRule="auto"/>
        <w:rPr>
          <w:sz w:val="20"/>
          <w:szCs w:val="20"/>
          <w:color w:val="auto"/>
        </w:rPr>
      </w:pPr>
      <w:r>
        <w:rPr>
          <w:rFonts w:ascii="Arial" w:cs="Arial" w:eastAsia="Arial" w:hAnsi="Arial"/>
          <w:sz w:val="16"/>
          <w:szCs w:val="16"/>
          <w:color w:val="auto"/>
        </w:rPr>
        <w:t>Company and such other terms as are generally prevailing in agreements of that type, including indemnities no less favorable to the recipient thereof than those provided in Section 2.09. Each Participating Investor shall cooperate with the Company in the negotiation of such underwriting agreement and shall give consideration to the reasonable suggestions of the Company regarding the form thereof. The Participating Holders shall be parties to such underwriting agreement, which underwriting agreement shall (i) contain such representations and warranties by, and the other agreements on the part of, the Company to and for the benefit of such Participating Holders as are customarily made by issuers to selling stockholders in secondary underwritten public offerings and (ii) 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Participating Holder’s title to the Registrable Securities, such Participating Holder’s authority to sell the Registrable Securities, such Participating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and any other representations required to be made by such Participating Holder under applicable law, rule or regulation, and the aggregate amount of the liability of such Participating Holder in connection with such underwriting agreement shall not exceed such Participating Holder’s net proceeds from such Underwritten Offering.</w:t>
      </w:r>
    </w:p>
    <w:p>
      <w:pPr>
        <w:spacing w:after="0" w:line="171" w:lineRule="exact"/>
        <w:rPr>
          <w:sz w:val="20"/>
          <w:szCs w:val="20"/>
          <w:color w:val="auto"/>
        </w:rPr>
      </w:pPr>
    </w:p>
    <w:p>
      <w:pPr>
        <w:ind w:firstLine="1304"/>
        <w:spacing w:after="0" w:line="285" w:lineRule="auto"/>
        <w:tabs>
          <w:tab w:leader="none" w:pos="1951"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Piggyback Registrations</w:t>
      </w:r>
      <w:r>
        <w:rPr>
          <w:rFonts w:ascii="Arial" w:cs="Arial" w:eastAsia="Arial" w:hAnsi="Arial"/>
          <w:sz w:val="16"/>
          <w:szCs w:val="16"/>
          <w:color w:val="auto"/>
        </w:rPr>
        <w:t>. If the Company proposes to register any of its securities under the Securities Act as contemplated by Section 2.03 and such securities are to be distributed in an Underwritten Offering through one or more underwriters, the Company shall, if requested by any Holder pursuant to Section 2.03 and subject to the provisions of Sections 2.03(b) and (c), use its reasonable best efforts to arrange for such underwriters to include on the same terms and conditions that apply to the other sellers in such Registration all the Registrable Securities to be offered and sold by such Holder among the securities of the Company to be distributed by such underwriters in such Registration. The Participating Holders shall be parties to the underwriting agreement between the Company and such underwriters, which underwriting agreement shall (i) contain such representations and warranties by, and the other agreements on the part of, the Company to and for the benefit of such Participating Holders as are customarily made by issuers to selling stockholders in secondary underwritten public offerings and (ii) provide that any or all of the conditions precedent to the obligations of such underwriters under such underwriting agreement also shall be conditions precedent to the obligations of such Participating Holders. Any such Participating Holder shall not be required to make any representations or warranties to, or agreements with the Company or the underwriters in connection with such underwriting agreement other than representations, warranties or agreements regarding such Participating Holder, such Participating Holder’s title to the Registrable Securities, such Participating Holder’s authority to sell the Registrable Securities, such Holder’s intended method of distribution, absence of liens with respect to the Registrable Securities, enforceability of the applicable underwriting agreement as against such Participating Holder, receipt of all consents and approvals with respect to the entry into such underwriting agreement and the sale of such Registrable Securities or any other representations required to be made by such Participating Holder under applicable law, rule or regulation, and the aggregate amount of the liability of such Participating Holder in connection with such underwriting agreement shall not exceed such Participating Holder’s net proceeds from such Underwritten Offering.</w:t>
      </w:r>
    </w:p>
    <w:p>
      <w:pPr>
        <w:spacing w:after="0" w:line="176" w:lineRule="exact"/>
        <w:rPr>
          <w:rFonts w:ascii="Arial" w:cs="Arial" w:eastAsia="Arial" w:hAnsi="Arial"/>
          <w:sz w:val="16"/>
          <w:szCs w:val="16"/>
          <w:color w:val="auto"/>
        </w:rPr>
      </w:pPr>
    </w:p>
    <w:p>
      <w:pPr>
        <w:ind w:right="160" w:firstLine="1304"/>
        <w:spacing w:after="0" w:line="286" w:lineRule="auto"/>
        <w:tabs>
          <w:tab w:leader="none" w:pos="1955"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Participation in Underwritten Registrations</w:t>
      </w:r>
      <w:r>
        <w:rPr>
          <w:rFonts w:ascii="Arial" w:cs="Arial" w:eastAsia="Arial" w:hAnsi="Arial"/>
          <w:sz w:val="17"/>
          <w:szCs w:val="17"/>
          <w:color w:val="auto"/>
        </w:rPr>
        <w:t>. Subject to the provisions of Sections 2.06(a) and (b) above, no Person may participate in any Underwritten Offering hereunder unless such Person (i) agrees to sell such Person’s securities on the basis provided in any underwriting arrangements approved by the Persons entitled to approve such arrangements and (ii) completes and executes all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2" w:name="page363"/>
    <w:bookmarkEnd w:id="362"/>
    <w:p>
      <w:pPr>
        <w:ind w:right="1060"/>
        <w:spacing w:after="0" w:line="277" w:lineRule="auto"/>
        <w:rPr>
          <w:sz w:val="20"/>
          <w:szCs w:val="20"/>
          <w:color w:val="auto"/>
        </w:rPr>
      </w:pPr>
      <w:r>
        <w:rPr>
          <w:rFonts w:ascii="Arial" w:cs="Arial" w:eastAsia="Arial" w:hAnsi="Arial"/>
          <w:sz w:val="18"/>
          <w:szCs w:val="18"/>
          <w:color w:val="auto"/>
        </w:rPr>
        <w:t>questionnaires, powers of attorney, indemnities, underwriting agreements and other documents required under the terms of such underwriting arrangements.</w:t>
      </w:r>
    </w:p>
    <w:p>
      <w:pPr>
        <w:spacing w:after="0" w:line="170" w:lineRule="exact"/>
        <w:rPr>
          <w:sz w:val="20"/>
          <w:szCs w:val="20"/>
          <w:color w:val="auto"/>
        </w:rPr>
      </w:pPr>
    </w:p>
    <w:p>
      <w:pPr>
        <w:jc w:val="both"/>
        <w:ind w:right="200" w:firstLine="1304"/>
        <w:spacing w:after="0" w:line="263" w:lineRule="auto"/>
        <w:tabs>
          <w:tab w:leader="none" w:pos="1951"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Price and Underwriting Discounts</w:t>
      </w:r>
      <w:r>
        <w:rPr>
          <w:rFonts w:ascii="Arial" w:cs="Arial" w:eastAsia="Arial" w:hAnsi="Arial"/>
          <w:sz w:val="18"/>
          <w:szCs w:val="18"/>
          <w:color w:val="auto"/>
        </w:rPr>
        <w:t>. In the case of an Underwritten Offering under Section 2.01 or 2.02, the price, underwriting discount and other financial terms for the Registrable Securities shall be determined by the Institutional Investors holding at least 55% of the Registrable Securities held by all Institutional Investors in such Registration.</w:t>
      </w:r>
    </w:p>
    <w:p>
      <w:pPr>
        <w:spacing w:after="0" w:line="184" w:lineRule="exact"/>
        <w:rPr>
          <w:sz w:val="20"/>
          <w:szCs w:val="20"/>
          <w:color w:val="auto"/>
        </w:rPr>
      </w:pPr>
    </w:p>
    <w:p>
      <w:pPr>
        <w:ind w:right="80" w:firstLine="1296"/>
        <w:spacing w:after="0" w:line="284"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No Inconsistent Agreements; Additional Rights</w:t>
      </w:r>
      <w:r>
        <w:rPr>
          <w:rFonts w:ascii="Arial" w:cs="Arial" w:eastAsia="Arial" w:hAnsi="Arial"/>
          <w:sz w:val="16"/>
          <w:szCs w:val="16"/>
          <w:color w:val="auto"/>
        </w:rPr>
        <w:t>. The Company is not currently a party to, and shall not hereafter enter into without the prior written consent of the Institutional Investors holding at least 55% of the then-outstanding Registrable Securities held by all Institutional Investors, any agreement with respect to its securities that is inconsistent with the rights granted to the Holders by this Agreement, including allowing any other holder or prospective holder of any securities of the Company (a) registration rights in the nature or substantially in the nature of those set forth in Section 2.01, Section 2.02 or Section 2.03 that would have priority over the Registrable Securities with respect to the inclusion of such securities in any Registration (except to the extent such registration rights are solely related to registrations of the type contemplated by Section 2.03(a)</w:t>
      </w:r>
    </w:p>
    <w:p>
      <w:pPr>
        <w:spacing w:after="0" w:line="4" w:lineRule="exact"/>
        <w:rPr>
          <w:sz w:val="20"/>
          <w:szCs w:val="20"/>
          <w:color w:val="auto"/>
        </w:rPr>
      </w:pPr>
    </w:p>
    <w:p>
      <w:pPr>
        <w:ind w:right="520" w:firstLine="8"/>
        <w:spacing w:after="0" w:line="260" w:lineRule="auto"/>
        <w:tabs>
          <w:tab w:leader="none" w:pos="26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through (iv)) or (b) demand registration rights in the nature or substantially in the nature of those set forth in Section 2.01 or Section 2.02 that are exercisable prior to such time as the Investors can first exercise their rights under Section 2.01 or Section 2.02.</w:t>
      </w:r>
    </w:p>
    <w:p>
      <w:pPr>
        <w:spacing w:after="0" w:line="185"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All expenses incident to the Company’s performance of or compliance with this Agreement shall be paid by the Company, including (i) all registration and filing fees, and any other fees and expenses associated with filings required to be made with the SEC, FINRA and if applicable, the fees and expenses of any “qualified independent underwriter,” as such term is defined in FINRA</w:t>
      </w:r>
    </w:p>
    <w:p>
      <w:pPr>
        <w:spacing w:after="0" w:line="281" w:lineRule="auto"/>
        <w:rPr>
          <w:sz w:val="20"/>
          <w:szCs w:val="20"/>
          <w:color w:val="auto"/>
        </w:rPr>
      </w:pPr>
      <w:r>
        <w:rPr>
          <w:rFonts w:ascii="Arial" w:cs="Arial" w:eastAsia="Arial" w:hAnsi="Arial"/>
          <w:sz w:val="16"/>
          <w:szCs w:val="16"/>
          <w:color w:val="auto"/>
        </w:rPr>
        <w:t>Rule 5121 (or any successor provision), and of its counsel, (ii) all fees and expenses in connection with compliance with any securities or “Blue Sky” laws (including fees and disbursements of counsel for the underwriters in connection with “Blue Sky” qualifications of the Registrable Securities), (iii) all printing, duplicating, word processing, messenger, telephone, facsimile and delivery expenses (including expenses of printing certificates for the Registrable Securities in a form eligible for deposit with The Depository Trust Company and of printing Prospectuses and Issuer Free Writing Prospectuses), (iv) 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Registrable Securities on any securities exchange or quotation of the Registrable Securities on any inter-dealer quotation system, (vii) all applicable rating agency fees with respect to the Registrable Securities, (viii) all reasonable fees and disbursements, not to exceed $25,000, of one legal counsel and one accounting firm as selected by the holders of at least 55% of the Registrable Securities included in such Registration,</w:t>
      </w:r>
    </w:p>
    <w:p>
      <w:pPr>
        <w:spacing w:after="0" w:line="6" w:lineRule="exact"/>
        <w:rPr>
          <w:sz w:val="20"/>
          <w:szCs w:val="20"/>
          <w:color w:val="auto"/>
        </w:rPr>
      </w:pPr>
    </w:p>
    <w:p>
      <w:pPr>
        <w:ind w:right="20" w:firstLine="8"/>
        <w:spacing w:after="0" w:line="269" w:lineRule="auto"/>
        <w:tabs>
          <w:tab w:leader="none" w:pos="30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any reasonable fees and disbursements of underwriters customarily paid by issuers or sellers of securities, (x) all fees and expenses of any special experts or other Persons retained by the Company in connection with any Registration, (xi) all of the Company’s internal expenses (including all salaries and expenses of its officers and employees performing legal or accounting duties), (xii) all expenses related to the “road-show” for any Underwritten Offering, including all travel, meals and lodging and (xiii) any other fees and disbursements customarily paid by the issuers of securities. All such expenses are referred to herein as “</w:t>
      </w:r>
      <w:r>
        <w:rPr>
          <w:rFonts w:ascii="Arial" w:cs="Arial" w:eastAsia="Arial" w:hAnsi="Arial"/>
          <w:sz w:val="17"/>
          <w:szCs w:val="17"/>
          <w:u w:val="single" w:color="auto"/>
          <w:color w:val="auto"/>
        </w:rPr>
        <w:t>Registration Expenses</w:t>
      </w:r>
      <w:r>
        <w:rPr>
          <w:rFonts w:ascii="Arial" w:cs="Arial" w:eastAsia="Arial" w:hAnsi="Arial"/>
          <w:sz w:val="17"/>
          <w:szCs w:val="17"/>
          <w:color w:val="auto"/>
        </w:rPr>
        <w:t>.” In the event any Demand Registration is withdrawn at the request of a Demand Party or due to the withdrawal of the Registrable Securities of a Demand Party from such registration at the request of such Demand Party, such Demand Party shall reimburse the Company for reasonably documented Registration Expenses up to $25,000.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3" w:name="page364"/>
    <w:bookmarkEnd w:id="363"/>
    <w:p>
      <w:pPr>
        <w:spacing w:after="0"/>
        <w:rPr>
          <w:sz w:val="20"/>
          <w:szCs w:val="20"/>
          <w:color w:val="auto"/>
        </w:rPr>
      </w:pPr>
      <w:r>
        <w:rPr>
          <w:rFonts w:ascii="Arial" w:cs="Arial" w:eastAsia="Arial" w:hAnsi="Arial"/>
          <w:sz w:val="17"/>
          <w:szCs w:val="17"/>
          <w:color w:val="auto"/>
        </w:rPr>
        <w:t>shall not be required to pay any underwriting discounts and commissions and transfer taxes, if any, attributable to the sale of Registrable Securities.</w:t>
      </w:r>
    </w:p>
    <w:p>
      <w:pPr>
        <w:spacing w:after="0" w:line="237"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283" w:lineRule="auto"/>
        <w:tabs>
          <w:tab w:leader="none" w:pos="1941"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to the full extent permitted by law, each of the Holders, each of their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each Person who controls (within the meaning of the Securities Act or the Exchange Act) such Persons and each of their respective Representatives from and against any and all losses, penalties, judgments, suits, costs, claims, damages, liabilities and expenses, joint or several (including reasonable costs of investigation and legal expenses) (each, a “</w:t>
      </w:r>
      <w:r>
        <w:rPr>
          <w:rFonts w:ascii="Arial" w:cs="Arial" w:eastAsia="Arial" w:hAnsi="Arial"/>
          <w:sz w:val="16"/>
          <w:szCs w:val="16"/>
          <w:u w:val="single" w:color="auto"/>
          <w:color w:val="auto"/>
        </w:rPr>
        <w:t>Loss</w:t>
      </w:r>
      <w:r>
        <w:rPr>
          <w:rFonts w:ascii="Arial" w:cs="Arial" w:eastAsia="Arial" w:hAnsi="Arial"/>
          <w:sz w:val="16"/>
          <w:szCs w:val="16"/>
          <w:color w:val="auto"/>
        </w:rPr>
        <w:t>” and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arising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or supplement thereto or any documents incorporated by reference therein), any Issuer Free Writing Prospectus or amendment or supplement thereto, or any other disclosure document produced by or on behalf of the Company or any of its Subsidiaries including reports and other documents filed under the Exchange Act, (ii) any omission or alleged omission to state therein a material fact required to be stated therein or necessary to make the statements therein (in the case of a Prospectus, preliminary Prospectus or Issuer Free Writing Prospectus, in light of the circumstances under which they were made) not misleading, (iii) any violation or alleged violation by the Company of any federal, state or common law rule or regulation applicable to the Company or any of its Subsidiaries in connection with any such registration, qualification, compliance or sale of Registrable Securities, (iv) any failure to register or qualify Registrable Securities in any state where the Company or its agents have affirmatively undertaken or agreed in writing that the Company (the undertaking of any underwriter being attributed to the Company) will undertake such registration or qualification on behalf of the Holders of such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such instance the Company shall not be so liable if it has undertaken its reasonable best efforts to so register or qualify such Registrable Securities) or (v) any actions or inactions or proceedings in respect of the foregoing whether or not such indemnified party is a party thereto, and the Company will reimburse, as incurred, each such Holder and each of their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controlling Persons and each of their respective Representatives, for any legal and any other expenses reasonably incurred in connection with investigating or defending any such claim, loss,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Company shall not be liable to any particular indemnified party to the extent that any such Loss arises out of or is based upon (A) an untrue statement or alleged untrue statement or omission or alleged omission made in any such Registration Statement or other document in reliance upon and in conformity with written information furnished to the Company by such indemnified party expressly for use in the preparation thereof or (B) an untrue statement or omission in a preliminary Prospectus relating to Registrable Securities, if a Prospectus (as then amended or supplemented) that would have cured the defect was furnished to the indemnified party from whom the Person asserting the claim giving rise to such Loss purchased Registrable Securities at least five (5) days prior to the written confirmation of the sale of the Registrable Securities to such Person and a copy of such Prospectus (as amended and supplemented) was not sent or given by or on behalf of such indemnified party to such Person at or prior to the written confirmation of the sale of the Registrable Securities to such Person. This indemnity shall be in addition to any liability the Company may otherwise have. Such indemnity shall remain in full force and effect regardless of any investigation made by or on behalf of such Holder or any indemnified party and shall survive the transfer of such securities by such Holder. The Company shall also indemnify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4" w:name="page365"/>
    <w:bookmarkEnd w:id="364"/>
    <w:p>
      <w:pPr>
        <w:jc w:val="both"/>
        <w:ind w:right="20"/>
        <w:spacing w:after="0" w:line="263" w:lineRule="auto"/>
        <w:rPr>
          <w:sz w:val="20"/>
          <w:szCs w:val="20"/>
          <w:color w:val="auto"/>
        </w:rPr>
      </w:pPr>
      <w:r>
        <w:rPr>
          <w:rFonts w:ascii="Arial" w:cs="Arial" w:eastAsia="Arial" w:hAnsi="Arial"/>
          <w:sz w:val="18"/>
          <w:szCs w:val="18"/>
          <w:color w:val="auto"/>
        </w:rPr>
        <w:t>underwriters,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respect to the indemnification of the indemnified parties.</w:t>
      </w:r>
    </w:p>
    <w:p>
      <w:pPr>
        <w:spacing w:after="0" w:line="184" w:lineRule="exact"/>
        <w:rPr>
          <w:sz w:val="20"/>
          <w:szCs w:val="20"/>
          <w:color w:val="auto"/>
        </w:rPr>
      </w:pPr>
    </w:p>
    <w:p>
      <w:pPr>
        <w:ind w:firstLine="1304"/>
        <w:spacing w:after="0" w:line="285" w:lineRule="auto"/>
        <w:tabs>
          <w:tab w:leader="none" w:pos="1951"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Indemnification by the Participating Holders</w:t>
      </w:r>
      <w:r>
        <w:rPr>
          <w:rFonts w:ascii="Arial" w:cs="Arial" w:eastAsia="Arial" w:hAnsi="Arial"/>
          <w:sz w:val="16"/>
          <w:szCs w:val="16"/>
          <w:color w:val="auto"/>
        </w:rPr>
        <w:t>. Each Participating Holder agrees (severally and not jointly) to indemnify and hold harmless, to the fullest extent permitted by law, the Company, its directors and officers and each Person who controls the Company (within the meaning of the Securities Act or the Exchange Act), and each other Holder, each of such other Holder’s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each Person who controls (within the meaning of the Securities Act or the Exchange Act) such Persons and each of their respective Representatives from and against any Losses resulting from (i) any untrue statement of a material fact in any Registration Statement under which such Registrable Securities were Registered under the Securities Act (including any final, preliminary or summary Prospectus contained therein or any amendment or supplement thereto or any documents incorporated by reference therein) or any Issuer Free Writing Prospectus or amendment or supplement thereto, or (ii) any omission to state therein a material fact required to be stated therein or necessary to make the statements therein (in the case of a Prospectus, preliminary Prospectus or Issuer Free Writing Prospectus, in light of the circumstances under which they were made) not misleading, in each case to the extent, but only to the extent, that such untrue statement or omission is contained in any information furnished in writing by such Holder to the Company specifically for inclusion in such Registration Statement and has not been corrected in a subsequent writing prior to or concurrently with the sale of the Registrable Securities to the Person asserting the claim, in each case to the extent, but only to the extent, that such untrue statement (or alleged untrue statement) or omission (or alleged omission) was made in such Registration Statement, Prospectus, offering circular, Issuer Free Writing Prospectus or other document, in reliance upon and in conformity with written information furnished to the Company by such Holder expressly for use therein. In no event shall the liability of such Holder hereunder be greater in amount than the dollar amount of the net proceeds received by such Holder under the sale of Registrable Securities giving rise to such indemnification obligation.</w:t>
      </w:r>
    </w:p>
    <w:p>
      <w:pPr>
        <w:spacing w:after="0" w:line="173" w:lineRule="exact"/>
        <w:rPr>
          <w:rFonts w:ascii="Arial" w:cs="Arial" w:eastAsia="Arial" w:hAnsi="Arial"/>
          <w:sz w:val="16"/>
          <w:szCs w:val="16"/>
          <w:color w:val="auto"/>
        </w:rPr>
      </w:pPr>
    </w:p>
    <w:p>
      <w:pPr>
        <w:ind w:right="20" w:firstLine="1304"/>
        <w:spacing w:after="0" w:line="286" w:lineRule="auto"/>
        <w:tabs>
          <w:tab w:leader="none" w:pos="1955"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Any Person entitled to indemnification under this Section 2.09 shall (i) give prompt written notice to the indemnifying party of any claim with respect to which it seeks indemnification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delay or failure to so notify the indemnifying party shall relieve the indemnifying party of its obligations hereunder only to the extent, if at all, that it is actually and materially prejudiced by reason of such delay or failure) and (ii)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within a reasonable time after delivery of notice of such claim from the Person entitled to indemnification hereunder and employ counsel reasonably satisfactory to such Person, (C) the indemnified party has reasonably concluded (based upon advice of its counsel) that there may be legal defenses available to it or other indemnified parties that are different from or in addition to those available to the indemnifying party, or (D)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the indemnifying party assumes the defense, the indemnifying party shall not have the right to settle such action, consent to entry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65" w:name="page366"/>
    <w:bookmarkEnd w:id="365"/>
    <w:p>
      <w:pPr>
        <w:ind w:right="20"/>
        <w:spacing w:after="0" w:line="283" w:lineRule="auto"/>
        <w:rPr>
          <w:sz w:val="20"/>
          <w:szCs w:val="20"/>
          <w:color w:val="auto"/>
        </w:rPr>
      </w:pPr>
      <w:r>
        <w:rPr>
          <w:rFonts w:ascii="Arial" w:cs="Arial" w:eastAsia="Arial" w:hAnsi="Arial"/>
          <w:sz w:val="16"/>
          <w:szCs w:val="16"/>
          <w:color w:val="auto"/>
        </w:rPr>
        <w:t xml:space="preserve">of any judgment or enter into any settlement, in each case without the prior written consent of the indemnified party, unless the entry of such judgment or settlement (i) includes as an unconditional term thereof the giving by the claimant or plaintiff to such indemnified party of an unconditional release from all liability in respect to such claim or litigation and (ii) does not include a statement as to or an admission of fault, culpability or a failure to act by or on behalf of such indemnified party,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sums payable in connection with such settlement are paid in full by the indemnifying party. If such defense is not assumed by the indemnifying party, the indemnifying party will not be subject to any liability for any settlement made without its prior written consent, but such consent may not be unreasonably withheld. It is understood that the indemnifying party or parties shall not, except as specifically set forth in this Section 2.09(c), in connection with any proceeding or related proceedings in the same jurisdiction, be liable for the reasonable fees, disbursements or other charges of more than one separate firm admitted to practice in such jurisdiction at any one time unless (x) the employment of more than one counsel has been authorized in writing by the indemnifying party or parties, (y) an indemnified party has reasonably concluded (based on the advice of counsel) that there may be legal defenses available to it that are different from or in addition to those available to the other indemnified parties, or</w:t>
      </w:r>
    </w:p>
    <w:p>
      <w:pPr>
        <w:spacing w:after="0" w:line="5" w:lineRule="exact"/>
        <w:rPr>
          <w:sz w:val="20"/>
          <w:szCs w:val="20"/>
          <w:color w:val="auto"/>
        </w:rPr>
      </w:pPr>
    </w:p>
    <w:p>
      <w:pPr>
        <w:jc w:val="both"/>
        <w:ind w:right="100" w:firstLine="8"/>
        <w:spacing w:after="0" w:line="255" w:lineRule="auto"/>
        <w:tabs>
          <w:tab w:leader="none" w:pos="24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conflict or potential conflict exists or may exist (based upon advice of counsel to an indemnified party) between such indemnified party and the other indemnified parties, in each of which cases the indemnifying party shall be obligated to pay the reasonable fees and expenses of such additional counsel or counsels.</w:t>
      </w:r>
    </w:p>
    <w:p>
      <w:pPr>
        <w:spacing w:after="0" w:line="189" w:lineRule="exact"/>
        <w:rPr>
          <w:rFonts w:ascii="Arial" w:cs="Arial" w:eastAsia="Arial" w:hAnsi="Arial"/>
          <w:sz w:val="18"/>
          <w:szCs w:val="18"/>
          <w:color w:val="auto"/>
        </w:rPr>
      </w:pPr>
    </w:p>
    <w:p>
      <w:pPr>
        <w:ind w:right="20" w:firstLine="1304"/>
        <w:spacing w:after="0" w:line="285" w:lineRule="auto"/>
        <w:tabs>
          <w:tab w:leader="none" w:pos="1951"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for any reason the indemnification provided for in paragraphs (a) and (b) of this Section 2.09 is unavailable to an indemnified party or insufficient in respect of any Losses referred to therein, then the indemnifying party shall contribute to the amount paid or payable by the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Section 2.09(d)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or by any other method of allocation that does not take account of the equitable considerations referred to in this Section 2.09(d).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Sections 2.09(a) and 2.09(b) shall be deemed to include, subject to the limitations set forth above, any legal or other expenses reasonably incurred by such indemnified party in connection with investigating or defending any such action or claim. Notwithstanding the provisions of this Section 2.09(d), in connection with any Registration Statement filed by the Company, a Participating Holder shall not be required to contribute any amount in excess of the dollar amount of the net proceeds received by such Holder under the sale of Registrable Securities giving rise to such contribution obligation less any amount paid by such Holders pursuant to Section 2.09(b). If indemnification is available under this Section 2.09, the indemnifying parties shall indemnify each indemnified party to the full extent provided in Sections 2.09(a) and 2.09(b) hereof without regard to the provisions of this Section 2.09(d).</w:t>
      </w:r>
    </w:p>
    <w:p>
      <w:pPr>
        <w:spacing w:after="0" w:line="171" w:lineRule="exact"/>
        <w:rPr>
          <w:rFonts w:ascii="Arial" w:cs="Arial" w:eastAsia="Arial" w:hAnsi="Arial"/>
          <w:sz w:val="16"/>
          <w:szCs w:val="16"/>
          <w:color w:val="auto"/>
        </w:rPr>
      </w:pPr>
    </w:p>
    <w:p>
      <w:pPr>
        <w:ind w:firstLine="1304"/>
        <w:spacing w:after="0" w:line="277" w:lineRule="auto"/>
        <w:tabs>
          <w:tab w:leader="none" w:pos="1955" w:val="left"/>
        </w:tabs>
        <w:numPr>
          <w:ilvl w:val="1"/>
          <w:numId w:val="270"/>
        </w:numPr>
        <w:rPr>
          <w:rFonts w:ascii="Arial" w:cs="Arial" w:eastAsia="Arial" w:hAnsi="Arial"/>
          <w:sz w:val="18"/>
          <w:szCs w:val="18"/>
          <w:color w:val="auto"/>
        </w:rPr>
      </w:pPr>
      <w:r>
        <w:rPr>
          <w:rFonts w:ascii="Arial" w:cs="Arial" w:eastAsia="Arial" w:hAnsi="Arial"/>
          <w:sz w:val="18"/>
          <w:szCs w:val="18"/>
          <w:u w:val="single" w:color="auto"/>
          <w:color w:val="auto"/>
        </w:rPr>
        <w:t>No Exclusivity</w:t>
      </w:r>
      <w:r>
        <w:rPr>
          <w:rFonts w:ascii="Arial" w:cs="Arial" w:eastAsia="Arial" w:hAnsi="Arial"/>
          <w:sz w:val="18"/>
          <w:szCs w:val="18"/>
          <w:color w:val="auto"/>
        </w:rPr>
        <w:t>. The remedies provided for in this Section 2.09 are not exclusive and shall not limit any rights or remedies which may be available to any indemnified party at law or in equity or pursuant to any other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6" w:name="page367"/>
    <w:bookmarkEnd w:id="366"/>
    <w:p>
      <w:pPr>
        <w:ind w:left="1960" w:hanging="656"/>
        <w:spacing w:after="0"/>
        <w:tabs>
          <w:tab w:leader="none" w:pos="196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indemnities provided in this Section 2.09 shall survive the transfer of any Registrable Securities by such Holder.</w:t>
      </w:r>
    </w:p>
    <w:p>
      <w:pPr>
        <w:spacing w:after="0" w:line="248" w:lineRule="exact"/>
        <w:rPr>
          <w:sz w:val="20"/>
          <w:szCs w:val="20"/>
          <w:color w:val="auto"/>
        </w:rPr>
      </w:pPr>
    </w:p>
    <w:p>
      <w:pPr>
        <w:ind w:right="20" w:firstLine="1296"/>
        <w:spacing w:after="0" w:line="284"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Rules 144 and 144A and Regulation S</w:t>
      </w:r>
      <w:r>
        <w:rPr>
          <w:rFonts w:ascii="Arial" w:cs="Arial" w:eastAsia="Arial" w:hAnsi="Arial"/>
          <w:sz w:val="16"/>
          <w:szCs w:val="16"/>
          <w:color w:val="auto"/>
        </w:rPr>
        <w:t>. The Company covenants that it will file the reports required to be filed by it under the Securities Act and the Exchange Act and the rules and regulations adopted by the SEC thereunder (or, if the Company is not required to file such reports, it will, upon the reasonable request of an Institutional Investor, make publicly available such necessary information for so long as necessary to permit sales pursuant to Rules 144, 144A or Regulation S under the Securities Act), and it will take such further action as any Institutional Investor may reasonably request, all to the extent required from time to time to enable the Holders, following the IPO, to sell Registrable Securities without Registration under the Securities Act within the limitation of the exemptions provided by (i) Rules 144, 144A or Regulation S under the Securities Act, as such</w:t>
      </w:r>
    </w:p>
    <w:p>
      <w:pPr>
        <w:spacing w:after="0" w:line="4"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Rules may be amended from time to time, or (ii) any similar rule or regulation hereafter adopted by the SEC. Upon the reasonable request of a Holder, the Company will deliver to such Holder a written statement as to whether it has complied with such requirements and, if not, the specifics thereof.</w:t>
      </w:r>
    </w:p>
    <w:p>
      <w:pPr>
        <w:spacing w:after="0" w:line="138"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Limitation on Registrations and Underwritten Offerings</w:t>
      </w:r>
      <w:r>
        <w:rPr>
          <w:rFonts w:ascii="Arial" w:cs="Arial" w:eastAsia="Arial" w:hAnsi="Arial"/>
          <w:sz w:val="16"/>
          <w:szCs w:val="16"/>
          <w:color w:val="auto"/>
        </w:rPr>
        <w:t>.</w:t>
      </w:r>
    </w:p>
    <w:p>
      <w:pPr>
        <w:spacing w:after="0" w:line="225" w:lineRule="exact"/>
        <w:rPr>
          <w:sz w:val="20"/>
          <w:szCs w:val="20"/>
          <w:color w:val="auto"/>
        </w:rPr>
      </w:pPr>
    </w:p>
    <w:p>
      <w:pPr>
        <w:ind w:right="80" w:firstLine="1304"/>
        <w:spacing w:after="0" w:line="255" w:lineRule="auto"/>
        <w:tabs>
          <w:tab w:leader="none" w:pos="1941" w:val="left"/>
        </w:tabs>
        <w:numPr>
          <w:ilvl w:val="1"/>
          <w:numId w:val="272"/>
        </w:numPr>
        <w:rPr>
          <w:rFonts w:ascii="Arial" w:cs="Arial" w:eastAsia="Arial" w:hAnsi="Arial"/>
          <w:sz w:val="18"/>
          <w:szCs w:val="18"/>
          <w:color w:val="auto"/>
        </w:rPr>
      </w:pPr>
      <w:r>
        <w:rPr>
          <w:rFonts w:ascii="Arial" w:cs="Arial" w:eastAsia="Arial" w:hAnsi="Arial"/>
          <w:sz w:val="18"/>
          <w:szCs w:val="18"/>
          <w:color w:val="auto"/>
        </w:rPr>
        <w:t>Notwithstanding the rights and obligations set forth in Sections 2.01 and 2.02, in no event shall the Company be obligated to take any action to effect any Demand Registration at the request of (i) an Institutional Investor (or its Affiliates and Permitted Assignees) after the Company has effected such number of Demand Registrations at the request of the Institutional Investors and their Affiliates and Permitted Assignees equal to the number of Institutional Investor Registration Demands or (ii) an Other Investor (or its Affiliates and Permitted Assignees) after the Company has effected one Demand Registration (including any Short-Form Registration) at the request of one or more of the Other Investors and their Affiliates and Permitted Assignees.</w:t>
      </w:r>
    </w:p>
    <w:p>
      <w:pPr>
        <w:spacing w:after="0" w:line="192" w:lineRule="exact"/>
        <w:rPr>
          <w:rFonts w:ascii="Arial" w:cs="Arial" w:eastAsia="Arial" w:hAnsi="Arial"/>
          <w:sz w:val="18"/>
          <w:szCs w:val="18"/>
          <w:color w:val="auto"/>
        </w:rPr>
      </w:pPr>
    </w:p>
    <w:p>
      <w:pPr>
        <w:ind w:right="20" w:firstLine="1304"/>
        <w:spacing w:after="0" w:line="286" w:lineRule="auto"/>
        <w:tabs>
          <w:tab w:leader="none" w:pos="195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Notwithstanding the rights and obligations set forth in Sections 2.01 and 2.02, in no event shall the Company be obligated to take any action to (i) effect more than two (2) Short Form Registrations or Marketed Underwritten Offerings in any 12-month period, (ii) effect any Underwritten Offering unless the Demand Party initiating such Underwritten Offering proposes to sell Registrable Securities in such Underwritten Offering having a reasonably anticipated gross aggregate price (before deduction of underwriter commissions and offering expenses) of at least $20,000,000 or</w:t>
      </w:r>
    </w:p>
    <w:p>
      <w:pPr>
        <w:spacing w:after="0" w:line="1" w:lineRule="exact"/>
        <w:rPr>
          <w:rFonts w:ascii="Arial" w:cs="Arial" w:eastAsia="Arial" w:hAnsi="Arial"/>
          <w:sz w:val="16"/>
          <w:szCs w:val="16"/>
          <w:color w:val="auto"/>
        </w:rPr>
      </w:pPr>
    </w:p>
    <w:p>
      <w:pPr>
        <w:jc w:val="both"/>
        <w:ind w:right="40" w:firstLine="8"/>
        <w:spacing w:after="0" w:line="255" w:lineRule="auto"/>
        <w:tabs>
          <w:tab w:leader="none" w:pos="31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effect any Demand Registration or Short-Form Registration initiated by an Other Investor if such Other Investor holds less than 25% of the Registrable Securities issued to such Other Investor pursuant to the Securities Purchase Agreements at the time such Other Investor initiates such Demand Registration or Short-Form Registration.</w:t>
      </w:r>
    </w:p>
    <w:p>
      <w:pPr>
        <w:spacing w:after="0" w:line="189" w:lineRule="exact"/>
        <w:rPr>
          <w:rFonts w:ascii="Arial" w:cs="Arial" w:eastAsia="Arial" w:hAnsi="Arial"/>
          <w:sz w:val="18"/>
          <w:szCs w:val="18"/>
          <w:color w:val="auto"/>
        </w:rPr>
      </w:pPr>
    </w:p>
    <w:p>
      <w:pPr>
        <w:ind w:right="240" w:firstLine="1304"/>
        <w:spacing w:after="0" w:line="259" w:lineRule="auto"/>
        <w:tabs>
          <w:tab w:leader="none" w:pos="1955"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For purposes of this Agreement </w:t>
      </w:r>
      <w:r>
        <w:rPr>
          <w:rFonts w:ascii="Arial" w:cs="Arial" w:eastAsia="Arial" w:hAnsi="Arial"/>
          <w:sz w:val="18"/>
          <w:szCs w:val="18"/>
          <w:u w:val="single" w:color="auto"/>
          <w:color w:val="auto"/>
        </w:rPr>
        <w:t>“Institutional Investor Registration Demands</w:t>
      </w:r>
      <w:r>
        <w:rPr>
          <w:rFonts w:ascii="Arial" w:cs="Arial" w:eastAsia="Arial" w:hAnsi="Arial"/>
          <w:sz w:val="18"/>
          <w:szCs w:val="18"/>
          <w:color w:val="auto"/>
        </w:rPr>
        <w:t xml:space="preserve">” means three (3);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Registrations pursuant to Section 2.02(a), if the Company is eligible to file a Short-Form Registration, such Short Form Registrations (and any Shelf Take-Downs, including any Marketed Underwritten Shelf Take-Downs) shall not be limited and shall not count as one of the three (3) Institutional Investor Registration Demands for purposes of Section 2.11(a).</w:t>
      </w:r>
    </w:p>
    <w:p>
      <w:pPr>
        <w:spacing w:after="0" w:line="187"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Clear Market</w:t>
      </w:r>
      <w:r>
        <w:rPr>
          <w:rFonts w:ascii="Arial" w:cs="Arial" w:eastAsia="Arial" w:hAnsi="Arial"/>
          <w:sz w:val="17"/>
          <w:szCs w:val="17"/>
          <w:color w:val="auto"/>
        </w:rPr>
        <w:t>. With respect to any Underwritten Offerings of Registrable Securities by an Investor, the Company agrees not to effect (other than pursuant to the Registration applicable to such Underwritten Offering or pursuant to a Special Registration or pursuant to the exercise by another Investor of any of its rights under Section 2.01 or Section 2.02) any public sale or distribution, or to file any Registration Statement (other than pursuant to the Registration applicable to such Underwritten Offering or pursuant to a Special Registration or pursuant to the exercise by an Investor of any of its rights under Section 2.01 or Section 2.02) covering any of its equity securities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7" w:name="page368"/>
    <w:bookmarkEnd w:id="367"/>
    <w:p>
      <w:pPr>
        <w:ind w:right="180"/>
        <w:spacing w:after="0" w:line="296" w:lineRule="auto"/>
        <w:rPr>
          <w:sz w:val="20"/>
          <w:szCs w:val="20"/>
          <w:color w:val="auto"/>
        </w:rPr>
      </w:pPr>
      <w:r>
        <w:rPr>
          <w:rFonts w:ascii="Arial" w:cs="Arial" w:eastAsia="Arial" w:hAnsi="Arial"/>
          <w:sz w:val="16"/>
          <w:szCs w:val="16"/>
          <w:color w:val="auto"/>
        </w:rPr>
        <w:t>any securities convertible into or exchangeable or exercisable for such securities, during the period not to exceed ten (10) days prior and sixty (60) days following the effective date of such offering or such longer period up to ninety (90) days as may be requested by the managing underwriter for such Underwritten Offering. “</w:t>
      </w:r>
      <w:r>
        <w:rPr>
          <w:rFonts w:ascii="Arial" w:cs="Arial" w:eastAsia="Arial" w:hAnsi="Arial"/>
          <w:sz w:val="16"/>
          <w:szCs w:val="16"/>
          <w:u w:val="single" w:color="auto"/>
          <w:color w:val="auto"/>
        </w:rPr>
        <w:t>Special Registration</w:t>
      </w:r>
      <w:r>
        <w:rPr>
          <w:rFonts w:ascii="Arial" w:cs="Arial" w:eastAsia="Arial" w:hAnsi="Arial"/>
          <w:sz w:val="16"/>
          <w:szCs w:val="16"/>
          <w:color w:val="auto"/>
        </w:rPr>
        <w:t>” means the registration of (A) equity securities and/or options or other rights in respect thereof solely registered on Form S-4 or Form S-8 (or successor form) or (B) shares of equity securities and/or options or other rights in respect thereof to be offered to directors, employees, consultants, customers, lenders or vendors of the Company or its Subsidiaries or in connection with dividend reinvestment plans.</w:t>
      </w:r>
    </w:p>
    <w:p>
      <w:pPr>
        <w:spacing w:after="0" w:line="161"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In-Kind Distributions</w:t>
      </w:r>
      <w:r>
        <w:rPr>
          <w:rFonts w:ascii="Arial" w:cs="Arial" w:eastAsia="Arial" w:hAnsi="Arial"/>
          <w:sz w:val="18"/>
          <w:szCs w:val="18"/>
          <w:color w:val="auto"/>
        </w:rPr>
        <w:t>. If any Holder seeks to effectuate an in-kind distribution of all or part of its Company Shares to its direct or indirect equityholders, the Company will reasonably cooperate with and assist such Holder, such equityholders and the Company’s transfer agent to facilitate such in-kind distribution in the manner reasonably requested by such Holder (including the delivery of instruction letters by the Company or its counsel to the Company’s transfer agent, the delivery of customary legal opinions by counsel to the Company and the delivery of Company Shares without restrictive legends, to the extent no longer applicable).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40" w:firstLine="1296"/>
        <w:spacing w:after="0" w:line="274"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Term</w:t>
      </w:r>
      <w:r>
        <w:rPr>
          <w:rFonts w:ascii="Arial" w:cs="Arial" w:eastAsia="Arial" w:hAnsi="Arial"/>
          <w:sz w:val="17"/>
          <w:szCs w:val="17"/>
          <w:color w:val="auto"/>
        </w:rPr>
        <w:t>. This Agreement shall terminate (a) with respect to all Holders (i) in connection with the consummation of a Change of Control (including any Deemed Liquidation Event (as defined in the Company’s Amended and Restated Certificate of Incorporation)) or</w:t>
      </w:r>
    </w:p>
    <w:p>
      <w:pPr>
        <w:ind w:right="80" w:firstLine="8"/>
        <w:spacing w:after="0" w:line="287" w:lineRule="auto"/>
        <w:tabs>
          <w:tab w:leader="none" w:pos="265" w:val="left"/>
        </w:tabs>
        <w:numPr>
          <w:ilvl w:val="0"/>
          <w:numId w:val="274"/>
        </w:numPr>
        <w:rPr>
          <w:rFonts w:ascii="Arial" w:cs="Arial" w:eastAsia="Arial" w:hAnsi="Arial"/>
          <w:sz w:val="16"/>
          <w:szCs w:val="16"/>
          <w:color w:val="auto"/>
        </w:rPr>
      </w:pPr>
      <w:r>
        <w:rPr>
          <w:rFonts w:ascii="Arial" w:cs="Arial" w:eastAsia="Arial" w:hAnsi="Arial"/>
          <w:sz w:val="16"/>
          <w:szCs w:val="16"/>
          <w:color w:val="auto"/>
        </w:rPr>
        <w:t>with the prior written consent of the Institutional Investors holding at least 55% of the then-outstanding Registrable Securities held by all Institutional Investors, (b) for those Holders that beneficially own less than three percent (3%) of the Company’s outstanding Company Shares, if all of the Registrable Securities then owned by such Holder could be sold in any ninety (90)-day period pursuant to Rule 144 (assuming for this purpose that such Holder is an Affiliate of the Company), (c) as to any Holder, if all of the Registrable Securities held by such Holder have been sold in a Registration pursuant to the Securities Act or pursuant to an exemption therefrom, or (d) with respect to any Holder that is an officer, director, employee or consultant of the Company or any of its Subsidiaries, on the date on which such Holder ceases to be an employee of the Company or its Subsidiaries. Notwithstanding the foregoing, the provisions of Sections 2.09, 2.10 and 2.13 and all of this Article III shall survive any such termination. Upon the written request of the Company, each Holder agrees to promptly deliver a certificate to the Company setting forth the number of Registrable Securities then beneficially owned by such Holder.</w:t>
      </w:r>
    </w:p>
    <w:p>
      <w:pPr>
        <w:spacing w:after="0" w:line="170"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Injunctive Relief</w:t>
      </w:r>
      <w:r>
        <w:rPr>
          <w:rFonts w:ascii="Arial" w:cs="Arial" w:eastAsia="Arial" w:hAnsi="Arial"/>
          <w:sz w:val="18"/>
          <w:szCs w:val="18"/>
          <w:color w:val="auto"/>
        </w:rPr>
        <w:t>. It is hereby agreed and acknowledged that it will be impossible to measure in money the damage that would be suffered 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specific performance, to enforce such obligations, and if any action should be brought in equity to enforce any of the provisions of this Agreement, none of the parties hereto shall raise the defense that there is an adequate remedy at law.</w:t>
      </w:r>
    </w:p>
    <w:p>
      <w:pPr>
        <w:spacing w:after="0" w:line="192" w:lineRule="exact"/>
        <w:rPr>
          <w:sz w:val="20"/>
          <w:szCs w:val="20"/>
          <w:color w:val="auto"/>
        </w:rPr>
      </w:pPr>
    </w:p>
    <w:p>
      <w:pPr>
        <w:ind w:right="200" w:firstLine="1296"/>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Attorneys’ Fees</w:t>
      </w:r>
      <w:r>
        <w:rPr>
          <w:rFonts w:ascii="Arial" w:cs="Arial" w:eastAsia="Arial" w:hAnsi="Arial"/>
          <w:sz w:val="18"/>
          <w:szCs w:val="18"/>
          <w:color w:val="auto"/>
        </w:rPr>
        <w:t>. In any action or proceeding brought to enforce any provision of this Agreement or where any provision hereof is validly asserted as a defense, the successful party shall, to the extent permitted by applicable law, be entitled to recover reasonable attorneys’ fees in addition to any other available remedy.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8" w:name="page369"/>
    <w:bookmarkEnd w:id="368"/>
    <w:p>
      <w:pPr>
        <w:ind w:right="60" w:firstLine="1296"/>
        <w:spacing w:after="0" w:line="288"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Unless otherwise specified herein, all notices, consents, approvals, reports, designations, requests, waivers, elections and other communications authorized or required to be given pursuant to this Agreement shall be in writing and shall be deemed to have been given (a) when personally delivered, (b) when transmitted via facsimile to the number set out below or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as applicable, if the sender on the same day sends a confirming copy of such notice by a recognized overnight delivery service (charges prepaid), (c) the day following the day (except if not a Business Day then the next Business Day) on which the same has been delivered prepaid to a reputable national overnight air courier service, (d) when transmitted via email (including via attached pdf document) to the email address set out below or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as applicable, if the sender on the same day sends a confirming copy of such notice by a recognized overnight delivery service (charges prepaid) or (e) the third Business Day following the day on which the same is sent by certified or registered mail, postage prepaid, in each case to the respective parties as applicable, at the address, facsimile number or email address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B</w:t>
      </w:r>
      <w:r>
        <w:rPr>
          <w:rFonts w:ascii="Arial" w:cs="Arial" w:eastAsia="Arial" w:hAnsi="Arial"/>
          <w:sz w:val="16"/>
          <w:szCs w:val="16"/>
          <w:color w:val="auto"/>
        </w:rPr>
        <w:t>, as applicable (or such other address, facsimile number or email address as such Holder may specify by notice to the Company in accordance with this Section 3.04), and the Company at the following address: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CrowdStrike Holdings,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150 Mathilda Place, Suite 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Sunnyvale, CA 94086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7"/>
          <w:szCs w:val="17"/>
          <w:color w:val="auto"/>
        </w:rPr>
        <w:t>Chief Executive Officer</w:t>
      </w:r>
    </w:p>
    <w:p>
      <w:pPr>
        <w:spacing w:after="0" w:line="211" w:lineRule="exact"/>
        <w:rPr>
          <w:sz w:val="20"/>
          <w:szCs w:val="20"/>
          <w:color w:val="auto"/>
        </w:rPr>
      </w:pPr>
    </w:p>
    <w:p>
      <w:pPr>
        <w:ind w:right="40" w:firstLine="1296"/>
        <w:spacing w:after="0" w:line="27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Publicity and Confidentiality</w:t>
      </w:r>
      <w:r>
        <w:rPr>
          <w:rFonts w:ascii="Arial" w:cs="Arial" w:eastAsia="Arial" w:hAnsi="Arial"/>
          <w:sz w:val="17"/>
          <w:szCs w:val="17"/>
          <w:color w:val="auto"/>
        </w:rPr>
        <w:t xml:space="preserve">. Each of the parties hereto shall keep confidential this Agreement and the transactions contemplated hereby, and any nonpublic information received pursuant hereto, and shall not disclose, issue any press release or otherwise make any public statement relating hereto or thereto without the prior written consent of the Company and the Institutional Investors holding at least 55% of the then-outstanding Registrable Securities held by all Institutional Investors unless so required by applicable law or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written consent shall be required (and each party shall be free to release such information) for disclosures (a) to each party’s partners, members, advisors, employees, agents, accountants, trustee, attorneys, Affiliates and investment vehicles managed or advised by such party or the partners, members, advisors, employees, agents, accountants, trustee or attorneys of such Affiliates or managed or advised investment vehicles, in each case so long as such Persons agree to keep such information confidential or (b) to the extent required by law, rule or regulation.</w:t>
      </w:r>
    </w:p>
    <w:p>
      <w:pPr>
        <w:spacing w:after="0" w:line="178" w:lineRule="exact"/>
        <w:rPr>
          <w:sz w:val="20"/>
          <w:szCs w:val="20"/>
          <w:color w:val="auto"/>
        </w:rPr>
      </w:pPr>
    </w:p>
    <w:p>
      <w:pPr>
        <w:ind w:right="60" w:firstLine="1296"/>
        <w:spacing w:after="0" w:line="273"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The terms and provisions of this Agreement may only be amended, modified or waived at any time and from time to time by a writing executed by the Company and the Institutional Investors holding at least 55% of the then-outstanding Registrable Securities held by all Institutional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any amendment, modification or waiver that would affect the rights, benefits or obligations of any Investor shall require the written consent of such Investor only if each of the following is applicable: (i) such amendment, modification or waiver would materially and adversely affect such rights, benefits or obligations of such Investor and (ii) such amendment, modification or waiver would treat such Investor in a materially worse manner than the manner in which such amendment or waiver treats the other Investors.</w:t>
      </w:r>
    </w:p>
    <w:p>
      <w:pPr>
        <w:spacing w:after="0" w:line="178" w:lineRule="exact"/>
        <w:rPr>
          <w:sz w:val="20"/>
          <w:szCs w:val="20"/>
          <w:color w:val="auto"/>
        </w:rPr>
      </w:pPr>
    </w:p>
    <w:p>
      <w:pPr>
        <w:ind w:right="60" w:firstLine="1296"/>
        <w:spacing w:after="0" w:line="275"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Successors, Assigns and Transferees</w:t>
      </w:r>
      <w:r>
        <w:rPr>
          <w:rFonts w:ascii="Arial" w:cs="Arial" w:eastAsia="Arial" w:hAnsi="Arial"/>
          <w:sz w:val="17"/>
          <w:szCs w:val="17"/>
          <w:color w:val="auto"/>
        </w:rPr>
        <w:t xml:space="preserve">. The rights and obligations of each party hereto may not be assigned, in whole or in part, without the written consent of (i) the Company and (ii) the Institutional Investors holding at least 55% of the then-outstanding Registrable Securities held by all Institutional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the rights and obligations set forth herein may be assigned, in whole or in part, (a) by any Institutional Investor to any Affiliate of such Institutional Investor, or to any transferee of Registrable Securities that holds (after giving effect to such transfer) in excess of one percent (1%) of the then-outstanding Registrable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Securities, and such transferee shall, with the consent of the transferring Institutional Investor, be treated as an Institutional Investor for all purposes of this Agreement or (b) by any Other Investor to any Permitted Transferee (as such term is defined in the Stockholders Agreement) to whom such Other Investor has transferred Registerable Securities pursuant to the terms and conditions of the Stockholders Agreement, and such transferee shall, with the consent of the transferring Other Investor, be treated as an Other Investor for all purposes of this Agreement (each Person to whom the rights and obligations are assigned in compliance with this Section 3.07 is a “</w:t>
      </w:r>
      <w:r>
        <w:rPr>
          <w:rFonts w:ascii="Arial" w:cs="Arial" w:eastAsia="Arial" w:hAnsi="Arial"/>
          <w:sz w:val="17"/>
          <w:szCs w:val="17"/>
          <w:u w:val="single" w:color="auto"/>
          <w:color w:val="auto"/>
        </w:rPr>
        <w:t>Permitted Assignee</w:t>
      </w:r>
      <w:r>
        <w:rPr>
          <w:rFonts w:ascii="Arial" w:cs="Arial" w:eastAsia="Arial" w:hAnsi="Arial"/>
          <w:sz w:val="17"/>
          <w:szCs w:val="17"/>
          <w:color w:val="auto"/>
        </w:rPr>
        <w:t>” and all such Persons, collectively, are “</w:t>
      </w:r>
      <w:r>
        <w:rPr>
          <w:rFonts w:ascii="Arial" w:cs="Arial" w:eastAsia="Arial" w:hAnsi="Arial"/>
          <w:sz w:val="17"/>
          <w:szCs w:val="17"/>
          <w:u w:val="single" w:color="auto"/>
          <w:color w:val="auto"/>
        </w:rPr>
        <w:t>Permitted Assignees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such transferee shall only be admitted as a party hereunder upon its, his or her execution and delivery of a joinder agreement, in form and substance acceptable to each Institutional Investor, agreeing to be bound by the terms and conditions of this Agreement as if such Person were a party hereto (together with any other documents the Institutional Investors determine are necessary to make such Person a party hereto), whereupon such Person will be treated as a Holder for all purposes of this Agreement, with the same rights, benefits and obligations hereunder as the transferring Holder with respect to the transferred Registrable Securities (except that if the transferee was a Holder prior to such transfer, such transferee shall have the same rights, benefits and obligations with respect to the such transferred Registrable Securities as were applicable to Registrable Securities held by such transferee prior to such transfer). Nothing herein shall operate to permit a transfer of Registrable Securities otherwise restricted by the Stockholders Agreement or any other agreement to which any Holder may be a party.</w:t>
      </w:r>
    </w:p>
    <w:p>
      <w:pPr>
        <w:spacing w:after="0" w:line="186" w:lineRule="exact"/>
        <w:rPr>
          <w:sz w:val="20"/>
          <w:szCs w:val="20"/>
          <w:color w:val="auto"/>
        </w:rPr>
      </w:pPr>
    </w:p>
    <w:p>
      <w:pPr>
        <w:ind w:right="380" w:firstLine="1296"/>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Binding Effect</w:t>
      </w:r>
      <w:r>
        <w:rPr>
          <w:rFonts w:ascii="Arial" w:cs="Arial" w:eastAsia="Arial" w:hAnsi="Arial"/>
          <w:sz w:val="18"/>
          <w:szCs w:val="18"/>
          <w:color w:val="auto"/>
        </w:rPr>
        <w:t>. Except as otherwise provided in this Agreement, the terms and provisions of this Agreement shall be binding on and inure to the benefit of each of the parties hereto and their respective successors.</w:t>
      </w:r>
    </w:p>
    <w:p>
      <w:pPr>
        <w:spacing w:after="0" w:line="170"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Nothing in this Agreement, express or implied, is intended or shall be construed to confer upon any Person not a party hereto (other than those Persons entitled to indemnity or contribution under Section 2.09, each of whom shall be a third party beneficiary thereof) any right, remedy or claim under or by virtue of this Agreement.</w:t>
      </w:r>
    </w:p>
    <w:p>
      <w:pPr>
        <w:spacing w:after="0" w:line="184" w:lineRule="exact"/>
        <w:rPr>
          <w:sz w:val="20"/>
          <w:szCs w:val="20"/>
          <w:color w:val="auto"/>
        </w:rPr>
      </w:pPr>
    </w:p>
    <w:p>
      <w:pPr>
        <w:ind w:right="60" w:firstLine="1296"/>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AND CONSTRUED IN ACCORDANCE WITH THE LAWS OF THE STATE OF DELAWARE, WITHOUT REGARD TO THE CONFLICTS OF LAW PRINCIPLES THEREOF. ANY ACTION OR PROCEEDING AGAINST THE PARTIES RELATING IN ANY WAY TO THIS AGREEMENT MAY BE BROUGHT AND ENFORCED EXCLUSIVELY IN THE COURTS OF THE STATE OF DELAWARE OR (TO THE EXTENT SUBJECT MATTER JURISDICTION EXISTS THEREFOR) THE U.S. DISTRICT COURT FOR THE DISTRICT OF DELAWARE, AND THE PARTIES IRREVOCABLY SUBMIT TO THE JURISDICTION OF BOTH SUCH COURTS IN RESPECT OF ANY SUCH ACTION OR PROCEEDING.</w:t>
      </w:r>
    </w:p>
    <w:p>
      <w:pPr>
        <w:spacing w:after="0" w:line="192" w:lineRule="exact"/>
        <w:rPr>
          <w:sz w:val="20"/>
          <w:szCs w:val="20"/>
          <w:color w:val="auto"/>
        </w:rPr>
      </w:pPr>
    </w:p>
    <w:p>
      <w:pPr>
        <w:ind w:right="20" w:firstLine="1296"/>
        <w:spacing w:after="0" w:line="273"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PARTIES HERETO HEREBY WAIVES TO THE FULLEST EXTENT PERMITTED BY APPLICABLE LAW ANY RIGHT IT MAY HAVE TO A TRIAL BY JURY WITH RESPECT TO ANY LITIGATION DIRECTLY OR INDIRECTLY ARISING OUT OF, UNDER OR IN CONNECTION WITH THIS AGREEMENT OR ANY OF THE TRANSACTIONS CONTEMPLATED HEREBY. EACH OF THE PARTIES HEREBY (A) CERTIFIES THAT NO REPRESENTATIVE, AGENT OR ATTORNEY OF THE OTHER PARTY HAS REPRESENTED, EXPRESSLY OR OTHERWISE, THAT SUCH OTHER PARTY WOULD NOT, IN THE EVENT OF LITIGATION, SEEK TO ENFORCE THE FOREGOING WAIVER AND (B) ACKNOWLEDGES THAT IT HAS BEEN INDUCED TO ENTER INTO</w:t>
      </w:r>
    </w:p>
    <w:p>
      <w:pPr>
        <w:sectPr>
          <w:pgSz w:w="11900" w:h="16838" w:orient="portrait"/>
          <w:cols w:equalWidth="0" w:num="1">
            <w:col w:w="11240"/>
          </w:cols>
          <w:pgMar w:left="320" w:top="341" w:right="339" w:bottom="0" w:gutter="0" w:footer="0" w:header="0"/>
        </w:sectPr>
      </w:pPr>
    </w:p>
    <w:bookmarkStart w:id="369" w:name="page370"/>
    <w:bookmarkEnd w:id="369"/>
    <w:p>
      <w:pPr>
        <w:spacing w:after="0" w:line="277" w:lineRule="auto"/>
        <w:rPr>
          <w:sz w:val="20"/>
          <w:szCs w:val="20"/>
          <w:color w:val="auto"/>
        </w:rPr>
      </w:pPr>
      <w:r>
        <w:rPr>
          <w:rFonts w:ascii="Arial" w:cs="Arial" w:eastAsia="Arial" w:hAnsi="Arial"/>
          <w:sz w:val="18"/>
          <w:szCs w:val="18"/>
          <w:color w:val="auto"/>
        </w:rPr>
        <w:t>THIS AGREEMENT AND THE TRANSACTIONS CONTEMPLATED BY THIS AGREEMENT, AS APPLICABLE, BY, AMONG OTHER THINGS, THE MUTUAL WAIVERS AND CERTIFICATIONS IN THIS SECTION 3.11.</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370" w:name="page371"/>
    <w:bookmarkEnd w:id="370"/>
    <w:p>
      <w:pPr>
        <w:ind w:right="60" w:firstLine="1296"/>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held to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shall constitute one and the same agreement.</w:t>
      </w:r>
    </w:p>
    <w:p>
      <w:pPr>
        <w:spacing w:after="0" w:line="170"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 references herein and in the table of contents hereto are for convenience purposes only, do not constitute a part of this Agreement and shall not be deemed to limit or affect any of the provisions hereof.</w:t>
      </w:r>
    </w:p>
    <w:p>
      <w:pPr>
        <w:spacing w:after="0" w:line="170"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Joinder</w:t>
      </w:r>
      <w:r>
        <w:rPr>
          <w:rFonts w:ascii="Arial" w:cs="Arial" w:eastAsia="Arial" w:hAnsi="Arial"/>
          <w:sz w:val="17"/>
          <w:szCs w:val="17"/>
          <w:color w:val="auto"/>
        </w:rPr>
        <w:t xml:space="preserve">. Any Person purchasing shares of the Company’s Series E Convertible Preferred Stock or Series E-1 Convertible Preferred Stock in a Closing after the Initial Closing (each as defined in the Series E &amp; E-1 Purchase Agreement) pursuant to the Series E &amp; E-1 Purchase Agreement may become a party to this Agreement by executing a counterpart of this Agreement without any amendment of this Agreement or any consent or approval of any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(other than an Institutional Investor or Affiliate thereof) shall be deemed an Other Investor unless provided otherwise by the prior written consent of each Institutional Investor. Any other Person that holds Company Shares may, with the prior written consent of Institutional Investors holding at least 55% of the then-outstanding Registrable Securities held by all Institutional Investors, be admitted as a party to this Agreement upon its execution and delivery of a joinder agreement, in form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whereupon such Person will be treated as a Holder for all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shall not be treated as an Institutional Investor or Other Investor other than with the prior written consent of each Institutional Investor.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1" w:name="page372"/>
    <w:bookmarkEnd w:id="371"/>
    <w:p>
      <w:pPr>
        <w:ind w:left="180"/>
        <w:spacing w:after="0"/>
        <w:rPr>
          <w:sz w:val="20"/>
          <w:szCs w:val="20"/>
          <w:color w:val="auto"/>
        </w:rPr>
      </w:pPr>
      <w:r>
        <w:rPr>
          <w:rFonts w:ascii="Arial" w:cs="Arial" w:eastAsia="Arial" w:hAnsi="Arial"/>
          <w:sz w:val="16"/>
          <w:szCs w:val="16"/>
          <w:color w:val="auto"/>
        </w:rPr>
        <w:t>IN WITNESS WHEREOF, the parties hereto have executed this Agreement as of the day and year first above written.</w:t>
      </w:r>
    </w:p>
    <w:p>
      <w:pPr>
        <w:spacing w:after="0" w:line="200" w:lineRule="exact"/>
        <w:rPr>
          <w:sz w:val="20"/>
          <w:szCs w:val="20"/>
          <w:color w:val="auto"/>
        </w:rPr>
      </w:pPr>
    </w:p>
    <w:p>
      <w:pPr>
        <w:spacing w:after="0" w:line="26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CROWDSTRIKE HOLDINGS, INC.</w:t>
      </w:r>
    </w:p>
    <w:p>
      <w:pPr>
        <w:spacing w:after="0" w:line="229"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14605</wp:posOffset>
            </wp:positionV>
            <wp:extent cx="326580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George Kurtz</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218440</wp:posOffset>
            </wp:positionV>
            <wp:extent cx="71532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b w:val="1"/>
          <w:bCs w:val="1"/>
          <w:color w:val="auto"/>
        </w:rPr>
        <w:t>INSTITUTIONAL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CAPITALG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CapitalG GP LLC,</w:t>
            </w:r>
          </w:p>
        </w:tc>
      </w:tr>
      <w:tr>
        <w:trPr>
          <w:trHeight w:val="230"/>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Jeremiah Gordon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Jeremiah Gordon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64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CAPITALG 2015 LP</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CapitalG 2015 GP LLC,</w:t>
            </w:r>
          </w:p>
        </w:tc>
      </w:tr>
      <w:tr>
        <w:trPr>
          <w:trHeight w:val="230"/>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Jeremiah Gordon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Jeremiah Gordon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VENTURE PARTNERS XVI,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Institutional Venture Management Holdings XVI,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Institutional Venture Management XVI,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Harrick</w:t>
            </w:r>
          </w:p>
        </w:tc>
      </w:tr>
      <w:tr>
        <w:trPr>
          <w:trHeight w:val="224"/>
        </w:trPr>
        <w:tc>
          <w:tcPr>
            <w:tcW w:w="74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03"/>
        </w:trPr>
        <w:tc>
          <w:tcPr>
            <w:tcW w:w="740" w:type="dxa"/>
            <w:vAlign w:val="bottom"/>
          </w:tcPr>
          <w:p>
            <w:pPr>
              <w:spacing w:after="0"/>
              <w:rPr>
                <w:sz w:val="20"/>
                <w:szCs w:val="20"/>
                <w:color w:val="auto"/>
              </w:rPr>
            </w:pPr>
            <w:r>
              <w:rPr>
                <w:rFonts w:ascii="Arial" w:cs="Arial" w:eastAsia="Arial" w:hAnsi="Arial"/>
                <w:sz w:val="18"/>
                <w:szCs w:val="18"/>
                <w:color w:val="auto"/>
              </w:rPr>
              <w:t>Address:</w:t>
            </w:r>
          </w:p>
        </w:tc>
        <w:tc>
          <w:tcPr>
            <w:tcW w:w="4880" w:type="dxa"/>
            <w:vAlign w:val="bottom"/>
          </w:tcPr>
          <w:p>
            <w:pPr>
              <w:ind w:left="560"/>
              <w:spacing w:after="0"/>
              <w:rPr>
                <w:sz w:val="20"/>
                <w:szCs w:val="20"/>
                <w:color w:val="auto"/>
              </w:rPr>
            </w:pPr>
            <w:r>
              <w:rPr>
                <w:rFonts w:ascii="Arial" w:cs="Arial" w:eastAsia="Arial" w:hAnsi="Arial"/>
                <w:sz w:val="18"/>
                <w:szCs w:val="18"/>
                <w:color w:val="auto"/>
              </w:rPr>
              <w:t>3000 Sand Hill Road</w:t>
            </w:r>
          </w:p>
        </w:tc>
      </w:tr>
      <w:tr>
        <w:trPr>
          <w:trHeight w:val="216"/>
        </w:trPr>
        <w:tc>
          <w:tcPr>
            <w:tcW w:w="740" w:type="dxa"/>
            <w:vAlign w:val="bottom"/>
          </w:tcPr>
          <w:p>
            <w:pPr>
              <w:spacing w:after="0"/>
              <w:rPr>
                <w:sz w:val="18"/>
                <w:szCs w:val="18"/>
                <w:color w:val="auto"/>
              </w:rPr>
            </w:pPr>
          </w:p>
        </w:tc>
        <w:tc>
          <w:tcPr>
            <w:tcW w:w="4880" w:type="dxa"/>
            <w:vAlign w:val="bottom"/>
          </w:tcPr>
          <w:p>
            <w:pPr>
              <w:ind w:left="560"/>
              <w:spacing w:after="0"/>
              <w:rPr>
                <w:sz w:val="20"/>
                <w:szCs w:val="20"/>
                <w:color w:val="auto"/>
              </w:rPr>
            </w:pPr>
            <w:r>
              <w:rPr>
                <w:rFonts w:ascii="Arial" w:cs="Arial" w:eastAsia="Arial" w:hAnsi="Arial"/>
                <w:sz w:val="18"/>
                <w:szCs w:val="18"/>
                <w:color w:val="auto"/>
              </w:rPr>
              <w:t>Building 2, Suite 250</w:t>
            </w:r>
          </w:p>
        </w:tc>
      </w:tr>
      <w:tr>
        <w:trPr>
          <w:trHeight w:val="230"/>
        </w:trPr>
        <w:tc>
          <w:tcPr>
            <w:tcW w:w="740" w:type="dxa"/>
            <w:vAlign w:val="bottom"/>
          </w:tcPr>
          <w:p>
            <w:pPr>
              <w:spacing w:after="0"/>
              <w:rPr>
                <w:sz w:val="20"/>
                <w:szCs w:val="20"/>
                <w:color w:val="auto"/>
              </w:rPr>
            </w:pPr>
          </w:p>
        </w:tc>
        <w:tc>
          <w:tcPr>
            <w:tcW w:w="4880" w:type="dxa"/>
            <w:vAlign w:val="bottom"/>
          </w:tcPr>
          <w:p>
            <w:pPr>
              <w:ind w:left="560"/>
              <w:spacing w:after="0"/>
              <w:rPr>
                <w:sz w:val="20"/>
                <w:szCs w:val="20"/>
                <w:color w:val="auto"/>
              </w:rPr>
            </w:pPr>
            <w:r>
              <w:rPr>
                <w:rFonts w:ascii="Arial" w:cs="Arial" w:eastAsia="Arial" w:hAnsi="Arial"/>
                <w:sz w:val="18"/>
                <w:szCs w:val="18"/>
                <w:color w:val="auto"/>
              </w:rPr>
              <w:t>Menlo Park, CA 94025</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ATLANTIC (CS),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General Atlantic (SPV) GP, LLC,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General Atlantic LLC, its Sole Member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Frank Brown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 Frank Brown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b w:val="1"/>
          <w:bCs w:val="1"/>
          <w:color w:val="auto"/>
        </w:rPr>
        <w:t>INSTITUTIONAL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WARBURG PINCUS PRIVATE EQUITY X,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X, L.P., its general partner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X GP L.P., its general partner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WPP GP LLC, its general partner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Partners, L.P., its managing member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Partners GP LLC, its general partner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&amp; Co., its managing member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Cary Davis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Cary Davis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WARBURG PINCUS X PARTNERS, L.P.</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X, L.P., its general partner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X GP L.P., its general partner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WPP GP LLC, its general partner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Partners, L.P., its managing member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Partners GP LLC, its general partner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Warburg Pincus &amp; Co., its managing member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Cary Davis</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Cary Davis</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ACCEL LONDON III L.P.</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Accel London Management Limited,</w:t>
            </w:r>
          </w:p>
        </w:tc>
      </w:tr>
      <w:tr>
        <w:trPr>
          <w:trHeight w:val="230"/>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 Allen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Kris Allen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64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ACCEL LONDON INVESTORS 2012 L.P.</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Accel London Management Limited,</w:t>
            </w:r>
          </w:p>
        </w:tc>
      </w:tr>
      <w:tr>
        <w:trPr>
          <w:trHeight w:val="230"/>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Its Manager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 Allen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Kris Allen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b w:val="1"/>
          <w:bCs w:val="1"/>
          <w:color w:val="auto"/>
        </w:rPr>
        <w:t>INSTITUTIONAL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GROWTH FUND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5160" w:type="dxa"/>
            <w:vAlign w:val="bottom"/>
          </w:tcPr>
          <w:p>
            <w:pPr>
              <w:ind w:left="280"/>
              <w:spacing w:after="0"/>
              <w:rPr>
                <w:sz w:val="20"/>
                <w:szCs w:val="20"/>
                <w:color w:val="auto"/>
              </w:rPr>
            </w:pPr>
            <w:r>
              <w:rPr>
                <w:rFonts w:ascii="Arial" w:cs="Arial" w:eastAsia="Arial" w:hAnsi="Arial"/>
                <w:sz w:val="18"/>
                <w:szCs w:val="18"/>
                <w:color w:val="auto"/>
              </w:rPr>
              <w:t>Accel Growth Fund II Associates L.L.C.,</w:t>
            </w:r>
          </w:p>
        </w:tc>
      </w:tr>
      <w:tr>
        <w:trPr>
          <w:trHeight w:val="23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tcPr>
          <w:p>
            <w:pPr>
              <w:ind w:left="280"/>
              <w:spacing w:after="0"/>
              <w:rPr>
                <w:sz w:val="20"/>
                <w:szCs w:val="20"/>
                <w:color w:val="auto"/>
              </w:rPr>
            </w:pPr>
            <w:r>
              <w:rPr>
                <w:rFonts w:ascii="Arial" w:cs="Arial" w:eastAsia="Arial" w:hAnsi="Arial"/>
                <w:sz w:val="18"/>
                <w:szCs w:val="18"/>
                <w:color w:val="auto"/>
              </w:rPr>
              <w:t>Its General Partner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/s/ Tracy L. Sedlock</w:t>
            </w:r>
          </w:p>
        </w:tc>
      </w:tr>
      <w:tr>
        <w:trPr>
          <w:trHeight w:val="224"/>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Attorney-in-Fact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GROWTH FUND II STRATEGIC PARTNERS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5160" w:type="dxa"/>
            <w:vAlign w:val="bottom"/>
          </w:tcPr>
          <w:p>
            <w:pPr>
              <w:ind w:left="280"/>
              <w:spacing w:after="0"/>
              <w:rPr>
                <w:sz w:val="20"/>
                <w:szCs w:val="20"/>
                <w:color w:val="auto"/>
              </w:rPr>
            </w:pPr>
            <w:r>
              <w:rPr>
                <w:rFonts w:ascii="Arial" w:cs="Arial" w:eastAsia="Arial" w:hAnsi="Arial"/>
                <w:sz w:val="18"/>
                <w:szCs w:val="18"/>
                <w:color w:val="auto"/>
              </w:rPr>
              <w:t>Accel Growth Fund II Associates L.L.C.,</w:t>
            </w:r>
          </w:p>
        </w:tc>
      </w:tr>
      <w:tr>
        <w:trPr>
          <w:trHeight w:val="23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tcPr>
          <w:p>
            <w:pPr>
              <w:ind w:left="280"/>
              <w:spacing w:after="0"/>
              <w:rPr>
                <w:sz w:val="20"/>
                <w:szCs w:val="20"/>
                <w:color w:val="auto"/>
              </w:rPr>
            </w:pPr>
            <w:r>
              <w:rPr>
                <w:rFonts w:ascii="Arial" w:cs="Arial" w:eastAsia="Arial" w:hAnsi="Arial"/>
                <w:sz w:val="18"/>
                <w:szCs w:val="18"/>
                <w:color w:val="auto"/>
              </w:rPr>
              <w:t>Its General Partner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/s/ Tracy L. Sedlock</w:t>
            </w:r>
          </w:p>
        </w:tc>
      </w:tr>
      <w:tr>
        <w:trPr>
          <w:trHeight w:val="224"/>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Attorney-in-Fact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GROWTH FUND INVESTORS 2013 L.L.C.</w:t>
      </w:r>
    </w:p>
    <w:p>
      <w:pPr>
        <w:spacing w:after="0" w:line="229" w:lineRule="exact"/>
        <w:rPr>
          <w:sz w:val="20"/>
          <w:szCs w:val="20"/>
          <w:color w:val="auto"/>
        </w:rPr>
      </w:pPr>
    </w:p>
    <w:p>
      <w:pPr>
        <w:jc w:val="right"/>
        <w:ind w:right="8239"/>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Tracy L. Sedlock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8295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jc w:val="right"/>
        <w:ind w:right="8279"/>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LEADERS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5160" w:type="dxa"/>
            <w:vAlign w:val="bottom"/>
          </w:tcPr>
          <w:p>
            <w:pPr>
              <w:ind w:left="280"/>
              <w:spacing w:after="0"/>
              <w:rPr>
                <w:sz w:val="20"/>
                <w:szCs w:val="20"/>
                <w:color w:val="auto"/>
              </w:rPr>
            </w:pPr>
            <w:r>
              <w:rPr>
                <w:rFonts w:ascii="Arial" w:cs="Arial" w:eastAsia="Arial" w:hAnsi="Arial"/>
                <w:sz w:val="18"/>
                <w:szCs w:val="18"/>
                <w:color w:val="auto"/>
              </w:rPr>
              <w:t>Accel Leaders Fund Associates L.L.C.,</w:t>
            </w:r>
          </w:p>
        </w:tc>
      </w:tr>
      <w:tr>
        <w:trPr>
          <w:trHeight w:val="23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tcPr>
          <w:p>
            <w:pPr>
              <w:ind w:left="280"/>
              <w:spacing w:after="0"/>
              <w:rPr>
                <w:sz w:val="20"/>
                <w:szCs w:val="20"/>
                <w:color w:val="auto"/>
              </w:rPr>
            </w:pPr>
            <w:r>
              <w:rPr>
                <w:rFonts w:ascii="Arial" w:cs="Arial" w:eastAsia="Arial" w:hAnsi="Arial"/>
                <w:sz w:val="18"/>
                <w:szCs w:val="18"/>
                <w:color w:val="auto"/>
              </w:rPr>
              <w:t>Its General Partner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100"/>
              <w:spacing w:after="0"/>
              <w:rPr>
                <w:sz w:val="20"/>
                <w:szCs w:val="20"/>
                <w:color w:val="auto"/>
              </w:rPr>
            </w:pPr>
            <w:r>
              <w:rPr>
                <w:rFonts w:ascii="Arial" w:cs="Arial" w:eastAsia="Arial" w:hAnsi="Arial"/>
                <w:sz w:val="18"/>
                <w:szCs w:val="18"/>
                <w:color w:val="auto"/>
              </w:rPr>
              <w:t>/s/ Tracy L. Sedlock</w:t>
            </w:r>
          </w:p>
        </w:tc>
      </w:tr>
      <w:tr>
        <w:trPr>
          <w:trHeight w:val="224"/>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Attorney-in-Fact</w:t>
            </w: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LEADERS FUND INVESTORS 2016 L.L.C.</w:t>
      </w:r>
    </w:p>
    <w:p>
      <w:pPr>
        <w:spacing w:after="0" w:line="229" w:lineRule="exact"/>
        <w:rPr>
          <w:sz w:val="20"/>
          <w:szCs w:val="20"/>
          <w:color w:val="auto"/>
        </w:rPr>
      </w:pPr>
    </w:p>
    <w:p>
      <w:pPr>
        <w:jc w:val="right"/>
        <w:ind w:right="8239"/>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Tracy L. Sedlock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8295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jc w:val="right"/>
        <w:ind w:right="8279"/>
        <w:spacing w:after="0"/>
        <w:rPr>
          <w:sz w:val="20"/>
          <w:szCs w:val="20"/>
          <w:color w:val="auto"/>
        </w:rPr>
      </w:pPr>
      <w:r>
        <w:rPr>
          <w:rFonts w:ascii="Arial" w:cs="Arial" w:eastAsia="Arial" w:hAnsi="Arial"/>
          <w:sz w:val="18"/>
          <w:szCs w:val="18"/>
          <w:color w:val="auto"/>
        </w:rPr>
        <w:t>Attorney-in-Fact</w:t>
      </w:r>
    </w:p>
    <w:p>
      <w:pPr>
        <w:spacing w:after="0" w:line="224"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b w:val="1"/>
          <w:bCs w:val="1"/>
          <w:color w:val="auto"/>
        </w:rPr>
        <w:t>INSTITUTIONAL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CAPITAL OPPORTUNITY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March Capital Opportunity Fund GP, LLC,</w:t>
            </w:r>
          </w:p>
        </w:tc>
      </w:tr>
      <w:tr>
        <w:trPr>
          <w:trHeight w:val="230"/>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Montgomery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James Montgomery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CAPITAL OPPORTUNITY FUND II,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March Capital Opportunity Fund GP, LLC,</w:t>
            </w:r>
          </w:p>
        </w:tc>
      </w:tr>
      <w:tr>
        <w:trPr>
          <w:trHeight w:val="230"/>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Montgomery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James Montgomery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Member</w:t>
            </w:r>
          </w:p>
        </w:tc>
      </w:tr>
      <w:tr>
        <w:trPr>
          <w:trHeight w:val="64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MARCH CAPITAL PARTNERS FUND I, L.P.</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March Capital Partners GP, LLC,</w:t>
            </w:r>
          </w:p>
        </w:tc>
      </w:tr>
      <w:tr>
        <w:trPr>
          <w:trHeight w:val="230"/>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Montgomery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James Montgomery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Member</w:t>
            </w:r>
          </w:p>
        </w:tc>
      </w:tr>
      <w:tr>
        <w:trPr>
          <w:trHeight w:val="64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MARCH CAPITAL PARTNERS FUND II, L.P.</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March Capital Partners GP, LLC,</w:t>
            </w:r>
          </w:p>
        </w:tc>
      </w:tr>
      <w:tr>
        <w:trPr>
          <w:trHeight w:val="230"/>
        </w:trPr>
        <w:tc>
          <w:tcPr>
            <w:tcW w:w="7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Montgomery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James Montgomery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Member</w:t>
            </w:r>
          </w:p>
        </w:tc>
      </w:tr>
    </w:tbl>
    <w:p>
      <w:pPr>
        <w:spacing w:after="0" w:line="202"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b w:val="1"/>
          <w:bCs w:val="1"/>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HSBC INVESTMENT BANK HOLDINGS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Oreoluwa Adeyemi</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Oreoluwa Adeyemi</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Attorney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MONTGOMERY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Montgomery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James Montgomery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MONTGOMERY 2012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Montgomery</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James Montgomery</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BAYSIDE INVESTMENTS, GP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Sandler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Richard Sandler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VALLEY ADMINISTRATORS,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Merkin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Richard Merkin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CLOUD APPS CAPITAL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Cloud Apps Capital Partners GP, LLC,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Holleran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8295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Matthew Holleran, Managing Member</w:t>
      </w:r>
    </w:p>
    <w:p>
      <w:pPr>
        <w:spacing w:after="0" w:line="224"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 FALCON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Its General Partner, Section Partners Associates III,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Its Managing Member, Crowder Ventures Management,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V. Crowder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8295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V. Crowder, President</w:t>
      </w:r>
    </w:p>
    <w:p>
      <w:pPr>
        <w:spacing w:after="0" w:line="200" w:lineRule="exact"/>
        <w:rPr>
          <w:sz w:val="20"/>
          <w:szCs w:val="20"/>
          <w:color w:val="auto"/>
        </w:rPr>
      </w:pPr>
    </w:p>
    <w:p>
      <w:pPr>
        <w:spacing w:after="0" w:line="236" w:lineRule="exact"/>
        <w:rPr>
          <w:sz w:val="20"/>
          <w:szCs w:val="20"/>
          <w:color w:val="auto"/>
        </w:rPr>
      </w:pPr>
    </w:p>
    <w:p>
      <w:pPr>
        <w:ind w:right="4959"/>
        <w:spacing w:after="0" w:line="282" w:lineRule="auto"/>
        <w:rPr>
          <w:sz w:val="20"/>
          <w:szCs w:val="20"/>
          <w:color w:val="auto"/>
        </w:rPr>
      </w:pPr>
      <w:r>
        <w:rPr>
          <w:rFonts w:ascii="Arial" w:cs="Arial" w:eastAsia="Arial" w:hAnsi="Arial"/>
          <w:sz w:val="18"/>
          <w:szCs w:val="18"/>
          <w:b w:val="1"/>
          <w:bCs w:val="1"/>
          <w:color w:val="auto"/>
        </w:rPr>
        <w:t>SECTION CAPITAL SERIES, LP, SOLELY WITH RESPECT TO SERIES FUND III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Its General Partner, Section Capital Series LP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Its Managing Member, Crowder Ventures Management,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V. Crowder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28295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V. Crowder, President</w:t>
      </w:r>
    </w:p>
    <w:p>
      <w:pPr>
        <w:spacing w:after="0" w:line="224"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Schedule A</w:t>
            </w:r>
          </w:p>
        </w:tc>
        <w:tc>
          <w:tcPr>
            <w:tcW w:w="5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4"/>
                <w:szCs w:val="24"/>
                <w:color w:val="auto"/>
              </w:rPr>
            </w:pPr>
          </w:p>
        </w:tc>
        <w:tc>
          <w:tcPr>
            <w:tcW w:w="7300" w:type="dxa"/>
            <w:vAlign w:val="bottom"/>
            <w:gridSpan w:val="5"/>
          </w:tcPr>
          <w:p>
            <w:pPr>
              <w:jc w:val="center"/>
              <w:ind w:right="3868"/>
              <w:spacing w:after="0"/>
              <w:rPr>
                <w:sz w:val="20"/>
                <w:szCs w:val="20"/>
                <w:color w:val="auto"/>
              </w:rPr>
            </w:pPr>
            <w:r>
              <w:rPr>
                <w:rFonts w:ascii="Arial" w:cs="Arial" w:eastAsia="Arial" w:hAnsi="Arial"/>
                <w:sz w:val="18"/>
                <w:szCs w:val="18"/>
                <w:b w:val="1"/>
                <w:bCs w:val="1"/>
                <w:color w:val="auto"/>
              </w:rPr>
              <w:t>INSTITUTIONAL INVESTORS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940" w:type="dxa"/>
            <w:vAlign w:val="bottom"/>
            <w:vMerge w:val="restart"/>
          </w:tcPr>
          <w:p>
            <w:pPr>
              <w:spacing w:after="0"/>
              <w:rPr>
                <w:sz w:val="20"/>
                <w:szCs w:val="20"/>
                <w:color w:val="auto"/>
              </w:rPr>
            </w:pPr>
            <w:r>
              <w:rPr>
                <w:rFonts w:ascii="Arial" w:cs="Arial" w:eastAsia="Arial" w:hAnsi="Arial"/>
                <w:sz w:val="14"/>
                <w:szCs w:val="14"/>
                <w:b w:val="1"/>
                <w:bCs w:val="1"/>
                <w:color w:val="auto"/>
              </w:rPr>
              <w:t>HOLDER</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80" w:type="dxa"/>
            <w:vAlign w:val="bottom"/>
          </w:tcPr>
          <w:p>
            <w:pPr>
              <w:ind w:left="660"/>
              <w:spacing w:after="0"/>
              <w:rPr>
                <w:sz w:val="20"/>
                <w:szCs w:val="20"/>
                <w:color w:val="auto"/>
              </w:rPr>
            </w:pPr>
            <w:r>
              <w:rPr>
                <w:rFonts w:ascii="Arial" w:cs="Arial" w:eastAsia="Arial" w:hAnsi="Arial"/>
                <w:sz w:val="14"/>
                <w:szCs w:val="14"/>
                <w:b w:val="1"/>
                <w:bCs w:val="1"/>
                <w:color w:val="auto"/>
              </w:rPr>
              <w:t>FOR PURPOSES OF SECTION 3.04, WITH A COPY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4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(WHICH SHALL NOT CONSTITUTE 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9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Warburg Pincus Private Equity X, L.P.</w:t>
            </w:r>
          </w:p>
        </w:tc>
        <w:tc>
          <w:tcPr>
            <w:tcW w:w="1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7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Willkie Farr &amp; Gallagher LLP</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 Warburg Pincus &amp; Co.</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787 Seventh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450 Lexington Avenue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York, NY 10019</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Attention: Steven J. Gartner, Esq.</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Cary Davis</w:t>
            </w: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Warburg Pincus X Partners, L.P.</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Willkie Farr &amp; Gallagher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 Warburg Pincus &amp; Co.</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787 Seventh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450 Lexington Avenue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York, NY 10019</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Attention: Steven J. Gartner, Esq.</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Cary Davis</w:t>
            </w: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Growth Fund II L.P.</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Growth Fund II Strategic Partners L.P.</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Growth Fund Investors 2013 L.L.C.</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Leaders Fund Investors 2016 L.L.C.</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Leaders Fund L.P.</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Sameer Gandhi and Rich Zamboldi</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Accel London III L.P.</w:t>
            </w: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Accel Partners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Attn: Rich Zamboldi</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6th Floor, 1 New Burlington Palace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London W1S 2HR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9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16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HOLDER</w:t>
            </w:r>
          </w:p>
        </w:tc>
        <w:tc>
          <w:tcPr>
            <w:tcW w:w="5700" w:type="dxa"/>
            <w:vAlign w:val="bottom"/>
          </w:tcPr>
          <w:p>
            <w:pPr>
              <w:ind w:left="1180"/>
              <w:spacing w:after="0"/>
              <w:rPr>
                <w:sz w:val="20"/>
                <w:szCs w:val="20"/>
                <w:color w:val="auto"/>
              </w:rPr>
            </w:pPr>
            <w:r>
              <w:rPr>
                <w:rFonts w:ascii="Arial" w:cs="Arial" w:eastAsia="Arial" w:hAnsi="Arial"/>
                <w:sz w:val="14"/>
                <w:szCs w:val="14"/>
                <w:b w:val="1"/>
                <w:bCs w:val="1"/>
                <w:color w:val="auto"/>
              </w:rPr>
              <w:t>FOR PURPOSES OF SECTION 3.04, WITH A COPY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5700" w:type="dxa"/>
            <w:vAlign w:val="bottom"/>
          </w:tcPr>
          <w:p>
            <w:pPr>
              <w:ind w:left="1180"/>
              <w:spacing w:after="0"/>
              <w:rPr>
                <w:sz w:val="20"/>
                <w:szCs w:val="20"/>
                <w:color w:val="auto"/>
              </w:rPr>
            </w:pPr>
            <w:r>
              <w:rPr>
                <w:rFonts w:ascii="Arial" w:cs="Arial" w:eastAsia="Arial" w:hAnsi="Arial"/>
                <w:sz w:val="14"/>
                <w:szCs w:val="14"/>
                <w:b w:val="1"/>
                <w:bCs w:val="1"/>
                <w:color w:val="auto"/>
              </w:rPr>
              <w:t>(WHICH SHALL NOT CONSTITUTE 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Accel London Investors 2012 L.P.</w:t>
            </w:r>
          </w:p>
        </w:tc>
        <w:tc>
          <w:tcPr>
            <w:tcW w:w="340" w:type="dxa"/>
            <w:vAlign w:val="bottom"/>
            <w:tcBorders>
              <w:top w:val="single" w:sz="8" w:color="CCEEFF"/>
            </w:tcBorders>
            <w:shd w:val="clear" w:color="auto" w:fill="CCEEFF"/>
          </w:tcPr>
          <w:p>
            <w:pPr>
              <w:spacing w:after="0"/>
              <w:rPr>
                <w:sz w:val="16"/>
                <w:szCs w:val="16"/>
                <w:color w:val="auto"/>
              </w:rPr>
            </w:pPr>
          </w:p>
        </w:tc>
        <w:tc>
          <w:tcPr>
            <w:tcW w:w="5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Accel Partners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Attn: Rich Zamboldi</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6th Floor, 1 New Burlington Palace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Accel Partners</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London W1S 2HR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500 University Avenue</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Palo Alto, CA 94301</w:t>
            </w:r>
          </w:p>
        </w:tc>
        <w:tc>
          <w:tcPr>
            <w:tcW w:w="57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CapitalG 2015 LP</w:t>
            </w: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Wilmer Cutler Pickering Hale and Dorr LLP 350 South Grand Avenue,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1600 Amphitheatre Parkway</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Suite 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Mountain View, CA 94043</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 Angeles, CA 90071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Attention: Jeremiah Gordon</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Attention: Christopher A. Rose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CapitalG LP</w:t>
            </w: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Wilmer Cutler Pickering Hale and Dorr LLP 350 South Grand Avenue,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1600 Amphitheatre Parkway</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Suite 2100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Mountain View, CA 94043</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 Angeles, CA 90071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Attention: Jeremiah Gordon</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Attention: Christopher A. Rose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General Atlantic (CS), L.P.</w:t>
            </w: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Cooley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55 East 52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Street, 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tc>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101 California Street,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New York, NY 10055</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Attention: Gordon Cruess</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Attention: Craig D. Jacoby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IVP - Institutional Venture Partners XVI, L.P.</w:t>
            </w: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Cooley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3000 Sand Hill Road</w:t>
            </w:r>
          </w:p>
        </w:tc>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101 California Street,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Building 2, Suite 250</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Menlo Park, CA 94025</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Attention: Craig D. Jacoby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March Capital Opportunity Fund, L.P.</w:t>
            </w: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Gibson, Dunn &amp; Crutcher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725 Arizona, Suite 304</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333 South Grand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Santa Monica, CA 90401</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 Angeles, CA 90071-3197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Attn: James Montgomery</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Attention: Bradford P. Weirick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March Capital Opportunity Fund II, L.P.</w:t>
            </w: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Gibson, Dunn &amp; Crutcher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725 Arizona, Suite 304</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333 South Grand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Santa Monica, CA 90401</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 Angeles, CA 90071-3197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Attn: James Montgomery</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Attention: Bradford P. Weirick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March Capital Partners Fund I, L.P.</w:t>
            </w: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Gibson, Dunn &amp; Crutcher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725 Arizona, Suite 304</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333 South Grand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Santa Monica, CA 90401</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 Angeles, CA 90071-3197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Attn: James Montgomery</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Attention: Bradford P. Weirick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March Capital Partners Fund II, L.P.</w:t>
            </w: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Gibson, Dunn &amp; Crutcher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725 Arizona, Suite 304</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333 South Grand Avenue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Santa Monica, CA 90401</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 Angeles, CA 90071-3197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Attn: James Montgomery</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Attention: Bradford P. Weirick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52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HOLDER</w:t>
            </w:r>
          </w:p>
        </w:tc>
        <w:tc>
          <w:tcPr>
            <w:tcW w:w="200" w:type="dxa"/>
            <w:vAlign w:val="bottom"/>
          </w:tcPr>
          <w:p>
            <w:pPr>
              <w:spacing w:after="0"/>
              <w:rPr>
                <w:sz w:val="14"/>
                <w:szCs w:val="14"/>
                <w:color w:val="auto"/>
              </w:rPr>
            </w:pPr>
          </w:p>
        </w:tc>
        <w:tc>
          <w:tcPr>
            <w:tcW w:w="5500" w:type="dxa"/>
            <w:vAlign w:val="bottom"/>
          </w:tcPr>
          <w:p>
            <w:pPr>
              <w:ind w:left="980"/>
              <w:spacing w:after="0"/>
              <w:rPr>
                <w:sz w:val="20"/>
                <w:szCs w:val="20"/>
                <w:color w:val="auto"/>
              </w:rPr>
            </w:pPr>
            <w:r>
              <w:rPr>
                <w:rFonts w:ascii="Arial" w:cs="Arial" w:eastAsia="Arial" w:hAnsi="Arial"/>
                <w:sz w:val="14"/>
                <w:szCs w:val="14"/>
                <w:b w:val="1"/>
                <w:bCs w:val="1"/>
                <w:color w:val="auto"/>
              </w:rPr>
              <w:t>FOR PURPOSES OF SECTION 3.04, WITH A COPY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500" w:type="dxa"/>
            <w:vAlign w:val="bottom"/>
          </w:tcPr>
          <w:p>
            <w:pPr>
              <w:ind w:left="980"/>
              <w:spacing w:after="0"/>
              <w:rPr>
                <w:sz w:val="20"/>
                <w:szCs w:val="20"/>
                <w:color w:val="auto"/>
              </w:rPr>
            </w:pPr>
            <w:r>
              <w:rPr>
                <w:rFonts w:ascii="Arial" w:cs="Arial" w:eastAsia="Arial" w:hAnsi="Arial"/>
                <w:sz w:val="14"/>
                <w:szCs w:val="14"/>
                <w:b w:val="1"/>
                <w:bCs w:val="1"/>
                <w:color w:val="auto"/>
              </w:rPr>
              <w:t>(WHICH SHALL NOT CONSTITUTE 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Rackspace US, Inc.</w:t>
            </w: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70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Rackspace US, Inc.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 Fanatical Place</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Fanatical Place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City of Windcrest</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Windcrest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San Antonio, TX 78218</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Antonio, TX 78218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Attn: Taylor Rhodes, CEO</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Attn: Office of the General Counsel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Telstra Ventures Pty Ltd</w:t>
            </w:r>
          </w:p>
        </w:tc>
        <w:tc>
          <w:tcPr>
            <w:tcW w:w="5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Gunderson Dettmer Stough Villeneuve Franklin &amp; Hachigian, LLP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(ACN 125 607 454)</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Seaport Boulevard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TV Company Secretary</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Redwood City, CA 94063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 Level 41</w:t>
            </w: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Attention: Trevor S. Knapp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242 Exhibition Street</w:t>
            </w:r>
          </w:p>
        </w:tc>
        <w:tc>
          <w:tcPr>
            <w:tcW w:w="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Melbourne, Victoria</w:t>
            </w:r>
          </w:p>
        </w:tc>
        <w:tc>
          <w:tcPr>
            <w:tcW w:w="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Australia 3000</w:t>
            </w:r>
          </w:p>
        </w:tc>
        <w:tc>
          <w:tcPr>
            <w:tcW w:w="20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5520" w:type="dxa"/>
            <w:vAlign w:val="bottom"/>
            <w:tcBorders>
              <w:bottom w:val="single" w:sz="8" w:color="808080"/>
            </w:tcBorders>
            <w:gridSpan w:val="2"/>
          </w:tcPr>
          <w:p>
            <w:pPr>
              <w:spacing w:after="0"/>
              <w:rPr>
                <w:sz w:val="24"/>
                <w:szCs w:val="24"/>
                <w:color w:val="auto"/>
              </w:rPr>
            </w:pPr>
          </w:p>
        </w:tc>
        <w:tc>
          <w:tcPr>
            <w:tcW w:w="220" w:type="dxa"/>
            <w:vAlign w:val="bottom"/>
            <w:tcBorders>
              <w:bottom w:val="single" w:sz="8" w:color="808080"/>
            </w:tcBorders>
            <w:gridSpan w:val="2"/>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11240" w:type="dxa"/>
            <w:vAlign w:val="bottom"/>
            <w:gridSpan w:val="5"/>
          </w:tcPr>
          <w:p>
            <w:pPr>
              <w:ind w:left="4760"/>
              <w:spacing w:after="0"/>
              <w:rPr>
                <w:sz w:val="20"/>
                <w:szCs w:val="20"/>
                <w:color w:val="auto"/>
              </w:rPr>
            </w:pPr>
            <w:r>
              <w:rPr>
                <w:rFonts w:ascii="Arial" w:cs="Arial" w:eastAsia="Arial" w:hAnsi="Arial"/>
                <w:sz w:val="18"/>
                <w:szCs w:val="18"/>
                <w:b w:val="1"/>
                <w:bCs w:val="1"/>
                <w:color w:val="auto"/>
              </w:rPr>
              <w:t>OTHER INVESTORS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HOLDER</w:t>
            </w:r>
          </w:p>
        </w:tc>
        <w:tc>
          <w:tcPr>
            <w:tcW w:w="200" w:type="dxa"/>
            <w:vAlign w:val="bottom"/>
          </w:tcPr>
          <w:p>
            <w:pPr>
              <w:spacing w:after="0"/>
              <w:rPr>
                <w:sz w:val="24"/>
                <w:szCs w:val="24"/>
                <w:color w:val="auto"/>
              </w:rPr>
            </w:pPr>
          </w:p>
        </w:tc>
        <w:tc>
          <w:tcPr>
            <w:tcW w:w="5500" w:type="dxa"/>
            <w:vAlign w:val="bottom"/>
          </w:tcPr>
          <w:p>
            <w:pPr>
              <w:ind w:left="1080"/>
              <w:spacing w:after="0"/>
              <w:rPr>
                <w:sz w:val="20"/>
                <w:szCs w:val="20"/>
                <w:color w:val="auto"/>
              </w:rPr>
            </w:pPr>
            <w:r>
              <w:rPr>
                <w:rFonts w:ascii="Arial" w:cs="Arial" w:eastAsia="Arial" w:hAnsi="Arial"/>
                <w:sz w:val="14"/>
                <w:szCs w:val="14"/>
                <w:b w:val="1"/>
                <w:bCs w:val="1"/>
                <w:color w:val="auto"/>
              </w:rPr>
              <w:t>FOR PURPOSES OF SECTION 3.04, WITH A COPY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5500" w:type="dxa"/>
            <w:vAlign w:val="bottom"/>
          </w:tcPr>
          <w:p>
            <w:pPr>
              <w:ind w:left="1060"/>
              <w:spacing w:after="0"/>
              <w:rPr>
                <w:sz w:val="20"/>
                <w:szCs w:val="20"/>
                <w:color w:val="auto"/>
              </w:rPr>
            </w:pPr>
            <w:r>
              <w:rPr>
                <w:rFonts w:ascii="Arial" w:cs="Arial" w:eastAsia="Arial" w:hAnsi="Arial"/>
                <w:sz w:val="14"/>
                <w:szCs w:val="14"/>
                <w:b w:val="1"/>
                <w:bCs w:val="1"/>
                <w:color w:val="auto"/>
              </w:rPr>
              <w:t>(WHICH SHALL NOT CONSTITUTE 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2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Alexander Kurtz Irrevocable Gift Trust dated December 14, 2011</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Allegra Kurtz Irrevocable Gift Trust dated December 14, 2011</w:t>
            </w:r>
          </w:p>
        </w:tc>
        <w:tc>
          <w:tcPr>
            <w:tcW w:w="20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 Gregg Marston</w:t>
            </w:r>
          </w:p>
        </w:tc>
        <w:tc>
          <w:tcPr>
            <w:tcW w:w="20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Dmitri Alperovitch</w:t>
            </w:r>
          </w:p>
        </w:tc>
        <w:tc>
          <w:tcPr>
            <w:tcW w:w="20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4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Donald Gregg Marston and Marilyn Jane Marston</w:t>
            </w:r>
          </w:p>
        </w:tc>
        <w:tc>
          <w:tcPr>
            <w:tcW w:w="20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Revocable Trust Dated 12/29/2004</w:t>
            </w:r>
          </w:p>
        </w:tc>
        <w:tc>
          <w:tcPr>
            <w:tcW w:w="200" w:type="dxa"/>
            <w:vAlign w:val="bottom"/>
            <w:shd w:val="clear" w:color="auto" w:fill="CCEEFF"/>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George Kurtz</w:t>
            </w:r>
          </w:p>
        </w:tc>
        <w:tc>
          <w:tcPr>
            <w:tcW w:w="200" w:type="dxa"/>
            <w:vAlign w:val="bottom"/>
          </w:tcPr>
          <w:p>
            <w:pPr>
              <w:spacing w:after="0"/>
              <w:rPr>
                <w:sz w:val="17"/>
                <w:szCs w:val="17"/>
                <w:color w:val="auto"/>
              </w:rPr>
            </w:pPr>
          </w:p>
        </w:tc>
        <w:tc>
          <w:tcPr>
            <w:tcW w:w="5500" w:type="dxa"/>
            <w:vAlign w:val="bottom"/>
          </w:tcPr>
          <w:p>
            <w:pPr>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Kurtz 2009 Spendthrift Trust, Dated 4/2/2009</w:t>
            </w:r>
          </w:p>
        </w:tc>
        <w:tc>
          <w:tcPr>
            <w:tcW w:w="2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-4133215</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-4133215</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5486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Attention: Yoichiro Taku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Schedule B</w:t>
            </w:r>
          </w:p>
        </w:tc>
        <w:tc>
          <w:tcPr>
            <w:tcW w:w="5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500" w:type="dxa"/>
            <w:vAlign w:val="bottom"/>
          </w:tcPr>
          <w:p>
            <w:pPr>
              <w:spacing w:after="0"/>
              <w:rPr>
                <w:sz w:val="24"/>
                <w:szCs w:val="24"/>
                <w:color w:val="auto"/>
              </w:rPr>
            </w:pPr>
          </w:p>
        </w:tc>
        <w:tc>
          <w:tcPr>
            <w:tcW w:w="7740" w:type="dxa"/>
            <w:vAlign w:val="bottom"/>
            <w:gridSpan w:val="5"/>
          </w:tcPr>
          <w:p>
            <w:pPr>
              <w:jc w:val="center"/>
              <w:ind w:right="3428"/>
              <w:spacing w:after="0"/>
              <w:rPr>
                <w:sz w:val="20"/>
                <w:szCs w:val="20"/>
                <w:color w:val="auto"/>
              </w:rPr>
            </w:pPr>
            <w:r>
              <w:rPr>
                <w:rFonts w:ascii="Arial" w:cs="Arial" w:eastAsia="Arial" w:hAnsi="Arial"/>
                <w:sz w:val="18"/>
                <w:szCs w:val="18"/>
                <w:b w:val="1"/>
                <w:bCs w:val="1"/>
                <w:color w:val="auto"/>
              </w:rPr>
              <w:t>HOLDERS (OTHER THAN THE INVESTORS)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HOLDER</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tcPr>
          <w:p>
            <w:pPr>
              <w:ind w:left="760"/>
              <w:spacing w:after="0"/>
              <w:rPr>
                <w:sz w:val="20"/>
                <w:szCs w:val="20"/>
                <w:color w:val="auto"/>
              </w:rPr>
            </w:pPr>
            <w:r>
              <w:rPr>
                <w:rFonts w:ascii="Arial" w:cs="Arial" w:eastAsia="Arial" w:hAnsi="Arial"/>
                <w:sz w:val="14"/>
                <w:szCs w:val="14"/>
                <w:b w:val="1"/>
                <w:bCs w:val="1"/>
                <w:color w:val="auto"/>
              </w:rPr>
              <w:t>FOR PURPOSES OF SECTION 3.04, WITH A COPY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auto"/>
            </w:tcBorders>
            <w:vMerge w:val="continue"/>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1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(WHICH SHALL NOT CONSTITUTE 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Arnulf Damerau</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b w:val="1"/>
                <w:bCs w:val="1"/>
                <w:color w:val="auto"/>
              </w:rPr>
              <w:t>Avid Park Ventures, LP</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2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Avid Park Ventures, 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Rob Chandra</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Robin White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555 Mission Street, Suite #3325</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555 Bryant Street, Suite #310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San Francisco, CA 94105</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20" w:type="dxa"/>
            <w:vAlign w:val="bottom"/>
            <w:gridSpan w:val="3"/>
          </w:tcPr>
          <w:p>
            <w:pPr>
              <w:ind w:left="220"/>
              <w:spacing w:after="0"/>
              <w:rPr>
                <w:sz w:val="20"/>
                <w:szCs w:val="20"/>
                <w:color w:val="auto"/>
              </w:rPr>
            </w:pPr>
            <w:r>
              <w:rPr>
                <w:rFonts w:ascii="Arial" w:cs="Arial" w:eastAsia="Arial" w:hAnsi="Arial"/>
                <w:sz w:val="18"/>
                <w:szCs w:val="18"/>
                <w:color w:val="auto"/>
              </w:rPr>
              <w:t>Palo Alto, CA 94301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Bayside Investments, GP</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1250 Fourth Street, 5th Floor</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Santa Monica, CA 90401</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Attn: Diane Kim</w:t>
            </w:r>
          </w:p>
        </w:tc>
        <w:tc>
          <w:tcPr>
            <w:tcW w:w="1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b w:val="1"/>
                <w:bCs w:val="1"/>
                <w:color w:val="auto"/>
              </w:rPr>
              <w:t>Central Valley Administrators, Inc.</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3115 Ocean Front Walk, Suite 301</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Marina del Rey, CA 90292</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Attention: Richard Merkin</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Clavius Capital LLC</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b w:val="1"/>
                <w:bCs w:val="1"/>
                <w:color w:val="auto"/>
              </w:rPr>
              <w:t>Cloud Apps Capital Partners, LP</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Attn: Matt Holleran, General Partner</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 Sutter Street, Suite 900</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San Francisco, CA 94104</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Denis O’Leary</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b w:val="1"/>
                <w:bCs w:val="1"/>
                <w:color w:val="auto"/>
                <w:w w:val="99"/>
              </w:rPr>
              <w:t>HSBC Investment Bank Holdings Limited</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8 Canada Square</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London E14 5HQ</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United Kingdom</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InstantScale XIX LLC</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3021 Via La Selva</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Palos Verdes Estates, CA 90274</w:t>
            </w:r>
          </w:p>
        </w:tc>
        <w:tc>
          <w:tcPr>
            <w:tcW w:w="1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James Montgomery 2012 Family Trust</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John Thompson</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b w:val="1"/>
                <w:bCs w:val="1"/>
                <w:color w:val="auto"/>
              </w:rPr>
              <w:t>Okapi Ventures II, LP</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1590 S. Coast Hwy, Suite 10</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Laguna Beach, CA 92651</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5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HOLDER</w:t>
            </w:r>
          </w:p>
        </w:tc>
        <w:tc>
          <w:tcPr>
            <w:tcW w:w="220" w:type="dxa"/>
            <w:vAlign w:val="bottom"/>
          </w:tcPr>
          <w:p>
            <w:pPr>
              <w:spacing w:after="0"/>
              <w:rPr>
                <w:sz w:val="14"/>
                <w:szCs w:val="14"/>
                <w:color w:val="auto"/>
              </w:rPr>
            </w:pPr>
          </w:p>
        </w:tc>
        <w:tc>
          <w:tcPr>
            <w:tcW w:w="5500" w:type="dxa"/>
            <w:vAlign w:val="bottom"/>
          </w:tcPr>
          <w:p>
            <w:pPr>
              <w:ind w:left="1080"/>
              <w:spacing w:after="0"/>
              <w:rPr>
                <w:sz w:val="20"/>
                <w:szCs w:val="20"/>
                <w:color w:val="auto"/>
              </w:rPr>
            </w:pPr>
            <w:r>
              <w:rPr>
                <w:rFonts w:ascii="Arial" w:cs="Arial" w:eastAsia="Arial" w:hAnsi="Arial"/>
                <w:sz w:val="14"/>
                <w:szCs w:val="14"/>
                <w:b w:val="1"/>
                <w:bCs w:val="1"/>
                <w:color w:val="auto"/>
              </w:rPr>
              <w:t>FOR PURPOSES OF SECTION 3.04, WITH A COPY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5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(WHICH SHALL NOT CONSTITUTE NOTICE)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Ronnie Wiessbrod</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b w:val="1"/>
                <w:bCs w:val="1"/>
                <w:color w:val="auto"/>
              </w:rPr>
              <w:t>Marc vc, LLC</w:t>
            </w: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5106 Braeburn Drive</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Bellaire TX 77401</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Section 32 Fund 1, LP</w:t>
            </w: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2033 San Elijo Avenue, #565</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Cardiff-by-the-Sea, CA 92007</w:t>
            </w: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b w:val="1"/>
                <w:bCs w:val="1"/>
                <w:color w:val="auto"/>
              </w:rPr>
              <w:t>Section Capital Series, LP, solely with respect to Series Fund III</w:t>
            </w: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Attn.: Dave Crowder</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855 El Camino Real, Bldg. 5, Ste. 316</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Palo Alto, CA 94301</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SP Falcon Partners, LP</w:t>
            </w: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Attn.: Dave Crowder</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855 El Camino Real, Bldg. 5, Ste. 316</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Palo Alto, CA 94301</w:t>
            </w: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Stephen E. Schmidt</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Sven Krasser</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b w:val="1"/>
                <w:bCs w:val="1"/>
                <w:color w:val="auto"/>
                <w:w w:val="91"/>
              </w:rPr>
              <w:t>The Board of Trustees of the Leland Stanford Junior University (SBST)</w:t>
            </w: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Stanford Management Company</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Attn: Jeffrey Sefa-Boakye</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635 Knight Way</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Stanford, CA 94305-7297</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TriplePoint Venture Growth BDC Corp.</w:t>
            </w:r>
          </w:p>
        </w:tc>
        <w:tc>
          <w:tcPr>
            <w:tcW w:w="220" w:type="dxa"/>
            <w:vAlign w:val="bottom"/>
            <w:shd w:val="clear" w:color="auto" w:fill="CCEEFF"/>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2755 Sand Hill Road, Suite 150</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Menlo Park, CA 94025</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Attn: Legal Dept.</w:t>
            </w: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b w:val="1"/>
                <w:bCs w:val="1"/>
                <w:color w:val="auto"/>
              </w:rPr>
              <w:t>WS Investment Company, LLC</w:t>
            </w:r>
          </w:p>
        </w:tc>
        <w:tc>
          <w:tcPr>
            <w:tcW w:w="57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Wilson Sonsini Goodrich &amp; Rosati, P.C.</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650 Page Mill Road</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650 Page Mill Road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Palo Alto, CA 94304</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Palo Alto, CA 94304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Attention: Yoichiro Taku</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5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Exhibit A</w:t>
            </w:r>
          </w:p>
        </w:tc>
        <w:tc>
          <w:tcPr>
            <w:tcW w:w="4480" w:type="dxa"/>
            <w:vAlign w:val="bottom"/>
            <w:gridSpan w:val="3"/>
          </w:tcPr>
          <w:p>
            <w:pPr>
              <w:spacing w:after="0"/>
              <w:rPr>
                <w:sz w:val="17"/>
                <w:szCs w:val="17"/>
                <w:color w:val="auto"/>
              </w:rPr>
            </w:pPr>
          </w:p>
        </w:tc>
      </w:tr>
      <w:tr>
        <w:trPr>
          <w:trHeight w:val="453"/>
        </w:trPr>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740" w:type="dxa"/>
            <w:vAlign w:val="bottom"/>
            <w:gridSpan w:val="6"/>
          </w:tcPr>
          <w:p>
            <w:pPr>
              <w:jc w:val="center"/>
              <w:ind w:right="1980"/>
              <w:spacing w:after="0"/>
              <w:rPr>
                <w:sz w:val="20"/>
                <w:szCs w:val="20"/>
                <w:color w:val="auto"/>
              </w:rPr>
            </w:pPr>
            <w:r>
              <w:rPr>
                <w:rFonts w:ascii="Arial" w:cs="Arial" w:eastAsia="Arial" w:hAnsi="Arial"/>
                <w:sz w:val="18"/>
                <w:szCs w:val="18"/>
                <w:color w:val="auto"/>
                <w:w w:val="95"/>
              </w:rPr>
              <w:t>JOINDER AGREEMENT TO REGISTRATION RIGHTS AGREEMENT</w:t>
            </w:r>
          </w:p>
        </w:tc>
      </w:tr>
      <w:tr>
        <w:trPr>
          <w:trHeight w:val="391"/>
        </w:trPr>
        <w:tc>
          <w:tcPr>
            <w:tcW w:w="600" w:type="dxa"/>
            <w:vAlign w:val="bottom"/>
          </w:tcPr>
          <w:p>
            <w:pPr>
              <w:spacing w:after="0"/>
              <w:rPr>
                <w:sz w:val="24"/>
                <w:szCs w:val="24"/>
                <w:color w:val="auto"/>
              </w:rPr>
            </w:pPr>
          </w:p>
        </w:tc>
        <w:tc>
          <w:tcPr>
            <w:tcW w:w="9880" w:type="dxa"/>
            <w:vAlign w:val="bottom"/>
            <w:gridSpan w:val="7"/>
          </w:tcPr>
          <w:p>
            <w:pPr>
              <w:ind w:left="700"/>
              <w:spacing w:after="0"/>
              <w:rPr>
                <w:sz w:val="20"/>
                <w:szCs w:val="20"/>
                <w:color w:val="auto"/>
              </w:rPr>
            </w:pPr>
            <w:r>
              <w:rPr>
                <w:rFonts w:ascii="Arial" w:cs="Arial" w:eastAsia="Arial" w:hAnsi="Arial"/>
                <w:sz w:val="18"/>
                <w:szCs w:val="18"/>
                <w:color w:val="auto"/>
                <w:w w:val="95"/>
              </w:rPr>
              <w:t>THIS JOINDER AGREEMENT TO REGISTRATION RIGHTS AGREEMENT (the “Agreement”) is made as of the   day of</w:t>
            </w:r>
          </w:p>
        </w:tc>
      </w:tr>
      <w:tr>
        <w:trPr>
          <w:trHeight w:val="196"/>
        </w:trPr>
        <w:tc>
          <w:tcPr>
            <w:tcW w:w="600" w:type="dxa"/>
            <w:vAlign w:val="bottom"/>
          </w:tcPr>
          <w:p>
            <w:pPr>
              <w:spacing w:after="0" w:line="196" w:lineRule="exact"/>
              <w:rPr>
                <w:sz w:val="20"/>
                <w:szCs w:val="20"/>
                <w:color w:val="auto"/>
              </w:rPr>
            </w:pPr>
            <w:r>
              <w:rPr>
                <w:rFonts w:ascii="Arial" w:cs="Arial" w:eastAsia="Arial" w:hAnsi="Arial"/>
                <w:sz w:val="18"/>
                <w:szCs w:val="18"/>
                <w:color w:val="auto"/>
              </w:rPr>
              <w:t>by</w:t>
            </w:r>
          </w:p>
        </w:tc>
        <w:tc>
          <w:tcPr>
            <w:tcW w:w="2140" w:type="dxa"/>
            <w:vAlign w:val="bottom"/>
          </w:tcPr>
          <w:p>
            <w:pPr>
              <w:ind w:left="400"/>
              <w:spacing w:after="0" w:line="196" w:lineRule="exact"/>
              <w:rPr>
                <w:sz w:val="20"/>
                <w:szCs w:val="20"/>
                <w:color w:val="auto"/>
              </w:rPr>
            </w:pPr>
            <w:r>
              <w:rPr>
                <w:rFonts w:ascii="Arial" w:cs="Arial" w:eastAsia="Arial" w:hAnsi="Arial"/>
                <w:sz w:val="18"/>
                <w:szCs w:val="18"/>
                <w:color w:val="auto"/>
                <w:w w:val="97"/>
              </w:rPr>
              <w:t>, having an address at</w:t>
            </w:r>
          </w:p>
        </w:tc>
        <w:tc>
          <w:tcPr>
            <w:tcW w:w="4820" w:type="dxa"/>
            <w:vAlign w:val="bottom"/>
            <w:gridSpan w:val="4"/>
          </w:tcPr>
          <w:p>
            <w:pPr>
              <w:ind w:left="1160"/>
              <w:spacing w:after="0" w:line="196" w:lineRule="exact"/>
              <w:rPr>
                <w:sz w:val="20"/>
                <w:szCs w:val="20"/>
                <w:color w:val="auto"/>
              </w:rPr>
            </w:pPr>
            <w:r>
              <w:rPr>
                <w:rFonts w:ascii="Arial" w:cs="Arial" w:eastAsia="Arial" w:hAnsi="Arial"/>
                <w:sz w:val="18"/>
                <w:szCs w:val="18"/>
                <w:color w:val="auto"/>
              </w:rPr>
              <w:t>(the “Joining Party”).</w:t>
            </w:r>
          </w:p>
        </w:tc>
        <w:tc>
          <w:tcPr>
            <w:tcW w:w="800" w:type="dxa"/>
            <w:vAlign w:val="bottom"/>
            <w:tcBorders>
              <w:top w:val="single" w:sz="8" w:color="auto"/>
            </w:tcBorders>
          </w:tcPr>
          <w:p>
            <w:pPr>
              <w:spacing w:after="0"/>
              <w:rPr>
                <w:sz w:val="17"/>
                <w:szCs w:val="17"/>
                <w:color w:val="auto"/>
              </w:rPr>
            </w:pPr>
          </w:p>
        </w:tc>
        <w:tc>
          <w:tcPr>
            <w:tcW w:w="212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jc w:val="both"/>
        <w:ind w:right="320" w:firstLine="1296"/>
        <w:spacing w:after="0" w:line="263" w:lineRule="auto"/>
        <w:rPr>
          <w:sz w:val="20"/>
          <w:szCs w:val="20"/>
          <w:color w:val="auto"/>
        </w:rPr>
      </w:pPr>
      <w:r>
        <w:rPr>
          <w:rFonts w:ascii="Arial" w:cs="Arial" w:eastAsia="Arial" w:hAnsi="Arial"/>
          <w:sz w:val="18"/>
          <w:szCs w:val="18"/>
          <w:color w:val="auto"/>
        </w:rPr>
        <w:t>WHEREAS, CrowdStrike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is a party to that certain Amended and Restated Registration Rights Agreement, dated as of June 21, 2018 (as the same may be amended from time to time, the “</w:t>
      </w:r>
      <w:r>
        <w:rPr>
          <w:rFonts w:ascii="Arial" w:cs="Arial" w:eastAsia="Arial" w:hAnsi="Arial"/>
          <w:sz w:val="18"/>
          <w:szCs w:val="18"/>
          <w:u w:val="single" w:color="auto"/>
          <w:color w:val="auto"/>
        </w:rPr>
        <w:t>Registration Agreement</w:t>
      </w:r>
      <w:r>
        <w:rPr>
          <w:rFonts w:ascii="Arial" w:cs="Arial" w:eastAsia="Arial" w:hAnsi="Arial"/>
          <w:sz w:val="18"/>
          <w:szCs w:val="18"/>
          <w:color w:val="auto"/>
        </w:rPr>
        <w:t>”) (Capitalized terms used but not defined herein shall have the meanings ascribed to them in the Registration Agreement);</w:t>
      </w:r>
    </w:p>
    <w:p>
      <w:pPr>
        <w:spacing w:after="0" w:line="184"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WHEREAS, the Registration Agreement provides that any Person that holds Company Shares may, with the prior written consent of each Institutional Investor be admitted as a party to the Registration Agreement upon the execution and delivery of a joinder agreement, in form and substance acceptable to the Institutional Investors, agreeing to be bound by the terms and conditions of the Registration Agreement as if such Person were a party thereto, whereupon such Person will be treated as a Holder for all purposes of the Registration Agreement;</w:t>
      </w:r>
    </w:p>
    <w:p>
      <w:pPr>
        <w:spacing w:after="0" w:line="171"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WHEREAS, the Joining Party desires to become a party to the Registration Agreement to be treated as a Holder thereunder by executing a copy of this Agreement; and</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WHEREAS, the Joining Party has reviewed the terms of the Registration Agreement and determined that it is desirable and in the Joining Party’s best interests to execute this Joinder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Joining Party hereby agrees as follows:</w:t>
      </w:r>
    </w:p>
    <w:p>
      <w:pPr>
        <w:spacing w:after="0" w:line="225" w:lineRule="exact"/>
        <w:rPr>
          <w:sz w:val="20"/>
          <w:szCs w:val="20"/>
          <w:color w:val="auto"/>
        </w:rPr>
      </w:pPr>
    </w:p>
    <w:p>
      <w:pPr>
        <w:ind w:left="1960" w:hanging="656"/>
        <w:spacing w:after="0"/>
        <w:tabs>
          <w:tab w:leader="none" w:pos="196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Joinder of Stockholders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952"/>
        <w:spacing w:after="0" w:line="259" w:lineRule="auto"/>
        <w:tabs>
          <w:tab w:leader="none" w:pos="2613"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By executing this Joinder Agreement, the Joining Party (a) accepts and agrees to be bound by all of the terms and provisions of the Registration Agreement as if he, she or it were an original signatory thereto, (b) shall be deemed to be, and, subject to clause (ii) below, shall be entitled to all of the rights and subject to all of the obligations of a Holder thereunder and (c) shall be added to either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B</w:t>
      </w:r>
      <w:r>
        <w:rPr>
          <w:rFonts w:ascii="Arial" w:cs="Arial" w:eastAsia="Arial" w:hAnsi="Arial"/>
          <w:sz w:val="18"/>
          <w:szCs w:val="18"/>
          <w:color w:val="auto"/>
        </w:rPr>
        <w:t>, as applicable, of the Registration Agreement.</w:t>
      </w:r>
    </w:p>
    <w:p>
      <w:pPr>
        <w:spacing w:after="0" w:line="186" w:lineRule="exact"/>
        <w:rPr>
          <w:rFonts w:ascii="Arial" w:cs="Arial" w:eastAsia="Arial" w:hAnsi="Arial"/>
          <w:sz w:val="18"/>
          <w:szCs w:val="18"/>
          <w:color w:val="auto"/>
        </w:rPr>
      </w:pPr>
    </w:p>
    <w:p>
      <w:pPr>
        <w:ind w:left="2640" w:hanging="688"/>
        <w:spacing w:after="0"/>
        <w:tabs>
          <w:tab w:leader="none" w:pos="264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For the avoidance of doubt, the Joining Party shall not be deemed as an Investor under the terms of the Registration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1960" w:hanging="656"/>
        <w:spacing w:after="0"/>
        <w:tabs>
          <w:tab w:leader="none" w:pos="196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8"/>
        <w:spacing w:after="0"/>
        <w:tabs>
          <w:tab w:leader="none" w:pos="262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This Agreement constitutes a valid and binding obligation enforceable against the Joining Party in accordance with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w:t>
      </w:r>
    </w:p>
    <w:p>
      <w:pPr>
        <w:spacing w:after="0" w:line="210" w:lineRule="exact"/>
        <w:rPr>
          <w:rFonts w:ascii="Arial" w:cs="Arial" w:eastAsia="Arial" w:hAnsi="Arial"/>
          <w:sz w:val="16"/>
          <w:szCs w:val="16"/>
          <w:color w:val="auto"/>
        </w:rPr>
      </w:pPr>
    </w:p>
    <w:p>
      <w:pPr>
        <w:ind w:right="140" w:firstLine="1952"/>
        <w:spacing w:after="0" w:line="342" w:lineRule="auto"/>
        <w:tabs>
          <w:tab w:leader="none" w:pos="2623"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The Joining Party has received a copy of the Registration Agreement. The Joining Party has read and understands the terms of the Registration Agreement and has been afforded the opportunity to ask questions concerning the Company and the Registration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1532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84" w:name="page385"/>
    <w:bookmarkEnd w:id="384"/>
    <w:p>
      <w:pPr>
        <w:ind w:left="-160" w:firstLine="1304"/>
        <w:spacing w:after="0" w:line="277" w:lineRule="auto"/>
        <w:tabs>
          <w:tab w:leader="none" w:pos="1784"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expressly modified by this Agreement, all of the terms, covenants, agreements, conditions and other provisions of the Registration Agreement shall remain in full force and effect in accordance with its terms.</w:t>
      </w:r>
    </w:p>
    <w:p>
      <w:pPr>
        <w:spacing w:after="0" w:line="170" w:lineRule="exact"/>
        <w:rPr>
          <w:rFonts w:ascii="Arial" w:cs="Arial" w:eastAsia="Arial" w:hAnsi="Arial"/>
          <w:sz w:val="18"/>
          <w:szCs w:val="18"/>
          <w:color w:val="auto"/>
        </w:rPr>
      </w:pPr>
    </w:p>
    <w:p>
      <w:pPr>
        <w:ind w:left="-160" w:right="140" w:firstLine="1304"/>
        <w:spacing w:after="0" w:line="277" w:lineRule="auto"/>
        <w:tabs>
          <w:tab w:leader="none" w:pos="1784"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provided to the Joining Party shall be sent or delivered to the Joining Party at the address set forth on the signature page hereto unless and until the Company has received written notice from the Joining Party of a changed address.</w:t>
      </w:r>
    </w:p>
    <w:p>
      <w:pPr>
        <w:spacing w:after="0" w:line="170" w:lineRule="exact"/>
        <w:rPr>
          <w:rFonts w:ascii="Arial" w:cs="Arial" w:eastAsia="Arial" w:hAnsi="Arial"/>
          <w:sz w:val="18"/>
          <w:szCs w:val="18"/>
          <w:color w:val="auto"/>
        </w:rPr>
      </w:pPr>
    </w:p>
    <w:p>
      <w:pPr>
        <w:ind w:left="-160" w:right="340" w:firstLine="1304"/>
        <w:spacing w:after="0" w:line="277" w:lineRule="auto"/>
        <w:tabs>
          <w:tab w:leader="none" w:pos="1784"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applicable to contracts made and to be performed entirely within such state.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218440</wp:posOffset>
            </wp:positionV>
            <wp:extent cx="715327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40"/>
          </w:cols>
          <w:pgMar w:left="480" w:top="341" w:right="479" w:bottom="1440" w:gutter="0" w:footer="0" w:header="0"/>
        </w:sectPr>
      </w:pPr>
    </w:p>
    <w:bookmarkStart w:id="385" w:name="page386"/>
    <w:bookmarkEnd w:id="385"/>
    <w:p>
      <w:pPr>
        <w:jc w:val="right"/>
        <w:ind w:right="59"/>
        <w:spacing w:after="0"/>
        <w:rPr>
          <w:sz w:val="20"/>
          <w:szCs w:val="20"/>
          <w:color w:val="auto"/>
        </w:rPr>
      </w:pPr>
      <w:r>
        <w:rPr>
          <w:rFonts w:ascii="Arial" w:cs="Arial" w:eastAsia="Arial" w:hAnsi="Arial"/>
          <w:sz w:val="18"/>
          <w:szCs w:val="18"/>
          <w:color w:val="auto"/>
        </w:rPr>
        <w:t>IN WITNESS WHEREOF, the Joining Party has executed and delivered this Agreement as of the date first above written.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JOINING PARTY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-130175</wp:posOffset>
            </wp:positionV>
            <wp:extent cx="355727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Facsimile: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Resident of the State 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CROWDSTRIKE HOLDINGS,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wp:posOffset>
            </wp:positionV>
            <wp:extent cx="295719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5715</wp:posOffset>
            </wp:positionV>
            <wp:extent cx="295719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5715</wp:posOffset>
            </wp:positionV>
            <wp:extent cx="295719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9571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386" w:name="page387"/>
    <w:bookmarkEnd w:id="386"/>
    <w:p>
      <w:pPr>
        <w:ind w:left="10400"/>
        <w:spacing w:after="0"/>
        <w:rPr>
          <w:sz w:val="20"/>
          <w:szCs w:val="20"/>
          <w:color w:val="auto"/>
        </w:rPr>
      </w:pPr>
      <w:r>
        <w:rPr>
          <w:rFonts w:ascii="Arial" w:cs="Arial" w:eastAsia="Arial" w:hAnsi="Arial"/>
          <w:sz w:val="17"/>
          <w:szCs w:val="17"/>
          <w:b w:val="1"/>
          <w:bCs w:val="1"/>
          <w:color w:val="auto"/>
        </w:rPr>
        <w:t>Exhibit 4.4</w:t>
      </w:r>
    </w:p>
    <w:p>
      <w:pPr>
        <w:spacing w:after="0" w:line="24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THIS WARRANT AND THE SECURITIES ISSUABLE UPON EXERCISE HEREUNDER HAVE NOT BEEN REGISTERED UNDER THE SECURITIES ACT OF 1933 AS AMENDED (THE “1933 ACT”), OR ANY STATE SECURITIES LAWS. THEY MAY NOT BE SOLD, OFFERED FOR SALE, PLEDGED, OR HYPOTHECATED IN THE ABSENCE OF AN EFFECTIVE REGISTRATION STATEMENT RELATED THERETO OR AN OPINION OF COUNSEL REASONABLY SATISFACTORY TO YOU THAT SUCH REGISTRATION IS NOT REQUIRED UNDER THE 1933 ACT, OR ANY APPLICABLE STATE SECURITIES LAWS.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 ENGLISH WARRANT AGREEMENT</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This is a PLAIN ENGLISH WARRANT AGREEMENT </w:t>
      </w:r>
      <w:r>
        <w:rPr>
          <w:rFonts w:ascii="Arial" w:cs="Arial" w:eastAsia="Arial" w:hAnsi="Arial"/>
          <w:sz w:val="18"/>
          <w:szCs w:val="18"/>
          <w:color w:val="auto"/>
        </w:rPr>
        <w:t>dated December 29, 2016 by and between CROWDSTRIKE HOLDINGS,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TRIPLEPOINT VENTURE GROWTH BDC CORP., a Maryland corporation.</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words “We”, “Us”, or “Our” refer to the warrant holder, which is TRIPLEPOINT VENTURE GROWTH BDC CORP. The words “You” or “Your” refers to the issuer, which is CROWDSTRIKE HOLDINGS, INC., and not to any individual. The words “the Parties” refers to both TRIPLEPOINT VENTURE GROWTH BDC CORP. and CROWDSTRIKE HOLDINGS, INC. This Plain English Warrant Agreement may be referred to as the “Warrant Agreement”.</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Parties, CrowdStrike, Inc. and CrowdStrike Services, Inc. have entered into a Plain English Growth Capital Loan and Security Agreement dated as of December 29, 2016, the “Loan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such Loan Agreement, the Parties agree to the following mutual agreements and conditions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rPr>
              <w:t>WARRANT INFORMATION</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1"/>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Effective Date</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Warrant Number</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Loan Facility Number</w:t>
            </w:r>
          </w:p>
        </w:tc>
        <w:tc>
          <w:tcPr>
            <w:tcW w:w="980" w:type="dxa"/>
            <w:vAlign w:val="bottom"/>
            <w:gridSpan w:val="2"/>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2700" w:type="dxa"/>
            <w:vAlign w:val="bottom"/>
            <w:gridSpan w:val="6"/>
          </w:tcPr>
          <w:p>
            <w:pPr>
              <w:jc w:val="center"/>
              <w:ind w:right="440"/>
              <w:spacing w:after="0"/>
              <w:rPr>
                <w:sz w:val="20"/>
                <w:szCs w:val="20"/>
                <w:color w:val="auto"/>
              </w:rPr>
            </w:pPr>
            <w:r>
              <w:rPr>
                <w:rFonts w:ascii="Arial" w:cs="Arial" w:eastAsia="Arial" w:hAnsi="Arial"/>
                <w:sz w:val="18"/>
                <w:szCs w:val="18"/>
                <w:color w:val="auto"/>
                <w:w w:val="89"/>
              </w:rPr>
              <w:t>December 29, 2016</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0987-W-01</w:t>
            </w: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00" w:type="dxa"/>
            <w:vAlign w:val="bottom"/>
            <w:gridSpan w:val="6"/>
          </w:tcPr>
          <w:p>
            <w:pPr>
              <w:jc w:val="center"/>
              <w:ind w:right="980"/>
              <w:spacing w:after="0"/>
              <w:rPr>
                <w:sz w:val="20"/>
                <w:szCs w:val="20"/>
                <w:color w:val="auto"/>
              </w:rPr>
            </w:pPr>
            <w:r>
              <w:rPr>
                <w:rFonts w:ascii="Arial" w:cs="Arial" w:eastAsia="Arial" w:hAnsi="Arial"/>
                <w:sz w:val="18"/>
                <w:szCs w:val="18"/>
                <w:color w:val="auto"/>
                <w:w w:val="91"/>
              </w:rPr>
              <w:t>Part 1: 0987-GC-01</w:t>
            </w:r>
          </w:p>
        </w:tc>
      </w:tr>
      <w:tr>
        <w:trPr>
          <w:trHeight w:val="391"/>
        </w:trPr>
        <w:tc>
          <w:tcPr>
            <w:tcW w:w="680" w:type="dxa"/>
            <w:vAlign w:val="bottom"/>
          </w:tcPr>
          <w:p>
            <w:pPr>
              <w:spacing w:after="0"/>
              <w:rPr>
                <w:sz w:val="24"/>
                <w:szCs w:val="24"/>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Warrant Coverage</w:t>
            </w:r>
          </w:p>
        </w:tc>
        <w:tc>
          <w:tcPr>
            <w:tcW w:w="1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1500" w:type="dxa"/>
            <w:vAlign w:val="bottom"/>
            <w:gridSpan w:val="3"/>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Price Per Share</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Type of Stock</w:t>
            </w:r>
          </w:p>
        </w:tc>
      </w:tr>
      <w:tr>
        <w:trPr>
          <w:trHeight w:val="20"/>
        </w:trPr>
        <w:tc>
          <w:tcPr>
            <w:tcW w:w="6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3380" w:type="dxa"/>
            <w:vAlign w:val="bottom"/>
            <w:gridSpan w:val="7"/>
          </w:tcPr>
          <w:p>
            <w:pPr>
              <w:jc w:val="center"/>
              <w:ind w:right="540"/>
              <w:spacing w:after="0"/>
              <w:rPr>
                <w:sz w:val="20"/>
                <w:szCs w:val="20"/>
                <w:color w:val="auto"/>
              </w:rPr>
            </w:pPr>
            <w:r>
              <w:rPr>
                <w:rFonts w:ascii="Arial" w:cs="Arial" w:eastAsia="Arial" w:hAnsi="Arial"/>
                <w:sz w:val="18"/>
                <w:szCs w:val="18"/>
                <w:color w:val="auto"/>
                <w:w w:val="92"/>
              </w:rPr>
              <w:t>Part 1: $600,000 (1.50% of</w:t>
            </w:r>
          </w:p>
        </w:tc>
        <w:tc>
          <w:tcPr>
            <w:tcW w:w="140" w:type="dxa"/>
            <w:vAlign w:val="bottom"/>
          </w:tcPr>
          <w:p>
            <w:pPr>
              <w:spacing w:after="0"/>
              <w:rPr>
                <w:sz w:val="19"/>
                <w:szCs w:val="19"/>
                <w:color w:val="auto"/>
              </w:rPr>
            </w:pPr>
          </w:p>
        </w:tc>
        <w:tc>
          <w:tcPr>
            <w:tcW w:w="2900" w:type="dxa"/>
            <w:vAlign w:val="bottom"/>
            <w:gridSpan w:val="4"/>
          </w:tcPr>
          <w:p>
            <w:pPr>
              <w:jc w:val="center"/>
              <w:ind w:right="1500"/>
              <w:spacing w:after="0"/>
              <w:rPr>
                <w:sz w:val="20"/>
                <w:szCs w:val="20"/>
                <w:color w:val="auto"/>
              </w:rPr>
            </w:pPr>
            <w:r>
              <w:rPr>
                <w:rFonts w:ascii="Arial" w:cs="Arial" w:eastAsia="Arial" w:hAnsi="Arial"/>
                <w:sz w:val="18"/>
                <w:szCs w:val="18"/>
                <w:color w:val="auto"/>
                <w:w w:val="94"/>
              </w:rPr>
              <w:t>Part 1: 132,459</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$4.529715</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5"/>
          </w:tcPr>
          <w:p>
            <w:pPr>
              <w:jc w:val="center"/>
              <w:ind w:right="480"/>
              <w:spacing w:after="0"/>
              <w:rPr>
                <w:sz w:val="20"/>
                <w:szCs w:val="20"/>
                <w:color w:val="auto"/>
              </w:rPr>
            </w:pPr>
            <w:r>
              <w:rPr>
                <w:rFonts w:ascii="Arial" w:cs="Arial" w:eastAsia="Arial" w:hAnsi="Arial"/>
                <w:sz w:val="18"/>
                <w:szCs w:val="18"/>
                <w:color w:val="auto"/>
                <w:w w:val="89"/>
              </w:rPr>
              <w:t>Series C Preferred Stock</w:t>
            </w:r>
          </w:p>
        </w:tc>
      </w:tr>
      <w:tr>
        <w:trPr>
          <w:trHeight w:val="230"/>
        </w:trPr>
        <w:tc>
          <w:tcPr>
            <w:tcW w:w="2040" w:type="dxa"/>
            <w:vAlign w:val="bottom"/>
            <w:gridSpan w:val="4"/>
          </w:tcPr>
          <w:p>
            <w:pPr>
              <w:jc w:val="center"/>
              <w:ind w:left="710"/>
              <w:spacing w:after="0"/>
              <w:rPr>
                <w:sz w:val="20"/>
                <w:szCs w:val="20"/>
                <w:color w:val="auto"/>
              </w:rPr>
            </w:pPr>
            <w:r>
              <w:rPr>
                <w:rFonts w:ascii="Arial" w:cs="Arial" w:eastAsia="Arial" w:hAnsi="Arial"/>
                <w:sz w:val="18"/>
                <w:szCs w:val="18"/>
                <w:color w:val="auto"/>
                <w:w w:val="90"/>
              </w:rPr>
              <w:t>$40,000,000)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rPr>
              <w:t>OUR CONTACT INFORMATION</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1"/>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13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Address For Notices</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Contact Person</w:t>
            </w:r>
          </w:p>
        </w:tc>
        <w:tc>
          <w:tcPr>
            <w:tcW w:w="1240" w:type="dxa"/>
            <w:vAlign w:val="bottom"/>
            <w:gridSpan w:val="3"/>
          </w:tcPr>
          <w:p>
            <w:pPr>
              <w:spacing w:after="0"/>
              <w:rPr>
                <w:sz w:val="24"/>
                <w:szCs w:val="24"/>
                <w:color w:val="auto"/>
              </w:rPr>
            </w:pPr>
          </w:p>
        </w:tc>
      </w:tr>
      <w:tr>
        <w:trPr>
          <w:trHeight w:val="222"/>
        </w:trPr>
        <w:tc>
          <w:tcPr>
            <w:tcW w:w="3380" w:type="dxa"/>
            <w:vAlign w:val="bottom"/>
            <w:gridSpan w:val="7"/>
          </w:tcPr>
          <w:p>
            <w:pPr>
              <w:jc w:val="center"/>
              <w:ind w:left="150"/>
              <w:spacing w:after="0"/>
              <w:rPr>
                <w:sz w:val="20"/>
                <w:szCs w:val="20"/>
                <w:color w:val="auto"/>
              </w:rPr>
            </w:pPr>
            <w:r>
              <w:rPr>
                <w:rFonts w:ascii="Arial" w:cs="Arial" w:eastAsia="Arial" w:hAnsi="Arial"/>
                <w:sz w:val="18"/>
                <w:szCs w:val="18"/>
                <w:color w:val="auto"/>
                <w:w w:val="92"/>
              </w:rPr>
              <w:t>TriplePoint Venture Growth BDC Corp.</w:t>
            </w:r>
          </w:p>
        </w:tc>
        <w:tc>
          <w:tcPr>
            <w:tcW w:w="140" w:type="dxa"/>
            <w:vAlign w:val="bottom"/>
          </w:tcPr>
          <w:p>
            <w:pPr>
              <w:spacing w:after="0"/>
              <w:rPr>
                <w:sz w:val="19"/>
                <w:szCs w:val="19"/>
                <w:color w:val="auto"/>
              </w:rPr>
            </w:pPr>
          </w:p>
        </w:tc>
        <w:tc>
          <w:tcPr>
            <w:tcW w:w="4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2755 Sand Hill Road, Ste. 150</w:t>
            </w:r>
          </w:p>
        </w:tc>
        <w:tc>
          <w:tcPr>
            <w:tcW w:w="3220" w:type="dxa"/>
            <w:vAlign w:val="bottom"/>
            <w:gridSpan w:val="7"/>
          </w:tcPr>
          <w:p>
            <w:pPr>
              <w:jc w:val="center"/>
              <w:ind w:right="460"/>
              <w:spacing w:after="0"/>
              <w:rPr>
                <w:sz w:val="20"/>
                <w:szCs w:val="20"/>
                <w:color w:val="auto"/>
              </w:rPr>
            </w:pPr>
            <w:r>
              <w:rPr>
                <w:rFonts w:ascii="Arial" w:cs="Arial" w:eastAsia="Arial" w:hAnsi="Arial"/>
                <w:sz w:val="18"/>
                <w:szCs w:val="18"/>
                <w:color w:val="auto"/>
                <w:w w:val="89"/>
              </w:rPr>
              <w:t>Sajal Srivastava, President</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6"/>
          </w:tcPr>
          <w:p>
            <w:pPr>
              <w:jc w:val="center"/>
              <w:ind w:right="300"/>
              <w:spacing w:after="0"/>
              <w:rPr>
                <w:sz w:val="20"/>
                <w:szCs w:val="20"/>
                <w:color w:val="auto"/>
              </w:rPr>
            </w:pPr>
            <w:r>
              <w:rPr>
                <w:rFonts w:ascii="Arial" w:cs="Arial" w:eastAsia="Arial" w:hAnsi="Arial"/>
                <w:sz w:val="18"/>
                <w:szCs w:val="18"/>
                <w:color w:val="auto"/>
                <w:w w:val="92"/>
              </w:rPr>
              <w:t>Menlo Park, CA 94025</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rPr>
              <w:t>YOUR CONTACT INFORMATION</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1"/>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13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Address For Notices</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Contact Person</w:t>
            </w:r>
          </w:p>
        </w:tc>
        <w:tc>
          <w:tcPr>
            <w:tcW w:w="1240" w:type="dxa"/>
            <w:vAlign w:val="bottom"/>
            <w:gridSpan w:val="3"/>
          </w:tcPr>
          <w:p>
            <w:pPr>
              <w:spacing w:after="0"/>
              <w:rPr>
                <w:sz w:val="24"/>
                <w:szCs w:val="24"/>
                <w:color w:val="auto"/>
              </w:rPr>
            </w:pPr>
          </w:p>
        </w:tc>
      </w:tr>
      <w:tr>
        <w:trPr>
          <w:trHeight w:val="222"/>
        </w:trPr>
        <w:tc>
          <w:tcPr>
            <w:tcW w:w="680" w:type="dxa"/>
            <w:vAlign w:val="bottom"/>
          </w:tcPr>
          <w:p>
            <w:pPr>
              <w:spacing w:after="0"/>
              <w:rPr>
                <w:sz w:val="19"/>
                <w:szCs w:val="19"/>
                <w:color w:val="auto"/>
              </w:rPr>
            </w:pPr>
          </w:p>
        </w:tc>
        <w:tc>
          <w:tcPr>
            <w:tcW w:w="2700" w:type="dxa"/>
            <w:vAlign w:val="bottom"/>
            <w:gridSpan w:val="6"/>
          </w:tcPr>
          <w:p>
            <w:pPr>
              <w:jc w:val="center"/>
              <w:ind w:right="440"/>
              <w:spacing w:after="0"/>
              <w:rPr>
                <w:sz w:val="20"/>
                <w:szCs w:val="20"/>
                <w:color w:val="auto"/>
              </w:rPr>
            </w:pPr>
            <w:r>
              <w:rPr>
                <w:rFonts w:ascii="Arial" w:cs="Arial" w:eastAsia="Arial" w:hAnsi="Arial"/>
                <w:sz w:val="18"/>
                <w:szCs w:val="18"/>
                <w:color w:val="auto"/>
                <w:w w:val="93"/>
              </w:rPr>
              <w:t>CrowdStrike Holdings, Inc.</w:t>
            </w:r>
          </w:p>
        </w:tc>
        <w:tc>
          <w:tcPr>
            <w:tcW w:w="140" w:type="dxa"/>
            <w:vAlign w:val="bottom"/>
          </w:tcPr>
          <w:p>
            <w:pPr>
              <w:spacing w:after="0"/>
              <w:rPr>
                <w:sz w:val="19"/>
                <w:szCs w:val="19"/>
                <w:color w:val="auto"/>
              </w:rPr>
            </w:pPr>
          </w:p>
        </w:tc>
        <w:tc>
          <w:tcPr>
            <w:tcW w:w="4540" w:type="dxa"/>
            <w:vAlign w:val="bottom"/>
            <w:gridSpan w:val="6"/>
          </w:tcPr>
          <w:p>
            <w:pPr>
              <w:jc w:val="center"/>
              <w:ind w:right="300"/>
              <w:spacing w:after="0"/>
              <w:rPr>
                <w:sz w:val="20"/>
                <w:szCs w:val="20"/>
                <w:color w:val="auto"/>
              </w:rPr>
            </w:pPr>
            <w:r>
              <w:rPr>
                <w:rFonts w:ascii="Arial" w:cs="Arial" w:eastAsia="Arial" w:hAnsi="Arial"/>
                <w:sz w:val="18"/>
                <w:szCs w:val="18"/>
                <w:color w:val="auto"/>
                <w:w w:val="89"/>
              </w:rPr>
              <w:t>15440 Laguna Canyon Road, #250</w:t>
            </w:r>
          </w:p>
        </w:tc>
        <w:tc>
          <w:tcPr>
            <w:tcW w:w="520" w:type="dxa"/>
            <w:vAlign w:val="bottom"/>
          </w:tcPr>
          <w:p>
            <w:pPr>
              <w:spacing w:after="0"/>
              <w:rPr>
                <w:sz w:val="19"/>
                <w:szCs w:val="19"/>
                <w:color w:val="auto"/>
              </w:rPr>
            </w:pPr>
          </w:p>
        </w:tc>
        <w:tc>
          <w:tcPr>
            <w:tcW w:w="2700" w:type="dxa"/>
            <w:vAlign w:val="bottom"/>
            <w:gridSpan w:val="6"/>
          </w:tcPr>
          <w:p>
            <w:pPr>
              <w:jc w:val="center"/>
              <w:ind w:right="980"/>
              <w:spacing w:after="0"/>
              <w:rPr>
                <w:sz w:val="20"/>
                <w:szCs w:val="20"/>
                <w:color w:val="auto"/>
              </w:rPr>
            </w:pPr>
            <w:r>
              <w:rPr>
                <w:rFonts w:ascii="Arial" w:cs="Arial" w:eastAsia="Arial" w:hAnsi="Arial"/>
                <w:sz w:val="18"/>
                <w:szCs w:val="18"/>
                <w:color w:val="auto"/>
                <w:w w:val="90"/>
              </w:rPr>
              <w:t>Burt Podbere, CFO</w:t>
            </w:r>
          </w:p>
        </w:tc>
      </w:tr>
      <w:tr>
        <w:trPr>
          <w:trHeight w:val="230"/>
        </w:trPr>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Irvine, CA 92618</w:t>
            </w: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48"/>
        </w:trPr>
        <w:tc>
          <w:tcPr>
            <w:tcW w:w="6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sectPr>
      </w:pPr>
    </w:p>
    <w:bookmarkStart w:id="387" w:name="page388"/>
    <w:bookmarkEnd w:id="387"/>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WHAT YOU AGREE TO GRANT US</w:t>
      </w:r>
    </w:p>
    <w:p>
      <w:pPr>
        <w:spacing w:after="0" w:line="225"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Part 1: </w:t>
      </w:r>
      <w:r>
        <w:rPr>
          <w:rFonts w:ascii="Arial" w:cs="Arial" w:eastAsia="Arial" w:hAnsi="Arial"/>
          <w:sz w:val="18"/>
          <w:szCs w:val="18"/>
          <w:color w:val="auto"/>
        </w:rPr>
        <w:t>You grant to Us and We are entitled, upon the terms and subject to the conditions set forth in this Warrant Agreement, to purchase from You, at a</w:t>
      </w:r>
      <w:r>
        <w:rPr>
          <w:rFonts w:ascii="Arial" w:cs="Arial" w:eastAsia="Arial" w:hAnsi="Arial"/>
          <w:sz w:val="18"/>
          <w:szCs w:val="18"/>
          <w:b w:val="1"/>
          <w:bCs w:val="1"/>
          <w:color w:val="auto"/>
        </w:rPr>
        <w:t xml:space="preserve"> </w:t>
      </w:r>
      <w:r>
        <w:rPr>
          <w:rFonts w:ascii="Arial" w:cs="Arial" w:eastAsia="Arial" w:hAnsi="Arial"/>
          <w:sz w:val="18"/>
          <w:szCs w:val="18"/>
          <w:color w:val="auto"/>
        </w:rPr>
        <w:t>price per share equal to the Exercise Price, that number of fully paid and non-assessable shares of Your Warrant Stock equal to Six Hundred Thousand Dollars ($600,000), divided by the Exercise Price.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Warrant Stock and the Exercise Price of such Warrant Stock are subject to adjustment as provided in Section 4 hereof.</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Warrant Agreement, the following capitalized terms have the meanings given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Price” means $4.529715.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 Stock” means Your Series C Preferred Stock.</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Parties agree that this Warrant Agreement to purchase the Warrant Stock has a fair market value equal to $100 and that $100 of the issue price of the investment will be allocable to the Warrant Agreement and the balance shall be allocable to the Loan Agreement for income tax purposes and the original issue discount on the Loan Agreement shall be considered to be zero.</w:t>
      </w:r>
    </w:p>
    <w:p>
      <w:pPr>
        <w:spacing w:after="0" w:line="180" w:lineRule="exact"/>
        <w:rPr>
          <w:sz w:val="20"/>
          <w:szCs w:val="20"/>
          <w:color w:val="auto"/>
        </w:rPr>
      </w:pPr>
    </w:p>
    <w:p>
      <w:pPr>
        <w:ind w:left="660" w:hanging="652"/>
        <w:spacing w:after="0"/>
        <w:tabs>
          <w:tab w:leader="none" w:pos="6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WHEN ARE WE ENTITLED TO PURCHASE YOUR WARRANT STOCK.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term of this Warrant Agreement and Our right to purchase Warrant Stock will begin on the Effective Date, and shall be available for the greater of (i) seven (7) years from the Effective Date or (ii) two (2) years from the effective date of Your initial public offering.</w:t>
      </w:r>
    </w:p>
    <w:p>
      <w:pPr>
        <w:spacing w:after="0" w:line="17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Notwithstanding the foregoing, Our right to purchase the Warrant Stock shall be automatically and fully exercised via the net issuance method described below (without surrender of the Warrant Agreement) upon the occurrence of a Merger Event, as defined below, with a Person that is not one of Your affiliates, in which Your common stock is exchanged for cash and/or stock that is traded on a recognized public exchange or on the NASDAQ National Market, provided that, upon consummation of the Merger Event, the consideration payable to Us pursuant to such exercise and on account of the Warrant Stock consists of (i) cash or (ii) stock that is traded on a recognized public exchange or on the NASDAQ National Market and the total per share consideration is equal to or greater than two (2) times the aggregate Exercise Price (as adjusted). No less than ten (10) business days prior to any Merger Event, You shall provide Us with written notice of the proposed Merger Event together with a copy of the executed merger agreement, or other definitive documentation (and all schedules and exhibits thereto) and information concerning Your expected capitalization immediately prior to the Merger Event. Upon consummation of the Merger Event, You shall promptly provide Us with (a) a copy of any modifications or amendments to the executed merger agreement, (b) any other documents in connection therewith, (c) updated information, if any, concerning Your capitalization immediately prior to the Merger Event, and, (d) upon request, by Us any other information reasonably necessary to an informed evaluation of Our rights under this Agreement.</w:t>
      </w:r>
    </w:p>
    <w:p>
      <w:pPr>
        <w:spacing w:after="0" w:line="168"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HOW WE MAY PURCHASE YOUR WARRANT STOCK.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may exercise Our purchase rights, in whole or in part, at any time, or from time to time, prior to the expiration of the term of this Warrant Agreement, by giving You, except as provided in the last paragraph of this Section 3, a completed and executed </w:t>
      </w:r>
      <w:r>
        <w:rPr>
          <w:rFonts w:ascii="Arial" w:cs="Arial" w:eastAsia="Arial" w:hAnsi="Arial"/>
          <w:sz w:val="18"/>
          <w:szCs w:val="18"/>
          <w:b w:val="1"/>
          <w:bCs w:val="1"/>
          <w:color w:val="auto"/>
        </w:rPr>
        <w:t>Notice of Exercise</w:t>
      </w:r>
      <w:r>
        <w:rPr>
          <w:rFonts w:ascii="Arial" w:cs="Arial" w:eastAsia="Arial" w:hAnsi="Arial"/>
          <w:sz w:val="18"/>
          <w:szCs w:val="18"/>
          <w:color w:val="auto"/>
        </w:rPr>
        <w:t xml:space="preserve"> in the form attached as </w:t>
      </w:r>
      <w:r>
        <w:rPr>
          <w:rFonts w:ascii="Arial" w:cs="Arial" w:eastAsia="Arial" w:hAnsi="Arial"/>
          <w:sz w:val="18"/>
          <w:szCs w:val="18"/>
          <w:b w:val="1"/>
          <w:bCs w:val="1"/>
          <w:color w:val="auto"/>
        </w:rPr>
        <w:t>Exhibit I</w:t>
      </w:r>
      <w:r>
        <w:rPr>
          <w:rFonts w:ascii="Arial" w:cs="Arial" w:eastAsia="Arial" w:hAnsi="Arial"/>
          <w:sz w:val="18"/>
          <w:szCs w:val="18"/>
          <w:color w:val="auto"/>
        </w:rPr>
        <w:t xml:space="preserve">. Promptly upon receipt of the Notice of Exercise and in any event no later than twenty-one (21) days after you have received Our Notice of Exercise and payment of the aggregate Exercise Price for the shares purchased, You will issue to Us a certificate for the number of shares of Warrant Stock that We have purchased and You will execute the </w:t>
      </w:r>
      <w:r>
        <w:rPr>
          <w:rFonts w:ascii="Arial" w:cs="Arial" w:eastAsia="Arial" w:hAnsi="Arial"/>
          <w:sz w:val="18"/>
          <w:szCs w:val="18"/>
          <w:b w:val="1"/>
          <w:bCs w:val="1"/>
          <w:color w:val="auto"/>
        </w:rPr>
        <w:t>Acknowledgment of Exercise</w:t>
      </w:r>
      <w:r>
        <w:rPr>
          <w:rFonts w:ascii="Arial" w:cs="Arial" w:eastAsia="Arial" w:hAnsi="Arial"/>
          <w:sz w:val="18"/>
          <w:szCs w:val="18"/>
          <w:color w:val="auto"/>
        </w:rPr>
        <w:t xml:space="preserve"> in the form attached hereto as </w:t>
      </w:r>
      <w:r>
        <w:rPr>
          <w:rFonts w:ascii="Arial" w:cs="Arial" w:eastAsia="Arial" w:hAnsi="Arial"/>
          <w:sz w:val="18"/>
          <w:szCs w:val="18"/>
          <w:b w:val="1"/>
          <w:bCs w:val="1"/>
          <w:color w:val="auto"/>
        </w:rPr>
        <w:t>Exhibit II</w:t>
      </w:r>
      <w:r>
        <w:rPr>
          <w:rFonts w:ascii="Arial" w:cs="Arial" w:eastAsia="Arial" w:hAnsi="Arial"/>
          <w:sz w:val="18"/>
          <w:szCs w:val="18"/>
          <w:color w:val="auto"/>
        </w:rPr>
        <w:t xml:space="preserve"> indicating the number of shares which will be available to Us for future purchases, if any.</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88" w:name="page389"/>
    <w:bookmarkEnd w:id="388"/>
    <w:p>
      <w:pPr>
        <w:ind w:right="500"/>
        <w:spacing w:after="0" w:line="282" w:lineRule="auto"/>
        <w:rPr>
          <w:sz w:val="20"/>
          <w:szCs w:val="20"/>
          <w:color w:val="auto"/>
        </w:rPr>
      </w:pPr>
      <w:r>
        <w:rPr>
          <w:rFonts w:ascii="Arial" w:cs="Arial" w:eastAsia="Arial" w:hAnsi="Arial"/>
          <w:sz w:val="18"/>
          <w:szCs w:val="18"/>
          <w:color w:val="auto"/>
        </w:rPr>
        <w:t xml:space="preserve">We may pay for the Warrant Stock by either (i) cash or check, or (ii) by the </w:t>
      </w:r>
      <w:r>
        <w:rPr>
          <w:rFonts w:ascii="Arial" w:cs="Arial" w:eastAsia="Arial" w:hAnsi="Arial"/>
          <w:sz w:val="18"/>
          <w:szCs w:val="18"/>
          <w:b w:val="1"/>
          <w:bCs w:val="1"/>
          <w:color w:val="auto"/>
        </w:rPr>
        <w:t>net issuance method</w:t>
      </w:r>
      <w:r>
        <w:rPr>
          <w:rFonts w:ascii="Arial" w:cs="Arial" w:eastAsia="Arial" w:hAnsi="Arial"/>
          <w:sz w:val="18"/>
          <w:szCs w:val="18"/>
          <w:color w:val="auto"/>
        </w:rPr>
        <w:t xml:space="preserve"> as determined below. If We elect the Net Issuance method, You will issue Warrant Stock using the following formula:</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Y(A-B)</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w:t>
      </w:r>
    </w:p>
    <w:p>
      <w:pPr>
        <w:spacing w:after="0" w:line="20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Where</w:t>
      </w:r>
      <w:r>
        <w:rPr>
          <w:rFonts w:ascii="Arial" w:cs="Arial" w:eastAsia="Arial" w:hAnsi="Arial"/>
          <w:sz w:val="18"/>
          <w:szCs w:val="18"/>
          <w:color w:val="auto"/>
        </w:rPr>
        <w:t>: X =</w:t>
      </w:r>
      <w:r>
        <w:rPr>
          <w:sz w:val="20"/>
          <w:szCs w:val="20"/>
          <w:color w:val="auto"/>
        </w:rPr>
        <w:tab/>
      </w:r>
      <w:r>
        <w:rPr>
          <w:rFonts w:ascii="Arial" w:cs="Arial" w:eastAsia="Arial" w:hAnsi="Arial"/>
          <w:sz w:val="16"/>
          <w:szCs w:val="16"/>
          <w:color w:val="auto"/>
        </w:rPr>
        <w:t>the number of shares of Warrant Stock to be issued to Us.</w:t>
      </w:r>
    </w:p>
    <w:p>
      <w:pPr>
        <w:spacing w:after="0" w:line="2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6"/>
          <w:szCs w:val="16"/>
          <w:color w:val="auto"/>
        </w:rPr>
        <w:t>the number of shares of Warrant Stock We request to be exercised under this Warrant Agreement.</w:t>
      </w:r>
    </w:p>
    <w:p>
      <w:pPr>
        <w:spacing w:after="0" w:line="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of one share of Warrant Stock.</w:t>
      </w:r>
    </w:p>
    <w:p>
      <w:pPr>
        <w:spacing w:after="0" w:line="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Exercise Price.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above calculation, current fair market value of Warrant Stock shall mean with respect to each share of Warrant Stock:</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If the exercise is in connection with but not after the initial public offering of Your Common Stock</w:t>
      </w:r>
      <w:r>
        <w:rPr>
          <w:rFonts w:ascii="Arial" w:cs="Arial" w:eastAsia="Arial" w:hAnsi="Arial"/>
          <w:sz w:val="18"/>
          <w:szCs w:val="18"/>
          <w:color w:val="auto"/>
        </w:rPr>
        <w:t>, and if Your registration statement relating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has been declared effective by the SEC, then the fair market value per share shall be the product of (x) the initial “Price to Public” specified in the final prospectus of the offering and (y) the number of shares of common stock into which each share of Warrant Stock is convertible at the time of such exercise;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Warrant Agreement is exercised after, and not in connection with Your initial public offering, and:</w:t>
      </w:r>
    </w:p>
    <w:p>
      <w:pPr>
        <w:spacing w:after="0" w:line="229" w:lineRule="exact"/>
        <w:rPr>
          <w:sz w:val="20"/>
          <w:szCs w:val="20"/>
          <w:color w:val="auto"/>
        </w:rPr>
      </w:pPr>
    </w:p>
    <w:p>
      <w:pPr>
        <w:ind w:left="660" w:right="200" w:hanging="652"/>
        <w:spacing w:after="0" w:line="263" w:lineRule="auto"/>
        <w:tabs>
          <w:tab w:leader="none" w:pos="6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traded on a securities exchange, the fair market value shall be the product of (x) the average of the closing prices over a five (5) day period ending three (3) days before the day the current fair market value of the securities is being determined and (y) the number of shares of common stock into which each share of Warrant Stock is convertible at the time of such exercise; or</w:t>
      </w:r>
    </w:p>
    <w:p>
      <w:pPr>
        <w:spacing w:after="0" w:line="183" w:lineRule="exact"/>
        <w:rPr>
          <w:rFonts w:ascii="Arial" w:cs="Arial" w:eastAsia="Arial" w:hAnsi="Arial"/>
          <w:sz w:val="18"/>
          <w:szCs w:val="18"/>
          <w:color w:val="auto"/>
        </w:rPr>
      </w:pPr>
    </w:p>
    <w:p>
      <w:pPr>
        <w:ind w:left="660" w:right="80" w:hanging="652"/>
        <w:spacing w:after="0" w:line="259" w:lineRule="auto"/>
        <w:tabs>
          <w:tab w:leader="none" w:pos="6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actively traded over-the-counter, the fair market value shall be the product of (x) the average of the closing bid and asked prices quoted on the NASDAQ system (or similar system) over the five (5) day period ending three (3) days before the day the current fair market value of the securities is being determined and (y) the number of shares of common stock into which each share of Warrant Stock is convertible at the time of such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Warrant Agreement is exercised prior to or after Your initial public offering, and:</w:t>
      </w:r>
    </w:p>
    <w:p>
      <w:pPr>
        <w:spacing w:after="0" w:line="229" w:lineRule="exact"/>
        <w:rPr>
          <w:sz w:val="20"/>
          <w:szCs w:val="20"/>
          <w:color w:val="auto"/>
        </w:rPr>
      </w:pPr>
    </w:p>
    <w:p>
      <w:pPr>
        <w:ind w:left="660" w:hanging="652"/>
        <w:spacing w:after="0" w:line="272" w:lineRule="auto"/>
        <w:tabs>
          <w:tab w:leader="none" w:pos="624" w:val="left"/>
        </w:tabs>
        <w:numPr>
          <w:ilvl w:val="0"/>
          <w:numId w:val="281"/>
        </w:numPr>
        <w:rPr>
          <w:rFonts w:ascii="Arial" w:cs="Arial" w:eastAsia="Arial" w:hAnsi="Arial"/>
          <w:sz w:val="17"/>
          <w:szCs w:val="17"/>
          <w:color w:val="auto"/>
        </w:rPr>
      </w:pPr>
      <w:r>
        <w:rPr>
          <w:rFonts w:ascii="Arial" w:cs="Arial" w:eastAsia="Arial" w:hAnsi="Arial"/>
          <w:sz w:val="17"/>
          <w:szCs w:val="17"/>
          <w:color w:val="auto"/>
        </w:rPr>
        <w:t>Your common stock is not listed on any securities exchange or quoted in the NASDAQ system or the over-the-counter market, the current fair market value of Warrant Stock shall be the product of (x) the fair market value of a share of Your common stock for shares of common stock sold, from authorized but unissued shares), as determined in good faith by Your Board of Directors, and (y) the number of shares of common stock into which each share of Warrant Stock is convertible at the time of such exercise. Notwithstanding the foregoing, however, if You shall become subject to a merger, acquisition or other consolidation pursuant to which holders of Warrant Stock shall be entitled to receive cash, securities or other property, then the fair market value of the Warrant Stock shall be deemed to be the value received by the holders of the Warrant Stock (on a common equivalent basis) pursuant to such merger or acquisition or other consolidation.</w:t>
      </w:r>
    </w:p>
    <w:p>
      <w:pPr>
        <w:spacing w:after="0" w:line="17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term of this Warrant Agreement, You will at all times from and after the Effective Date have authorized and reserved a sufficient number of shares of (a) Warrant Stock to provide for the exercise of our rights to purchase Warrant Stock, and (b) common stock to provide for the conversion of the Warrant Stock.</w:t>
      </w:r>
    </w:p>
    <w:p>
      <w:pPr>
        <w:spacing w:after="0" w:line="18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If We elect to exercise part of the Warrant Agreement, You will promptly issue to Us an amended Warrant Agreement stating the remaining number of shares that are available. All other terms and conditions of that amended Warrant Agreement shall be identical to those contained in this Warrant Agreement.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89" w:name="page390"/>
    <w:bookmarkEnd w:id="389"/>
    <w:p>
      <w:pPr>
        <w:spacing w:after="0" w:line="257" w:lineRule="auto"/>
        <w:rPr>
          <w:sz w:val="20"/>
          <w:szCs w:val="20"/>
          <w:color w:val="auto"/>
        </w:rPr>
      </w:pPr>
      <w:r>
        <w:rPr>
          <w:rFonts w:ascii="Arial" w:cs="Arial" w:eastAsia="Arial" w:hAnsi="Arial"/>
          <w:sz w:val="18"/>
          <w:szCs w:val="18"/>
          <w:color w:val="auto"/>
        </w:rPr>
        <w:t>If at the end of the term of this Warrant Agreement, the fair market value of one share of Warrant Stock (or other security issuable upon the exercise hereof) as determined in accordance herewith is greater than the Exercise Price in effect on such date, then this Warrant Agreement shall automatically be deemed on and as of such date to be converted pursuant hereto as to all shares of Warrant Stock (or such other securities) for which it shall not previously have been exercised or converted, and You shall promptly deliver a certificate representing the shares of Warrant Stock (or such other securities) issued upon such conversion to Us.</w:t>
      </w:r>
    </w:p>
    <w:p>
      <w:pPr>
        <w:spacing w:after="0" w:line="184" w:lineRule="exact"/>
        <w:rPr>
          <w:sz w:val="20"/>
          <w:szCs w:val="20"/>
          <w:color w:val="auto"/>
        </w:rPr>
      </w:pPr>
    </w:p>
    <w:p>
      <w:pPr>
        <w:ind w:left="660" w:hanging="652"/>
        <w:spacing w:after="0"/>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NUMBER OF SHARES AND EXERCISE PRICE CHANGE.</w:t>
      </w:r>
    </w:p>
    <w:p>
      <w:pPr>
        <w:spacing w:after="0" w:line="225" w:lineRule="exact"/>
        <w:rPr>
          <w:sz w:val="20"/>
          <w:szCs w:val="20"/>
          <w:color w:val="auto"/>
        </w:rPr>
      </w:pPr>
    </w:p>
    <w:p>
      <w:pPr>
        <w:ind w:left="660" w:right="100" w:hanging="652"/>
        <w:spacing w:after="0" w:line="289" w:lineRule="auto"/>
        <w:tabs>
          <w:tab w:leader="none" w:pos="624"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If You are Acquired</w:t>
      </w:r>
      <w:r>
        <w:rPr>
          <w:rFonts w:ascii="Arial" w:cs="Arial" w:eastAsia="Arial" w:hAnsi="Arial"/>
          <w:sz w:val="16"/>
          <w:szCs w:val="16"/>
          <w:color w:val="auto"/>
        </w:rPr>
        <w:t>. If at any time: (i) there is a reorganization of Your stock (other than a reclassification, exchange or subdivision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stock otherwise provided for in this Warrant Agreement); (ii) You merge or consolidate with or into another entity, whether or not You are the surviving entity; (iii) You sell or convey, or grant an exclusive license with respect to, all or substantially all of Your assets to any other person; or</w:t>
      </w:r>
    </w:p>
    <w:p>
      <w:pPr>
        <w:spacing w:after="0" w:line="1" w:lineRule="exact"/>
        <w:rPr>
          <w:rFonts w:ascii="Arial" w:cs="Arial" w:eastAsia="Arial" w:hAnsi="Arial"/>
          <w:sz w:val="16"/>
          <w:szCs w:val="16"/>
          <w:color w:val="auto"/>
        </w:rPr>
      </w:pPr>
    </w:p>
    <w:p>
      <w:pPr>
        <w:ind w:left="660" w:right="20" w:hanging="4"/>
        <w:spacing w:after="0" w:line="287" w:lineRule="auto"/>
        <w:tabs>
          <w:tab w:leader="none" w:pos="96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there occurs any transaction or series of related transactions that result in the transfer of fifty percent (50%) or more of the outstanding voting power of Your capital stock (each of the foregoing events are referred to as a “Merger Event”), then, as a part of such Merger Event, lawful provision shall be made so that We shall thereafter be entitled to receive, upon exercise of Our rights under this Warrant Agreement, the number of shares of preferred stock or other securities of the successor or surviving person resulting from such Merger Event, that would have been issuable if We had exercised Our rights under this Warrant Agreement immediately prior to the Merger Event. In any such case, appropriate adjustment (as determined in good faith by Your Board of Directors) shall be made in the application of the provisions of this Warrant Agreement with respect to Our rights and interest after the Merger Event so that the provisions of this Warrant Agreement (including adjustments of the Exercise Price and number of shares of Warrant Stock purchasable) shall be applicable to the greatest extent possible.</w:t>
      </w:r>
    </w:p>
    <w:p>
      <w:pPr>
        <w:spacing w:after="0" w:line="165" w:lineRule="exact"/>
        <w:rPr>
          <w:rFonts w:ascii="Arial" w:cs="Arial" w:eastAsia="Arial" w:hAnsi="Arial"/>
          <w:sz w:val="16"/>
          <w:szCs w:val="16"/>
          <w:color w:val="auto"/>
        </w:rPr>
      </w:pPr>
    </w:p>
    <w:p>
      <w:pPr>
        <w:ind w:left="660" w:right="360" w:hanging="652"/>
        <w:spacing w:after="0" w:line="277" w:lineRule="auto"/>
        <w:tabs>
          <w:tab w:leader="none" w:pos="624" w:val="left"/>
        </w:tabs>
        <w:numPr>
          <w:ilvl w:val="0"/>
          <w:numId w:val="283"/>
        </w:numPr>
        <w:rPr>
          <w:rFonts w:ascii="Arial" w:cs="Arial" w:eastAsia="Arial" w:hAnsi="Arial"/>
          <w:sz w:val="17"/>
          <w:szCs w:val="17"/>
          <w:color w:val="auto"/>
        </w:rPr>
      </w:pPr>
      <w:r>
        <w:rPr>
          <w:rFonts w:ascii="Arial" w:cs="Arial" w:eastAsia="Arial" w:hAnsi="Arial"/>
          <w:sz w:val="17"/>
          <w:szCs w:val="17"/>
          <w:b w:val="1"/>
          <w:bCs w:val="1"/>
          <w:color w:val="auto"/>
        </w:rPr>
        <w:t>If You Reclassify Your Stock</w:t>
      </w:r>
      <w:r>
        <w:rPr>
          <w:rFonts w:ascii="Arial" w:cs="Arial" w:eastAsia="Arial" w:hAnsi="Arial"/>
          <w:sz w:val="17"/>
          <w:szCs w:val="17"/>
          <w:color w:val="auto"/>
        </w:rPr>
        <w:t>. If at any time You reclassify or subdivide Your securities or otherwise change any of the securities as to which</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rights under this Warrant Agreement exist into the same or a different number of securities of any other class or classes, this Warrant Agreement will thereafter represent the right to acquire such number and kind of securities as would have been issuable as the result of such change with respect to the securities which were subject to the purchase rights under this Warrant Agreement immediately prior to such combination, reclassification, exchange, subdivision or other change.</w:t>
      </w:r>
    </w:p>
    <w:p>
      <w:pPr>
        <w:spacing w:after="0" w:line="167" w:lineRule="exact"/>
        <w:rPr>
          <w:rFonts w:ascii="Arial" w:cs="Arial" w:eastAsia="Arial" w:hAnsi="Arial"/>
          <w:sz w:val="17"/>
          <w:szCs w:val="17"/>
          <w:color w:val="auto"/>
        </w:rPr>
      </w:pPr>
    </w:p>
    <w:p>
      <w:pPr>
        <w:ind w:left="660" w:right="1080" w:hanging="652"/>
        <w:spacing w:after="0" w:line="312" w:lineRule="auto"/>
        <w:tabs>
          <w:tab w:leader="none" w:pos="624" w:val="left"/>
        </w:tabs>
        <w:numPr>
          <w:ilvl w:val="0"/>
          <w:numId w:val="283"/>
        </w:numPr>
        <w:rPr>
          <w:rFonts w:ascii="Arial" w:cs="Arial" w:eastAsia="Arial" w:hAnsi="Arial"/>
          <w:sz w:val="17"/>
          <w:szCs w:val="17"/>
          <w:color w:val="auto"/>
        </w:rPr>
      </w:pPr>
      <w:r>
        <w:rPr>
          <w:rFonts w:ascii="Arial" w:cs="Arial" w:eastAsia="Arial" w:hAnsi="Arial"/>
          <w:sz w:val="17"/>
          <w:szCs w:val="17"/>
          <w:b w:val="1"/>
          <w:bCs w:val="1"/>
          <w:color w:val="auto"/>
        </w:rPr>
        <w:t>If You Subdivide or Combine Your Shares</w:t>
      </w:r>
      <w:r>
        <w:rPr>
          <w:rFonts w:ascii="Arial" w:cs="Arial" w:eastAsia="Arial" w:hAnsi="Arial"/>
          <w:sz w:val="17"/>
          <w:szCs w:val="17"/>
          <w:color w:val="auto"/>
        </w:rPr>
        <w:t>. If at any time You combine or subdivide the Warrant Stock, the Exercise Price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proportionately decreased in the case of a subdivision, or proportionately increased in the case of a combination.</w:t>
      </w:r>
    </w:p>
    <w:p>
      <w:pPr>
        <w:spacing w:after="0" w:line="139" w:lineRule="exact"/>
        <w:rPr>
          <w:rFonts w:ascii="Arial" w:cs="Arial" w:eastAsia="Arial" w:hAnsi="Arial"/>
          <w:sz w:val="17"/>
          <w:szCs w:val="17"/>
          <w:color w:val="auto"/>
        </w:rPr>
      </w:pPr>
    </w:p>
    <w:p>
      <w:pPr>
        <w:ind w:left="660" w:right="280" w:hanging="652"/>
        <w:spacing w:after="0" w:line="289" w:lineRule="auto"/>
        <w:tabs>
          <w:tab w:leader="none" w:pos="624"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If You Pay Stock Dividends</w:t>
      </w:r>
      <w:r>
        <w:rPr>
          <w:rFonts w:ascii="Arial" w:cs="Arial" w:eastAsia="Arial" w:hAnsi="Arial"/>
          <w:sz w:val="16"/>
          <w:szCs w:val="16"/>
          <w:color w:val="auto"/>
        </w:rPr>
        <w:t>. If at any time You pay a dividend payable in, or make any other distribution (except any distribution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for in the above paragraphs) of the Warrant Stock, then the Exercise Price shall be adjusted, from and after the record date of such dividend or distribution, to that price determined by multiplying the Exercise Price in effect immediately prior to such record date by a fraction</w:t>
      </w:r>
    </w:p>
    <w:p>
      <w:pPr>
        <w:spacing w:after="0" w:line="1" w:lineRule="exact"/>
        <w:rPr>
          <w:rFonts w:ascii="Arial" w:cs="Arial" w:eastAsia="Arial" w:hAnsi="Arial"/>
          <w:sz w:val="16"/>
          <w:szCs w:val="16"/>
          <w:color w:val="auto"/>
        </w:rPr>
      </w:pPr>
    </w:p>
    <w:p>
      <w:pPr>
        <w:ind w:left="660" w:right="40" w:hanging="4"/>
        <w:spacing w:after="0" w:line="252" w:lineRule="auto"/>
        <w:tabs>
          <w:tab w:leader="none" w:pos="87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all shares of the Warrant Stock outstanding immediately prior to such dividend or distribution, and (ii) the denominator of which shall be the total number of all shares of the Warrant Stock outstanding immediately after such dividend or distribution. We will thereafter be entitled to purchase, at the Exercise Price resulting from such adjustment, the number of shares of Warrant Stock (calculated to the nearest whole share) obtained by multiplying the Exercise Price in effect immediately prior to such adjustment by the number of shares of Warrant Stock issuable upon the exercise hereof immediately prior to such adjustment and dividing the product thereof by the Exercise Price resulting from such adjustment.</w:t>
      </w:r>
    </w:p>
    <w:p>
      <w:pPr>
        <w:spacing w:after="0" w:line="189" w:lineRule="exact"/>
        <w:rPr>
          <w:rFonts w:ascii="Arial" w:cs="Arial" w:eastAsia="Arial" w:hAnsi="Arial"/>
          <w:sz w:val="18"/>
          <w:szCs w:val="18"/>
          <w:color w:val="auto"/>
        </w:rPr>
      </w:pPr>
    </w:p>
    <w:p>
      <w:pPr>
        <w:ind w:left="660" w:right="200" w:hanging="652"/>
        <w:spacing w:after="0" w:line="274" w:lineRule="auto"/>
        <w:tabs>
          <w:tab w:leader="none" w:pos="624" w:val="left"/>
        </w:tabs>
        <w:numPr>
          <w:ilvl w:val="0"/>
          <w:numId w:val="284"/>
        </w:numPr>
        <w:rPr>
          <w:rFonts w:ascii="Arial" w:cs="Arial" w:eastAsia="Arial" w:hAnsi="Arial"/>
          <w:sz w:val="17"/>
          <w:szCs w:val="17"/>
          <w:color w:val="auto"/>
        </w:rPr>
      </w:pPr>
      <w:r>
        <w:rPr>
          <w:rFonts w:ascii="Arial" w:cs="Arial" w:eastAsia="Arial" w:hAnsi="Arial"/>
          <w:sz w:val="17"/>
          <w:szCs w:val="17"/>
          <w:b w:val="1"/>
          <w:bCs w:val="1"/>
          <w:color w:val="auto"/>
        </w:rPr>
        <w:t>“Pay to Play” Rights</w:t>
      </w:r>
      <w:r>
        <w:rPr>
          <w:rFonts w:ascii="Arial" w:cs="Arial" w:eastAsia="Arial" w:hAnsi="Arial"/>
          <w:sz w:val="17"/>
          <w:szCs w:val="17"/>
          <w:color w:val="auto"/>
        </w:rPr>
        <w:t>. In the event that any “pay to play” terms or conditions (i.e. terms or conditions that require a holder of shares of Your</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(the “Preferred Stock”) to purchase securities in a future round of equity financing or else lose the benefit of anti-dilution protections applicable to shares of Preferred Stock or have such shares of Preferred Stock automatically convert into common stock or another class or series of capital stock) in Your Certificate of Incorporation are triggered in connection with any sale or issuance of securities (a “Trigger Event”), then, in each such event the purchase rights under this Warrant Agreement shall automatically adjust to provide Us, upon the later exercise hereof, with the same securities and/or rights that We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0" w:name="page391"/>
    <w:bookmarkEnd w:id="390"/>
    <w:p>
      <w:pPr>
        <w:ind w:left="660" w:right="500"/>
        <w:spacing w:after="0" w:line="308" w:lineRule="auto"/>
        <w:rPr>
          <w:sz w:val="20"/>
          <w:szCs w:val="20"/>
          <w:color w:val="auto"/>
        </w:rPr>
      </w:pPr>
      <w:r>
        <w:rPr>
          <w:rFonts w:ascii="Arial" w:cs="Arial" w:eastAsia="Arial" w:hAnsi="Arial"/>
          <w:sz w:val="17"/>
          <w:szCs w:val="17"/>
          <w:color w:val="auto"/>
        </w:rPr>
        <w:t>would have received had We (x) exercised this Warrant Agreement prior to such Trigger Event, and (y) participated in the applicable equity financing in an amount sufficient to be deemed to have fully participated for purposes of such “pay to play” provision.</w:t>
      </w:r>
    </w:p>
    <w:p>
      <w:pPr>
        <w:spacing w:after="0" w:line="142" w:lineRule="exact"/>
        <w:rPr>
          <w:sz w:val="20"/>
          <w:szCs w:val="20"/>
          <w:color w:val="auto"/>
        </w:rPr>
      </w:pPr>
    </w:p>
    <w:p>
      <w:pPr>
        <w:ind w:left="660" w:right="40" w:hanging="652"/>
        <w:spacing w:after="0" w:line="256" w:lineRule="auto"/>
        <w:tabs>
          <w:tab w:leader="none" w:pos="62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If You Change the Antidilution Rights of the Warrant Stock or Issue New Preferred or Convertible Stock</w:t>
      </w:r>
      <w:r>
        <w:rPr>
          <w:rFonts w:ascii="Arial" w:cs="Arial" w:eastAsia="Arial" w:hAnsi="Arial"/>
          <w:sz w:val="18"/>
          <w:szCs w:val="18"/>
          <w:color w:val="auto"/>
        </w:rPr>
        <w:t>. All antidilution rights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Warrant Stock purchasable under this Warrant Agreement are as set forth in Your Certificate of Incorporation, as amended through the Effective Date. You will promptly provide Us with any restatement, amendment, modification of or waiver of any right under Your Certificate of Incorporation. You will provide Us with copies of any notices that You send to Your stockholders with respect to any issuance of Your stock or other equity security to occur after the Effective Date (other than issuances of stock or equity securities pursuant to customary employee stock plans).</w:t>
      </w:r>
    </w:p>
    <w:p>
      <w:pPr>
        <w:spacing w:after="0" w:line="187" w:lineRule="exact"/>
        <w:rPr>
          <w:sz w:val="20"/>
          <w:szCs w:val="20"/>
          <w:color w:val="auto"/>
        </w:rPr>
      </w:pPr>
    </w:p>
    <w:p>
      <w:pPr>
        <w:ind w:left="660" w:hanging="652"/>
        <w:spacing w:after="0"/>
        <w:tabs>
          <w:tab w:leader="none" w:pos="6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WE CAN TRANSFER THIS PLAIN ENGLLISH WARRANT AGREEMENT.</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Subject to the terms and conditions contained in Section 7, We (or any successor transferee) may transfer in whole or in part this Warrant Agreement and all its rights, provided that as a condition of any such transfer, the transferee agrees to be bound by the terms of this Warrant Agreement. You will record the transfer on Your books when You receive Our Notice of Transfer in the form attached hereto as Exhibit III, and Our payment of all transfer taxes and other governmental charges involved in such transfer.</w:t>
      </w:r>
    </w:p>
    <w:p>
      <w:pPr>
        <w:spacing w:after="0" w:line="183"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COVENANTS FROM YOU.</w:t>
      </w:r>
    </w:p>
    <w:p>
      <w:pPr>
        <w:spacing w:after="0" w:line="225" w:lineRule="exact"/>
        <w:rPr>
          <w:sz w:val="20"/>
          <w:szCs w:val="20"/>
          <w:color w:val="auto"/>
        </w:rPr>
      </w:pPr>
    </w:p>
    <w:p>
      <w:pPr>
        <w:ind w:left="660" w:hanging="652"/>
        <w:spacing w:after="0" w:line="272" w:lineRule="auto"/>
        <w:tabs>
          <w:tab w:leader="none" w:pos="624" w:val="left"/>
        </w:tabs>
        <w:numPr>
          <w:ilvl w:val="0"/>
          <w:numId w:val="288"/>
        </w:numPr>
        <w:rPr>
          <w:rFonts w:ascii="Arial" w:cs="Arial" w:eastAsia="Arial" w:hAnsi="Arial"/>
          <w:sz w:val="17"/>
          <w:szCs w:val="17"/>
          <w:color w:val="auto"/>
        </w:rPr>
      </w:pPr>
      <w:r>
        <w:rPr>
          <w:rFonts w:ascii="Arial" w:cs="Arial" w:eastAsia="Arial" w:hAnsi="Arial"/>
          <w:sz w:val="17"/>
          <w:szCs w:val="17"/>
          <w:b w:val="1"/>
          <w:bCs w:val="1"/>
          <w:color w:val="auto"/>
        </w:rPr>
        <w:t>Reservation of Warrant Stock</w:t>
      </w:r>
      <w:r>
        <w:rPr>
          <w:rFonts w:ascii="Arial" w:cs="Arial" w:eastAsia="Arial" w:hAnsi="Arial"/>
          <w:sz w:val="17"/>
          <w:szCs w:val="17"/>
          <w:color w:val="auto"/>
        </w:rPr>
        <w:t>. The Warrant Stock issuable upon exercise of Our rights under this Warrant Agreement will be duly and validly</w:t>
      </w:r>
      <w:r>
        <w:rPr>
          <w:rFonts w:ascii="Arial" w:cs="Arial" w:eastAsia="Arial" w:hAnsi="Arial"/>
          <w:sz w:val="17"/>
          <w:szCs w:val="17"/>
          <w:b w:val="1"/>
          <w:bCs w:val="1"/>
          <w:color w:val="auto"/>
        </w:rPr>
        <w:t xml:space="preserve"> </w:t>
      </w:r>
      <w:r>
        <w:rPr>
          <w:rFonts w:ascii="Arial" w:cs="Arial" w:eastAsia="Arial" w:hAnsi="Arial"/>
          <w:sz w:val="17"/>
          <w:szCs w:val="17"/>
          <w:color w:val="auto"/>
        </w:rPr>
        <w:t>reserved and when issued in accordance with the provisions of this Warrant Agreement will be validly issued, fully paid and non-assessable, and will be free of any taxes, liens, charges or encumbrances of any nature whatsoever (other than liens or encumbrances created by or imposed by Us); provided, however, that the Warrant Stock issuable pursuant to this Warrant Agreement may be subject to restrictions on transfer under state and/or Federal securities laws. Upon Our exercise, You will issue to Us certificates for shares of Warrant Stock without charging Us any tax, or other cost incurred by You in connection with such exercise and the related issuance of shares of Warrant Stock. You will not be required to pay any tax, which may be payable in respect of any transfer involved and the issuance and delivery of any certificate in a name other than TriplePoint Venture Growth BDC Corp.</w:t>
      </w:r>
    </w:p>
    <w:p>
      <w:pPr>
        <w:spacing w:after="0" w:line="171" w:lineRule="exact"/>
        <w:rPr>
          <w:rFonts w:ascii="Arial" w:cs="Arial" w:eastAsia="Arial" w:hAnsi="Arial"/>
          <w:sz w:val="17"/>
          <w:szCs w:val="17"/>
          <w:color w:val="auto"/>
        </w:rPr>
      </w:pPr>
    </w:p>
    <w:p>
      <w:pPr>
        <w:ind w:left="660" w:right="80" w:hanging="652"/>
        <w:spacing w:after="0" w:line="254" w:lineRule="auto"/>
        <w:tabs>
          <w:tab w:leader="none" w:pos="624"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Due Authority</w:t>
      </w:r>
      <w:r>
        <w:rPr>
          <w:rFonts w:ascii="Arial" w:cs="Arial" w:eastAsia="Arial" w:hAnsi="Arial"/>
          <w:sz w:val="18"/>
          <w:szCs w:val="18"/>
          <w:color w:val="auto"/>
        </w:rPr>
        <w:t>. Your execution and delivery of this Warrant Agreement and the performance of Your obligations hereunder,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to Us of the right to acquire the shares of Warrant Stock, have been duly authorized by all necessary corporate action on Your part and this Warrant Agreement is not inconsistent with Your Certificate of Incorporation or Bylaws, do not contravene any law or governmental rule, regulation or order applicable to it, do not and will not contravene any material provision of, or constitute a material default under, any indenture, mortgage, material contract or other instrument to which You are a party or by which You are bound, and this Warrant Agreement constitutes a legal, valid and binding agreement, enforceable in accordance with its respective terms, subject to laws of general application relating to bankruptcy, insolvency and the relief of debtors and the rules of law or principles at equity governing specific performance, injunctive relief and other equitable remedies.</w:t>
      </w:r>
    </w:p>
    <w:p>
      <w:pPr>
        <w:spacing w:after="0" w:line="191" w:lineRule="exact"/>
        <w:rPr>
          <w:rFonts w:ascii="Arial" w:cs="Arial" w:eastAsia="Arial" w:hAnsi="Arial"/>
          <w:sz w:val="18"/>
          <w:szCs w:val="18"/>
          <w:color w:val="auto"/>
        </w:rPr>
      </w:pPr>
    </w:p>
    <w:p>
      <w:pPr>
        <w:ind w:left="660" w:right="40" w:hanging="652"/>
        <w:spacing w:after="0" w:line="261" w:lineRule="auto"/>
        <w:tabs>
          <w:tab w:leader="none" w:pos="624"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Consents and Approvals</w:t>
      </w:r>
      <w:r>
        <w:rPr>
          <w:rFonts w:ascii="Arial" w:cs="Arial" w:eastAsia="Arial" w:hAnsi="Arial"/>
          <w:sz w:val="18"/>
          <w:szCs w:val="18"/>
          <w:color w:val="auto"/>
        </w:rPr>
        <w:t>. No consent or approval of, giving of notice to, registration with, or taking of any other action in respect of any state,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or other governmental authority or agency is required with respect to execution, delivery and Your performance of Your obligations under this Warrant Agreement, except for the filing of any required notices pursuant to Federal and state securities laws, which filings will be effective by the times required thereby.</w:t>
      </w:r>
    </w:p>
    <w:p>
      <w:pPr>
        <w:spacing w:after="0" w:line="179" w:lineRule="exact"/>
        <w:rPr>
          <w:rFonts w:ascii="Arial" w:cs="Arial" w:eastAsia="Arial" w:hAnsi="Arial"/>
          <w:sz w:val="18"/>
          <w:szCs w:val="18"/>
          <w:color w:val="auto"/>
        </w:rPr>
      </w:pPr>
    </w:p>
    <w:p>
      <w:pPr>
        <w:ind w:left="660" w:right="160" w:hanging="652"/>
        <w:spacing w:after="0" w:line="282" w:lineRule="auto"/>
        <w:tabs>
          <w:tab w:leader="none" w:pos="624"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Issued Securities</w:t>
      </w:r>
      <w:r>
        <w:rPr>
          <w:rFonts w:ascii="Arial" w:cs="Arial" w:eastAsia="Arial" w:hAnsi="Arial"/>
          <w:sz w:val="18"/>
          <w:szCs w:val="18"/>
          <w:color w:val="auto"/>
        </w:rPr>
        <w:t>. All of Your issued and outstanding shares of common stock, Warrant Stock or any other securities have been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validly issued and are fully paid and nonassessable. All outstanding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91" w:name="page392"/>
    <w:bookmarkEnd w:id="391"/>
    <w:p>
      <w:pPr>
        <w:ind w:left="660" w:right="20"/>
        <w:spacing w:after="0" w:line="277" w:lineRule="auto"/>
        <w:rPr>
          <w:sz w:val="20"/>
          <w:szCs w:val="20"/>
          <w:color w:val="auto"/>
        </w:rPr>
      </w:pPr>
      <w:r>
        <w:rPr>
          <w:rFonts w:ascii="Arial" w:cs="Arial" w:eastAsia="Arial" w:hAnsi="Arial"/>
          <w:sz w:val="18"/>
          <w:szCs w:val="18"/>
          <w:color w:val="auto"/>
        </w:rPr>
        <w:t>shares of common stock and Warrant Stock were issued in full compliance with all Federal and state securities laws. In addition as of the Effective Date: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Your authorized capital consists of (A) 160,000,000 shares of common stock, of which 39,987,959 shares of common stock are issued and outstanding, and (B) 96,032,021 shares of preferred stock, of which 95,728,744 shares are issued and outstanding.</w:t>
      </w:r>
    </w:p>
    <w:p>
      <w:pPr>
        <w:spacing w:after="0" w:line="170"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You have reserved 61,216,408 shares of common stock for issuance under Your Stock Incentive Plan, under which 19,926,759 options have been granted and are currently outstanding. Silicon Valley Bank holds a warrant to purchase 170,818 shares of Series B Preferred Stock. Except as otherwise provided in this Warrant Agreement and as noted above, there are no other options, warrants, conversion privileges or other rights presently outstanding to purchase or otherwise acquire any authorized but unissued shares of Your capital stock or other of Your securities.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set forth in the Rights Agreement (as defined below), a true, correct and complete copy of which has been delivered to Us prior to the issuance of this Warrant, Your stockholders do not have preemptive rights to purchase new issuances of Your capital stock.</w:t>
      </w:r>
    </w:p>
    <w:p>
      <w:pPr>
        <w:spacing w:after="0" w:line="166" w:lineRule="exact"/>
        <w:rPr>
          <w:sz w:val="20"/>
          <w:szCs w:val="20"/>
          <w:color w:val="auto"/>
        </w:rPr>
      </w:pPr>
    </w:p>
    <w:p>
      <w:pPr>
        <w:ind w:left="660" w:right="220" w:hanging="652"/>
        <w:spacing w:after="0" w:line="266" w:lineRule="auto"/>
        <w:tabs>
          <w:tab w:leader="none" w:pos="624"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Other Commitments to Register Securities</w:t>
      </w:r>
      <w:r>
        <w:rPr>
          <w:rFonts w:ascii="Arial" w:cs="Arial" w:eastAsia="Arial" w:hAnsi="Arial"/>
          <w:sz w:val="18"/>
          <w:szCs w:val="18"/>
          <w:color w:val="auto"/>
        </w:rPr>
        <w:t>. Except as set forth in this Warrant Agreement and the Rights Agreement (as defined below), You</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pursuant to the terms of any other agreement currently in existence, under any obligation to register under the 1933 Act any of Your presently outstanding securities or any of Your securities which may hereafter be issued.</w:t>
      </w:r>
    </w:p>
    <w:p>
      <w:pPr>
        <w:spacing w:after="0" w:line="175" w:lineRule="exact"/>
        <w:rPr>
          <w:rFonts w:ascii="Arial" w:cs="Arial" w:eastAsia="Arial" w:hAnsi="Arial"/>
          <w:sz w:val="18"/>
          <w:szCs w:val="18"/>
          <w:color w:val="auto"/>
        </w:rPr>
      </w:pPr>
    </w:p>
    <w:p>
      <w:pPr>
        <w:ind w:left="660" w:right="120" w:hanging="652"/>
        <w:spacing w:after="0" w:line="266" w:lineRule="auto"/>
        <w:tabs>
          <w:tab w:leader="none" w:pos="624"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Exempt Transaction</w:t>
      </w:r>
      <w:r>
        <w:rPr>
          <w:rFonts w:ascii="Arial" w:cs="Arial" w:eastAsia="Arial" w:hAnsi="Arial"/>
          <w:sz w:val="18"/>
          <w:szCs w:val="18"/>
          <w:color w:val="auto"/>
        </w:rPr>
        <w:t>. Subject to the accuracy of Our representations in Section 7 hereof, the issuance of the Warrant Stock upon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Agreement will constitute a transaction exempt from (i) the registration requirements of Section 5 of the 1933 Act, in reliance upon Section 4(2) thereof, and (ii) the qualification requirements of the applicable state securities laws.</w:t>
      </w:r>
    </w:p>
    <w:p>
      <w:pPr>
        <w:spacing w:after="0" w:line="175" w:lineRule="exact"/>
        <w:rPr>
          <w:rFonts w:ascii="Arial" w:cs="Arial" w:eastAsia="Arial" w:hAnsi="Arial"/>
          <w:sz w:val="18"/>
          <w:szCs w:val="18"/>
          <w:color w:val="auto"/>
        </w:rPr>
      </w:pPr>
    </w:p>
    <w:p>
      <w:pPr>
        <w:ind w:left="660" w:right="40" w:hanging="652"/>
        <w:spacing w:after="0" w:line="261" w:lineRule="auto"/>
        <w:tabs>
          <w:tab w:leader="none" w:pos="624"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Compliance with Rule 144</w:t>
      </w:r>
      <w:r>
        <w:rPr>
          <w:rFonts w:ascii="Arial" w:cs="Arial" w:eastAsia="Arial" w:hAnsi="Arial"/>
          <w:sz w:val="18"/>
          <w:szCs w:val="18"/>
          <w:color w:val="auto"/>
        </w:rPr>
        <w:t>. Subject to the other restrictions set forth in this Warrant Agreement, We may sell the Warrant Stock issuable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in compliance with Rule 144 promulgated by the Securities and Exchange Commission. Within ten (10) days of Our request, You agree to furnish Us, a written statement confirming Your compliance with the filing requirements of the Securities and Exchange Commission as set forth in such Rule 144, as may be amended.</w:t>
      </w:r>
    </w:p>
    <w:p>
      <w:pPr>
        <w:spacing w:after="0" w:line="179" w:lineRule="exact"/>
        <w:rPr>
          <w:rFonts w:ascii="Arial" w:cs="Arial" w:eastAsia="Arial" w:hAnsi="Arial"/>
          <w:sz w:val="18"/>
          <w:szCs w:val="18"/>
          <w:color w:val="auto"/>
        </w:rPr>
      </w:pPr>
    </w:p>
    <w:p>
      <w:pPr>
        <w:ind w:left="660" w:hanging="652"/>
        <w:spacing w:after="0" w:line="270" w:lineRule="auto"/>
        <w:tabs>
          <w:tab w:leader="none" w:pos="624" w:val="left"/>
        </w:tabs>
        <w:numPr>
          <w:ilvl w:val="0"/>
          <w:numId w:val="289"/>
        </w:numPr>
        <w:rPr>
          <w:rFonts w:ascii="Arial" w:cs="Arial" w:eastAsia="Arial" w:hAnsi="Arial"/>
          <w:sz w:val="17"/>
          <w:szCs w:val="17"/>
          <w:color w:val="auto"/>
        </w:rPr>
      </w:pPr>
      <w:r>
        <w:rPr>
          <w:rFonts w:ascii="Arial" w:cs="Arial" w:eastAsia="Arial" w:hAnsi="Arial"/>
          <w:sz w:val="17"/>
          <w:szCs w:val="17"/>
          <w:b w:val="1"/>
          <w:bCs w:val="1"/>
          <w:color w:val="auto"/>
        </w:rPr>
        <w:t>No Impairment</w:t>
      </w:r>
      <w:r>
        <w:rPr>
          <w:rFonts w:ascii="Arial" w:cs="Arial" w:eastAsia="Arial" w:hAnsi="Arial"/>
          <w:sz w:val="17"/>
          <w:szCs w:val="17"/>
          <w:color w:val="auto"/>
        </w:rPr>
        <w:t>. You agree not to, by amendment of Your Certificate of Incorporation, by-laws or other organizational or charter documents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a reorganization, transfer of assets, consolidation, merger, dissolution, issue or sale of securities or any other voluntary action, avoid or seek to avoid the observance or performance of any of the terms to be observed or performed under this Warrant by You, but shall at all times in good faith assist in carrying out of all the provisions of this Warrant and in taking all such action as may be necessary or appropriate to protect Our rights under this Warrant against impairment. However, You shall not be deemed to have impaired Our rights if You amend Your Certificate of Incorporation, or the holders of Your preferred stock waive their rights thereunder, in a manner that does not (individually or when considered in the context of any other actions being taken in connection with such amendments or waivers) affect Us in a manner different from the effect that such amendments or waivers have on the rights of other holders of the same series and class as the Warrant Stock; provided, however, that, notwithstanding the foregoing, You shall not impose any restrictions on the transferability or alienability of the Warrant Stock other than in effect as of the Effective Date without the express written consent of Us.</w:t>
      </w:r>
    </w:p>
    <w:p>
      <w:pPr>
        <w:spacing w:after="0" w:line="177" w:lineRule="exact"/>
        <w:rPr>
          <w:sz w:val="20"/>
          <w:szCs w:val="20"/>
          <w:color w:val="auto"/>
        </w:rPr>
      </w:pPr>
    </w:p>
    <w:p>
      <w:pPr>
        <w:ind w:left="660" w:hanging="652"/>
        <w:spacing w:after="0"/>
        <w:tabs>
          <w:tab w:leader="none" w:pos="66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OUR REPRESENTATIONS AND COVENANTS TO YOU.</w:t>
      </w:r>
    </w:p>
    <w:p>
      <w:pPr>
        <w:spacing w:after="0" w:line="225" w:lineRule="exact"/>
        <w:rPr>
          <w:sz w:val="20"/>
          <w:szCs w:val="20"/>
          <w:color w:val="auto"/>
        </w:rPr>
      </w:pPr>
    </w:p>
    <w:p>
      <w:pPr>
        <w:ind w:left="660" w:right="460" w:hanging="652"/>
        <w:spacing w:after="0" w:line="314" w:lineRule="auto"/>
        <w:tabs>
          <w:tab w:leader="none" w:pos="624" w:val="left"/>
        </w:tabs>
        <w:numPr>
          <w:ilvl w:val="0"/>
          <w:numId w:val="291"/>
        </w:numPr>
        <w:rPr>
          <w:rFonts w:ascii="Arial" w:cs="Arial" w:eastAsia="Arial" w:hAnsi="Arial"/>
          <w:sz w:val="16"/>
          <w:szCs w:val="16"/>
          <w:color w:val="auto"/>
        </w:rPr>
      </w:pPr>
      <w:r>
        <w:rPr>
          <w:rFonts w:ascii="Arial" w:cs="Arial" w:eastAsia="Arial" w:hAnsi="Arial"/>
          <w:sz w:val="16"/>
          <w:szCs w:val="16"/>
          <w:b w:val="1"/>
          <w:bCs w:val="1"/>
          <w:color w:val="auto"/>
        </w:rPr>
        <w:t>Investment Purpose</w:t>
      </w:r>
      <w:r>
        <w:rPr>
          <w:rFonts w:ascii="Arial" w:cs="Arial" w:eastAsia="Arial" w:hAnsi="Arial"/>
          <w:sz w:val="16"/>
          <w:szCs w:val="16"/>
          <w:color w:val="auto"/>
        </w:rPr>
        <w:t>. The right to acquire Warrant Stock or the Warrant Stock issuable upon exercise of Our rights contained herein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issuable upon conversion will be acquired for investment purposes and not with a view to the sale or distribution of any part thereof, and We have no present intention of selling or engaging in any public distribution of the same in violation of the 1933 Act.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2" w:name="page393"/>
    <w:bookmarkEnd w:id="392"/>
    <w:p>
      <w:pPr>
        <w:ind w:left="652" w:hanging="652"/>
        <w:spacing w:after="0" w:line="303" w:lineRule="auto"/>
        <w:tabs>
          <w:tab w:leader="none" w:pos="616" w:val="left"/>
        </w:tabs>
        <w:numPr>
          <w:ilvl w:val="0"/>
          <w:numId w:val="292"/>
        </w:numPr>
        <w:rPr>
          <w:rFonts w:ascii="Arial" w:cs="Arial" w:eastAsia="Arial" w:hAnsi="Arial"/>
          <w:sz w:val="16"/>
          <w:szCs w:val="16"/>
          <w:color w:val="auto"/>
        </w:rPr>
      </w:pPr>
      <w:r>
        <w:rPr>
          <w:rFonts w:ascii="Arial" w:cs="Arial" w:eastAsia="Arial" w:hAnsi="Arial"/>
          <w:sz w:val="16"/>
          <w:szCs w:val="16"/>
          <w:b w:val="1"/>
          <w:bCs w:val="1"/>
          <w:color w:val="auto"/>
        </w:rPr>
        <w:t>Private Issue</w:t>
      </w:r>
      <w:r>
        <w:rPr>
          <w:rFonts w:ascii="Arial" w:cs="Arial" w:eastAsia="Arial" w:hAnsi="Arial"/>
          <w:sz w:val="16"/>
          <w:szCs w:val="16"/>
          <w:color w:val="auto"/>
        </w:rPr>
        <w:t>. We understand (i) that this Warrant Agreement, the Warrant Stock issuable upon exercise of this Warrant Agreement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issuable upon conversion of the Warrant Stock are not registered under the 1933 Act or qualified under applicable state securities laws on the ground that the issuance contemplated by this Warrant Agreement will be exempt from the registration and qualifications requirements thereof, and (ii) that Your reliance on such exemption is predicated on the representations set forth in this Section 7.</w:t>
      </w:r>
    </w:p>
    <w:p>
      <w:pPr>
        <w:spacing w:after="0" w:line="150" w:lineRule="exact"/>
        <w:rPr>
          <w:rFonts w:ascii="Arial" w:cs="Arial" w:eastAsia="Arial" w:hAnsi="Arial"/>
          <w:sz w:val="16"/>
          <w:szCs w:val="16"/>
          <w:color w:val="auto"/>
        </w:rPr>
      </w:pPr>
    </w:p>
    <w:p>
      <w:pPr>
        <w:ind w:left="652" w:right="20" w:hanging="652"/>
        <w:spacing w:after="0" w:line="287" w:lineRule="auto"/>
        <w:tabs>
          <w:tab w:leader="none" w:pos="616" w:val="left"/>
        </w:tabs>
        <w:numPr>
          <w:ilvl w:val="0"/>
          <w:numId w:val="292"/>
        </w:numPr>
        <w:rPr>
          <w:rFonts w:ascii="Arial" w:cs="Arial" w:eastAsia="Arial" w:hAnsi="Arial"/>
          <w:sz w:val="16"/>
          <w:szCs w:val="16"/>
          <w:color w:val="auto"/>
        </w:rPr>
      </w:pPr>
      <w:r>
        <w:rPr>
          <w:rFonts w:ascii="Arial" w:cs="Arial" w:eastAsia="Arial" w:hAnsi="Arial"/>
          <w:sz w:val="16"/>
          <w:szCs w:val="16"/>
          <w:b w:val="1"/>
          <w:bCs w:val="1"/>
          <w:color w:val="auto"/>
        </w:rPr>
        <w:t>Disposition of Our Rights</w:t>
      </w:r>
      <w:r>
        <w:rPr>
          <w:rFonts w:ascii="Arial" w:cs="Arial" w:eastAsia="Arial" w:hAnsi="Arial"/>
          <w:sz w:val="16"/>
          <w:szCs w:val="16"/>
          <w:color w:val="auto"/>
        </w:rPr>
        <w:t>. In no event will We make a disposition of any of Our rights to acquire Warrant Stock or Warrant Stock issuable upon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such rights or the common stock issuable upon conversion of the Warrant Stock unless and until (i) We shall have notified You in writing of the proposed disposition, and (ii) the transferee agrees to be bound in writing to the applicable terms and conditions of this Warrant Agreement, and (iii) if You request, We shall have furnished You with an opinion of counsel satisfactory to You and Your counsel to the effect that</w:t>
      </w:r>
    </w:p>
    <w:p>
      <w:pPr>
        <w:spacing w:after="0" w:line="2" w:lineRule="exact"/>
        <w:rPr>
          <w:rFonts w:ascii="Arial" w:cs="Arial" w:eastAsia="Arial" w:hAnsi="Arial"/>
          <w:sz w:val="16"/>
          <w:szCs w:val="16"/>
          <w:color w:val="auto"/>
        </w:rPr>
      </w:pPr>
    </w:p>
    <w:p>
      <w:pPr>
        <w:ind w:left="652" w:right="20"/>
        <w:spacing w:after="0" w:line="285" w:lineRule="auto"/>
        <w:rPr>
          <w:rFonts w:ascii="Arial" w:cs="Arial" w:eastAsia="Arial" w:hAnsi="Arial"/>
          <w:sz w:val="16"/>
          <w:szCs w:val="16"/>
          <w:color w:val="auto"/>
        </w:rPr>
      </w:pPr>
      <w:r>
        <w:rPr>
          <w:rFonts w:ascii="Arial" w:cs="Arial" w:eastAsia="Arial" w:hAnsi="Arial"/>
          <w:sz w:val="16"/>
          <w:szCs w:val="16"/>
          <w:color w:val="auto"/>
        </w:rPr>
        <w:t>(A) appropriate action necessary for compliance with the 1933 Act has been taken, or (B) an exemption from the registration requirements of the 1933 Act is available. Notwithstanding the foregoing, the restrictions imposed upon the transferability of any of Our rights to acquire Warrant Stock or Warrant Stock issuable on the exercise of such rights or the common stock issuable upon conversion of the Warrant Stock do not apply to transfers from the beneficial owner of any of the aforementioned securities to its nominee or from such nominee to its beneficial owner, and shall terminate as to any particular share of Warrant Stock when (1) such security shall have been effectively registered under the 1933 Act and sold by the holder thereof in accordance with such registration or (2) such security shall have been sold without registration in compliance with Rule 144 under the 1933 Act, or (3) a letter shall have been issued to You at Our request by the staff of the Securities and Exchange Commission or a ruling shall have been issued to You at Our request by such Commission stating that no action shall be recommended by such staff or taken by such Commission, as the case may be, if such security is transferred without registration under the 1933 Act in accordance with the conditions set forth in such letter or ruling and such letter or ruling specifies that no subsequent restrictions on transfer are required. Whenever the restrictions imposed hereunder shall terminate, as hereinabove provided, the holder of a share of Warrant Stock then outstanding as to which such restrictions have terminated shall be entitled to receive from You, without expense to such holder, one or more new certificates for the Warrant or for such shares of Warrant Stock not bearing any restrictive legend referring to 1933 Act registration or exemption.</w:t>
      </w:r>
    </w:p>
    <w:p>
      <w:pPr>
        <w:spacing w:after="0" w:line="165" w:lineRule="exact"/>
        <w:rPr>
          <w:rFonts w:ascii="Arial" w:cs="Arial" w:eastAsia="Arial" w:hAnsi="Arial"/>
          <w:sz w:val="16"/>
          <w:szCs w:val="16"/>
          <w:color w:val="auto"/>
        </w:rPr>
      </w:pPr>
    </w:p>
    <w:p>
      <w:pPr>
        <w:ind w:left="652" w:right="60" w:hanging="652"/>
        <w:spacing w:after="0" w:line="347" w:lineRule="auto"/>
        <w:tabs>
          <w:tab w:leader="none" w:pos="616" w:val="left"/>
        </w:tabs>
        <w:numPr>
          <w:ilvl w:val="0"/>
          <w:numId w:val="292"/>
        </w:numPr>
        <w:rPr>
          <w:rFonts w:ascii="Arial" w:cs="Arial" w:eastAsia="Arial" w:hAnsi="Arial"/>
          <w:sz w:val="16"/>
          <w:szCs w:val="16"/>
          <w:color w:val="auto"/>
        </w:rPr>
      </w:pPr>
      <w:r>
        <w:rPr>
          <w:rFonts w:ascii="Arial" w:cs="Arial" w:eastAsia="Arial" w:hAnsi="Arial"/>
          <w:sz w:val="16"/>
          <w:szCs w:val="16"/>
          <w:b w:val="1"/>
          <w:bCs w:val="1"/>
          <w:color w:val="auto"/>
        </w:rPr>
        <w:t>Financial Risk</w:t>
      </w:r>
      <w:r>
        <w:rPr>
          <w:rFonts w:ascii="Arial" w:cs="Arial" w:eastAsia="Arial" w:hAnsi="Arial"/>
          <w:sz w:val="16"/>
          <w:szCs w:val="16"/>
          <w:color w:val="auto"/>
        </w:rPr>
        <w:t>. We have such knowledge and experience in financial and business matters and knowledge of Your business affairs and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as to be capable of evaluating the merits and risks of Our investment, and have the ability to bear the economic risks of Our investment.</w:t>
      </w:r>
    </w:p>
    <w:p>
      <w:pPr>
        <w:spacing w:after="0" w:line="115" w:lineRule="exact"/>
        <w:rPr>
          <w:rFonts w:ascii="Arial" w:cs="Arial" w:eastAsia="Arial" w:hAnsi="Arial"/>
          <w:sz w:val="16"/>
          <w:szCs w:val="16"/>
          <w:color w:val="auto"/>
        </w:rPr>
      </w:pPr>
    </w:p>
    <w:p>
      <w:pPr>
        <w:ind w:left="652" w:hanging="652"/>
        <w:spacing w:after="0" w:line="273" w:lineRule="auto"/>
        <w:tabs>
          <w:tab w:leader="none" w:pos="616" w:val="left"/>
        </w:tabs>
        <w:numPr>
          <w:ilvl w:val="0"/>
          <w:numId w:val="292"/>
        </w:numPr>
        <w:rPr>
          <w:rFonts w:ascii="Arial" w:cs="Arial" w:eastAsia="Arial" w:hAnsi="Arial"/>
          <w:sz w:val="17"/>
          <w:szCs w:val="17"/>
          <w:color w:val="auto"/>
        </w:rPr>
      </w:pPr>
      <w:r>
        <w:rPr>
          <w:rFonts w:ascii="Arial" w:cs="Arial" w:eastAsia="Arial" w:hAnsi="Arial"/>
          <w:sz w:val="17"/>
          <w:szCs w:val="17"/>
          <w:b w:val="1"/>
          <w:bCs w:val="1"/>
          <w:color w:val="auto"/>
        </w:rPr>
        <w:t>Risk of No Registration</w:t>
      </w:r>
      <w:r>
        <w:rPr>
          <w:rFonts w:ascii="Arial" w:cs="Arial" w:eastAsia="Arial" w:hAnsi="Arial"/>
          <w:sz w:val="17"/>
          <w:szCs w:val="17"/>
          <w:color w:val="auto"/>
        </w:rPr>
        <w:t>. We understand that if You do not register with the Securities and Exchange Commission pursuant to Section 12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Act of 1934 (the “1934 Act”), or file reports pursuant to Section 15(d), of the 1934 Act, or if a registration statement covering the securities under the 1933 Act is not in effect when We desire to sell (i) the rights to purchase Warrant Stock pursuant to this Warrant Agreement, or (ii) the Warrant Stock issuable upon exercise of the right to purchase, or (iii) the common stock issuable upon conversion of the Warrant Stock, We may be required to hold such securities for an indefinite period. We also understand that any sale of Our right to purchase Warrant Stock or Warrant Stock or common stock issuable upon conversion of the Warrant Stock, which might be made by it in reliance upon Rule 144 under the 1933 Act may be made only in accordance with the terms and conditions of that Rule.</w:t>
      </w:r>
    </w:p>
    <w:p>
      <w:pPr>
        <w:spacing w:after="0" w:line="171" w:lineRule="exact"/>
        <w:rPr>
          <w:rFonts w:ascii="Arial" w:cs="Arial" w:eastAsia="Arial" w:hAnsi="Arial"/>
          <w:sz w:val="17"/>
          <w:szCs w:val="17"/>
          <w:color w:val="auto"/>
        </w:rPr>
      </w:pPr>
    </w:p>
    <w:p>
      <w:pPr>
        <w:ind w:left="652" w:right="180" w:hanging="652"/>
        <w:spacing w:after="0" w:line="282" w:lineRule="auto"/>
        <w:tabs>
          <w:tab w:leader="none" w:pos="616"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Accredited Investor</w:t>
      </w:r>
      <w:r>
        <w:rPr>
          <w:rFonts w:ascii="Arial" w:cs="Arial" w:eastAsia="Arial" w:hAnsi="Arial"/>
          <w:sz w:val="18"/>
          <w:szCs w:val="18"/>
          <w:color w:val="auto"/>
        </w:rPr>
        <w:t>. We are an “accredited investor” within the meaning of the Securities and Exchange Rule 501 of Regulation D of the 1933</w:t>
      </w:r>
      <w:r>
        <w:rPr>
          <w:rFonts w:ascii="Arial" w:cs="Arial" w:eastAsia="Arial" w:hAnsi="Arial"/>
          <w:sz w:val="18"/>
          <w:szCs w:val="18"/>
          <w:b w:val="1"/>
          <w:bCs w:val="1"/>
          <w:color w:val="auto"/>
        </w:rPr>
        <w:t xml:space="preserve"> </w:t>
      </w:r>
      <w:r>
        <w:rPr>
          <w:rFonts w:ascii="Arial" w:cs="Arial" w:eastAsia="Arial" w:hAnsi="Arial"/>
          <w:sz w:val="18"/>
          <w:szCs w:val="18"/>
          <w:color w:val="auto"/>
        </w:rPr>
        <w:t>Act, as presently in effect.</w:t>
      </w:r>
    </w:p>
    <w:p>
      <w:pPr>
        <w:spacing w:after="0" w:line="161" w:lineRule="exact"/>
        <w:rPr>
          <w:rFonts w:ascii="Arial" w:cs="Arial" w:eastAsia="Arial" w:hAnsi="Arial"/>
          <w:sz w:val="18"/>
          <w:szCs w:val="18"/>
          <w:color w:val="auto"/>
        </w:rPr>
      </w:pPr>
    </w:p>
    <w:p>
      <w:pPr>
        <w:ind w:left="652" w:hanging="652"/>
        <w:spacing w:after="0" w:line="277" w:lineRule="auto"/>
        <w:tabs>
          <w:tab w:leader="none" w:pos="616" w:val="left"/>
        </w:tabs>
        <w:numPr>
          <w:ilvl w:val="0"/>
          <w:numId w:val="292"/>
        </w:numPr>
        <w:rPr>
          <w:rFonts w:ascii="Arial" w:cs="Arial" w:eastAsia="Arial" w:hAnsi="Arial"/>
          <w:sz w:val="17"/>
          <w:szCs w:val="17"/>
          <w:color w:val="auto"/>
        </w:rPr>
      </w:pPr>
      <w:r>
        <w:rPr>
          <w:rFonts w:ascii="Arial" w:cs="Arial" w:eastAsia="Arial" w:hAnsi="Arial"/>
          <w:sz w:val="17"/>
          <w:szCs w:val="17"/>
          <w:b w:val="1"/>
          <w:bCs w:val="1"/>
          <w:color w:val="auto"/>
        </w:rPr>
        <w:t>Market Standoff</w:t>
      </w:r>
      <w:r>
        <w:rPr>
          <w:rFonts w:ascii="Arial" w:cs="Arial" w:eastAsia="Arial" w:hAnsi="Arial"/>
          <w:sz w:val="17"/>
          <w:szCs w:val="17"/>
          <w:color w:val="auto"/>
        </w:rPr>
        <w:t>. We agree to be bound by Section 2.04 (“Black Out Periods”) of the Amended and Restated Registration Rights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dated as of June 11, 2015, by and among You and the investors party thereto (as amended from time to time, the “Rights Agreement”). We also agree to sign the form of lock-up letter requested by Your underwriters in Your initial public offering, provided all other stockholders bound by the market stand-off language in the Rights Agreement are similarly bound. Notwithstanding the foregoing, in no event shall such market stand-off provisions or lock-up letter restrict Our ability to exercise Our purchase rights</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393" w:name="page394"/>
    <w:bookmarkEnd w:id="393"/>
    <w:p>
      <w:pPr>
        <w:ind w:left="660" w:right="260"/>
        <w:spacing w:after="0" w:line="277" w:lineRule="auto"/>
        <w:rPr>
          <w:sz w:val="20"/>
          <w:szCs w:val="20"/>
          <w:color w:val="auto"/>
        </w:rPr>
      </w:pPr>
      <w:r>
        <w:rPr>
          <w:rFonts w:ascii="Arial" w:cs="Arial" w:eastAsia="Arial" w:hAnsi="Arial"/>
          <w:sz w:val="18"/>
          <w:szCs w:val="18"/>
          <w:color w:val="auto"/>
        </w:rPr>
        <w:t>under this Warrant Agreement, including the transfer of Common Stock to You solely to satisfy the exercise price pursuant to the Net Issuance Method.</w:t>
      </w:r>
    </w:p>
    <w:p>
      <w:pPr>
        <w:spacing w:after="0" w:line="166" w:lineRule="exact"/>
        <w:rPr>
          <w:sz w:val="20"/>
          <w:szCs w:val="20"/>
          <w:color w:val="auto"/>
        </w:rPr>
      </w:pPr>
    </w:p>
    <w:p>
      <w:pPr>
        <w:ind w:left="660" w:hanging="652"/>
        <w:spacing w:after="0"/>
        <w:tabs>
          <w:tab w:leader="none" w:pos="6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NOTICES YOU AGREE TO PROVIDE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agree to give Us at least ten (10) days prior written notice of the following events:</w:t>
      </w:r>
    </w:p>
    <w:p>
      <w:pPr>
        <w:spacing w:after="0" w:line="225" w:lineRule="exact"/>
        <w:rPr>
          <w:sz w:val="20"/>
          <w:szCs w:val="20"/>
          <w:color w:val="auto"/>
        </w:rPr>
      </w:pPr>
    </w:p>
    <w:p>
      <w:pPr>
        <w:ind w:left="620" w:hanging="612"/>
        <w:spacing w:after="0"/>
        <w:tabs>
          <w:tab w:leader="none" w:pos="6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You pay a Dividend or distribution declaration upon Your stock.</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You offer for subscription pro-rata to the existing stockholders additional stock or other equity rights.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You consummate or sign definitive documents providing for a Merger Event.</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You consummate an initial public offering.</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You dissolve or liquidate.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notices in this Section must set forth details of the event, how the event adjusts either Our number of shares or Our Exercise Price and the method used for such adjustment.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less than ten (10) business days prior to any Merger Event, You shall provide Us with written notice of the proposed Merger Event together with a copy of the executed merger agreement, or other definitive documentation (and all schedules and exhibits thereto) and information concerning Your expected capitalization immediately prior to the Merger Event. Upon consummation of the Merger Event, You shall promptly provide Us with (a) a copy of any modifications or amendments to the executed merger agreement, (b) any other documents in connection therewith, (c) updated information, if any, concerning Your capitalization immediately prior to the Merger Event, and, (d) upon request, by Us any other information reasonably necessary to an informed evaluation of Our rights under this Warrant Agreement.</w:t>
      </w:r>
    </w:p>
    <w:p>
      <w:pPr>
        <w:spacing w:after="0" w:line="188" w:lineRule="exact"/>
        <w:rPr>
          <w:sz w:val="20"/>
          <w:szCs w:val="20"/>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Timely Notice</w:t>
      </w:r>
      <w:r>
        <w:rPr>
          <w:rFonts w:ascii="Arial" w:cs="Arial" w:eastAsia="Arial" w:hAnsi="Arial"/>
          <w:sz w:val="18"/>
          <w:szCs w:val="18"/>
          <w:color w:val="auto"/>
        </w:rPr>
        <w:t>. Your failure to timely provide such notice required above shall entitle Us to retain the benefit of the applicable notice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 any insufficient notice received by Us.</w:t>
      </w:r>
    </w:p>
    <w:p>
      <w:pPr>
        <w:spacing w:after="0" w:line="162" w:lineRule="exact"/>
        <w:rPr>
          <w:sz w:val="20"/>
          <w:szCs w:val="20"/>
          <w:color w:val="auto"/>
        </w:rPr>
      </w:pPr>
    </w:p>
    <w:p>
      <w:pPr>
        <w:ind w:left="660" w:hanging="652"/>
        <w:spacing w:after="0"/>
        <w:tabs>
          <w:tab w:leader="none" w:pos="6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YOU WILL PROVIDE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Upon signing this Warrant Agreement You will provide Us with:</w:t>
      </w:r>
    </w:p>
    <w:p>
      <w:pPr>
        <w:spacing w:after="0" w:line="225" w:lineRule="exact"/>
        <w:rPr>
          <w:sz w:val="20"/>
          <w:szCs w:val="20"/>
          <w:color w:val="auto"/>
        </w:rPr>
      </w:pPr>
    </w:p>
    <w:p>
      <w:pPr>
        <w:ind w:left="620" w:hanging="612"/>
        <w:spacing w:after="0"/>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Executed originals of this Warrant Agreement, and all other documents and instruments that We may reasonably require</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Secretary’s certificate of incumbency and authority</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Certified copy of resolutions of Your board of directors approving this Warrant Agreement</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Certified copy of Your Certificate of Incorporation and by-laws as amended through the Effective Date</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Current Rights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 long as this Warrant Agreement is in effect, You shall provide Us with the following:</w:t>
      </w:r>
    </w:p>
    <w:p>
      <w:pPr>
        <w:spacing w:after="0" w:line="225" w:lineRule="exact"/>
        <w:rPr>
          <w:sz w:val="20"/>
          <w:szCs w:val="20"/>
          <w:color w:val="auto"/>
        </w:rPr>
      </w:pPr>
    </w:p>
    <w:p>
      <w:pPr>
        <w:ind w:left="660" w:right="60" w:hanging="652"/>
        <w:spacing w:after="0" w:line="311" w:lineRule="auto"/>
        <w:tabs>
          <w:tab w:leader="none" w:pos="624"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Within ten (10) Business Days after the closing of any equity financing, or extension of an existing round of equity financing, occurring after the Effective Date, in which You issue preferred stock or other securities You will provide Us with copies of the fully executed equity financing documents, including without limitation the related stock purchase agreement, investors rights agreement, voting agreement, amended or restated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94" w:name="page395"/>
    <w:bookmarkEnd w:id="394"/>
    <w:p>
      <w:pPr>
        <w:ind w:left="660" w:right="280"/>
        <w:spacing w:after="0" w:line="263" w:lineRule="auto"/>
        <w:rPr>
          <w:sz w:val="20"/>
          <w:szCs w:val="20"/>
          <w:color w:val="auto"/>
        </w:rPr>
      </w:pPr>
      <w:r>
        <w:rPr>
          <w:rFonts w:ascii="Arial" w:cs="Arial" w:eastAsia="Arial" w:hAnsi="Arial"/>
          <w:sz w:val="18"/>
          <w:szCs w:val="18"/>
          <w:color w:val="auto"/>
        </w:rPr>
        <w:t>Certificates of Incorporation, current capitalization table and other related documents. Notwithstanding any term or condition contained in this Warrant Agreement to the contrary, Your failure to comply with this paragraph shall not constitute a default unless You have not provided the information requested within ten (10) days of Our request.</w:t>
      </w:r>
    </w:p>
    <w:p>
      <w:pPr>
        <w:spacing w:after="0" w:line="184" w:lineRule="exact"/>
        <w:rPr>
          <w:sz w:val="20"/>
          <w:szCs w:val="20"/>
          <w:color w:val="auto"/>
        </w:rPr>
      </w:pPr>
    </w:p>
    <w:p>
      <w:pPr>
        <w:ind w:left="660" w:right="180" w:hanging="652"/>
        <w:spacing w:after="0" w:line="286" w:lineRule="auto"/>
        <w:tabs>
          <w:tab w:leader="none" w:pos="624" w:val="left"/>
        </w:tabs>
        <w:numPr>
          <w:ilvl w:val="0"/>
          <w:numId w:val="298"/>
        </w:numPr>
        <w:rPr>
          <w:rFonts w:ascii="Arial" w:cs="Arial" w:eastAsia="Arial" w:hAnsi="Arial"/>
          <w:sz w:val="17"/>
          <w:szCs w:val="17"/>
          <w:color w:val="auto"/>
        </w:rPr>
      </w:pPr>
      <w:r>
        <w:rPr>
          <w:rFonts w:ascii="Arial" w:cs="Arial" w:eastAsia="Arial" w:hAnsi="Arial"/>
          <w:sz w:val="17"/>
          <w:szCs w:val="17"/>
          <w:color w:val="auto"/>
        </w:rPr>
        <w:t>Within thirty (30) days after completion You shall provide Us with any 409A Valuation Reports or other similar reports prepared for You. Notwithstanding any term or condition contained in this Warrant Agreement to the contrary, Your failure to comply with this paragraph shall not constitute a default unless You have not provided the information requested within ten (10) days of Our request.</w:t>
      </w:r>
    </w:p>
    <w:p>
      <w:pPr>
        <w:spacing w:after="0" w:line="165" w:lineRule="exact"/>
        <w:rPr>
          <w:rFonts w:ascii="Arial" w:cs="Arial" w:eastAsia="Arial" w:hAnsi="Arial"/>
          <w:sz w:val="17"/>
          <w:szCs w:val="17"/>
          <w:color w:val="auto"/>
        </w:rPr>
      </w:pPr>
    </w:p>
    <w:p>
      <w:pPr>
        <w:ind w:left="660" w:hanging="652"/>
        <w:spacing w:after="0" w:line="293" w:lineRule="auto"/>
        <w:tabs>
          <w:tab w:leader="none" w:pos="62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After all obligations under the Loan Agreement have been finally paid in full, within thirty (30) days after the end of each quarter, You will provide Us with (1) an unaudited income statement, statement of cash flows, and an unaudited balance sheet prepared in accordance with GAAP accompanied by a report detailing any material contingencies, and (2) within one hundred eighty (180) days of the end of each fiscal year end, You will provide Us with audited financial statements accompanied by an audit report and an unqualified opinion of the independent certified public accountants. Notwithstanding any term or condition contained in this Warrant Agreement to the contrary, Your failure to comply with this paragraph shall not constitute a default unless You have not provided the information requested within ten (10) days of Our request.</w:t>
      </w:r>
    </w:p>
    <w:p>
      <w:pPr>
        <w:spacing w:after="0" w:line="164" w:lineRule="exact"/>
        <w:rPr>
          <w:rFonts w:ascii="Arial" w:cs="Arial" w:eastAsia="Arial" w:hAnsi="Arial"/>
          <w:sz w:val="16"/>
          <w:szCs w:val="16"/>
          <w:color w:val="auto"/>
        </w:rPr>
      </w:pPr>
    </w:p>
    <w:p>
      <w:pPr>
        <w:ind w:left="660" w:right="680" w:hanging="652"/>
        <w:spacing w:after="0" w:line="277" w:lineRule="auto"/>
        <w:tabs>
          <w:tab w:leader="none" w:pos="62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You shall submit to Us any other documents and other information that We may reasonably request from time to time and are necessary to implement the provisions and purposes of this Warrant Agreement.</w:t>
      </w:r>
    </w:p>
    <w:p>
      <w:pPr>
        <w:spacing w:after="0" w:line="166"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RIGHTS UNDER THE 1933 ACT.</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shares of Your common stock into which the Warrant Stock is convertible shall be entitled to “piggyback” and S-3 registration rights on the same terms, conditions, limitations and obligations imposed upon other holders of Your Preferred Stock, all as set forth in the Rights Agreement. The provisions set forth in the Rights Agreement relating to such registration rights in effect as of the date of this Warrant Agreement may not be amended, modified or waived without Our prior written consent unless such amendment, modification or waiver affects the rights associated with the shares of common stock into which the Warrant Stock is convertible in the same manner as such amendment, modification, or waiver affects the rights associated with all other shares of the same series and class of stock as the Warrant Stock.</w:t>
      </w:r>
    </w:p>
    <w:p>
      <w:pPr>
        <w:spacing w:after="0" w:line="174" w:lineRule="exact"/>
        <w:rPr>
          <w:sz w:val="20"/>
          <w:szCs w:val="20"/>
          <w:color w:val="auto"/>
        </w:rPr>
      </w:pPr>
    </w:p>
    <w:p>
      <w:pPr>
        <w:ind w:left="640" w:hanging="632"/>
        <w:spacing w:after="0"/>
        <w:tabs>
          <w:tab w:leader="none" w:pos="64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OTHER LEGAL PROVISIONS THE PARTIES WILL ABIDE BY.</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rPr>
        <w:t>. This Warrant Agreement shall be construed and shall be given effect in all respects as if it had been executed and delivered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hereof. This Warrant Agreement shall be binding upon any of the successors or assigns of the Parties.</w:t>
      </w:r>
    </w:p>
    <w:p>
      <w:pPr>
        <w:spacing w:after="0" w:line="162"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Attorney’s Fees</w:t>
      </w:r>
      <w:r>
        <w:rPr>
          <w:rFonts w:ascii="Arial" w:cs="Arial" w:eastAsia="Arial" w:hAnsi="Arial"/>
          <w:sz w:val="16"/>
          <w:szCs w:val="16"/>
          <w:color w:val="auto"/>
        </w:rPr>
        <w:t>. In any litigation, arbitration or court proceeding between the Parties relating to this Warrant Agreement, the prevailing party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reasonable attorneys’ fees and expenses and all reasonable costs of proceedings incurred in enforcing this Warrant Agreement.</w:t>
      </w:r>
    </w:p>
    <w:p>
      <w:pPr>
        <w:spacing w:after="0" w:line="11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Warrant Agreement shall be governed by and construed for all purposes under and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without giving effect to that body of law pertaining to conflicts of laws.</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Consent to Jurisdiction and Venue</w:t>
      </w:r>
      <w:r>
        <w:rPr>
          <w:rFonts w:ascii="Arial" w:cs="Arial" w:eastAsia="Arial" w:hAnsi="Arial"/>
          <w:sz w:val="18"/>
          <w:szCs w:val="18"/>
          <w:color w:val="auto"/>
        </w:rPr>
        <w:t>. All judicial proceedings arising in or under or related to this Warrant Agreement may be brought in any state or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court of competent jurisdiction located in the State of California. By execution and delivery of this Warrant Agreement, each party hereto generally and unconditionally: (a) consents to personal jurisdiction in San Mateo County, State of California; (b) waives any objection as to jurisdiction or venue in San Mateo County, State of California; and (c) agrees not to assert any defense based on lack of jurisdiction or venue in the aforesaid courts. Service of process on any party hereto in any action arising out of or relating to this Warrant Agreement shall be effective if given in accordance with the requirements for notice set forth in this Section, and shall be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5" w:name="page396"/>
    <w:bookmarkEnd w:id="395"/>
    <w:p>
      <w:pPr>
        <w:ind w:right="20"/>
        <w:spacing w:after="0" w:line="277" w:lineRule="auto"/>
        <w:rPr>
          <w:sz w:val="20"/>
          <w:szCs w:val="20"/>
          <w:color w:val="auto"/>
        </w:rPr>
      </w:pPr>
      <w:r>
        <w:rPr>
          <w:rFonts w:ascii="Arial" w:cs="Arial" w:eastAsia="Arial" w:hAnsi="Arial"/>
          <w:sz w:val="18"/>
          <w:szCs w:val="18"/>
          <w:color w:val="auto"/>
        </w:rPr>
        <w:t>deemed effective and received as set forth therein. Nothing herein shall affect the right to serve process in any other manner permitted by law or shall limit the right of either party to bring proceedings in the courts of any other jurisdiction.</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Mutual Waiver of Jury Trial; Judicial Reference</w:t>
      </w:r>
      <w:r>
        <w:rPr>
          <w:rFonts w:ascii="Arial" w:cs="Arial" w:eastAsia="Arial" w:hAnsi="Arial"/>
          <w:sz w:val="17"/>
          <w:szCs w:val="17"/>
          <w:color w:val="auto"/>
        </w:rPr>
        <w:t>. Because disputes arising in connection with complex financial transactions are most quickly and</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economically resolved by an experienced and expert person and the Parties wish applicable state and federal laws to apply (rather than arbitration rules), the Parties desire that their disputes be resolved by a judge applying such applicable laws. EACH OF THE PARTIES SPECIFICALLY WAIVES ANY RIGHT THEY MAY HAVE TO TRIAL BY JURY OF ANY CAUSE OF ACTION, CLAIM, CROSS-CLAIM, COUNTERCLAIM, THIRD PARTY CLAIM OR ANY OTHER CLAIM (COLLECTIVELY, “</w:t>
      </w:r>
      <w:r>
        <w:rPr>
          <w:rFonts w:ascii="Arial" w:cs="Arial" w:eastAsia="Arial" w:hAnsi="Arial"/>
          <w:sz w:val="17"/>
          <w:szCs w:val="17"/>
          <w:u w:val="single" w:color="auto"/>
          <w:color w:val="auto"/>
        </w:rPr>
        <w:t>CLAIMS</w:t>
      </w:r>
      <w:r>
        <w:rPr>
          <w:rFonts w:ascii="Arial" w:cs="Arial" w:eastAsia="Arial" w:hAnsi="Arial"/>
          <w:sz w:val="17"/>
          <w:szCs w:val="17"/>
          <w:color w:val="auto"/>
        </w:rPr>
        <w:t>”) ASSERTED BY YOU AGAINST US OR OUR ASSIGNEE OR BY US OR OUR ASSIGNEE AGAINST YOU WITH RESPECT TO THIS WARRANT AGREEMENT. IN THE EVENT THAT THE FOREGOING JURY TRIAL WAIVER IS NOT ENFORCEABLE, ALL CLAIMS, INCLUDING ANY AND ALL QUESTIONS OF LAW OR FACT RELATING THERETO, SHALL, AT THE WRITTEN REQUEST OF ANY PARTY, BE DETERMINED BY JUDICIAL REFERENCE PURSUANT TO THE CALIFORNIA CODE OF CIVIL PROCEDURE. THE PARTIES SHALL MUTUALLY SELECT A SINGLE NEUTRAL REFEREE, WHO SHALL BE A RETIRED STATE OR FEDERAL JUDGE. IN THE EVENT THAT THE PARTIES CANNOT AGREE UPON A REFEREE, THE REFEREE SHALL BE APPOINTED BY THE COURT. THE REFEREE SHALL REPORT A STATEMENT OF DECISION TO THE COURT. NOTHING IN THIS SECTION SHALL LIMIT THE RIGHT OF ANY PARTY AT ANY TIME TO EXERCISE LAWFUL SELF-HELP REMEDIES, FORECLOSE AGAINST COLLATERAL OR OBTAIN PROVISIONAL REMEDIES. THE PARTIES SHALL BEAR THE FEES AND EXPENSES OF THE REFEREE EQUALLY UNLESS THE REFEREE ORDERS OTHERWISE. THE REFEREE SHALL ALSO DETERMINE ALL ISSUES RELATING TO THE APPLICABILITY, INTERPRETATION, AND ENFORCEABILITY OF THIS SECTION. THE PARTIES ACKNOWLEDGE THAT THE CLAIMS WILL NOT BE ADJUDICATED BY A JURY. This waiver extends to all such Claims, including Claims that involve persons other than You and Us; Claims that arise out of or are in any way connected to the relationship between You and Us; and any Claims for damages, breach of contract, specific performance, or any equitable or legal relief of any kind, in each case arising out of this Warrant Agreement.</w:t>
      </w:r>
    </w:p>
    <w:p>
      <w:pPr>
        <w:spacing w:after="0" w:line="17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Warrant Agreement may be executed in two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Any notice required or permitted under this Warrant Agreement shall be given in writing and shall be deemed effectively given upon the earlier of</w:t>
      </w:r>
    </w:p>
    <w:p>
      <w:pPr>
        <w:spacing w:after="0" w:line="50" w:lineRule="exact"/>
        <w:rPr>
          <w:sz w:val="20"/>
          <w:szCs w:val="20"/>
          <w:color w:val="auto"/>
        </w:rPr>
      </w:pPr>
    </w:p>
    <w:p>
      <w:pPr>
        <w:ind w:right="80" w:firstLine="8"/>
        <w:spacing w:after="0" w:line="255" w:lineRule="auto"/>
        <w:tabs>
          <w:tab w:leader="none" w:pos="25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actual receipt or 3 days after mailing if mailed postage prepaid by regular or airmail to Us or You or (2) one day after it is sent by overnight mail via nationally recognized courier or (3) on the same day as sent via confirmed facsimile transmission, provided that the original is sent by personal delivery or mail by the sending party.</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Remedies</w:t>
      </w:r>
      <w:r>
        <w:rPr>
          <w:rFonts w:ascii="Arial" w:cs="Arial" w:eastAsia="Arial" w:hAnsi="Arial"/>
          <w:sz w:val="18"/>
          <w:szCs w:val="18"/>
          <w:color w:val="auto"/>
        </w:rPr>
        <w:t>. In the event of any default hereunder, the non-defaulting party may proceed to protect and enforce its rights either by suit in equity and/or by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at law, including but not limited to an action for damages as a result of any such default, and/or an action for specific performance for any default where such party will not have an adequate remedy at law and where damages will not be readily ascertainable. Each party expressly acknowledges and agrees that there is no adequate remedy at law for any breach of this Warrant Agreement and that in the event of any breach of this Warrant Agreement, the injured party shall be entitled to specific performance of any or all provisions hereof or an injunction prohibiting the other party from continuing to commit any such breach of this Warrant Agreement.</w:t>
      </w:r>
    </w:p>
    <w:p>
      <w:pPr>
        <w:spacing w:after="0" w:line="18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The representations, warranties, covenants, and conditions of the Parties contained herein or made pursuant to this Warrant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execution and delivery of this Warrant Agreement.</w:t>
      </w:r>
    </w:p>
    <w:p>
      <w:pPr>
        <w:spacing w:after="0" w:line="16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one or more of the provisions of this Warrant Agreement shall for any reason be held invalid, illegal or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Warrant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96" w:name="page397"/>
    <w:bookmarkEnd w:id="396"/>
    <w:p>
      <w:pPr>
        <w:ind w:right="80"/>
        <w:spacing w:after="0" w:line="266" w:lineRule="auto"/>
        <w:rPr>
          <w:sz w:val="20"/>
          <w:szCs w:val="20"/>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Warrant Agreement constitutes the entire agreement between the Parties pertaining to the subject matter contained in it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prior and contemporaneous agreements, representations and undertakings of the Parties, whether oral or written, with respect to such subject matter.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r>
        <w:rPr>
          <w:rFonts w:ascii="Arial" w:cs="Arial" w:eastAsia="Arial" w:hAnsi="Arial"/>
          <w:sz w:val="18"/>
          <w:szCs w:val="18"/>
          <w:color w:val="auto"/>
        </w:rPr>
        <w:t>. Any provision of this Warrant Agreement may only be amended by a written instrument signed by the Parties.</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Lost Warrants or Stock Certificates</w:t>
      </w:r>
      <w:r>
        <w:rPr>
          <w:rFonts w:ascii="Arial" w:cs="Arial" w:eastAsia="Arial" w:hAnsi="Arial"/>
          <w:sz w:val="18"/>
          <w:szCs w:val="18"/>
          <w:color w:val="auto"/>
        </w:rPr>
        <w:t>. You covenant to Us that, upon receipt of evidence reasonably satisfactory to Us of the loss, theft, destruction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mutilation of this Warrant Agreement or any stock certificate and, in the case of any such loss, theft or destruction, upon receipt of an indemnity reasonably satisfactory to You, or in the case of any such mutilation upon surrender and cancellation of such Warrant Agreement or stock certificate, You will make and deliver a new Warrant Agreement or stock certificate, of like tenor, in lieu of the lost, stolen, destroyed or mutilated Warrant Agreement or stock certificate.</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Rights as Stockholders</w:t>
      </w:r>
      <w:r>
        <w:rPr>
          <w:rFonts w:ascii="Arial" w:cs="Arial" w:eastAsia="Arial" w:hAnsi="Arial"/>
          <w:sz w:val="17"/>
          <w:szCs w:val="17"/>
          <w:color w:val="auto"/>
        </w:rPr>
        <w:t>. We shall not, as a party to this Warrant Agreement, be entitled to vote or receive dividends or be deemed the holder of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Stock or any of Your other securities which may at any time be issuable upon the exercise hereof for any purpose, nor shall anything contained herein be construed to confer upon Us any of the rights of one of Your stockholders or any right to vote for the election of directors or upon any matter submitted to stockholders at any meeting thereof, or to receive dividends or subscription rights or otherwise until this Warrant Agreement is exercised and the shares purchasable upon the exercise hereof shall have become deliverable, as provided herein.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r>
        <w:rPr>
          <w:rFonts w:ascii="Arial" w:cs="Arial" w:eastAsia="Arial" w:hAnsi="Arial"/>
          <w:sz w:val="17"/>
          <w:szCs w:val="17"/>
          <w:color w:val="auto"/>
        </w:rPr>
        <w:t>. This Warrant Agreement may be executed and delivered by facsimile or transmitted electronically in either Tagged Image Format Files</w:t>
      </w:r>
    </w:p>
    <w:p>
      <w:pPr>
        <w:spacing w:after="0" w:line="3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TIFF</w:t>
      </w:r>
      <w:r>
        <w:rPr>
          <w:rFonts w:ascii="Arial" w:cs="Arial" w:eastAsia="Arial" w:hAnsi="Arial"/>
          <w:sz w:val="18"/>
          <w:szCs w:val="18"/>
          <w:color w:val="auto"/>
        </w:rPr>
        <w:t>”) or Portable Document Format (“</w:t>
      </w:r>
      <w:r>
        <w:rPr>
          <w:rFonts w:ascii="Arial" w:cs="Arial" w:eastAsia="Arial" w:hAnsi="Arial"/>
          <w:sz w:val="18"/>
          <w:szCs w:val="18"/>
          <w:b w:val="1"/>
          <w:bCs w:val="1"/>
          <w:color w:val="auto"/>
        </w:rPr>
        <w:t>PDF</w:t>
      </w:r>
      <w:r>
        <w:rPr>
          <w:rFonts w:ascii="Arial" w:cs="Arial" w:eastAsia="Arial" w:hAnsi="Arial"/>
          <w:sz w:val="18"/>
          <w:szCs w:val="18"/>
          <w:color w:val="auto"/>
        </w:rPr>
        <w:t>”) and, upon such delivery, the facsimile, TIFF or PDF signature, as applicable, will be deemed to have the same effect as if the original signature had been delivered to the other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have caused this Warrant Agreement to be executed by its officers who are duly authorized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tbl>
      <w:tblPr>
        <w:tblLayout w:type="fixed"/>
        <w:tblInd w:w="50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You:</w:t>
            </w:r>
          </w:p>
        </w:tc>
        <w:tc>
          <w:tcPr>
            <w:tcW w:w="4720" w:type="dxa"/>
            <w:vAlign w:val="bottom"/>
          </w:tcPr>
          <w:p>
            <w:pPr>
              <w:spacing w:after="0"/>
              <w:rPr>
                <w:sz w:val="20"/>
                <w:szCs w:val="20"/>
                <w:color w:val="auto"/>
              </w:rPr>
            </w:pPr>
            <w:r>
              <w:rPr>
                <w:rFonts w:ascii="Arial" w:cs="Arial" w:eastAsia="Arial" w:hAnsi="Arial"/>
                <w:sz w:val="18"/>
                <w:szCs w:val="18"/>
                <w:b w:val="1"/>
                <w:bCs w:val="1"/>
                <w:color w:val="auto"/>
              </w:rPr>
              <w:t>CROWDSTRIKE HOLDINGS, INC.</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Signature: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Kurtz</w:t>
            </w:r>
          </w:p>
        </w:tc>
      </w:tr>
      <w:tr>
        <w:trPr>
          <w:trHeight w:val="425"/>
        </w:trPr>
        <w:tc>
          <w:tcPr>
            <w:tcW w:w="1460" w:type="dxa"/>
            <w:vAlign w:val="bottom"/>
          </w:tcPr>
          <w:p>
            <w:pPr>
              <w:spacing w:after="0"/>
              <w:rPr>
                <w:sz w:val="20"/>
                <w:szCs w:val="20"/>
                <w:color w:val="auto"/>
              </w:rPr>
            </w:pPr>
            <w:r>
              <w:rPr>
                <w:rFonts w:ascii="Arial" w:cs="Arial" w:eastAsia="Arial" w:hAnsi="Arial"/>
                <w:sz w:val="18"/>
                <w:szCs w:val="18"/>
                <w:color w:val="auto"/>
              </w:rPr>
              <w:t>Print 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George Kurtz</w:t>
            </w:r>
          </w:p>
        </w:tc>
      </w:tr>
      <w:tr>
        <w:trPr>
          <w:trHeight w:val="425"/>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506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Us:</w:t>
            </w:r>
          </w:p>
        </w:tc>
        <w:tc>
          <w:tcPr>
            <w:tcW w:w="4720" w:type="dxa"/>
            <w:vAlign w:val="bottom"/>
          </w:tcPr>
          <w:p>
            <w:pPr>
              <w:spacing w:after="0"/>
              <w:rPr>
                <w:sz w:val="20"/>
                <w:szCs w:val="20"/>
                <w:color w:val="auto"/>
              </w:rPr>
            </w:pPr>
            <w:r>
              <w:rPr>
                <w:rFonts w:ascii="Arial" w:cs="Arial" w:eastAsia="Arial" w:hAnsi="Arial"/>
                <w:sz w:val="18"/>
                <w:szCs w:val="18"/>
                <w:b w:val="1"/>
                <w:bCs w:val="1"/>
                <w:color w:val="auto"/>
              </w:rPr>
              <w:t>TRIPLEPOINT VENTURE GROWTH BDC CORP.</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Signature: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Sajal Srivastava</w:t>
            </w:r>
          </w:p>
        </w:tc>
      </w:tr>
      <w:tr>
        <w:trPr>
          <w:trHeight w:val="426"/>
        </w:trPr>
        <w:tc>
          <w:tcPr>
            <w:tcW w:w="1460" w:type="dxa"/>
            <w:vAlign w:val="bottom"/>
          </w:tcPr>
          <w:p>
            <w:pPr>
              <w:spacing w:after="0"/>
              <w:rPr>
                <w:sz w:val="20"/>
                <w:szCs w:val="20"/>
                <w:color w:val="auto"/>
              </w:rPr>
            </w:pPr>
            <w:r>
              <w:rPr>
                <w:rFonts w:ascii="Arial" w:cs="Arial" w:eastAsia="Arial" w:hAnsi="Arial"/>
                <w:sz w:val="18"/>
                <w:szCs w:val="18"/>
                <w:color w:val="auto"/>
              </w:rPr>
              <w:t>Print Name: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Sajal Srivastava</w:t>
            </w:r>
          </w:p>
        </w:tc>
      </w:tr>
      <w:tr>
        <w:trPr>
          <w:trHeight w:val="425"/>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WARRANT AGREEMENT 0987-W-01]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7" w:name="page398"/>
    <w:bookmarkEnd w:id="397"/>
    <w:p>
      <w:pPr>
        <w:jc w:val="center"/>
        <w:ind w:right="-339"/>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NOTICE OF EXERCISE</w:t>
      </w:r>
    </w:p>
    <w:p>
      <w:pPr>
        <w:sectPr>
          <w:pgSz w:w="11900" w:h="16838" w:orient="portrait"/>
          <w:cols w:equalWidth="0" w:num="1">
            <w:col w:w="10900"/>
          </w:cols>
          <w:pgMar w:left="320" w:top="337" w:right="6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240" w:space="400"/>
            <w:col w:w="960" w:space="720"/>
            <w:col w:w="8580"/>
          </w:cols>
          <w:pgMar w:left="320" w:top="337" w:right="6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elect to purchase [</w:t>
      </w:r>
      <w:r>
        <w:rPr>
          <w:sz w:val="20"/>
          <w:szCs w:val="20"/>
          <w:color w:val="auto"/>
        </w:rPr>
        <w:t xml:space="preserve"> </w:t>
      </w:r>
      <w:r>
        <w:rPr>
          <w:rFonts w:ascii="Arial" w:cs="Arial" w:eastAsia="Arial" w:hAnsi="Arial"/>
          <w:sz w:val="18"/>
          <w:szCs w:val="18"/>
          <w:color w:val="auto"/>
        </w:rPr>
        <w:t>] shares of the Series [ ] Preferred Stock of [ ], pursuant to the terms of the Plain English Warrant Agreement dated the [ ] day of [ ], [20 ] (the “Plain English Warrant Agreement”) between You and Us, We hereby tender here payment of the purchase price for such shares in full, together with all applicable transfer taxes, if any.</w:t>
      </w:r>
    </w:p>
    <w:p>
      <w:pPr>
        <w:spacing w:after="0" w:line="184" w:lineRule="exact"/>
        <w:rPr>
          <w:sz w:val="20"/>
          <w:szCs w:val="20"/>
          <w:color w:val="auto"/>
        </w:rPr>
      </w:pPr>
    </w:p>
    <w:p>
      <w:pPr>
        <w:sectPr>
          <w:pgSz w:w="11900" w:h="16838" w:orient="portrait"/>
          <w:cols w:equalWidth="0" w:num="2">
            <w:col w:w="140" w:space="520"/>
            <w:col w:w="10240"/>
          </w:cols>
          <w:pgMar w:left="320" w:top="337" w:right="679" w:bottom="1440" w:gutter="0" w:footer="0" w:header="0"/>
          <w:type w:val="continuous"/>
        </w:sectPr>
      </w:pPr>
    </w:p>
    <w:p>
      <w:pPr>
        <w:ind w:left="660" w:hanging="652"/>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Method of Exercise (Please initial the applicable blank)</w:t>
      </w:r>
    </w:p>
    <w:p>
      <w:pPr>
        <w:spacing w:after="0" w:line="225" w:lineRule="exact"/>
        <w:rPr>
          <w:rFonts w:ascii="Arial" w:cs="Arial" w:eastAsia="Arial" w:hAnsi="Arial"/>
          <w:sz w:val="18"/>
          <w:szCs w:val="18"/>
          <w:color w:val="auto"/>
        </w:rPr>
      </w:pPr>
    </w:p>
    <w:p>
      <w:pPr>
        <w:ind w:left="1620" w:right="260" w:hanging="640"/>
        <w:spacing w:after="0" w:line="308" w:lineRule="auto"/>
        <w:tabs>
          <w:tab w:leader="none" w:pos="1921" w:val="left"/>
        </w:tabs>
        <w:numPr>
          <w:ilvl w:val="1"/>
          <w:numId w:val="302"/>
        </w:numPr>
        <w:rPr>
          <w:rFonts w:ascii="Arial" w:cs="Arial" w:eastAsia="Arial" w:hAnsi="Arial"/>
          <w:sz w:val="17"/>
          <w:szCs w:val="17"/>
          <w:color w:val="auto"/>
        </w:rPr>
      </w:pPr>
      <w:r>
        <w:rPr>
          <w:rFonts w:ascii="Arial" w:cs="Arial" w:eastAsia="Arial" w:hAnsi="Arial"/>
          <w:sz w:val="17"/>
          <w:szCs w:val="17"/>
          <w:color w:val="auto"/>
        </w:rPr>
        <w:t>The undersigned elects to exercise the Plain English Warrant Agreement by means of a cash payment, and gives You full payment for the purchase price of the shares being purchased, together with all applicable transfer taxes, if any.</w:t>
      </w:r>
    </w:p>
    <w:p>
      <w:pPr>
        <w:spacing w:after="0" w:line="146" w:lineRule="exact"/>
        <w:rPr>
          <w:rFonts w:ascii="Arial" w:cs="Arial" w:eastAsia="Arial" w:hAnsi="Arial"/>
          <w:sz w:val="17"/>
          <w:szCs w:val="17"/>
          <w:color w:val="auto"/>
        </w:rPr>
      </w:pPr>
    </w:p>
    <w:p>
      <w:pPr>
        <w:ind w:left="1620" w:right="140" w:hanging="640"/>
        <w:spacing w:after="0" w:line="277" w:lineRule="auto"/>
        <w:tabs>
          <w:tab w:leader="none" w:pos="193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The undersigned elects to exercise the Plain English Warrant Agreement by means of the Net Issuance Exercise method of Section 3 of the Plain English Warrant Agreement.</w:t>
      </w:r>
    </w:p>
    <w:p>
      <w:pPr>
        <w:sectPr>
          <w:pgSz w:w="11900" w:h="16838" w:orient="portrait"/>
          <w:cols w:equalWidth="0" w:num="1">
            <w:col w:w="10900"/>
          </w:cols>
          <w:pgMar w:left="320" w:top="337" w:right="67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exercising Our rights to purchase the Series [</w:t>
      </w:r>
      <w:r>
        <w:rPr>
          <w:sz w:val="20"/>
          <w:szCs w:val="20"/>
          <w:color w:val="auto"/>
        </w:rPr>
        <w:t xml:space="preserve"> </w:t>
      </w:r>
      <w:r>
        <w:rPr>
          <w:rFonts w:ascii="Arial" w:cs="Arial" w:eastAsia="Arial" w:hAnsi="Arial"/>
          <w:sz w:val="18"/>
          <w:szCs w:val="18"/>
          <w:color w:val="auto"/>
        </w:rPr>
        <w:t>] Preferred Stock of [ ], We hereby confirm and acknowledge the investment representations, warranties and covenants made in Section 7 of the Plain English Warrant Agreement.</w:t>
      </w:r>
    </w:p>
    <w:p>
      <w:pPr>
        <w:spacing w:after="0" w:line="170" w:lineRule="exact"/>
        <w:rPr>
          <w:sz w:val="20"/>
          <w:szCs w:val="20"/>
          <w:color w:val="auto"/>
        </w:rPr>
      </w:pPr>
    </w:p>
    <w:p>
      <w:pPr>
        <w:sectPr>
          <w:pgSz w:w="11900" w:h="16838" w:orient="portrait"/>
          <w:cols w:equalWidth="0" w:num="2">
            <w:col w:w="140" w:space="520"/>
            <w:col w:w="10240"/>
          </w:cols>
          <w:pgMar w:left="320" w:top="337" w:right="6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Please issue a certificate or certificates representing these purchased shares of Series specified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 in Our name or in such other name as is</w:t>
      </w:r>
    </w:p>
    <w:p>
      <w:pPr>
        <w:spacing w:after="0" w:line="493" w:lineRule="exact"/>
        <w:rPr>
          <w:sz w:val="20"/>
          <w:szCs w:val="20"/>
          <w:color w:val="auto"/>
        </w:rPr>
      </w:pPr>
    </w:p>
    <w:p>
      <w:pPr>
        <w:sectPr>
          <w:pgSz w:w="11900" w:h="16838" w:orient="portrait"/>
          <w:cols w:equalWidth="0" w:num="2">
            <w:col w:w="6080" w:space="500"/>
            <w:col w:w="4320"/>
          </w:cols>
          <w:pgMar w:left="320" w:top="337" w:right="679" w:bottom="1440" w:gutter="0" w:footer="0" w:header="0"/>
          <w:type w:val="continuous"/>
        </w:sectPr>
      </w:pPr>
    </w:p>
    <w:p>
      <w:pPr>
        <w:spacing w:after="0" w:line="20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-130175</wp:posOffset>
            </wp:positionV>
            <wp:extent cx="664337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37"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18"/>
          <w:szCs w:val="18"/>
          <w:b w:val="1"/>
          <w:bCs w:val="1"/>
          <w:color w:val="auto"/>
        </w:rPr>
        <w:t>US:</w:t>
      </w:r>
      <w:r>
        <w:rPr>
          <w:sz w:val="20"/>
          <w:szCs w:val="20"/>
          <w:color w:val="auto"/>
        </w:rPr>
        <w:tab/>
      </w:r>
      <w:r>
        <w:rPr>
          <w:rFonts w:ascii="Arial" w:cs="Arial" w:eastAsia="Arial" w:hAnsi="Arial"/>
          <w:sz w:val="18"/>
          <w:szCs w:val="18"/>
          <w:b w:val="1"/>
          <w:bCs w:val="1"/>
          <w:color w:val="auto"/>
        </w:rPr>
        <w:t>TRIPLEPOINT VENTURE GROWTH BDC CORP.</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321437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1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32143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1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32143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900"/>
          </w:cols>
          <w:pgMar w:left="320" w:top="337" w:right="679" w:bottom="1440" w:gutter="0" w:footer="0" w:header="0"/>
          <w:type w:val="continuous"/>
        </w:sectPr>
      </w:pPr>
    </w:p>
    <w:bookmarkStart w:id="398" w:name="page399"/>
    <w:bookmarkEnd w:id="398"/>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240" w:type="dxa"/>
            <w:vAlign w:val="bottom"/>
            <w:gridSpan w:val="2"/>
          </w:tcPr>
          <w:p>
            <w:pPr>
              <w:jc w:val="center"/>
              <w:ind w:right="5080"/>
              <w:spacing w:after="0"/>
              <w:rPr>
                <w:sz w:val="20"/>
                <w:szCs w:val="20"/>
                <w:color w:val="auto"/>
              </w:rPr>
            </w:pPr>
            <w:r>
              <w:rPr>
                <w:rFonts w:ascii="Arial" w:cs="Arial" w:eastAsia="Arial" w:hAnsi="Arial"/>
                <w:sz w:val="18"/>
                <w:szCs w:val="18"/>
                <w:b w:val="1"/>
                <w:bCs w:val="1"/>
                <w:color w:val="auto"/>
              </w:rPr>
              <w:t>EXHIBIT II</w:t>
            </w:r>
          </w:p>
        </w:tc>
      </w:tr>
      <w:tr>
        <w:trPr>
          <w:trHeight w:val="432"/>
        </w:trPr>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10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rPr>
              <w:t>ACKNOWLEDGMENT OF EXERCISE</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160" w:type="dxa"/>
            <w:vAlign w:val="bottom"/>
            <w:gridSpan w:val="4"/>
          </w:tcPr>
          <w:p>
            <w:pPr>
              <w:ind w:left="160"/>
              <w:spacing w:after="0"/>
              <w:rPr>
                <w:sz w:val="20"/>
                <w:szCs w:val="20"/>
                <w:color w:val="auto"/>
              </w:rPr>
            </w:pPr>
            <w:r>
              <w:rPr>
                <w:rFonts w:ascii="Arial" w:cs="Arial" w:eastAsia="Arial" w:hAnsi="Arial"/>
                <w:sz w:val="18"/>
                <w:szCs w:val="18"/>
                <w:color w:val="auto"/>
                <w:w w:val="96"/>
              </w:rPr>
              <w:t>], hereby acknowledges receipt of the “Notice of Exercise” from TRIPLEPOINT VENTURE GROWTH BDC CORP., to</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purchase [</w:t>
            </w:r>
          </w:p>
        </w:tc>
        <w:tc>
          <w:tcPr>
            <w:tcW w:w="1880" w:type="dxa"/>
            <w:vAlign w:val="bottom"/>
            <w:gridSpan w:val="3"/>
          </w:tcPr>
          <w:p>
            <w:pPr>
              <w:ind w:left="80"/>
              <w:spacing w:after="0"/>
              <w:rPr>
                <w:sz w:val="20"/>
                <w:szCs w:val="20"/>
                <w:color w:val="auto"/>
              </w:rPr>
            </w:pPr>
            <w:r>
              <w:rPr>
                <w:rFonts w:ascii="Arial" w:cs="Arial" w:eastAsia="Arial" w:hAnsi="Arial"/>
                <w:sz w:val="18"/>
                <w:szCs w:val="18"/>
                <w:color w:val="auto"/>
                <w:w w:val="98"/>
              </w:rPr>
              <w:t>] shares of the Series [</w:t>
            </w:r>
          </w:p>
        </w:tc>
        <w:tc>
          <w:tcPr>
            <w:tcW w:w="1860" w:type="dxa"/>
            <w:vAlign w:val="bottom"/>
          </w:tcPr>
          <w:p>
            <w:pPr>
              <w:ind w:left="220"/>
              <w:spacing w:after="0"/>
              <w:rPr>
                <w:sz w:val="20"/>
                <w:szCs w:val="20"/>
                <w:color w:val="auto"/>
              </w:rPr>
            </w:pPr>
            <w:r>
              <w:rPr>
                <w:rFonts w:ascii="Arial" w:cs="Arial" w:eastAsia="Arial" w:hAnsi="Arial"/>
                <w:sz w:val="18"/>
                <w:szCs w:val="18"/>
                <w:color w:val="auto"/>
                <w:w w:val="98"/>
              </w:rPr>
              <w:t>] Preferred Stock of [</w:t>
            </w:r>
          </w:p>
        </w:tc>
        <w:tc>
          <w:tcPr>
            <w:tcW w:w="6240" w:type="dxa"/>
            <w:vAlign w:val="bottom"/>
            <w:gridSpan w:val="2"/>
          </w:tcPr>
          <w:p>
            <w:pPr>
              <w:ind w:left="780"/>
              <w:spacing w:after="0"/>
              <w:rPr>
                <w:sz w:val="20"/>
                <w:szCs w:val="20"/>
                <w:color w:val="auto"/>
              </w:rPr>
            </w:pPr>
            <w:r>
              <w:rPr>
                <w:rFonts w:ascii="Arial" w:cs="Arial" w:eastAsia="Arial" w:hAnsi="Arial"/>
                <w:sz w:val="18"/>
                <w:szCs w:val="18"/>
                <w:color w:val="auto"/>
                <w:w w:val="99"/>
              </w:rPr>
              <w:t>], pursuant to the terms of the Plain English Warrant Agreement, and</w:t>
            </w:r>
          </w:p>
        </w:tc>
      </w:tr>
      <w:tr>
        <w:trPr>
          <w:trHeight w:val="230"/>
        </w:trPr>
        <w:tc>
          <w:tcPr>
            <w:tcW w:w="2120" w:type="dxa"/>
            <w:vAlign w:val="bottom"/>
            <w:gridSpan w:val="3"/>
          </w:tcPr>
          <w:p>
            <w:pPr>
              <w:spacing w:after="0"/>
              <w:rPr>
                <w:sz w:val="20"/>
                <w:szCs w:val="20"/>
                <w:color w:val="auto"/>
              </w:rPr>
            </w:pPr>
            <w:r>
              <w:rPr>
                <w:rFonts w:ascii="Arial" w:cs="Arial" w:eastAsia="Arial" w:hAnsi="Arial"/>
                <w:sz w:val="18"/>
                <w:szCs w:val="18"/>
                <w:color w:val="auto"/>
                <w:w w:val="97"/>
              </w:rPr>
              <w:t>further acknowledges that [</w:t>
            </w:r>
          </w:p>
        </w:tc>
        <w:tc>
          <w:tcPr>
            <w:tcW w:w="9160" w:type="dxa"/>
            <w:vAlign w:val="bottom"/>
            <w:gridSpan w:val="4"/>
          </w:tcPr>
          <w:p>
            <w:pPr>
              <w:ind w:left="360"/>
              <w:spacing w:after="0"/>
              <w:rPr>
                <w:sz w:val="20"/>
                <w:szCs w:val="20"/>
                <w:color w:val="auto"/>
              </w:rPr>
            </w:pPr>
            <w:r>
              <w:rPr>
                <w:rFonts w:ascii="Arial" w:cs="Arial" w:eastAsia="Arial" w:hAnsi="Arial"/>
                <w:sz w:val="18"/>
                <w:szCs w:val="18"/>
                <w:color w:val="auto"/>
              </w:rPr>
              <w:t>] shares remain subject to purchase under the terms of the Plain English Warrant Agreement.</w:t>
            </w:r>
          </w:p>
        </w:tc>
      </w:tr>
      <w:tr>
        <w:trPr>
          <w:trHeight w:val="432"/>
        </w:trPr>
        <w:tc>
          <w:tcPr>
            <w:tcW w:w="1300" w:type="dxa"/>
            <w:vAlign w:val="bottom"/>
          </w:tcPr>
          <w:p>
            <w:pPr>
              <w:ind w:left="760"/>
              <w:spacing w:after="0"/>
              <w:rPr>
                <w:sz w:val="20"/>
                <w:szCs w:val="20"/>
                <w:color w:val="auto"/>
              </w:rPr>
            </w:pPr>
            <w:r>
              <w:rPr>
                <w:rFonts w:ascii="Arial" w:cs="Arial" w:eastAsia="Arial" w:hAnsi="Arial"/>
                <w:sz w:val="18"/>
                <w:szCs w:val="18"/>
                <w:b w:val="1"/>
                <w:bCs w:val="1"/>
                <w:color w:val="auto"/>
              </w:rPr>
              <w:t>YOU:</w:t>
            </w:r>
          </w:p>
        </w:tc>
        <w:tc>
          <w:tcPr>
            <w:tcW w:w="20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8"/>
                <w:szCs w:val="18"/>
                <w:b w:val="1"/>
                <w:bCs w:val="1"/>
                <w:color w:val="auto"/>
              </w:rPr>
              <w:t>CROWDSTRIKE HOLDINGS, INC.</w:t>
            </w:r>
          </w:p>
        </w:tc>
        <w:tc>
          <w:tcPr>
            <w:tcW w:w="126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32"/>
        </w:trPr>
        <w:tc>
          <w:tcPr>
            <w:tcW w:w="1300" w:type="dxa"/>
            <w:vAlign w:val="bottom"/>
          </w:tcPr>
          <w:p>
            <w:pPr>
              <w:ind w:left="76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980" w:type="dxa"/>
            <w:vAlign w:val="bottom"/>
          </w:tcPr>
          <w:p>
            <w:pPr>
              <w:spacing w:after="0"/>
              <w:rPr>
                <w:sz w:val="24"/>
                <w:szCs w:val="24"/>
                <w:color w:val="auto"/>
              </w:rPr>
            </w:pPr>
          </w:p>
        </w:tc>
      </w:tr>
      <w:tr>
        <w:trPr>
          <w:trHeight w:val="425"/>
        </w:trPr>
        <w:tc>
          <w:tcPr>
            <w:tcW w:w="1300" w:type="dxa"/>
            <w:vAlign w:val="bottom"/>
          </w:tcPr>
          <w:p>
            <w:pPr>
              <w:ind w:left="76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980" w:type="dxa"/>
            <w:vAlign w:val="bottom"/>
          </w:tcPr>
          <w:p>
            <w:pPr>
              <w:spacing w:after="0"/>
              <w:rPr>
                <w:sz w:val="24"/>
                <w:szCs w:val="24"/>
                <w:color w:val="auto"/>
              </w:rPr>
            </w:pPr>
          </w:p>
        </w:tc>
      </w:tr>
      <w:tr>
        <w:trPr>
          <w:trHeight w:val="426"/>
        </w:trPr>
        <w:tc>
          <w:tcPr>
            <w:tcW w:w="1300" w:type="dxa"/>
            <w:vAlign w:val="bottom"/>
          </w:tcPr>
          <w:p>
            <w:pPr>
              <w:ind w:left="760"/>
              <w:spacing w:after="0"/>
              <w:rPr>
                <w:sz w:val="20"/>
                <w:szCs w:val="20"/>
                <w:color w:val="auto"/>
              </w:rPr>
            </w:pPr>
            <w:r>
              <w:rPr>
                <w:rFonts w:ascii="Arial" w:cs="Arial" w:eastAsia="Arial" w:hAnsi="Arial"/>
                <w:sz w:val="18"/>
                <w:szCs w:val="18"/>
                <w:color w:val="auto"/>
              </w:rPr>
              <w:t>Date:</w:t>
            </w:r>
          </w:p>
        </w:tc>
        <w:tc>
          <w:tcPr>
            <w:tcW w:w="2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980" w:type="dxa"/>
            <w:vAlign w:val="bottom"/>
          </w:tcPr>
          <w:p>
            <w:pPr>
              <w:spacing w:after="0"/>
              <w:rPr>
                <w:sz w:val="24"/>
                <w:szCs w:val="24"/>
                <w:color w:val="auto"/>
              </w:rPr>
            </w:pPr>
          </w:p>
        </w:tc>
      </w:tr>
      <w:tr>
        <w:trPr>
          <w:trHeight w:val="341"/>
        </w:trPr>
        <w:tc>
          <w:tcPr>
            <w:tcW w:w="1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99" w:name="page400"/>
    <w:bookmarkEnd w:id="399"/>
    <w:p>
      <w:pPr>
        <w:jc w:val="center"/>
        <w:ind w:right="-79"/>
        <w:spacing w:after="0"/>
        <w:rPr>
          <w:sz w:val="20"/>
          <w:szCs w:val="20"/>
          <w:color w:val="auto"/>
        </w:rPr>
      </w:pPr>
      <w:r>
        <w:rPr>
          <w:rFonts w:ascii="Arial" w:cs="Arial" w:eastAsia="Arial" w:hAnsi="Arial"/>
          <w:sz w:val="18"/>
          <w:szCs w:val="18"/>
          <w:b w:val="1"/>
          <w:bCs w:val="1"/>
          <w:color w:val="auto"/>
        </w:rPr>
        <w:t>EXHIBIT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TRANSFER NOTICE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 the foregoing Plain English Warrant Agreement and all rights evidenced thereby are hereby transferred and assigned to</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5516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Whose address 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408876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408876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408876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408876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408876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408876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19"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The signature to this Transfer Notice must correspond with the name as it appears on the face of the Plain English Warrant Agreement,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alteration or enlargement or any change whatever. Officers of corporations and those acting in a fiduciary or other representative capacity should file proper evidence of authority to assign the foregoing Plain English Warrant Agreement.</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By signature hereto, Transferee agrees to be subject to and bound by the terms and conditions of (i) the Plain English Warrant Agreement, and hereby makes and agrees to be bound by the investment representations, warranties and covenants contained in Section 7 thereof and (ii) Section 2.04 (“Black Out Periods”) of the Rights Agreement. Transferee also agrees to execute the form of lock-up letter requested by the underwriters of CrowdStrike Holdings, Inc.’s initial public offering. Notwithstanding the foregoing, in no event shall such market stand-off provisions or lock-up letter restrict Our ability to exercise Our purchase rights under this Warrant Agreement, including the transfer of Common Stock to You solely to satisfy the exercise price pursuant to the Net Issuance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5327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00" w:name="page401"/>
    <w:bookmarkEnd w:id="400"/>
    <w:p>
      <w:pPr>
        <w:ind w:left="10400"/>
        <w:spacing w:after="0"/>
        <w:rPr>
          <w:sz w:val="20"/>
          <w:szCs w:val="20"/>
          <w:color w:val="auto"/>
        </w:rPr>
      </w:pPr>
      <w:r>
        <w:rPr>
          <w:rFonts w:ascii="Arial" w:cs="Arial" w:eastAsia="Arial" w:hAnsi="Arial"/>
          <w:sz w:val="16"/>
          <w:szCs w:val="16"/>
          <w:b w:val="1"/>
          <w:bCs w:val="1"/>
          <w:color w:val="auto"/>
        </w:rPr>
        <w:t>Exhibit 4.5</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8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85,409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Type/Series of Stock: Series B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Price: $2.81000015 per share</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Issue Date:</w:t>
      </w:r>
      <w:r>
        <w:rPr>
          <w:sz w:val="20"/>
          <w:szCs w:val="20"/>
          <w:color w:val="auto"/>
        </w:rPr>
        <w:tab/>
      </w:r>
      <w:r>
        <w:rPr>
          <w:rFonts w:ascii="Arial" w:cs="Arial" w:eastAsia="Arial" w:hAnsi="Arial"/>
          <w:sz w:val="16"/>
          <w:szCs w:val="16"/>
          <w:b w:val="1"/>
          <w:bCs w:val="1"/>
          <w:color w:val="auto"/>
        </w:rPr>
        <w:t>January 21, 2015</w:t>
      </w:r>
    </w:p>
    <w:p>
      <w:pPr>
        <w:spacing w:after="0" w:line="9"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b w:val="1"/>
          <w:bCs w:val="1"/>
          <w:color w:val="auto"/>
        </w:rPr>
        <w:t>Expiration Date: January 21, 2025</w:t>
      </w:r>
      <w:r>
        <w:rPr>
          <w:sz w:val="20"/>
          <w:szCs w:val="20"/>
          <w:color w:val="auto"/>
        </w:rPr>
        <w:tab/>
      </w:r>
      <w:r>
        <w:rPr>
          <w:rFonts w:ascii="Arial" w:cs="Arial" w:eastAsia="Arial" w:hAnsi="Arial"/>
          <w:sz w:val="15"/>
          <w:szCs w:val="15"/>
          <w:b w:val="1"/>
          <w:bCs w:val="1"/>
          <w:color w:val="auto"/>
        </w:rPr>
        <w:t>See also Section 5.1(b).</w:t>
      </w:r>
    </w:p>
    <w:p>
      <w:pPr>
        <w:spacing w:after="0" w:line="9" w:lineRule="exact"/>
        <w:rPr>
          <w:sz w:val="20"/>
          <w:szCs w:val="20"/>
          <w:color w:val="auto"/>
        </w:rPr>
      </w:pPr>
    </w:p>
    <w:p>
      <w:pPr>
        <w:jc w:val="right"/>
        <w:ind w:right="620"/>
        <w:spacing w:after="0" w:line="290" w:lineRule="auto"/>
        <w:rPr>
          <w:sz w:val="20"/>
          <w:szCs w:val="20"/>
          <w:color w:val="auto"/>
        </w:rPr>
      </w:pPr>
      <w:r>
        <w:rPr>
          <w:rFonts w:ascii="Arial" w:cs="Arial" w:eastAsia="Arial" w:hAnsi="Arial"/>
          <w:sz w:val="17"/>
          <w:szCs w:val="17"/>
          <w:b w:val="1"/>
          <w:bCs w:val="1"/>
          <w:color w:val="auto"/>
        </w:rPr>
        <w:t xml:space="preserve">Credit Facility: </w:t>
      </w:r>
      <w:r>
        <w:rPr>
          <w:rFonts w:ascii="Arial" w:cs="Arial" w:eastAsia="Arial" w:hAnsi="Arial"/>
          <w:sz w:val="17"/>
          <w:szCs w:val="17"/>
          <w:color w:val="auto"/>
        </w:rPr>
        <w:t>This Warrant to Purchase Stock (“</w:t>
      </w:r>
      <w:r>
        <w:rPr>
          <w:rFonts w:ascii="Arial" w:cs="Arial" w:eastAsia="Arial" w:hAnsi="Arial"/>
          <w:sz w:val="17"/>
          <w:szCs w:val="17"/>
          <w:b w:val="1"/>
          <w:bCs w:val="1"/>
          <w:u w:val="single" w:color="auto"/>
          <w:color w:val="auto"/>
        </w:rPr>
        <w:t>Warrant</w:t>
      </w:r>
      <w:r>
        <w:rPr>
          <w:rFonts w:ascii="Arial" w:cs="Arial" w:eastAsia="Arial" w:hAnsi="Arial"/>
          <w:sz w:val="17"/>
          <w:szCs w:val="17"/>
          <w:color w:val="auto"/>
        </w:rPr>
        <w:t>”) is issued in connection with that certain Loan and Security Agreement of even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herewith among Silicon Valley Bank, the Company, CrowdStrike, Inc., and CrowdStrike Services, Inc. (the “</w:t>
      </w:r>
      <w:r>
        <w:rPr>
          <w:rFonts w:ascii="Arial" w:cs="Arial" w:eastAsia="Arial" w:hAnsi="Arial"/>
          <w:sz w:val="17"/>
          <w:szCs w:val="17"/>
          <w:b w:val="1"/>
          <w:bCs w:val="1"/>
          <w:u w:val="single" w:color="auto"/>
          <w:color w:val="auto"/>
        </w:rPr>
        <w:t>Loan Agreement</w:t>
      </w:r>
      <w:r>
        <w:rPr>
          <w:rFonts w:ascii="Arial" w:cs="Arial" w:eastAsia="Arial" w:hAnsi="Arial"/>
          <w:sz w:val="17"/>
          <w:szCs w:val="17"/>
          <w:color w:val="auto"/>
        </w:rPr>
        <w:t>”).</w:t>
      </w:r>
    </w:p>
    <w:p>
      <w:pPr>
        <w:spacing w:after="0" w:line="16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220" w:firstLine="1296"/>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7"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1" w:name="page402"/>
    <w:bookmarkEnd w:id="401"/>
    <w:p>
      <w:pPr>
        <w:ind w:left="2600" w:right="140" w:hanging="647"/>
        <w:spacing w:after="0" w:line="277" w:lineRule="auto"/>
        <w:tabs>
          <w:tab w:leader="none" w:pos="25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(as determined pursuant to Section 1.3 below) of one Share; and</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5"/>
          <w:szCs w:val="15"/>
          <w:color w:val="auto"/>
        </w:rPr>
        <w:t>the Warrant Price.</w:t>
      </w:r>
    </w:p>
    <w:p>
      <w:pPr>
        <w:spacing w:after="0" w:line="225" w:lineRule="exact"/>
        <w:rPr>
          <w:sz w:val="20"/>
          <w:szCs w:val="20"/>
          <w:color w:val="auto"/>
        </w:rPr>
      </w:pPr>
    </w:p>
    <w:p>
      <w:pPr>
        <w:ind w:right="60" w:firstLine="1296"/>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9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5" w:lineRule="exact"/>
        <w:rPr>
          <w:sz w:val="20"/>
          <w:szCs w:val="20"/>
          <w:color w:val="auto"/>
        </w:rPr>
      </w:pPr>
    </w:p>
    <w:p>
      <w:pPr>
        <w:ind w:right="260" w:firstLine="1296"/>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1940" w:hanging="636"/>
        <w:spacing w:after="0"/>
        <w:tabs>
          <w:tab w:leader="none" w:pos="1940"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xml:space="preserve">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w:t>
      </w:r>
    </w:p>
    <w:p>
      <w:pPr>
        <w:spacing w:after="0" w:line="50" w:lineRule="exact"/>
        <w:rPr>
          <w:rFonts w:ascii="Arial" w:cs="Arial" w:eastAsia="Arial" w:hAnsi="Arial"/>
          <w:sz w:val="16"/>
          <w:szCs w:val="16"/>
          <w:color w:val="auto"/>
        </w:rPr>
      </w:pPr>
    </w:p>
    <w:p>
      <w:pPr>
        <w:ind w:right="20" w:firstLine="8"/>
        <w:spacing w:after="0" w:line="268" w:lineRule="auto"/>
        <w:tabs>
          <w:tab w:leader="none" w:pos="215"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sale, lease, exclusive license, or other disposition of all or substantially all of the assets of the Company, except where such sale, lease, exclusive license or other disposition is to a wholly-owned subsidiary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or if the Company or such surviving or successor entity is a wholly-owned subsidiary immediately following such merger, consolidation or reorganization, its parent’s) outstanding voting power immediately after such merger, consolidation or reorganization; or (iii) any sale or other transfer by the stockholders of the Company of shares representing at least a majority of the Company’s then-total outstanding combined voting power (other than in connection with a transaction effected exclusively to change the Company’s domicile). Notwithstanding the foregoing, an Acquisition shall not be deemed to occur upon the sale and issuance of the Company’s securities in a transaction or series of related transactions for private capital-raising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1532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2" w:name="page403"/>
    <w:bookmarkEnd w:id="402"/>
    <w:p>
      <w:pPr>
        <w:ind w:right="20" w:firstLine="1304"/>
        <w:spacing w:after="0" w:line="269" w:lineRule="auto"/>
        <w:tabs>
          <w:tab w:leader="none" w:pos="1951"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Treatment of Warrant at Acquisition</w:t>
      </w:r>
      <w:r>
        <w:rPr>
          <w:rFonts w:ascii="Arial" w:cs="Arial" w:eastAsia="Arial" w:hAnsi="Arial"/>
          <w:sz w:val="17"/>
          <w:szCs w:val="17"/>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7"/>
          <w:szCs w:val="17"/>
          <w:b w:val="1"/>
          <w:bCs w:val="1"/>
          <w:u w:val="single" w:color="auto"/>
          <w:color w:val="auto"/>
        </w:rPr>
        <w:t>Cash/Public Acquisition</w:t>
      </w:r>
      <w:r>
        <w:rPr>
          <w:rFonts w:ascii="Arial" w:cs="Arial" w:eastAsia="Arial" w:hAnsi="Arial"/>
          <w:sz w:val="17"/>
          <w:szCs w:val="17"/>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85" w:lineRule="exact"/>
        <w:rPr>
          <w:rFonts w:ascii="Arial" w:cs="Arial" w:eastAsia="Arial" w:hAnsi="Arial"/>
          <w:sz w:val="17"/>
          <w:szCs w:val="17"/>
          <w:color w:val="auto"/>
        </w:rPr>
      </w:pPr>
    </w:p>
    <w:p>
      <w:pPr>
        <w:ind w:right="100" w:firstLine="1304"/>
        <w:spacing w:after="0" w:line="301" w:lineRule="auto"/>
        <w:tabs>
          <w:tab w:leader="none" w:pos="195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6"/>
          <w:szCs w:val="16"/>
          <w:color w:val="auto"/>
        </w:rPr>
      </w:pPr>
    </w:p>
    <w:p>
      <w:pPr>
        <w:ind w:firstLine="1304"/>
        <w:spacing w:after="0" w:line="272" w:lineRule="auto"/>
        <w:tabs>
          <w:tab w:leader="none" w:pos="195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b w:val="1"/>
          <w:bCs w:val="1"/>
          <w:u w:val="single" w:color="auto"/>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b w:val="1"/>
          <w:bCs w:val="1"/>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and is then current in its filing of all required reports and other information under the Act and the Exchange Act; (ii) the class and series of shares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160" w:firstLine="1296"/>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6" w:lineRule="exact"/>
        <w:rPr>
          <w:sz w:val="20"/>
          <w:szCs w:val="20"/>
          <w:color w:val="auto"/>
        </w:rPr>
      </w:pPr>
    </w:p>
    <w:p>
      <w:pPr>
        <w:ind w:right="220" w:firstLine="1296"/>
        <w:spacing w:after="0" w:line="31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Reclassification, Exchange, Combinations or Substitution</w:t>
      </w:r>
      <w:r>
        <w:rPr>
          <w:rFonts w:ascii="Arial" w:cs="Arial" w:eastAsia="Arial" w:hAnsi="Arial"/>
          <w:sz w:val="16"/>
          <w:szCs w:val="16"/>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15327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3" w:name="page404"/>
    <w:bookmarkEnd w:id="403"/>
    <w:p>
      <w:pPr>
        <w:ind w:right="80"/>
        <w:spacing w:after="0" w:line="263" w:lineRule="auto"/>
        <w:rPr>
          <w:sz w:val="20"/>
          <w:szCs w:val="20"/>
          <w:color w:val="auto"/>
        </w:rPr>
      </w:pPr>
      <w:r>
        <w:rPr>
          <w:rFonts w:ascii="Arial" w:cs="Arial" w:eastAsia="Arial" w:hAnsi="Arial"/>
          <w:sz w:val="18"/>
          <w:szCs w:val="18"/>
          <w:color w:val="auto"/>
        </w:rPr>
        <w:t>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4" w:lineRule="exact"/>
        <w:rPr>
          <w:sz w:val="20"/>
          <w:szCs w:val="20"/>
          <w:color w:val="auto"/>
        </w:rPr>
      </w:pPr>
    </w:p>
    <w:p>
      <w:pPr>
        <w:ind w:right="40" w:firstLine="1296"/>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8" w:lineRule="exact"/>
        <w:rPr>
          <w:sz w:val="20"/>
          <w:szCs w:val="20"/>
          <w:color w:val="auto"/>
        </w:rPr>
      </w:pPr>
    </w:p>
    <w:p>
      <w:pPr>
        <w:ind w:right="40" w:firstLine="1296"/>
        <w:spacing w:after="0" w:line="31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149" w:lineRule="exact"/>
        <w:rPr>
          <w:sz w:val="20"/>
          <w:szCs w:val="20"/>
          <w:color w:val="auto"/>
        </w:rPr>
      </w:pPr>
    </w:p>
    <w:p>
      <w:pPr>
        <w:jc w:val="both"/>
        <w:ind w:right="100"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jc w:val="both"/>
        <w:ind w:right="360" w:firstLine="1952"/>
        <w:spacing w:after="0" w:line="263" w:lineRule="auto"/>
        <w:tabs>
          <w:tab w:leader="none" w:pos="258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83" w:lineRule="exact"/>
        <w:rPr>
          <w:rFonts w:ascii="Arial" w:cs="Arial" w:eastAsia="Arial" w:hAnsi="Arial"/>
          <w:sz w:val="18"/>
          <w:szCs w:val="18"/>
          <w:color w:val="auto"/>
        </w:rPr>
      </w:pPr>
    </w:p>
    <w:p>
      <w:pPr>
        <w:ind w:firstLine="1952"/>
        <w:spacing w:after="0" w:line="296" w:lineRule="auto"/>
        <w:tabs>
          <w:tab w:leader="none" w:pos="259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15327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4" w:name="page405"/>
    <w:bookmarkEnd w:id="404"/>
    <w:p>
      <w:pPr>
        <w:ind w:left="2620" w:hanging="668"/>
        <w:spacing w:after="0"/>
        <w:tabs>
          <w:tab w:leader="none" w:pos="262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Issue Date.</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right="160" w:firstLine="2033"/>
        <w:spacing w:after="0" w:line="277" w:lineRule="auto"/>
        <w:tabs>
          <w:tab w:leader="none" w:pos="227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60" w:firstLine="2033"/>
        <w:spacing w:after="0" w:line="277" w:lineRule="auto"/>
        <w:tabs>
          <w:tab w:leader="none" w:pos="22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2280" w:hanging="247"/>
        <w:spacing w:after="0"/>
        <w:tabs>
          <w:tab w:leader="none" w:pos="228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Class;</w:t>
      </w:r>
    </w:p>
    <w:p>
      <w:pPr>
        <w:spacing w:after="0" w:line="210" w:lineRule="exact"/>
        <w:rPr>
          <w:rFonts w:ascii="Arial" w:cs="Arial" w:eastAsia="Arial" w:hAnsi="Arial"/>
          <w:sz w:val="16"/>
          <w:szCs w:val="16"/>
          <w:color w:val="auto"/>
        </w:rPr>
      </w:pPr>
    </w:p>
    <w:p>
      <w:pPr>
        <w:ind w:left="2280" w:hanging="247"/>
        <w:spacing w:after="0"/>
        <w:tabs>
          <w:tab w:leader="none" w:pos="22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2280" w:hanging="247"/>
        <w:spacing w:after="0"/>
        <w:tabs>
          <w:tab w:leader="none" w:pos="22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ind w:left="1300" w:right="540" w:firstLine="652"/>
        <w:spacing w:after="0" w:line="286" w:lineRule="auto"/>
        <w:tabs>
          <w:tab w:leader="none" w:pos="220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65" w:lineRule="exact"/>
        <w:rPr>
          <w:rFonts w:ascii="Arial" w:cs="Arial" w:eastAsia="Arial" w:hAnsi="Arial"/>
          <w:sz w:val="17"/>
          <w:szCs w:val="17"/>
          <w:color w:val="auto"/>
        </w:rPr>
      </w:pPr>
    </w:p>
    <w:p>
      <w:pPr>
        <w:ind w:left="1300" w:right="100" w:firstLine="652"/>
        <w:spacing w:after="0" w:line="301" w:lineRule="auto"/>
        <w:tabs>
          <w:tab w:leader="none" w:pos="2203" w:val="left"/>
        </w:tabs>
        <w:numPr>
          <w:ilvl w:val="0"/>
          <w:numId w:val="309"/>
        </w:numPr>
        <w:rPr>
          <w:rFonts w:ascii="Arial" w:cs="Arial" w:eastAsia="Arial" w:hAnsi="Arial"/>
          <w:sz w:val="16"/>
          <w:szCs w:val="16"/>
          <w:color w:val="auto"/>
        </w:rPr>
      </w:pPr>
      <w:r>
        <w:rPr>
          <w:rFonts w:ascii="Arial" w:cs="Arial" w:eastAsia="Arial" w:hAnsi="Arial"/>
          <w:sz w:val="16"/>
          <w:szCs w:val="16"/>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157" w:lineRule="exact"/>
        <w:rPr>
          <w:rFonts w:ascii="Arial" w:cs="Arial" w:eastAsia="Arial" w:hAnsi="Arial"/>
          <w:sz w:val="16"/>
          <w:szCs w:val="16"/>
          <w:color w:val="auto"/>
        </w:rPr>
      </w:pPr>
    </w:p>
    <w:p>
      <w:pPr>
        <w:ind w:left="1300" w:right="100" w:firstLine="652"/>
        <w:spacing w:after="0" w:line="277" w:lineRule="auto"/>
        <w:tabs>
          <w:tab w:leader="none" w:pos="220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will also provide information requested by Holder that is reasonably necessary to enable Holder to comply with Holder’s accounting or reporting requirements.</w:t>
      </w:r>
    </w:p>
    <w:p>
      <w:pPr>
        <w:spacing w:after="0" w:line="17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right="140" w:firstLine="1215"/>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xml:space="preserve">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4" w:lineRule="exact"/>
        <w:rPr>
          <w:sz w:val="20"/>
          <w:szCs w:val="20"/>
          <w:color w:val="auto"/>
        </w:rPr>
      </w:pPr>
    </w:p>
    <w:p>
      <w:pPr>
        <w:jc w:val="both"/>
        <w:ind w:right="160" w:firstLine="1215"/>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xml:space="preserve"> Holder is aware of the Company’s business affairs and financial condition and has received or has had full access to all the information it considers necessary or appropriate to make an informed investment decision with respect to the acquisition of this Warrant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05" w:name="page406"/>
    <w:bookmarkEnd w:id="405"/>
    <w:p>
      <w:pPr>
        <w:spacing w:after="0" w:line="311" w:lineRule="auto"/>
        <w:rPr>
          <w:sz w:val="20"/>
          <w:szCs w:val="20"/>
          <w:color w:val="auto"/>
        </w:rPr>
      </w:pPr>
      <w:r>
        <w:rPr>
          <w:rFonts w:ascii="Arial" w:cs="Arial" w:eastAsia="Arial" w:hAnsi="Arial"/>
          <w:sz w:val="16"/>
          <w:szCs w:val="16"/>
          <w:color w:val="auto"/>
        </w:rPr>
        <w:t>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49" w:lineRule="exact"/>
        <w:rPr>
          <w:sz w:val="20"/>
          <w:szCs w:val="20"/>
          <w:color w:val="auto"/>
        </w:rPr>
      </w:pPr>
    </w:p>
    <w:p>
      <w:pPr>
        <w:ind w:firstLine="1215"/>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xml:space="preserv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22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 xml:space="preserve">Accredited Investor Status. </w:t>
      </w:r>
      <w:r>
        <w:rPr>
          <w:rFonts w:ascii="Arial" w:cs="Arial" w:eastAsia="Arial" w:hAnsi="Arial"/>
          <w:sz w:val="16"/>
          <w:szCs w:val="16"/>
          <w:color w:val="auto"/>
        </w:rPr>
        <w:t>Holder is an “accredited investor” within the meaning of Regulation D promulgated under the Act.</w:t>
      </w:r>
    </w:p>
    <w:p>
      <w:pPr>
        <w:spacing w:after="0" w:line="225" w:lineRule="exact"/>
        <w:rPr>
          <w:sz w:val="20"/>
          <w:szCs w:val="20"/>
          <w:color w:val="auto"/>
        </w:rPr>
      </w:pPr>
    </w:p>
    <w:p>
      <w:pPr>
        <w:ind w:right="80" w:firstLine="1215"/>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xml:space="preserve">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ind w:right="280" w:firstLine="1190"/>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7(o) of the Amended and Restated Stockholders Agreement (the “</w:t>
      </w:r>
      <w:r>
        <w:rPr>
          <w:rFonts w:ascii="Arial" w:cs="Arial" w:eastAsia="Arial" w:hAnsi="Arial"/>
          <w:sz w:val="18"/>
          <w:szCs w:val="18"/>
          <w:b w:val="1"/>
          <w:bCs w:val="1"/>
          <w:u w:val="single" w:color="auto"/>
          <w:color w:val="auto"/>
        </w:rPr>
        <w:t>Stockholders Agreement</w:t>
      </w:r>
      <w:r>
        <w:rPr>
          <w:rFonts w:ascii="Arial" w:cs="Arial" w:eastAsia="Arial" w:hAnsi="Arial"/>
          <w:sz w:val="18"/>
          <w:szCs w:val="18"/>
          <w:color w:val="auto"/>
        </w:rPr>
        <w:t>”) dated August 21, 2013, as amended from time to time.</w:t>
      </w:r>
    </w:p>
    <w:p>
      <w:pPr>
        <w:spacing w:after="0" w:line="184" w:lineRule="exact"/>
        <w:rPr>
          <w:sz w:val="20"/>
          <w:szCs w:val="20"/>
          <w:color w:val="auto"/>
        </w:rPr>
      </w:pPr>
    </w:p>
    <w:p>
      <w:pPr>
        <w:ind w:left="1200"/>
        <w:spacing w:after="0"/>
        <w:tabs>
          <w:tab w:leader="none" w:pos="19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No Voting Rights</w:t>
      </w:r>
      <w:r>
        <w:rPr>
          <w:rFonts w:ascii="Arial" w:cs="Arial" w:eastAsia="Arial" w:hAnsi="Arial"/>
          <w:sz w:val="16"/>
          <w:szCs w:val="16"/>
          <w:color w:val="auto"/>
        </w:rPr>
        <w:t>. Holder, as a Holder of this Warrant, will not have any voting rights until the exercise of this Warrant.</w:t>
      </w:r>
    </w:p>
    <w:p>
      <w:pPr>
        <w:spacing w:after="0" w:line="225" w:lineRule="exact"/>
        <w:rPr>
          <w:sz w:val="20"/>
          <w:szCs w:val="20"/>
          <w:color w:val="auto"/>
        </w:rPr>
      </w:pPr>
    </w:p>
    <w:p>
      <w:pPr>
        <w:ind w:right="180" w:firstLine="1190"/>
        <w:spacing w:after="0" w:line="26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Execution of Additional Agreements</w:t>
      </w:r>
      <w:r>
        <w:rPr>
          <w:rFonts w:ascii="Arial" w:cs="Arial" w:eastAsia="Arial" w:hAnsi="Arial"/>
          <w:sz w:val="18"/>
          <w:szCs w:val="18"/>
          <w:color w:val="auto"/>
        </w:rPr>
        <w:t>. As a condition to the exercise of this Warrant and issuance of Shares hereunder, Holder agrees to execute and deliver a counterpart signature page to each of the Stockholders Agreement, and the Amended and Restated Registration Rights Agreement dated August 21, 2013, as amended from time to time, as an Investor thereunder.</w:t>
      </w:r>
    </w:p>
    <w:p>
      <w:pPr>
        <w:spacing w:after="0" w:line="184" w:lineRule="exact"/>
        <w:rPr>
          <w:sz w:val="20"/>
          <w:szCs w:val="20"/>
          <w:color w:val="auto"/>
        </w:rPr>
      </w:pPr>
    </w:p>
    <w:p>
      <w:pPr>
        <w:ind w:right="60" w:firstLine="1190"/>
        <w:spacing w:after="0" w:line="275"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No “Bad Actor” Disqualification</w:t>
      </w:r>
      <w:r>
        <w:rPr>
          <w:rFonts w:ascii="Arial" w:cs="Arial" w:eastAsia="Arial" w:hAnsi="Arial"/>
          <w:sz w:val="17"/>
          <w:szCs w:val="17"/>
          <w:color w:val="auto"/>
        </w:rPr>
        <w:t>. As of the Issue Date, neither (i) Holder, (ii) any of its directors, executive officers, other officers that may serve as a director or officer of any company in which it invests, general partners or managing members, nor (iii) any beneficial owner of any of the Company’s voting equity securities (in accordance with Rule 506(d) of the Act) held by Holder is subject to any of the “bad actor” disqualifications described in Rule 506(d)(1)(i) through (viii) under the Act, except as set forth in Rule 506(d)(2)(ii) or (iii) or (d)(3) under the Act and disclosed, reasonably in advance of the acceptance of this Warrant, in writing in reasonable detail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5327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06" w:name="page407"/>
    <w:bookmarkEnd w:id="406"/>
    <w:p>
      <w:pPr>
        <w:ind w:left="4360"/>
        <w:spacing w:after="0"/>
        <w:rPr>
          <w:sz w:val="20"/>
          <w:szCs w:val="20"/>
          <w:color w:val="auto"/>
        </w:rPr>
      </w:pPr>
      <w:r>
        <w:rPr>
          <w:rFonts w:ascii="Arial" w:cs="Arial" w:eastAsia="Arial" w:hAnsi="Arial"/>
          <w:sz w:val="18"/>
          <w:szCs w:val="18"/>
          <w:color w:val="auto"/>
        </w:rPr>
        <w:t>SECTION 5. MISCELLANEOUS.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and Automatic Conversion Upon Expiration</w:t>
      </w:r>
      <w:r>
        <w:rPr>
          <w:rFonts w:ascii="Arial" w:cs="Arial" w:eastAsia="Arial" w:hAnsi="Arial"/>
          <w:sz w:val="16"/>
          <w:szCs w:val="16"/>
          <w:color w:val="auto"/>
        </w:rPr>
        <w:t>.</w:t>
      </w:r>
    </w:p>
    <w:p>
      <w:pPr>
        <w:spacing w:after="0" w:line="225" w:lineRule="exact"/>
        <w:rPr>
          <w:sz w:val="20"/>
          <w:szCs w:val="20"/>
          <w:color w:val="auto"/>
        </w:rPr>
      </w:pPr>
    </w:p>
    <w:p>
      <w:pPr>
        <w:ind w:left="80" w:right="40" w:firstLine="1224"/>
        <w:spacing w:after="0" w:line="277" w:lineRule="auto"/>
        <w:tabs>
          <w:tab w:leader="none" w:pos="194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left="80" w:right="20" w:firstLine="1224"/>
        <w:spacing w:after="0" w:line="257" w:lineRule="auto"/>
        <w:tabs>
          <w:tab w:leader="none" w:pos="195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170" w:lineRule="exact"/>
        <w:rPr>
          <w:sz w:val="20"/>
          <w:szCs w:val="20"/>
          <w:color w:val="auto"/>
        </w:rPr>
      </w:pPr>
    </w:p>
    <w:p>
      <w:pPr>
        <w:jc w:val="both"/>
        <w:ind w:left="1300"/>
        <w:spacing w:after="0" w:line="271"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THAT CERTAIN WARRANT TO PURCHASE STOCK ISSUED BY THE ISSUER TO SILICON VALLEY BANK DATED JANUARY , 2015,</w:t>
      </w:r>
    </w:p>
    <w:p>
      <w:pPr>
        <w:ind w:left="1300" w:right="60"/>
        <w:spacing w:after="0" w:line="255" w:lineRule="auto"/>
        <w:rPr>
          <w:sz w:val="20"/>
          <w:szCs w:val="20"/>
          <w:color w:val="auto"/>
        </w:rPr>
      </w:pPr>
      <w:r>
        <w:rPr>
          <w:rFonts w:ascii="Arial" w:cs="Arial" w:eastAsia="Arial" w:hAnsi="Arial"/>
          <w:sz w:val="18"/>
          <w:szCs w:val="18"/>
          <w:color w:val="auto"/>
        </w:rPr>
        <w:t>MAY NOT BE OFFERED, SOLD, PLEDGED OR OTHERWISE TRANSFERRED UNLESS AND UNTIL REGISTERED UNDER SAID ACT AND LAWS OR IN FORM AND SUBSTANCE SATISFACTORY TO THE ISSUER, SUCH OFFER, SALE, PLEDGE OR OTHER TRANSFER IS EXEMPT FROM SUCH REGISTRATION.</w:t>
      </w:r>
    </w:p>
    <w:p>
      <w:pPr>
        <w:spacing w:after="0" w:line="190" w:lineRule="exact"/>
        <w:rPr>
          <w:sz w:val="20"/>
          <w:szCs w:val="20"/>
          <w:color w:val="auto"/>
        </w:rPr>
      </w:pPr>
    </w:p>
    <w:p>
      <w:pPr>
        <w:ind w:right="20" w:firstLine="1296"/>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6" w:lineRule="exact"/>
        <w:rPr>
          <w:sz w:val="20"/>
          <w:szCs w:val="20"/>
          <w:color w:val="auto"/>
        </w:rPr>
      </w:pPr>
    </w:p>
    <w:p>
      <w:pPr>
        <w:ind w:right="140" w:firstLine="1296"/>
        <w:spacing w:after="0" w:line="269" w:lineRule="auto"/>
        <w:rPr>
          <w:sz w:val="20"/>
          <w:szCs w:val="20"/>
          <w:color w:val="auto"/>
        </w:rPr>
      </w:pPr>
      <w:r>
        <w:rPr>
          <w:rFonts w:ascii="Arial" w:cs="Arial" w:eastAsia="Arial" w:hAnsi="Arial"/>
          <w:sz w:val="17"/>
          <w:szCs w:val="17"/>
          <w:color w:val="auto"/>
        </w:rPr>
        <w:t>5.4 Transfer Procedure.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1532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-1548130</wp:posOffset>
            </wp:positionV>
            <wp:extent cx="131191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7" w:name="page408"/>
    <w:bookmarkEnd w:id="407"/>
    <w:p>
      <w:pPr>
        <w:ind w:right="120"/>
        <w:spacing w:after="0" w:line="277" w:lineRule="auto"/>
        <w:rPr>
          <w:sz w:val="20"/>
          <w:szCs w:val="20"/>
          <w:color w:val="auto"/>
        </w:rPr>
      </w:pPr>
      <w:r>
        <w:rPr>
          <w:rFonts w:ascii="Arial" w:cs="Arial" w:eastAsia="Arial" w:hAnsi="Arial"/>
          <w:sz w:val="18"/>
          <w:szCs w:val="18"/>
          <w:color w:val="auto"/>
        </w:rPr>
        <w:t>Shares issued upon any exercise hereof, to any person or entity who directly competes with the Company, except in connection with an Acquisition of the Company by such a direct competitor.</w:t>
      </w:r>
    </w:p>
    <w:p>
      <w:pPr>
        <w:spacing w:after="0" w:line="170" w:lineRule="exact"/>
        <w:rPr>
          <w:sz w:val="20"/>
          <w:szCs w:val="20"/>
          <w:color w:val="auto"/>
        </w:rPr>
      </w:pPr>
    </w:p>
    <w:p>
      <w:pPr>
        <w:ind w:right="20" w:firstLine="1296"/>
        <w:spacing w:after="0" w:line="27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w:t>
      </w:r>
      <w:r>
        <w:rPr>
          <w:rFonts w:ascii="Arial" w:cs="Arial" w:eastAsia="Arial" w:hAnsi="Arial"/>
          <w:sz w:val="20"/>
          <w:szCs w:val="20"/>
          <w:color w:val="auto"/>
          <w:vertAlign w:val="superscript"/>
        </w:rPr>
        <w:t>rd</w:t>
      </w:r>
      <w:r>
        <w:rPr>
          <w:rFonts w:ascii="Arial" w:cs="Arial" w:eastAsia="Arial" w:hAnsi="Arial"/>
          <w:sz w:val="16"/>
          <w:szCs w:val="16"/>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CrowdStrike Holdings,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Kurtz, Chief Executive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15440 Laguna Canyon Road, Suite 250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Irvine, CA 92618</w:t>
      </w:r>
    </w:p>
    <w:p>
      <w:pPr>
        <w:spacing w:after="0" w:line="211"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right="140" w:firstLine="1296"/>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jc w:val="both"/>
        <w:ind w:right="460" w:firstLine="1296"/>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is any day that is not a Saturday, Sunday or a day on which Silicon Valley Bank is closed.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08" w:name="page409"/>
    <w:bookmarkEnd w:id="408"/>
    <w:p>
      <w:pPr>
        <w:ind w:right="40"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 Gregg Marsten</w:t>
            </w: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Gregg Marsten</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(Print)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Lawry</w:t>
            </w:r>
          </w:p>
        </w:tc>
        <w:tc>
          <w:tcPr>
            <w:tcW w:w="5660" w:type="dxa"/>
            <w:vAlign w:val="bottom"/>
          </w:tcPr>
          <w:p>
            <w:pPr>
              <w:spacing w:after="0"/>
              <w:rPr>
                <w:sz w:val="20"/>
                <w:szCs w:val="20"/>
                <w:color w:val="auto"/>
              </w:rPr>
            </w:pPr>
          </w:p>
        </w:tc>
      </w:tr>
      <w:tr>
        <w:trPr>
          <w:trHeight w:val="209"/>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Brian Lawry</w:t>
            </w:r>
          </w:p>
        </w:tc>
        <w:tc>
          <w:tcPr>
            <w:tcW w:w="5660" w:type="dxa"/>
            <w:vAlign w:val="bottom"/>
          </w:tcPr>
          <w:p>
            <w:pPr>
              <w:spacing w:after="0"/>
              <w:rPr>
                <w:sz w:val="18"/>
                <w:szCs w:val="18"/>
                <w:color w:val="auto"/>
              </w:rPr>
            </w:pP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(Print)</w:t>
            </w:r>
          </w:p>
        </w:tc>
        <w:tc>
          <w:tcPr>
            <w:tcW w:w="566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Vice President</w:t>
            </w:r>
          </w:p>
        </w:tc>
        <w:tc>
          <w:tcPr>
            <w:tcW w:w="5660" w:type="dxa"/>
            <w:vAlign w:val="bottom"/>
          </w:tcPr>
          <w:p>
            <w:pPr>
              <w:spacing w:after="0"/>
              <w:rPr>
                <w:sz w:val="20"/>
                <w:szCs w:val="20"/>
                <w:color w:val="auto"/>
              </w:rPr>
            </w:pPr>
          </w:p>
        </w:tc>
      </w:tr>
      <w:tr>
        <w:trPr>
          <w:trHeight w:val="348"/>
        </w:trPr>
        <w:tc>
          <w:tcPr>
            <w:tcW w:w="8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09" w:name="page410"/>
    <w:bookmarkEnd w:id="409"/>
    <w:tbl>
      <w:tblPr>
        <w:tblLayout w:type="fixed"/>
        <w:tblInd w:w="6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5100" w:type="dxa"/>
            <w:vAlign w:val="bottom"/>
          </w:tcPr>
          <w:p>
            <w:pPr>
              <w:jc w:val="center"/>
              <w:ind w:left="3990"/>
              <w:spacing w:after="0"/>
              <w:rPr>
                <w:sz w:val="20"/>
                <w:szCs w:val="20"/>
                <w:color w:val="auto"/>
              </w:rPr>
            </w:pPr>
            <w:r>
              <w:rPr>
                <w:rFonts w:ascii="Arial" w:cs="Arial" w:eastAsia="Arial" w:hAnsi="Arial"/>
                <w:sz w:val="18"/>
                <w:szCs w:val="18"/>
                <w:color w:val="auto"/>
                <w:w w:val="96"/>
              </w:rPr>
              <w:t>APPENDIX 1</w:t>
            </w:r>
          </w:p>
        </w:tc>
        <w:tc>
          <w:tcPr>
            <w:tcW w:w="23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7420" w:type="dxa"/>
            <w:vAlign w:val="bottom"/>
            <w:gridSpan w:val="2"/>
          </w:tcPr>
          <w:p>
            <w:pPr>
              <w:jc w:val="center"/>
              <w:ind w:left="1650"/>
              <w:spacing w:after="0"/>
              <w:rPr>
                <w:sz w:val="20"/>
                <w:szCs w:val="20"/>
                <w:color w:val="auto"/>
              </w:rPr>
            </w:pPr>
            <w:r>
              <w:rPr>
                <w:rFonts w:ascii="Arial" w:cs="Arial" w:eastAsia="Arial" w:hAnsi="Arial"/>
                <w:sz w:val="18"/>
                <w:szCs w:val="18"/>
                <w:u w:val="single" w:color="auto"/>
                <w:color w:val="auto"/>
                <w:w w:val="94"/>
              </w:rPr>
              <w:t>NOTICE OF EXERCISE</w:t>
            </w:r>
          </w:p>
        </w:tc>
        <w:tc>
          <w:tcPr>
            <w:tcW w:w="2360" w:type="dxa"/>
            <w:vAlign w:val="bottom"/>
          </w:tcPr>
          <w:p>
            <w:pPr>
              <w:spacing w:after="0"/>
              <w:rPr>
                <w:sz w:val="24"/>
                <w:szCs w:val="24"/>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5100" w:type="dxa"/>
            <w:vAlign w:val="bottom"/>
          </w:tcPr>
          <w:p>
            <w:pPr>
              <w:ind w:left="260"/>
              <w:spacing w:after="0"/>
              <w:rPr>
                <w:sz w:val="20"/>
                <w:szCs w:val="20"/>
                <w:color w:val="auto"/>
              </w:rPr>
            </w:pPr>
            <w:r>
              <w:rPr>
                <w:rFonts w:ascii="Arial" w:cs="Arial" w:eastAsia="Arial" w:hAnsi="Arial"/>
                <w:sz w:val="18"/>
                <w:szCs w:val="18"/>
                <w:color w:val="auto"/>
              </w:rPr>
              <w:t>The undersigned Holder hereby exercises its right purchase</w:t>
            </w:r>
          </w:p>
        </w:tc>
        <w:tc>
          <w:tcPr>
            <w:tcW w:w="2320" w:type="dxa"/>
            <w:vAlign w:val="bottom"/>
          </w:tcPr>
          <w:p>
            <w:pPr>
              <w:ind w:left="20"/>
              <w:spacing w:after="0"/>
              <w:rPr>
                <w:sz w:val="20"/>
                <w:szCs w:val="20"/>
                <w:color w:val="auto"/>
              </w:rPr>
            </w:pPr>
            <w:r>
              <w:rPr>
                <w:rFonts w:ascii="Arial" w:cs="Arial" w:eastAsia="Arial" w:hAnsi="Arial"/>
                <w:sz w:val="18"/>
                <w:szCs w:val="18"/>
                <w:color w:val="auto"/>
                <w:w w:val="95"/>
              </w:rPr>
              <w:t>shares of the Common/Series</w:t>
            </w:r>
          </w:p>
        </w:tc>
        <w:tc>
          <w:tcPr>
            <w:tcW w:w="2360" w:type="dxa"/>
            <w:vAlign w:val="bottom"/>
          </w:tcPr>
          <w:p>
            <w:pPr>
              <w:ind w:left="180"/>
              <w:spacing w:after="0"/>
              <w:rPr>
                <w:sz w:val="20"/>
                <w:szCs w:val="20"/>
                <w:color w:val="auto"/>
              </w:rPr>
            </w:pPr>
            <w:r>
              <w:rPr>
                <w:rFonts w:ascii="Arial" w:cs="Arial" w:eastAsia="Arial" w:hAnsi="Arial"/>
                <w:sz w:val="18"/>
                <w:szCs w:val="18"/>
                <w:color w:val="auto"/>
                <w:w w:val="91"/>
              </w:rPr>
              <w:t>Preferred [circle one] Stock of</w:t>
            </w:r>
          </w:p>
        </w:tc>
      </w:tr>
    </w:tbl>
    <w:p>
      <w:pPr>
        <w:spacing w:after="0"/>
        <w:rPr>
          <w:sz w:val="20"/>
          <w:szCs w:val="20"/>
          <w:color w:val="auto"/>
        </w:rPr>
      </w:pPr>
      <w:r>
        <w:rPr>
          <w:rFonts w:ascii="Arial" w:cs="Arial" w:eastAsia="Arial" w:hAnsi="Arial"/>
          <w:sz w:val="16"/>
          <w:szCs w:val="16"/>
          <w:color w:val="auto"/>
        </w:rPr>
        <w:t>CROWDSTRIKE HOLDINGS,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Stock, and tenders payment of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Price for such shares as follows:</w:t>
      </w:r>
    </w:p>
    <w:p>
      <w:pPr>
        <w:spacing w:after="0" w:line="211" w:lineRule="exact"/>
        <w:rPr>
          <w:sz w:val="20"/>
          <w:szCs w:val="20"/>
          <w:color w:val="auto"/>
        </w:rPr>
      </w:pPr>
    </w:p>
    <w:p>
      <w:pPr>
        <w:ind w:left="1880" w:hanging="1224"/>
        <w:spacing w:after="0"/>
        <w:tabs>
          <w:tab w:leader="none" w:pos="18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the order of the Company enclosed herewith</w:t>
      </w:r>
    </w:p>
    <w:p>
      <w:pPr>
        <w:spacing w:after="0" w:line="225" w:lineRule="exact"/>
        <w:rPr>
          <w:rFonts w:ascii="Arial" w:cs="Arial" w:eastAsia="Arial" w:hAnsi="Arial"/>
          <w:sz w:val="18"/>
          <w:szCs w:val="18"/>
          <w:color w:val="auto"/>
        </w:rPr>
      </w:pPr>
    </w:p>
    <w:p>
      <w:pPr>
        <w:ind w:left="1880" w:hanging="1224"/>
        <w:spacing w:after="0"/>
        <w:tabs>
          <w:tab w:leader="none" w:pos="18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Arial" w:cs="Arial" w:eastAsia="Arial" w:hAnsi="Arial"/>
          <w:sz w:val="18"/>
          <w:szCs w:val="18"/>
          <w:color w:val="auto"/>
        </w:rPr>
      </w:pPr>
    </w:p>
    <w:p>
      <w:pPr>
        <w:ind w:left="1880" w:hanging="1224"/>
        <w:spacing w:after="0"/>
        <w:tabs>
          <w:tab w:leader="none" w:pos="18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Arial" w:cs="Arial" w:eastAsia="Arial" w:hAnsi="Arial"/>
          <w:sz w:val="18"/>
          <w:szCs w:val="18"/>
          <w:color w:val="auto"/>
        </w:rPr>
      </w:pPr>
    </w:p>
    <w:p>
      <w:pPr>
        <w:ind w:left="1880" w:hanging="1224"/>
        <w:spacing w:after="0"/>
        <w:tabs>
          <w:tab w:leader="none" w:pos="18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2820" w:right="3280" w:hanging="2164"/>
        <w:spacing w:after="0" w:line="794" w:lineRule="auto"/>
        <w:tabs>
          <w:tab w:leader="none" w:pos="129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-448310</wp:posOffset>
            </wp:positionV>
            <wp:extent cx="330009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3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656"/>
        <w:spacing w:after="0" w:line="277" w:lineRule="auto"/>
        <w:tabs>
          <w:tab w:leader="none" w:pos="129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288925</wp:posOffset>
            </wp:positionV>
            <wp:extent cx="354012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5715</wp:posOffset>
            </wp:positionV>
            <wp:extent cx="310324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5715</wp:posOffset>
            </wp:positionV>
            <wp:extent cx="310324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5715</wp:posOffset>
            </wp:positionV>
            <wp:extent cx="310324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0" w:name="page411"/>
    <w:bookmarkEnd w:id="410"/>
    <w:p>
      <w:pPr>
        <w:ind w:left="10400"/>
        <w:spacing w:after="0"/>
        <w:rPr>
          <w:sz w:val="20"/>
          <w:szCs w:val="20"/>
          <w:color w:val="auto"/>
        </w:rPr>
      </w:pPr>
      <w:r>
        <w:rPr>
          <w:rFonts w:ascii="Arial" w:cs="Arial" w:eastAsia="Arial" w:hAnsi="Arial"/>
          <w:sz w:val="16"/>
          <w:szCs w:val="16"/>
          <w:b w:val="1"/>
          <w:bCs w:val="1"/>
          <w:color w:val="auto"/>
        </w:rPr>
        <w:t>Exhibit 4.6</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7"/>
          <w:szCs w:val="17"/>
          <w:color w:val="auto"/>
        </w:rPr>
        <w:t>CROWDSTRIKE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66,225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Series C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 Price: </w:t>
      </w:r>
      <w:r>
        <w:rPr>
          <w:rFonts w:ascii="Arial" w:cs="Arial" w:eastAsia="Arial" w:hAnsi="Arial"/>
          <w:sz w:val="18"/>
          <w:szCs w:val="18"/>
          <w:color w:val="auto"/>
        </w:rPr>
        <w:t>$4.529715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 Date:  </w:t>
      </w:r>
      <w:r>
        <w:rPr>
          <w:rFonts w:ascii="Arial" w:cs="Arial" w:eastAsia="Arial" w:hAnsi="Arial"/>
          <w:sz w:val="18"/>
          <w:szCs w:val="18"/>
          <w:color w:val="auto"/>
        </w:rPr>
        <w:t>March 1, 2017</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March 1, 2027</w:t>
      </w:r>
      <w:r>
        <w:rPr>
          <w:sz w:val="20"/>
          <w:szCs w:val="20"/>
          <w:color w:val="auto"/>
        </w:rPr>
        <w:tab/>
      </w:r>
      <w:r>
        <w:rPr>
          <w:rFonts w:ascii="Arial" w:cs="Arial" w:eastAsia="Arial" w:hAnsi="Arial"/>
          <w:sz w:val="15"/>
          <w:szCs w:val="15"/>
          <w:color w:val="auto"/>
        </w:rPr>
        <w:t>See also Section 5.1(b).</w:t>
      </w:r>
    </w:p>
    <w:p>
      <w:pPr>
        <w:spacing w:after="0" w:line="9" w:lineRule="exact"/>
        <w:rPr>
          <w:sz w:val="20"/>
          <w:szCs w:val="20"/>
          <w:color w:val="auto"/>
        </w:rPr>
      </w:pPr>
    </w:p>
    <w:p>
      <w:pPr>
        <w:ind w:left="1300" w:right="400" w:hanging="1295"/>
        <w:spacing w:after="0" w:line="255" w:lineRule="auto"/>
        <w:rPr>
          <w:sz w:val="20"/>
          <w:szCs w:val="20"/>
          <w:color w:val="auto"/>
        </w:rPr>
      </w:pPr>
      <w:r>
        <w:rPr>
          <w:rFonts w:ascii="Arial" w:cs="Arial" w:eastAsia="Arial" w:hAnsi="Arial"/>
          <w:sz w:val="18"/>
          <w:szCs w:val="18"/>
          <w:b w:val="1"/>
          <w:bCs w:val="1"/>
          <w:color w:val="auto"/>
        </w:rPr>
        <w:t xml:space="preserve">Credit Facility: </w:t>
      </w:r>
      <w:r>
        <w:rPr>
          <w:rFonts w:ascii="Arial" w:cs="Arial" w:eastAsia="Arial" w:hAnsi="Arial"/>
          <w:sz w:val="18"/>
          <w:szCs w:val="18"/>
          <w:color w:val="auto"/>
        </w:rPr>
        <w:t>This Warrant to Purchase Stock (“</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 is issued in connection with that certain Amended and Restated Loan and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even date herewith among Silicon Valley Bank, the Company (as defined below), CrowdStrike, Inc., and CrowdStrike Services, Inc.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w:t>
      </w:r>
    </w:p>
    <w:p>
      <w:pPr>
        <w:spacing w:after="0" w:line="19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above-stated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220" w:firstLine="1296"/>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Method of Exercise</w:t>
      </w:r>
      <w:r>
        <w:rPr>
          <w:rFonts w:ascii="Arial" w:cs="Arial" w:eastAsia="Arial" w:hAnsi="Arial"/>
          <w:sz w:val="18"/>
          <w:szCs w:val="18"/>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in its sole discretion, for the aggregate Warrant Price for the Shares being purchased.</w:t>
      </w:r>
    </w:p>
    <w:p>
      <w:pPr>
        <w:spacing w:after="0" w:line="188"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1" w:name="page412"/>
    <w:bookmarkEnd w:id="411"/>
    <w:p>
      <w:pPr>
        <w:spacing w:after="0"/>
        <w:rPr>
          <w:sz w:val="20"/>
          <w:szCs w:val="20"/>
          <w:color w:val="auto"/>
        </w:rPr>
      </w:pPr>
      <w:r>
        <w:rPr>
          <w:rFonts w:ascii="Arial" w:cs="Arial" w:eastAsia="Arial" w:hAnsi="Arial"/>
          <w:sz w:val="18"/>
          <w:szCs w:val="18"/>
          <w:color w:val="auto"/>
        </w:rPr>
        <w:t>Company shall issue to the Holder such number of fully paid and non-assessable Shares as are computed using the following formula:</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2600" w:hanging="648"/>
        <w:spacing w:after="0"/>
        <w:tabs>
          <w:tab w:leader="none" w:pos="26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number of Shares to be issued to the Holder;</w:t>
      </w:r>
    </w:p>
    <w:p>
      <w:pPr>
        <w:spacing w:after="0" w:line="225" w:lineRule="exact"/>
        <w:rPr>
          <w:sz w:val="20"/>
          <w:szCs w:val="20"/>
          <w:color w:val="auto"/>
        </w:rPr>
      </w:pPr>
    </w:p>
    <w:p>
      <w:pPr>
        <w:ind w:left="2600" w:right="140" w:hanging="648"/>
        <w:spacing w:after="0" w:line="277" w:lineRule="auto"/>
        <w:tabs>
          <w:tab w:leader="none" w:pos="260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170" w:lineRule="exact"/>
        <w:rPr>
          <w:sz w:val="20"/>
          <w:szCs w:val="20"/>
          <w:color w:val="auto"/>
        </w:rPr>
      </w:pPr>
    </w:p>
    <w:p>
      <w:pPr>
        <w:ind w:left="2600" w:hanging="648"/>
        <w:spacing w:after="0"/>
        <w:tabs>
          <w:tab w:leader="none" w:pos="26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Fair Market Value (as determined pursuant to Section 1.3 below) of one Share; and</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B =</w:t>
      </w:r>
      <w:r>
        <w:rPr>
          <w:rFonts w:ascii="Arial" w:cs="Arial" w:eastAsia="Arial" w:hAnsi="Arial"/>
          <w:sz w:val="15"/>
          <w:szCs w:val="15"/>
          <w:color w:val="auto"/>
        </w:rPr>
        <w:t>the Warrant Price.</w:t>
      </w:r>
    </w:p>
    <w:p>
      <w:pPr>
        <w:spacing w:after="0" w:line="225" w:lineRule="exact"/>
        <w:rPr>
          <w:sz w:val="20"/>
          <w:szCs w:val="20"/>
          <w:color w:val="auto"/>
        </w:rPr>
      </w:pPr>
    </w:p>
    <w:p>
      <w:pPr>
        <w:ind w:right="60" w:firstLine="1296"/>
        <w:spacing w:after="0" w:line="25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9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5" w:lineRule="exact"/>
        <w:rPr>
          <w:sz w:val="20"/>
          <w:szCs w:val="20"/>
          <w:color w:val="auto"/>
        </w:rPr>
      </w:pPr>
    </w:p>
    <w:p>
      <w:pPr>
        <w:ind w:right="260" w:firstLine="1296"/>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2" w:name="page413"/>
    <w:bookmarkEnd w:id="412"/>
    <w:p>
      <w:pPr>
        <w:ind w:left="1292"/>
        <w:spacing w:after="0"/>
        <w:tabs>
          <w:tab w:leader="none" w:pos="191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1932" w:hanging="636"/>
        <w:spacing w:after="0"/>
        <w:tabs>
          <w:tab w:leader="none" w:pos="1932"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w:t>
      </w:r>
    </w:p>
    <w:p>
      <w:pPr>
        <w:spacing w:after="0" w:line="50" w:lineRule="exact"/>
        <w:rPr>
          <w:rFonts w:ascii="Arial" w:cs="Arial" w:eastAsia="Arial" w:hAnsi="Arial"/>
          <w:sz w:val="16"/>
          <w:szCs w:val="16"/>
          <w:color w:val="auto"/>
        </w:rPr>
      </w:pPr>
    </w:p>
    <w:p>
      <w:pPr>
        <w:ind w:left="-8" w:right="40" w:firstLine="8"/>
        <w:spacing w:after="0" w:line="268" w:lineRule="auto"/>
        <w:tabs>
          <w:tab w:leader="none" w:pos="207"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sale, lease, exclusive license, or other disposition of all or substantially all of the assets of the Company, except where such sale, lease, exclusive license or other disposition is to a wholly-owned subsidiary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or if the Company or such surviving or successor entity is a wholly-owned subsidiary immediately following such merger, consolidation or reorganization, its parent’s) outstanding voting power immediately after such merger, consolidation or reorganization; or (iii) any sale or other transfer by the stockholders of the Company of shares representing at least a majority of the Company’s then-total outstanding combined voting power (other than in connection with a transaction effected exclusively to change the Company’s domicile). Notwithstanding the foregoing, an Acquisition shall not be deemed to occur upon the sale and issuance of the Company’s securities in a transaction or series of related transactions for private capital-raising purposes.</w:t>
      </w:r>
    </w:p>
    <w:p>
      <w:pPr>
        <w:spacing w:after="0" w:line="178" w:lineRule="exact"/>
        <w:rPr>
          <w:rFonts w:ascii="Arial" w:cs="Arial" w:eastAsia="Arial" w:hAnsi="Arial"/>
          <w:sz w:val="17"/>
          <w:szCs w:val="17"/>
          <w:color w:val="auto"/>
        </w:rPr>
      </w:pPr>
    </w:p>
    <w:p>
      <w:pPr>
        <w:ind w:left="-8" w:firstLine="1304"/>
        <w:spacing w:after="0" w:line="288" w:lineRule="auto"/>
        <w:tabs>
          <w:tab w:leader="none" w:pos="1943"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xml:space="preserve">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 Acquisition</w:t>
      </w:r>
      <w:r>
        <w:rPr>
          <w:rFonts w:ascii="Arial" w:cs="Arial" w:eastAsia="Arial" w:hAnsi="Arial"/>
          <w:sz w:val="16"/>
          <w:szCs w:val="16"/>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such Cashless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8" w:lineRule="exact"/>
        <w:rPr>
          <w:rFonts w:ascii="Arial" w:cs="Arial" w:eastAsia="Arial" w:hAnsi="Arial"/>
          <w:sz w:val="16"/>
          <w:szCs w:val="16"/>
          <w:color w:val="auto"/>
        </w:rPr>
      </w:pPr>
    </w:p>
    <w:p>
      <w:pPr>
        <w:ind w:left="-8" w:right="80" w:firstLine="1304"/>
        <w:spacing w:after="0" w:line="301" w:lineRule="auto"/>
        <w:tabs>
          <w:tab w:leader="none" w:pos="1947" w:val="left"/>
        </w:tabs>
        <w:numPr>
          <w:ilvl w:val="1"/>
          <w:numId w:val="318"/>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3" w:lineRule="exact"/>
        <w:rPr>
          <w:rFonts w:ascii="Arial" w:cs="Arial" w:eastAsia="Arial" w:hAnsi="Arial"/>
          <w:sz w:val="16"/>
          <w:szCs w:val="16"/>
          <w:color w:val="auto"/>
        </w:rPr>
      </w:pPr>
    </w:p>
    <w:p>
      <w:pPr>
        <w:ind w:left="-8" w:right="240" w:firstLine="1304"/>
        <w:spacing w:after="0" w:line="347" w:lineRule="auto"/>
        <w:tabs>
          <w:tab w:leader="none" w:pos="1943" w:val="left"/>
        </w:tabs>
        <w:numPr>
          <w:ilvl w:val="1"/>
          <w:numId w:val="318"/>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w:t>
      </w:r>
    </w:p>
    <w:p>
      <w:pPr>
        <w:spacing w:after="0" w:line="12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41" w:right="379" w:bottom="1440" w:gutter="0" w:footer="0" w:header="0"/>
        </w:sectPr>
      </w:pPr>
    </w:p>
    <w:bookmarkStart w:id="413" w:name="page414"/>
    <w:bookmarkEnd w:id="413"/>
    <w:p>
      <w:pPr>
        <w:spacing w:after="0" w:line="274" w:lineRule="auto"/>
        <w:rPr>
          <w:sz w:val="20"/>
          <w:szCs w:val="20"/>
          <w:color w:val="auto"/>
        </w:rPr>
      </w:pPr>
      <w:r>
        <w:rPr>
          <w:rFonts w:ascii="Arial" w:cs="Arial" w:eastAsia="Arial" w:hAnsi="Arial"/>
          <w:sz w:val="17"/>
          <w:szCs w:val="17"/>
          <w:b w:val="1"/>
          <w:bCs w:val="1"/>
          <w:u w:val="single" w:color="auto"/>
          <w:color w:val="auto"/>
        </w:rPr>
        <w:t>Act</w:t>
      </w:r>
      <w:r>
        <w:rPr>
          <w:rFonts w:ascii="Arial" w:cs="Arial" w:eastAsia="Arial" w:hAnsi="Arial"/>
          <w:sz w:val="17"/>
          <w:szCs w:val="17"/>
          <w:color w:val="auto"/>
        </w:rPr>
        <w:t>”), and is then current in its filing of all required reports and other information under the Act and the Exchange Act; (ii) the class and series of shares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77"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Pay to Play</w:t>
      </w:r>
      <w:r>
        <w:rPr>
          <w:rFonts w:ascii="Arial" w:cs="Arial" w:eastAsia="Arial" w:hAnsi="Arial"/>
          <w:sz w:val="17"/>
          <w:szCs w:val="17"/>
          <w:color w:val="auto"/>
        </w:rPr>
        <w:t>”. In the event that any “pay to play” terms or conditions (i.e. terms or conditions that require a holder of the Company’s Preferred Stock to purchase securities in a future round of equity financing or else lose the benefit of such rights, preferences and/or privileges such as anti-dilution protection applicable to the shares of Preferred Stock issuable upon the exercise of this Warrant or have such shares of Preferred Stock automatically convert to common stock or convert to another class and series of the Company’s capital stock), are triggered in connection with the consummation of a Down Round (as defined below) or otherwise after the date hereof, then in such event, this Warrant, only to the extent of Shares not previously exercised, shall automatically adjust to provide the Holder with the same securities and/or rights that the Holder would have received had the Holder participated in the Down Round to its full pro rata share with respect to the Preferred Stock issuable upon exercise of this Warrant (e.g., if this Warrant provides for the purchase of Series C Preferred Stock, and the Company after the date hereof consummates a Down Round in which those holders of Series C Preferred Stock who participate to their full pro rata share in such Down Round become entitled to exchange such Series C Preferred Stock for Series D Preferred Stock and those holders of Series C Preferred Stock who do not participate to their full pro rata share will have their Series C Preferred Stock converted into Common Stock, then this Warrant would automatically adjust to provide the right to purchase Series D Preferred Stock instead of Common Stock). A “Down Round” means any non-public offering of equity securities of the Company after the Issue Date of this Warrant at a price per share lower than the Warrant Price.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160" w:firstLine="1296"/>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6" w:lineRule="exact"/>
        <w:rPr>
          <w:sz w:val="20"/>
          <w:szCs w:val="20"/>
          <w:color w:val="auto"/>
        </w:rPr>
      </w:pPr>
    </w:p>
    <w:p>
      <w:pPr>
        <w:ind w:right="660" w:firstLine="129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4" w:name="page415"/>
    <w:bookmarkEnd w:id="414"/>
    <w:p>
      <w:pPr>
        <w:spacing w:after="0" w:line="257" w:lineRule="auto"/>
        <w:rPr>
          <w:sz w:val="20"/>
          <w:szCs w:val="20"/>
          <w:color w:val="auto"/>
        </w:rPr>
      </w:pPr>
      <w:r>
        <w:rPr>
          <w:rFonts w:ascii="Arial" w:cs="Arial" w:eastAsia="Arial" w:hAnsi="Arial"/>
          <w:sz w:val="18"/>
          <w:szCs w:val="18"/>
          <w:color w:val="auto"/>
        </w:rPr>
        <w:t>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8"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8" w:lineRule="exact"/>
        <w:rPr>
          <w:sz w:val="20"/>
          <w:szCs w:val="20"/>
          <w:color w:val="auto"/>
        </w:rPr>
      </w:pPr>
    </w:p>
    <w:p>
      <w:pPr>
        <w:ind w:firstLine="1296"/>
        <w:spacing w:after="0" w:line="31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Certificate of Incorporation as if the Shares were issued and outstanding on and as of the date of any such required adjustment.</w:t>
      </w:r>
    </w:p>
    <w:p>
      <w:pPr>
        <w:spacing w:after="0" w:line="149" w:lineRule="exact"/>
        <w:rPr>
          <w:sz w:val="20"/>
          <w:szCs w:val="20"/>
          <w:color w:val="auto"/>
        </w:rPr>
      </w:pPr>
    </w:p>
    <w:p>
      <w:pPr>
        <w:jc w:val="both"/>
        <w:ind w:right="60"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or other authorized officer, including computations of such adjustment and the Warrant Price, Class and number of Shares in effect upon the date of such adjustment.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5" w:name="page416"/>
    <w:bookmarkEnd w:id="415"/>
    <w:p>
      <w:pPr>
        <w:ind w:firstLine="1304"/>
        <w:spacing w:after="0" w:line="342" w:lineRule="auto"/>
        <w:tabs>
          <w:tab w:leader="none" w:pos="194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23" w:lineRule="exact"/>
        <w:rPr>
          <w:rFonts w:ascii="Arial" w:cs="Arial" w:eastAsia="Arial" w:hAnsi="Arial"/>
          <w:sz w:val="16"/>
          <w:szCs w:val="16"/>
          <w:color w:val="auto"/>
        </w:rPr>
      </w:pPr>
    </w:p>
    <w:p>
      <w:pPr>
        <w:ind w:right="120" w:firstLine="1304"/>
        <w:spacing w:after="0" w:line="296" w:lineRule="auto"/>
        <w:tabs>
          <w:tab w:leader="none" w:pos="195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61" w:lineRule="exact"/>
        <w:rPr>
          <w:rFonts w:ascii="Arial" w:cs="Arial" w:eastAsia="Arial" w:hAnsi="Arial"/>
          <w:sz w:val="16"/>
          <w:szCs w:val="16"/>
          <w:color w:val="auto"/>
        </w:rPr>
      </w:pPr>
    </w:p>
    <w:p>
      <w:pPr>
        <w:ind w:left="1960" w:hanging="656"/>
        <w:spacing w:after="0"/>
        <w:tabs>
          <w:tab w:leader="none" w:pos="196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5" w:lineRule="exact"/>
        <w:rPr>
          <w:sz w:val="20"/>
          <w:szCs w:val="20"/>
          <w:color w:val="auto"/>
        </w:rPr>
      </w:pPr>
    </w:p>
    <w:p>
      <w:pPr>
        <w:ind w:firstLine="1304"/>
        <w:spacing w:after="0" w:line="277" w:lineRule="auto"/>
        <w:tabs>
          <w:tab w:leader="none" w:pos="194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160" w:firstLine="1304"/>
        <w:spacing w:after="0" w:line="277" w:lineRule="auto"/>
        <w:tabs>
          <w:tab w:leader="none" w:pos="195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Class;</w:t>
      </w:r>
    </w:p>
    <w:p>
      <w:pPr>
        <w:spacing w:after="0" w:line="210" w:lineRule="exact"/>
        <w:rPr>
          <w:rFonts w:ascii="Arial" w:cs="Arial" w:eastAsia="Arial" w:hAnsi="Arial"/>
          <w:sz w:val="16"/>
          <w:szCs w:val="16"/>
          <w:color w:val="auto"/>
        </w:rPr>
      </w:pPr>
    </w:p>
    <w:p>
      <w:pPr>
        <w:ind w:left="1960" w:hanging="656"/>
        <w:spacing w:after="0"/>
        <w:tabs>
          <w:tab w:leader="none" w:pos="19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jc w:val="both"/>
        <w:ind w:left="660" w:right="80" w:firstLine="644"/>
        <w:spacing w:after="0" w:line="263" w:lineRule="auto"/>
        <w:tabs>
          <w:tab w:leader="none" w:pos="196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3" w:lineRule="exact"/>
        <w:rPr>
          <w:rFonts w:ascii="Arial" w:cs="Arial" w:eastAsia="Arial" w:hAnsi="Arial"/>
          <w:sz w:val="18"/>
          <w:szCs w:val="18"/>
          <w:color w:val="auto"/>
        </w:rPr>
      </w:pPr>
    </w:p>
    <w:p>
      <w:pPr>
        <w:jc w:val="both"/>
        <w:ind w:left="660" w:right="100" w:firstLine="644"/>
        <w:spacing w:after="0" w:line="279" w:lineRule="auto"/>
        <w:tabs>
          <w:tab w:leader="none" w:pos="1963" w:val="left"/>
        </w:tabs>
        <w:numPr>
          <w:ilvl w:val="0"/>
          <w:numId w:val="321"/>
        </w:numPr>
        <w:rPr>
          <w:rFonts w:ascii="Arial" w:cs="Arial" w:eastAsia="Arial" w:hAnsi="Arial"/>
          <w:sz w:val="17"/>
          <w:szCs w:val="17"/>
          <w:color w:val="auto"/>
        </w:rPr>
      </w:pPr>
      <w:r>
        <w:rPr>
          <w:rFonts w:ascii="Arial" w:cs="Arial" w:eastAsia="Arial" w:hAnsi="Arial"/>
          <w:sz w:val="17"/>
          <w:szCs w:val="17"/>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16" w:name="page417"/>
    <w:bookmarkEnd w:id="416"/>
    <w:p>
      <w:pPr>
        <w:ind w:left="660" w:right="60" w:firstLine="644"/>
        <w:spacing w:after="0" w:line="277" w:lineRule="auto"/>
        <w:tabs>
          <w:tab w:leader="none" w:pos="1963"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will also provide information requested by Holder that is reasonably necessary to enable Holder to comply with Holder’s accounting or reporting requirements.</w:t>
      </w:r>
    </w:p>
    <w:p>
      <w:pPr>
        <w:spacing w:after="0" w:line="17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right="140" w:firstLine="1296"/>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4" w:lineRule="exact"/>
        <w:rPr>
          <w:sz w:val="20"/>
          <w:szCs w:val="20"/>
          <w:color w:val="auto"/>
        </w:rPr>
      </w:pPr>
    </w:p>
    <w:p>
      <w:pPr>
        <w:ind w:right="100" w:firstLine="1296"/>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right="100" w:firstLine="1296"/>
        <w:spacing w:after="0" w:line="301"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The Act</w:t>
      </w:r>
      <w:r>
        <w:rPr>
          <w:rFonts w:ascii="Arial" w:cs="Arial" w:eastAsia="Arial" w:hAnsi="Arial"/>
          <w:sz w:val="16"/>
          <w:szCs w:val="16"/>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color w:val="auto"/>
        </w:rPr>
        <w:t>qualification are otherwise available. Holder is aware of the provisions of Rule 144 promulgated under the Act.</w:t>
      </w:r>
    </w:p>
    <w:p>
      <w:pPr>
        <w:spacing w:after="0" w:line="225" w:lineRule="exact"/>
        <w:rPr>
          <w:sz w:val="20"/>
          <w:szCs w:val="20"/>
          <w:color w:val="auto"/>
        </w:rPr>
      </w:pPr>
    </w:p>
    <w:p>
      <w:pPr>
        <w:ind w:right="300" w:firstLine="1296"/>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7(o) of the Amended and Restated Stockholders Agreement (the “</w:t>
      </w:r>
      <w:r>
        <w:rPr>
          <w:rFonts w:ascii="Arial" w:cs="Arial" w:eastAsia="Arial" w:hAnsi="Arial"/>
          <w:sz w:val="18"/>
          <w:szCs w:val="18"/>
          <w:b w:val="1"/>
          <w:bCs w:val="1"/>
          <w:u w:val="single" w:color="auto"/>
          <w:color w:val="auto"/>
        </w:rPr>
        <w:t>Stockholders Agreement</w:t>
      </w:r>
      <w:r>
        <w:rPr>
          <w:rFonts w:ascii="Arial" w:cs="Arial" w:eastAsia="Arial" w:hAnsi="Arial"/>
          <w:sz w:val="18"/>
          <w:szCs w:val="18"/>
          <w:color w:val="auto"/>
        </w:rPr>
        <w:t>”) dated August 21, 2013, as amended from time to time.</w:t>
      </w:r>
    </w:p>
    <w:p>
      <w:pPr>
        <w:spacing w:after="0" w:line="184" w:lineRule="exact"/>
        <w:rPr>
          <w:sz w:val="20"/>
          <w:szCs w:val="20"/>
          <w:color w:val="auto"/>
        </w:rPr>
      </w:pPr>
    </w:p>
    <w:p>
      <w:pPr>
        <w:ind w:right="100" w:firstLine="1296"/>
        <w:spacing w:after="0" w:line="30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No Voting Rights</w:t>
      </w:r>
      <w:r>
        <w:rPr>
          <w:rFonts w:ascii="Arial" w:cs="Arial" w:eastAsia="Arial" w:hAnsi="Arial"/>
          <w:sz w:val="17"/>
          <w:szCs w:val="17"/>
          <w:color w:val="auto"/>
        </w:rPr>
        <w:t>. Holder, as a Holder of this Warrant, (i) will not have any voting rights until the exercise of this Warrant, and (ii) except as expressly set forth in this Warrant, will not be considered a stockholder for any purpose until the exercise of this Warrant.</w:t>
      </w:r>
    </w:p>
    <w:p>
      <w:pPr>
        <w:spacing w:after="0" w:line="146" w:lineRule="exact"/>
        <w:rPr>
          <w:sz w:val="20"/>
          <w:szCs w:val="20"/>
          <w:color w:val="auto"/>
        </w:rPr>
      </w:pPr>
    </w:p>
    <w:p>
      <w:pPr>
        <w:ind w:right="200" w:firstLine="1296"/>
        <w:spacing w:after="0" w:line="28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Execution of Additional Agreements</w:t>
      </w:r>
      <w:r>
        <w:rPr>
          <w:rFonts w:ascii="Arial" w:cs="Arial" w:eastAsia="Arial" w:hAnsi="Arial"/>
          <w:sz w:val="17"/>
          <w:szCs w:val="17"/>
          <w:color w:val="auto"/>
        </w:rPr>
        <w:t>. As a condition to the exercise of this Warrant and issuance of Shares hereunder, Holder agrees to execute and deliver a counterpart signature page to each of the Amended and Restated Stockholders Agreement dated June 11, 2015, and the Amended and Restated Registration Rights Agreement dated June 11, 2015, as amended from time to time, as an Investor thereunder.</w:t>
      </w:r>
    </w:p>
    <w:p>
      <w:pPr>
        <w:spacing w:after="0" w:line="165" w:lineRule="exact"/>
        <w:rPr>
          <w:sz w:val="20"/>
          <w:szCs w:val="20"/>
          <w:color w:val="auto"/>
        </w:rPr>
      </w:pPr>
    </w:p>
    <w:p>
      <w:pPr>
        <w:ind w:right="80" w:firstLine="1296"/>
        <w:spacing w:after="0" w:line="275"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No “Bad Actor” Disqualification</w:t>
      </w:r>
      <w:r>
        <w:rPr>
          <w:rFonts w:ascii="Arial" w:cs="Arial" w:eastAsia="Arial" w:hAnsi="Arial"/>
          <w:sz w:val="17"/>
          <w:szCs w:val="17"/>
          <w:color w:val="auto"/>
        </w:rPr>
        <w:t>. As of the Issue Date, neither (i) Holder, (ii) any of its directors, executive officers, other officers that may serve as a director or officer of any company in which it invests, general partners or managing members, nor (iii) any beneficial owner of any of the Company’s voting equity securities (in accordance with Rule 506(d) of the Act) held by Holder is subject to any of the “bad actor” disqualifications described in Rule 506(d)(1)(i) through (viii) under the Act, except as set forth in Rule 506(d)(2)(ii) or (iii) or (d)(3) under the Act and disclosed, reasonably in advance of the acceptance of this Warrant, in writing in reasonable detail to the Company.</w:t>
      </w:r>
    </w:p>
    <w:p>
      <w:pPr>
        <w:spacing w:after="0" w:line="1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and Automatic Conversion Upon Expiration</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41"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right="100" w:firstLine="1304"/>
        <w:spacing w:after="0" w:line="257" w:lineRule="auto"/>
        <w:tabs>
          <w:tab w:leader="none" w:pos="1951"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8" w:name="page419"/>
    <w:bookmarkEnd w:id="418"/>
    <w:p>
      <w:pPr>
        <w:jc w:val="both"/>
        <w:ind w:left="1300"/>
        <w:spacing w:after="0" w:line="271"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“ACT”), OR THE SECURITIES LAWS OF ANY STATE AND, EXCEPT AS SET FORTH IN THAT CERTAIN WARRANT TO PURCHASE STOCK ISSUED BY THE ISSUER TO SILICON VALLEY BANK DATED MARCH 1, 2017,</w:t>
      </w:r>
    </w:p>
    <w:p>
      <w:pPr>
        <w:ind w:left="1300" w:right="60"/>
        <w:spacing w:after="0" w:line="255" w:lineRule="auto"/>
        <w:rPr>
          <w:sz w:val="20"/>
          <w:szCs w:val="20"/>
          <w:color w:val="auto"/>
        </w:rPr>
      </w:pPr>
      <w:r>
        <w:rPr>
          <w:rFonts w:ascii="Arial" w:cs="Arial" w:eastAsia="Arial" w:hAnsi="Arial"/>
          <w:sz w:val="18"/>
          <w:szCs w:val="18"/>
          <w:color w:val="auto"/>
        </w:rPr>
        <w:t>MAY NOT BE OFFERED, SOLD, PLEDGED OR OTHERWISE TRANSFERRED UNLESS AND UNTIL REGISTERED UNDER SAID ACT AND LAWS OR IN FORM AND SUBSTANCE SATISFACTORY TO THE ISSUER, SUCH OFFER, SALE, PLEDGE OR OTHER TRANSFER IS EXEMPT FROM SUCH REGISTRATION.</w:t>
      </w:r>
    </w:p>
    <w:p>
      <w:pPr>
        <w:spacing w:after="0" w:line="190" w:lineRule="exact"/>
        <w:rPr>
          <w:sz w:val="20"/>
          <w:szCs w:val="20"/>
          <w:color w:val="auto"/>
        </w:rPr>
      </w:pPr>
    </w:p>
    <w:p>
      <w:pPr>
        <w:ind w:left="1300" w:right="20"/>
        <w:spacing w:after="0" w:line="255"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92" w:lineRule="exact"/>
        <w:rPr>
          <w:sz w:val="20"/>
          <w:szCs w:val="20"/>
          <w:color w:val="auto"/>
        </w:rPr>
      </w:pPr>
    </w:p>
    <w:p>
      <w:pPr>
        <w:ind w:right="20" w:firstLine="1296"/>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6" w:lineRule="exact"/>
        <w:rPr>
          <w:sz w:val="20"/>
          <w:szCs w:val="20"/>
          <w:color w:val="auto"/>
        </w:rPr>
      </w:pPr>
    </w:p>
    <w:p>
      <w:pPr>
        <w:ind w:right="140" w:firstLine="1296"/>
        <w:spacing w:after="0" w:line="25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9" w:name="page420"/>
    <w:bookmarkEnd w:id="419"/>
    <w:p>
      <w:pPr>
        <w:spacing w:after="0" w:line="273" w:lineRule="auto"/>
        <w:rPr>
          <w:sz w:val="20"/>
          <w:szCs w:val="20"/>
          <w:color w:val="auto"/>
        </w:rPr>
      </w:pPr>
      <w:r>
        <w:rPr>
          <w:rFonts w:ascii="Arial" w:cs="Arial" w:eastAsia="Arial" w:hAnsi="Arial"/>
          <w:sz w:val="17"/>
          <w:szCs w:val="17"/>
          <w:color w:val="auto"/>
        </w:rPr>
        <w:t>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the representations, warranties and covenants set forth in Section 4 hereof).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8" w:lineRule="exact"/>
        <w:rPr>
          <w:sz w:val="20"/>
          <w:szCs w:val="20"/>
          <w:color w:val="auto"/>
        </w:rPr>
      </w:pPr>
    </w:p>
    <w:p>
      <w:pPr>
        <w:ind w:right="40" w:firstLine="1296"/>
        <w:spacing w:after="0" w:line="27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w:t>
      </w:r>
      <w:r>
        <w:rPr>
          <w:rFonts w:ascii="Arial" w:cs="Arial" w:eastAsia="Arial" w:hAnsi="Arial"/>
          <w:sz w:val="20"/>
          <w:szCs w:val="20"/>
          <w:color w:val="auto"/>
          <w:vertAlign w:val="superscript"/>
        </w:rPr>
        <w:t>rd</w:t>
      </w:r>
      <w:r>
        <w:rPr>
          <w:rFonts w:ascii="Arial" w:cs="Arial" w:eastAsia="Arial" w:hAnsi="Arial"/>
          <w:sz w:val="16"/>
          <w:szCs w:val="16"/>
          <w:color w:val="auto"/>
        </w:rPr>
        <w:t>)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CrowdStrike Holdings,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Kurtz, Chief Executive Officer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15440 Laguna Canyon Road, Suite 250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Irvine, CA 92618</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Michael Brown, Esq.</w:t>
      </w:r>
    </w:p>
    <w:p>
      <w:pPr>
        <w:ind w:left="1960"/>
        <w:spacing w:after="0" w:line="205" w:lineRule="auto"/>
        <w:rPr>
          <w:sz w:val="20"/>
          <w:szCs w:val="20"/>
          <w:color w:val="auto"/>
        </w:rPr>
      </w:pPr>
      <w:r>
        <w:rPr>
          <w:rFonts w:ascii="Arial" w:cs="Arial" w:eastAsia="Arial" w:hAnsi="Arial"/>
          <w:sz w:val="18"/>
          <w:szCs w:val="18"/>
          <w:color w:val="auto"/>
        </w:rPr>
        <w:t>555 California Street,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 94104</w:t>
      </w:r>
    </w:p>
    <w:p>
      <w:pPr>
        <w:spacing w:after="0" w:line="209"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0" w:name="page421"/>
    <w:bookmarkEnd w:id="420"/>
    <w:p>
      <w:pPr>
        <w:ind w:right="120" w:firstLine="1296"/>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jc w:val="both"/>
        <w:ind w:right="440" w:firstLine="1296"/>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520" w:firstLine="1296"/>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is any day that is not a Saturday, Sunday or a day on which Silicon Valley Bank is closed.</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21" w:name="page422"/>
    <w:bookmarkEnd w:id="421"/>
    <w:p>
      <w:pPr>
        <w:ind w:right="40" w:firstLine="648"/>
        <w:spacing w:after="0" w:line="277" w:lineRule="auto"/>
        <w:rPr>
          <w:sz w:val="20"/>
          <w:szCs w:val="20"/>
          <w:color w:val="auto"/>
        </w:rPr>
      </w:pPr>
      <w:r>
        <w:rPr>
          <w:rFonts w:ascii="Arial" w:cs="Arial" w:eastAsia="Arial" w:hAnsi="Arial"/>
          <w:sz w:val="18"/>
          <w:szCs w:val="18"/>
          <w:color w:val="auto"/>
        </w:rPr>
        <w:t>IN WITNESS WHEREOF, the parties have caused this Warrant to Purchase Stock to be executed by their duly authorized representatives effective as of the Issue Date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Kurtz</w:t>
            </w:r>
          </w:p>
        </w:tc>
      </w:tr>
      <w:tr>
        <w:trPr>
          <w:trHeight w:val="425"/>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George Kurtz</w:t>
            </w:r>
          </w:p>
        </w:tc>
      </w:tr>
      <w:tr>
        <w:trPr>
          <w:trHeight w:val="195"/>
        </w:trPr>
        <w:tc>
          <w:tcPr>
            <w:tcW w:w="7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(Print)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Hoyt</w:t>
            </w:r>
          </w:p>
        </w:tc>
        <w:tc>
          <w:tcPr>
            <w:tcW w:w="5660" w:type="dxa"/>
            <w:vAlign w:val="bottom"/>
          </w:tcPr>
          <w:p>
            <w:pPr>
              <w:spacing w:after="0"/>
              <w:rPr>
                <w:sz w:val="20"/>
                <w:szCs w:val="20"/>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Derek Hoyt</w:t>
            </w:r>
          </w:p>
        </w:tc>
        <w:tc>
          <w:tcPr>
            <w:tcW w:w="5660" w:type="dxa"/>
            <w:vAlign w:val="bottom"/>
          </w:tcPr>
          <w:p>
            <w:pPr>
              <w:spacing w:after="0"/>
              <w:rPr>
                <w:sz w:val="24"/>
                <w:szCs w:val="24"/>
                <w:color w:val="auto"/>
              </w:rPr>
            </w:pPr>
          </w:p>
        </w:tc>
      </w:tr>
      <w:tr>
        <w:trPr>
          <w:trHeight w:val="195"/>
        </w:trPr>
        <w:tc>
          <w:tcPr>
            <w:tcW w:w="7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(Print)</w:t>
            </w:r>
          </w:p>
        </w:tc>
        <w:tc>
          <w:tcPr>
            <w:tcW w:w="566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Managing Director</w:t>
            </w:r>
          </w:p>
        </w:tc>
        <w:tc>
          <w:tcPr>
            <w:tcW w:w="5660" w:type="dxa"/>
            <w:vAlign w:val="bottom"/>
          </w:tcPr>
          <w:p>
            <w:pPr>
              <w:spacing w:after="0"/>
              <w:rPr>
                <w:sz w:val="20"/>
                <w:szCs w:val="20"/>
                <w:color w:val="auto"/>
              </w:rPr>
            </w:pPr>
          </w:p>
        </w:tc>
      </w:tr>
      <w:tr>
        <w:trPr>
          <w:trHeight w:val="348"/>
        </w:trPr>
        <w:tc>
          <w:tcPr>
            <w:tcW w:w="78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22" w:name="page423"/>
    <w:bookmarkEnd w:id="422"/>
    <w:tbl>
      <w:tblPr>
        <w:tblLayout w:type="fixed"/>
        <w:tblInd w:w="6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5180" w:type="dxa"/>
            <w:vAlign w:val="bottom"/>
          </w:tcPr>
          <w:p>
            <w:pPr>
              <w:jc w:val="center"/>
              <w:ind w:left="3910"/>
              <w:spacing w:after="0"/>
              <w:rPr>
                <w:sz w:val="20"/>
                <w:szCs w:val="20"/>
                <w:color w:val="auto"/>
              </w:rPr>
            </w:pPr>
            <w:r>
              <w:rPr>
                <w:rFonts w:ascii="Arial" w:cs="Arial" w:eastAsia="Arial" w:hAnsi="Arial"/>
                <w:sz w:val="18"/>
                <w:szCs w:val="18"/>
                <w:color w:val="auto"/>
                <w:w w:val="96"/>
              </w:rPr>
              <w:t>APPENDIX 1</w:t>
            </w:r>
          </w:p>
        </w:tc>
        <w:tc>
          <w:tcPr>
            <w:tcW w:w="472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9900" w:type="dxa"/>
            <w:vAlign w:val="bottom"/>
            <w:gridSpan w:val="2"/>
          </w:tcPr>
          <w:p>
            <w:pPr>
              <w:jc w:val="center"/>
              <w:ind w:right="650"/>
              <w:spacing w:after="0"/>
              <w:rPr>
                <w:sz w:val="20"/>
                <w:szCs w:val="20"/>
                <w:color w:val="auto"/>
              </w:rPr>
            </w:pPr>
            <w:r>
              <w:rPr>
                <w:rFonts w:ascii="Arial" w:cs="Arial" w:eastAsia="Arial" w:hAnsi="Arial"/>
                <w:sz w:val="18"/>
                <w:szCs w:val="18"/>
                <w:u w:val="single" w:color="auto"/>
                <w:color w:val="auto"/>
                <w:w w:val="94"/>
              </w:rPr>
              <w:t>NOTICE OF EXERCISE</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5180" w:type="dxa"/>
            <w:vAlign w:val="bottom"/>
          </w:tcPr>
          <w:p>
            <w:pPr>
              <w:ind w:left="260"/>
              <w:spacing w:after="0"/>
              <w:rPr>
                <w:sz w:val="20"/>
                <w:szCs w:val="20"/>
                <w:color w:val="auto"/>
              </w:rPr>
            </w:pPr>
            <w:r>
              <w:rPr>
                <w:rFonts w:ascii="Arial" w:cs="Arial" w:eastAsia="Arial" w:hAnsi="Arial"/>
                <w:sz w:val="18"/>
                <w:szCs w:val="18"/>
                <w:color w:val="auto"/>
              </w:rPr>
              <w:t>The undersigned Holder hereby exercises its right purchase</w:t>
            </w:r>
          </w:p>
        </w:tc>
        <w:tc>
          <w:tcPr>
            <w:tcW w:w="4720" w:type="dxa"/>
            <w:vAlign w:val="bottom"/>
          </w:tcPr>
          <w:p>
            <w:pPr>
              <w:ind w:left="100"/>
              <w:spacing w:after="0"/>
              <w:rPr>
                <w:sz w:val="20"/>
                <w:szCs w:val="20"/>
                <w:color w:val="auto"/>
              </w:rPr>
            </w:pPr>
            <w:r>
              <w:rPr>
                <w:rFonts w:ascii="Arial" w:cs="Arial" w:eastAsia="Arial" w:hAnsi="Arial"/>
                <w:sz w:val="18"/>
                <w:szCs w:val="18"/>
                <w:color w:val="auto"/>
                <w:w w:val="92"/>
              </w:rPr>
              <w:t>shares of the Common/Series    Preferred [circle one] Stock of</w:t>
            </w:r>
          </w:p>
        </w:tc>
      </w:tr>
    </w:tbl>
    <w:p>
      <w:pPr>
        <w:spacing w:after="0"/>
        <w:rPr>
          <w:sz w:val="20"/>
          <w:szCs w:val="20"/>
          <w:color w:val="auto"/>
        </w:rPr>
      </w:pPr>
      <w:r>
        <w:rPr>
          <w:rFonts w:ascii="Arial" w:cs="Arial" w:eastAsia="Arial" w:hAnsi="Arial"/>
          <w:sz w:val="16"/>
          <w:szCs w:val="16"/>
          <w:color w:val="auto"/>
        </w:rPr>
        <w:t>CROWDSTRIKE HOLDINGS,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Stock, and tenders payment of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Price for such shares as follows:</w:t>
      </w:r>
    </w:p>
    <w:p>
      <w:pPr>
        <w:spacing w:after="0" w:line="211" w:lineRule="exact"/>
        <w:rPr>
          <w:sz w:val="20"/>
          <w:szCs w:val="20"/>
          <w:color w:val="auto"/>
        </w:rPr>
      </w:pPr>
    </w:p>
    <w:p>
      <w:pPr>
        <w:ind w:left="1640" w:hanging="984"/>
        <w:spacing w:after="0"/>
        <w:tabs>
          <w:tab w:leader="none" w:pos="16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the order of the Company enclosed herewith</w:t>
      </w:r>
    </w:p>
    <w:p>
      <w:pPr>
        <w:spacing w:after="0" w:line="225" w:lineRule="exact"/>
        <w:rPr>
          <w:rFonts w:ascii="Arial" w:cs="Arial" w:eastAsia="Arial" w:hAnsi="Arial"/>
          <w:sz w:val="18"/>
          <w:szCs w:val="18"/>
          <w:color w:val="auto"/>
        </w:rPr>
      </w:pPr>
    </w:p>
    <w:p>
      <w:pPr>
        <w:ind w:left="1640" w:hanging="984"/>
        <w:spacing w:after="0"/>
        <w:tabs>
          <w:tab w:leader="none" w:pos="16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Wire transfer of immediately available funds to the Company’s account</w:t>
      </w:r>
    </w:p>
    <w:p>
      <w:pPr>
        <w:spacing w:after="0" w:line="225" w:lineRule="exact"/>
        <w:rPr>
          <w:rFonts w:ascii="Arial" w:cs="Arial" w:eastAsia="Arial" w:hAnsi="Arial"/>
          <w:sz w:val="18"/>
          <w:szCs w:val="18"/>
          <w:color w:val="auto"/>
        </w:rPr>
      </w:pPr>
    </w:p>
    <w:p>
      <w:pPr>
        <w:ind w:left="1640" w:hanging="984"/>
        <w:spacing w:after="0"/>
        <w:tabs>
          <w:tab w:leader="none" w:pos="16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Cashless Exercise pursuant to Section 1.2 of the Warrant</w:t>
      </w:r>
    </w:p>
    <w:p>
      <w:pPr>
        <w:spacing w:after="0" w:line="225" w:lineRule="exact"/>
        <w:rPr>
          <w:rFonts w:ascii="Arial" w:cs="Arial" w:eastAsia="Arial" w:hAnsi="Arial"/>
          <w:sz w:val="18"/>
          <w:szCs w:val="18"/>
          <w:color w:val="auto"/>
        </w:rPr>
      </w:pPr>
    </w:p>
    <w:p>
      <w:pPr>
        <w:ind w:left="1640" w:hanging="984"/>
        <w:spacing w:after="0"/>
        <w:tabs>
          <w:tab w:leader="none" w:pos="164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2060" w:right="3280" w:hanging="1404"/>
        <w:spacing w:after="0" w:line="794" w:lineRule="auto"/>
        <w:tabs>
          <w:tab w:leader="none" w:pos="131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-448310</wp:posOffset>
            </wp:positionV>
            <wp:extent cx="308610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3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656"/>
        <w:spacing w:after="0" w:line="277" w:lineRule="auto"/>
        <w:tabs>
          <w:tab w:leader="none" w:pos="129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288925</wp:posOffset>
            </wp:positionV>
            <wp:extent cx="355727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15327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23" w:name="page424"/>
    <w:bookmarkEnd w:id="423"/>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as of July 26, 2018)</w:t>
      </w:r>
    </w:p>
    <w:p>
      <w:pPr>
        <w:spacing w:after="0" w:line="221" w:lineRule="exact"/>
        <w:rPr>
          <w:sz w:val="20"/>
          <w:szCs w:val="20"/>
          <w:color w:val="auto"/>
        </w:rPr>
      </w:pPr>
    </w:p>
    <w:p>
      <w:pPr>
        <w:ind w:left="1340" w:hanging="576"/>
        <w:spacing w:after="0"/>
        <w:tabs>
          <w:tab w:leader="none" w:pos="13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PURPOSE</w:t>
      </w:r>
      <w:r>
        <w:rPr>
          <w:rFonts w:ascii="Arial" w:cs="Arial" w:eastAsia="Arial" w:hAnsi="Arial"/>
          <w:sz w:val="18"/>
          <w:szCs w:val="18"/>
          <w:b w:val="1"/>
          <w:bCs w:val="1"/>
          <w:color w:val="auto"/>
        </w:rPr>
        <w:t>.</w:t>
      </w:r>
    </w:p>
    <w:p>
      <w:pPr>
        <w:spacing w:after="0" w:line="229"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The purpose of the Plan is to assist the Company in attracting, retaining, motivating, and rewarding certain key employees, officers, directors, and consultants of the Company Group, and promoting the creation of long-term value for stockholders of the Company by closely aligning the interests of such individuals with those of such stockholders. The Plan authorizes the award of Stock-based incentives to Eligible Persons to encourage such persons to expend their maximum efforts in the creation of stockholder value.</w:t>
      </w:r>
    </w:p>
    <w:p>
      <w:pPr>
        <w:spacing w:after="0" w:line="187" w:lineRule="exact"/>
        <w:rPr>
          <w:sz w:val="20"/>
          <w:szCs w:val="20"/>
          <w:color w:val="auto"/>
        </w:rPr>
      </w:pPr>
    </w:p>
    <w:p>
      <w:pPr>
        <w:jc w:val="both"/>
        <w:ind w:right="120" w:firstLine="630"/>
        <w:spacing w:after="0" w:line="263" w:lineRule="auto"/>
        <w:rPr>
          <w:sz w:val="20"/>
          <w:szCs w:val="20"/>
          <w:color w:val="auto"/>
        </w:rPr>
      </w:pPr>
      <w:r>
        <w:rPr>
          <w:rFonts w:ascii="Arial" w:cs="Arial" w:eastAsia="Arial" w:hAnsi="Arial"/>
          <w:sz w:val="18"/>
          <w:szCs w:val="18"/>
          <w:color w:val="auto"/>
        </w:rPr>
        <w:t>The Plan was originally adopted by the Company on November 18, 2011. The Plan was previously amended and restated on July 25, 2012. The current version of the Plan is an amendment and restatement of the Plan incorporating all amendments to date, and was approved by the Board on July 26, 2018 (the “</w:t>
      </w:r>
      <w:r>
        <w:rPr>
          <w:rFonts w:ascii="Arial" w:cs="Arial" w:eastAsia="Arial" w:hAnsi="Arial"/>
          <w:sz w:val="18"/>
          <w:szCs w:val="18"/>
          <w:u w:val="single" w:color="auto"/>
          <w:color w:val="auto"/>
        </w:rPr>
        <w:t>Restatement Effective Date</w:t>
      </w:r>
      <w:r>
        <w:rPr>
          <w:rFonts w:ascii="Arial" w:cs="Arial" w:eastAsia="Arial" w:hAnsi="Arial"/>
          <w:sz w:val="18"/>
          <w:szCs w:val="18"/>
          <w:color w:val="auto"/>
        </w:rPr>
        <w:t>”).</w:t>
      </w:r>
    </w:p>
    <w:p>
      <w:pPr>
        <w:spacing w:after="0" w:line="180" w:lineRule="exact"/>
        <w:rPr>
          <w:sz w:val="20"/>
          <w:szCs w:val="20"/>
          <w:color w:val="auto"/>
        </w:rPr>
      </w:pPr>
    </w:p>
    <w:p>
      <w:pPr>
        <w:ind w:left="1340" w:hanging="576"/>
        <w:spacing w:after="0"/>
        <w:tabs>
          <w:tab w:leader="none" w:pos="13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DEFINITIONS</w:t>
      </w:r>
      <w:r>
        <w:rPr>
          <w:rFonts w:ascii="Arial" w:cs="Arial" w:eastAsia="Arial" w:hAnsi="Arial"/>
          <w:sz w:val="18"/>
          <w:szCs w:val="18"/>
          <w:b w:val="1"/>
          <w:bCs w:val="1"/>
          <w:color w:val="auto"/>
        </w:rPr>
        <w: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225" w:lineRule="exact"/>
        <w:rPr>
          <w:sz w:val="20"/>
          <w:szCs w:val="20"/>
          <w:color w:val="auto"/>
        </w:rPr>
      </w:pPr>
    </w:p>
    <w:p>
      <w:pPr>
        <w:ind w:right="120" w:firstLine="1304"/>
        <w:spacing w:after="0" w:line="255" w:lineRule="auto"/>
        <w:tabs>
          <w:tab w:leader="none" w:pos="199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or entity, directly or indirectly controlling, controlled by or under common control with such Person or entity, including, but not limited to, (i) a general partner, limited partner, or retired partner affiliated with such Person or entity, (ii) a fund, partnership, limited liability company or other entity that is affiliated with such Person or entity, (iii) a director, officer, stockholder, partner or member (or retired partner or member) affiliated with such Person or entity, or (iv) or to the estate of any such partner or member (or retired partner or member) affiliated with such Person or entity. Notwithstanding the above, the Company nor any of its subsidiaries shall be deemed to be an Affiliate of any of the Investors or any other investor in the Company.</w:t>
      </w:r>
    </w:p>
    <w:p>
      <w:pPr>
        <w:spacing w:after="0" w:line="192" w:lineRule="exact"/>
        <w:rPr>
          <w:rFonts w:ascii="Arial" w:cs="Arial" w:eastAsia="Arial" w:hAnsi="Arial"/>
          <w:sz w:val="18"/>
          <w:szCs w:val="18"/>
          <w:color w:val="auto"/>
        </w:rPr>
      </w:pPr>
    </w:p>
    <w:p>
      <w:pPr>
        <w:ind w:left="2000" w:hanging="696"/>
        <w:spacing w:after="0"/>
        <w:tabs>
          <w:tab w:leader="none" w:pos="200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any Option, Restricted Stock, Restricted Stock Unit, or other Stock-based award granted under the Plan.</w:t>
      </w:r>
    </w:p>
    <w:p>
      <w:pPr>
        <w:spacing w:after="0" w:line="236" w:lineRule="exact"/>
        <w:rPr>
          <w:rFonts w:ascii="Arial" w:cs="Arial" w:eastAsia="Arial" w:hAnsi="Arial"/>
          <w:sz w:val="17"/>
          <w:szCs w:val="17"/>
          <w:color w:val="auto"/>
        </w:rPr>
      </w:pPr>
    </w:p>
    <w:p>
      <w:pPr>
        <w:ind w:left="2000" w:hanging="696"/>
        <w:spacing w:after="0"/>
        <w:tabs>
          <w:tab w:leader="none" w:pos="20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firstLine="1304"/>
        <w:spacing w:after="0" w:line="284" w:lineRule="auto"/>
        <w:tabs>
          <w:tab w:leader="none" w:pos="200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in the absence of an Award agreement or Participant Agreement otherwise defining Cause, (i) a Participant’s conviction of or indictment for any crime (whether or not involving the Company Group) (A) constituting a felony or (B) that has, or could reasonably be expected to result in, an adverse impact on the performance of the Participant’s duties to the Employer, or otherwise has, or could reasonably be expected to result in, an adverse impact on the business or reputation of the Company or any other member of the Company Group; (ii) conduct of a Participant, in connection with his employment or service, that has, or could reasonably be expected to result in, material injury to the business or reputation of the Company or any other member of the Company Group; (iii) any material violation of the policies of the Employer, including, but not limited to those relating to sexual harassment or the disclosure or misuse of confidential information, or those set forth in the manuals or statements of policy of the Employer; (iv) willful neglect in the performance of a Participant’s duties for the Employer or willful or repeated failure or refusal to perform such duties;</w:t>
      </w:r>
    </w:p>
    <w:p>
      <w:pPr>
        <w:ind w:right="220" w:firstLine="8"/>
        <w:spacing w:after="0" w:line="260" w:lineRule="auto"/>
        <w:tabs>
          <w:tab w:leader="none" w:pos="25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acts of willful misconduct on the part of a Participant in the course of his employment or service that has, or could be reasonably expected to result in material injury to the reputation or business of the Company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15327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4" w:name="page425"/>
    <w:bookmarkEnd w:id="424"/>
    <w:p>
      <w:pPr>
        <w:ind w:right="120"/>
        <w:spacing w:after="0" w:line="288" w:lineRule="auto"/>
        <w:rPr>
          <w:sz w:val="20"/>
          <w:szCs w:val="20"/>
          <w:color w:val="auto"/>
        </w:rPr>
      </w:pPr>
      <w:r>
        <w:rPr>
          <w:rFonts w:ascii="Arial" w:cs="Arial" w:eastAsia="Arial" w:hAnsi="Arial"/>
          <w:sz w:val="16"/>
          <w:szCs w:val="16"/>
          <w:color w:val="auto"/>
        </w:rPr>
        <w:t xml:space="preserve">Company Group; (vi) embezzlement, misappropriation or fraud committed by a Participant or at his direction, or with his personal knowledge, in the course of his employment or service, that has, or could be reasonably expected to result in material injury to the reputation or business of the Company or the Company Group; or (vii) a Participant’s breach of any material provision of any Participant Agreement that has, or could be reasonably expected to result in material injury to the reputation or business of the Company or the Company Group, which breach is not susceptible to cure, or that is not cured within thirty (30) days after the Participant is given written notice of such breach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subsequent to a Participant’s voluntary Termination for any reason or involuntary Termination by the Employer without Cause, it is discovered that the Participant’s employment or service could have been terminated for Cause, upon determination by the Committee, such Participant’s employment or service shall be deemed to have been terminated for Cause for all purposes under this Plan. In the event there is an Award agreement or a Participant Agreement defining Cause, “</w:t>
      </w:r>
      <w:r>
        <w:rPr>
          <w:rFonts w:ascii="Arial" w:cs="Arial" w:eastAsia="Arial" w:hAnsi="Arial"/>
          <w:sz w:val="16"/>
          <w:szCs w:val="16"/>
          <w:u w:val="single" w:color="auto"/>
          <w:color w:val="auto"/>
        </w:rPr>
        <w:t>Cause</w:t>
      </w:r>
      <w:r>
        <w:rPr>
          <w:rFonts w:ascii="Arial" w:cs="Arial" w:eastAsia="Arial" w:hAnsi="Arial"/>
          <w:sz w:val="16"/>
          <w:szCs w:val="16"/>
          <w:color w:val="auto"/>
        </w:rPr>
        <w:t>” shall have the meaning provided in such agreement, and a Termination by the Employer for Cause hereunder shall not be deemed to have occurred unless all applicable notice and cure periods in such Award agreement or Participant Agreement are complied with.</w:t>
      </w:r>
    </w:p>
    <w:p>
      <w:pPr>
        <w:spacing w:after="0" w:line="168" w:lineRule="exact"/>
        <w:rPr>
          <w:sz w:val="20"/>
          <w:szCs w:val="20"/>
          <w:color w:val="auto"/>
        </w:rPr>
      </w:pPr>
    </w:p>
    <w:p>
      <w:pPr>
        <w:ind w:firstLine="1304"/>
        <w:spacing w:after="0" w:line="273" w:lineRule="auto"/>
        <w:tabs>
          <w:tab w:leader="none" w:pos="199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(i) a change in ownership or control of the Company effected through a transaction or series of transactions (other than an offering of Stock to the general public through a registration statement filed with the Securities and Exchange Commission) whereby any Person or Group directly or indirectly acquires “beneficial ownership” (within the meaning of Rule 13d-3 under the Exchange Act) of securities of the Company possessing more than fifty percent (50%) of the total combined voting power of the Company’s securities outstanding immediately after such acquisition and pursuant to which the Investors cease to control the Board; or (ii) the sale or disposition, in one or a series of related transactions, of all or substantially all of the assets of the Company to any Person or Group.</w:t>
      </w:r>
    </w:p>
    <w:p>
      <w:pPr>
        <w:spacing w:after="0" w:line="177" w:lineRule="exact"/>
        <w:rPr>
          <w:rFonts w:ascii="Arial" w:cs="Arial" w:eastAsia="Arial" w:hAnsi="Arial"/>
          <w:sz w:val="17"/>
          <w:szCs w:val="17"/>
          <w:color w:val="auto"/>
        </w:rPr>
      </w:pPr>
    </w:p>
    <w:p>
      <w:pPr>
        <w:ind w:right="580" w:firstLine="1304"/>
        <w:spacing w:after="0" w:line="277" w:lineRule="auto"/>
        <w:tabs>
          <w:tab w:leader="none" w:pos="201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Board or such other committee appointed by the Board consisting of two or more individuals.</w:t>
      </w:r>
    </w:p>
    <w:p>
      <w:pPr>
        <w:spacing w:after="0" w:line="236" w:lineRule="exact"/>
        <w:rPr>
          <w:rFonts w:ascii="Arial" w:cs="Arial" w:eastAsia="Arial" w:hAnsi="Arial"/>
          <w:sz w:val="17"/>
          <w:szCs w:val="17"/>
          <w:color w:val="auto"/>
        </w:rPr>
      </w:pPr>
    </w:p>
    <w:p>
      <w:pPr>
        <w:ind w:left="2000" w:hanging="696"/>
        <w:spacing w:after="0"/>
        <w:tabs>
          <w:tab w:leader="none" w:pos="20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CrowdStrike Holdings, Inc., a Delaware corporation.</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means the Company, together with any direct or indirect parent or subsidiary of the Company.</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equity securities of the Company acquired by the Investors from time to time.</w:t>
      </w:r>
    </w:p>
    <w:p>
      <w:pPr>
        <w:spacing w:after="0" w:line="225" w:lineRule="exact"/>
        <w:rPr>
          <w:rFonts w:ascii="Arial" w:cs="Arial" w:eastAsia="Arial" w:hAnsi="Arial"/>
          <w:sz w:val="18"/>
          <w:szCs w:val="18"/>
          <w:color w:val="auto"/>
        </w:rPr>
      </w:pPr>
    </w:p>
    <w:p>
      <w:pPr>
        <w:ind w:right="140" w:firstLine="1304"/>
        <w:spacing w:after="0" w:line="254" w:lineRule="auto"/>
        <w:tabs>
          <w:tab w:leader="none" w:pos="20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Activity</w:t>
      </w:r>
      <w:r>
        <w:rPr>
          <w:rFonts w:ascii="Arial" w:cs="Arial" w:eastAsia="Arial" w:hAnsi="Arial"/>
          <w:sz w:val="18"/>
          <w:szCs w:val="18"/>
          <w:color w:val="auto"/>
        </w:rPr>
        <w:t>” means, with respect to any Participant who (i) is party to an effective agreement whereby Participant has agreed to comply with covenants relating to restrictions on competition, interference, and/or solicitation, or other similar restrictions on the Participant’s conduct for a specified period of time following Participant’s Termination, or (ii) is, or becomes, a party to an effective agreement that provides for the payment of severance payments in exchange for the Participant’s agreement to comply with covenants relating to restrictions on competition, interference, and/or solicitation, or other similar restrictions on the Participant’s conduct during the period which severance payments are being made to the Participant, in the case of either clause (i) or clause (ii), engaging in “Competitive Activity” with respect to such Participant shall mean the breach of such restrictive covenants.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25" w:name="page426"/>
    <w:bookmarkEnd w:id="425"/>
    <w:p>
      <w:pPr>
        <w:ind w:left="-20" w:right="680" w:firstLine="1304"/>
        <w:spacing w:after="0" w:line="277" w:lineRule="auto"/>
        <w:tabs>
          <w:tab w:leader="none" w:pos="198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Liquidation Event</w:t>
      </w:r>
      <w:r>
        <w:rPr>
          <w:rFonts w:ascii="Arial" w:cs="Arial" w:eastAsia="Arial" w:hAnsi="Arial"/>
          <w:sz w:val="18"/>
          <w:szCs w:val="18"/>
          <w:color w:val="auto"/>
        </w:rPr>
        <w:t>” has the meaning set forth in the Certificate of Incorporation of the Company as it may be amended from time to time, including pursuant to a Certificate of Designation, if any.</w:t>
      </w:r>
    </w:p>
    <w:p>
      <w:pPr>
        <w:spacing w:after="0" w:line="170" w:lineRule="exact"/>
        <w:rPr>
          <w:rFonts w:ascii="Arial" w:cs="Arial" w:eastAsia="Arial" w:hAnsi="Arial"/>
          <w:sz w:val="18"/>
          <w:szCs w:val="18"/>
          <w:color w:val="auto"/>
        </w:rPr>
      </w:pPr>
    </w:p>
    <w:p>
      <w:pPr>
        <w:ind w:left="-20" w:firstLine="1304"/>
        <w:spacing w:after="0" w:line="257" w:lineRule="auto"/>
        <w:tabs>
          <w:tab w:leader="none" w:pos="198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in the absence of an Award agreement or a Participant Agreement otherwise defining Disability, the permanent and total disability of such Participant within the meaning of Section 22(e)(3) of the Code. In the event there is a Participant Agreement between a Participant and the Employer defining Disability, “</w:t>
      </w:r>
      <w:r>
        <w:rPr>
          <w:rFonts w:ascii="Arial" w:cs="Arial" w:eastAsia="Arial" w:hAnsi="Arial"/>
          <w:sz w:val="18"/>
          <w:szCs w:val="18"/>
          <w:u w:val="single" w:color="auto"/>
          <w:color w:val="auto"/>
        </w:rPr>
        <w:t>Disability</w:t>
      </w:r>
      <w:r>
        <w:rPr>
          <w:rFonts w:ascii="Arial" w:cs="Arial" w:eastAsia="Arial" w:hAnsi="Arial"/>
          <w:sz w:val="18"/>
          <w:szCs w:val="18"/>
          <w:color w:val="auto"/>
        </w:rPr>
        <w:t>” shall have the meaning provided in such Participant Agreement, and a Termination by reason of a Disability hereunder shall not be deemed to have occurred unless all applicable notice periods in such Award agreement or Participant Agreement are complied with.</w:t>
      </w:r>
    </w:p>
    <w:p>
      <w:pPr>
        <w:spacing w:after="0" w:line="187" w:lineRule="exact"/>
        <w:rPr>
          <w:rFonts w:ascii="Arial" w:cs="Arial" w:eastAsia="Arial" w:hAnsi="Arial"/>
          <w:sz w:val="18"/>
          <w:szCs w:val="18"/>
          <w:color w:val="auto"/>
        </w:rPr>
      </w:pPr>
    </w:p>
    <w:p>
      <w:pPr>
        <w:ind w:left="1980" w:hanging="696"/>
        <w:spacing w:after="0"/>
        <w:tabs>
          <w:tab w:leader="none" w:pos="19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Drag-Along Notice</w:t>
      </w:r>
      <w:r>
        <w:rPr>
          <w:rFonts w:ascii="Arial" w:cs="Arial" w:eastAsia="Arial" w:hAnsi="Arial"/>
          <w:sz w:val="18"/>
          <w:szCs w:val="18"/>
          <w:color w:val="auto"/>
        </w:rPr>
        <w:t>” has the meaning set forth in Section 10(b) below.</w:t>
      </w:r>
    </w:p>
    <w:p>
      <w:pPr>
        <w:spacing w:after="0" w:line="225" w:lineRule="exact"/>
        <w:rPr>
          <w:rFonts w:ascii="Arial" w:cs="Arial" w:eastAsia="Arial" w:hAnsi="Arial"/>
          <w:sz w:val="18"/>
          <w:szCs w:val="18"/>
          <w:color w:val="auto"/>
        </w:rPr>
      </w:pPr>
    </w:p>
    <w:p>
      <w:pPr>
        <w:ind w:left="1980" w:hanging="696"/>
        <w:spacing w:after="0"/>
        <w:tabs>
          <w:tab w:leader="none" w:pos="19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Drag-Along Right</w:t>
      </w:r>
      <w:r>
        <w:rPr>
          <w:rFonts w:ascii="Arial" w:cs="Arial" w:eastAsia="Arial" w:hAnsi="Arial"/>
          <w:sz w:val="18"/>
          <w:szCs w:val="18"/>
          <w:color w:val="auto"/>
        </w:rPr>
        <w:t>” has the meaning set forth in Section 10(b) below.</w:t>
      </w:r>
    </w:p>
    <w:p>
      <w:pPr>
        <w:spacing w:after="0" w:line="225" w:lineRule="exact"/>
        <w:rPr>
          <w:rFonts w:ascii="Arial" w:cs="Arial" w:eastAsia="Arial" w:hAnsi="Arial"/>
          <w:sz w:val="18"/>
          <w:szCs w:val="18"/>
          <w:color w:val="auto"/>
        </w:rPr>
      </w:pPr>
    </w:p>
    <w:p>
      <w:pPr>
        <w:ind w:left="1980" w:hanging="696"/>
        <w:spacing w:after="0"/>
        <w:tabs>
          <w:tab w:leader="none" w:pos="19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November 18, 2011, the original effective date of the Plan.</w:t>
      </w:r>
    </w:p>
    <w:p>
      <w:pPr>
        <w:spacing w:after="0" w:line="225" w:lineRule="exact"/>
        <w:rPr>
          <w:rFonts w:ascii="Arial" w:cs="Arial" w:eastAsia="Arial" w:hAnsi="Arial"/>
          <w:sz w:val="18"/>
          <w:szCs w:val="18"/>
          <w:color w:val="auto"/>
        </w:rPr>
      </w:pPr>
    </w:p>
    <w:p>
      <w:pPr>
        <w:ind w:left="-20" w:right="140" w:firstLine="1304"/>
        <w:spacing w:after="0" w:line="254" w:lineRule="auto"/>
        <w:tabs>
          <w:tab w:leader="none" w:pos="19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Person</w:t>
      </w:r>
      <w:r>
        <w:rPr>
          <w:rFonts w:ascii="Arial" w:cs="Arial" w:eastAsia="Arial" w:hAnsi="Arial"/>
          <w:sz w:val="18"/>
          <w:szCs w:val="18"/>
          <w:color w:val="auto"/>
        </w:rPr>
        <w:t xml:space="preserve">” means (i) each employee of the Company or any other member of the Company Group, including each such person who may also be a director of the Company and/or any other member of the Company Group, (ii) each non-employee director of the Company or any other member of the Company Group, (iii) each other person or entity that provides substantial services to the Company and/or any other member of the Company Group and that is designated as eligible by the Committee, and (iv) any person who has been offered employment by the Company or any other member of the Company Group; </w:t>
      </w:r>
      <w:r>
        <w:rPr>
          <w:rFonts w:ascii="Arial" w:cs="Arial" w:eastAsia="Arial" w:hAnsi="Arial"/>
          <w:sz w:val="18"/>
          <w:szCs w:val="18"/>
          <w:i w:val="1"/>
          <w:iCs w:val="1"/>
          <w:color w:val="auto"/>
        </w:rPr>
        <w:t>provided</w:t>
      </w:r>
      <w:r>
        <w:rPr>
          <w:rFonts w:ascii="Arial" w:cs="Arial" w:eastAsia="Arial" w:hAnsi="Arial"/>
          <w:sz w:val="18"/>
          <w:szCs w:val="18"/>
          <w:color w:val="auto"/>
        </w:rPr>
        <w:t>, that such prospective employee may not receive any payment or exercise any right relating to an Award until such person has commenced employment with the Company or any other member of the Company Group. An employee on an approved leave of absence may be considered to remain in the employ of the Company or any applicable member of the Company Group for purposes of eligibility for participation in the Plan.</w:t>
      </w:r>
    </w:p>
    <w:p>
      <w:pPr>
        <w:spacing w:after="0" w:line="191" w:lineRule="exact"/>
        <w:rPr>
          <w:rFonts w:ascii="Arial" w:cs="Arial" w:eastAsia="Arial" w:hAnsi="Arial"/>
          <w:sz w:val="18"/>
          <w:szCs w:val="18"/>
          <w:color w:val="auto"/>
        </w:rPr>
      </w:pPr>
    </w:p>
    <w:p>
      <w:pPr>
        <w:ind w:left="-20" w:right="300" w:firstLine="1304"/>
        <w:spacing w:after="0" w:line="342" w:lineRule="auto"/>
        <w:tabs>
          <w:tab w:leader="none" w:pos="1996" w:val="left"/>
        </w:tabs>
        <w:numPr>
          <w:ilvl w:val="0"/>
          <w:numId w:val="3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with respect to a Participant, the member of the Company Group by which the Participant is principally employed or to which such Participant provides services, as applicable (in each case, determined without regard to any Transfer of an Award).</w:t>
      </w:r>
    </w:p>
    <w:p>
      <w:pPr>
        <w:spacing w:after="0" w:line="123" w:lineRule="exact"/>
        <w:rPr>
          <w:rFonts w:ascii="Arial" w:cs="Arial" w:eastAsia="Arial" w:hAnsi="Arial"/>
          <w:sz w:val="16"/>
          <w:szCs w:val="16"/>
          <w:color w:val="auto"/>
        </w:rPr>
      </w:pPr>
    </w:p>
    <w:p>
      <w:pPr>
        <w:ind w:left="-20" w:right="320" w:firstLine="1304"/>
        <w:spacing w:after="0" w:line="277" w:lineRule="auto"/>
        <w:tabs>
          <w:tab w:leader="none" w:pos="2006"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ind w:left="2000" w:hanging="716"/>
        <w:spacing w:after="0"/>
        <w:tabs>
          <w:tab w:leader="none" w:pos="200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Expiration Date</w:t>
      </w:r>
      <w:r>
        <w:rPr>
          <w:rFonts w:ascii="Arial" w:cs="Arial" w:eastAsia="Arial" w:hAnsi="Arial"/>
          <w:sz w:val="17"/>
          <w:szCs w:val="17"/>
          <w:color w:val="auto"/>
        </w:rPr>
        <w:t>” means the date upon which the term of an Option expires, as determined under Section 5(b) hereof.</w:t>
      </w:r>
    </w:p>
    <w:p>
      <w:pPr>
        <w:spacing w:after="0" w:line="236" w:lineRule="exact"/>
        <w:rPr>
          <w:rFonts w:ascii="Arial" w:cs="Arial" w:eastAsia="Arial" w:hAnsi="Arial"/>
          <w:sz w:val="17"/>
          <w:szCs w:val="17"/>
          <w:color w:val="auto"/>
        </w:rPr>
      </w:pPr>
    </w:p>
    <w:p>
      <w:pPr>
        <w:ind w:left="-20" w:right="160" w:firstLine="1304"/>
        <w:spacing w:after="0" w:line="296" w:lineRule="auto"/>
        <w:tabs>
          <w:tab w:leader="none" w:pos="198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when the Stock is listed on one or more national securities exchanges, the closing price reported on the principal national securities exchange on which such Stock is listed and traded on the date of determination, or if there is no such closing price reported on that date, then on the last preceding date on which such a closing price was reported. If the Stock is not listed on a national securities exchange, or representative quotes are not available from such exchange, Fair Market Value means the amount determined by the Committee in good faith to be the fair market value of the Stock, calculated in a manner consistent with Section 409A of the Code.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426" w:name="page427"/>
    <w:bookmarkEnd w:id="426"/>
    <w:p>
      <w:pPr>
        <w:ind w:right="120" w:firstLine="1304"/>
        <w:spacing w:after="0" w:line="277" w:lineRule="auto"/>
        <w:tabs>
          <w:tab w:leader="none" w:pos="2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Section 422 of the Code.</w:t>
      </w:r>
    </w:p>
    <w:p>
      <w:pPr>
        <w:spacing w:after="0" w:line="170" w:lineRule="exact"/>
        <w:rPr>
          <w:rFonts w:ascii="Arial" w:cs="Arial" w:eastAsia="Arial" w:hAnsi="Arial"/>
          <w:sz w:val="18"/>
          <w:szCs w:val="18"/>
          <w:color w:val="auto"/>
        </w:rPr>
      </w:pPr>
    </w:p>
    <w:p>
      <w:pPr>
        <w:ind w:right="120" w:firstLine="1304"/>
        <w:spacing w:after="0" w:line="272" w:lineRule="auto"/>
        <w:tabs>
          <w:tab w:leader="none" w:pos="199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Investors</w:t>
      </w:r>
      <w:r>
        <w:rPr>
          <w:rFonts w:ascii="Arial" w:cs="Arial" w:eastAsia="Arial" w:hAnsi="Arial"/>
          <w:sz w:val="17"/>
          <w:szCs w:val="17"/>
          <w:color w:val="auto"/>
        </w:rPr>
        <w:t>” means, collectively, Accel Leaders Fund L.P., Accel Leaders Fund Investors 2016 L.L.C., Accel Growth Fund II L.P., Accel Growth Fund II Strategic Partners L.P., Accel Growth Fund Investors 2013 L.L.C., Accel London III L.P., and Accel London Investors 2012 L.P. (collectively, “Accel”), and any Affiliate of Accel; CapitalG LP and CapitalG 2015 LP (collectively, “CapitalG”), and any Affiliate of CapitalG; General Atlantic (CS), L.P. (“GA”) and any Affiliate of GA; Institutional Venture Partners XVI L.P. (“IVP”), and any Affiliate of IVP; March Capital Opportunity Fund, L.P., March Capital Partners Fund I, L.P., March Capital Partners Fund II, LP and March Capital Opportunity Fund II, LP (collectively, “March Capital”), and any Affiliate of March Capital; Telstra Ventures Pty Ltd (ACN 125 607 454); and Warburg Pincus Private Equity X, L.P., Warburg Pincus X Partners, L.P., and any successor or other fund affiliated with Warburg Pincus &amp; Co., a New York general partnership.</w:t>
      </w:r>
    </w:p>
    <w:p>
      <w:pPr>
        <w:spacing w:after="0" w:line="177" w:lineRule="exact"/>
        <w:rPr>
          <w:rFonts w:ascii="Arial" w:cs="Arial" w:eastAsia="Arial" w:hAnsi="Arial"/>
          <w:sz w:val="17"/>
          <w:szCs w:val="17"/>
          <w:color w:val="auto"/>
        </w:rPr>
      </w:pPr>
    </w:p>
    <w:p>
      <w:pPr>
        <w:ind w:right="320" w:firstLine="1304"/>
        <w:spacing w:after="0" w:line="277" w:lineRule="auto"/>
        <w:tabs>
          <w:tab w:leader="none" w:pos="2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an initial underwritten public offering of the Company’s equity securities pursuant to an effective Form S-1 or Form F-1 registration statement filed under the Securities Act.</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Date</w:t>
      </w:r>
      <w:r>
        <w:rPr>
          <w:rFonts w:ascii="Arial" w:cs="Arial" w:eastAsia="Arial" w:hAnsi="Arial"/>
          <w:sz w:val="18"/>
          <w:szCs w:val="18"/>
          <w:color w:val="auto"/>
        </w:rPr>
        <w:t>” means the effective date of the registration statement for the IPO.</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has the meaning set forth in Section 10(a) below.</w:t>
      </w:r>
    </w:p>
    <w:p>
      <w:pPr>
        <w:spacing w:after="0" w:line="225" w:lineRule="exact"/>
        <w:rPr>
          <w:sz w:val="20"/>
          <w:szCs w:val="20"/>
          <w:color w:val="auto"/>
        </w:rPr>
      </w:pPr>
    </w:p>
    <w:p>
      <w:pPr>
        <w:ind w:left="1980" w:hanging="676"/>
        <w:spacing w:after="0"/>
        <w:tabs>
          <w:tab w:leader="none" w:pos="19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Holder</w:t>
      </w:r>
      <w:r>
        <w:rPr>
          <w:rFonts w:ascii="Arial" w:cs="Arial" w:eastAsia="Arial" w:hAnsi="Arial"/>
          <w:sz w:val="18"/>
          <w:szCs w:val="18"/>
          <w:color w:val="auto"/>
        </w:rPr>
        <w:t>” has the meaning set forth in Section 10(b) below.</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that by its terms does not qualify or is not intended to qualify as an Incentive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 Option.</w:t>
      </w:r>
    </w:p>
    <w:p>
      <w:pPr>
        <w:spacing w:after="0" w:line="211" w:lineRule="exact"/>
        <w:rPr>
          <w:sz w:val="20"/>
          <w:szCs w:val="20"/>
          <w:color w:val="auto"/>
        </w:rPr>
      </w:pPr>
    </w:p>
    <w:p>
      <w:pPr>
        <w:ind w:right="520" w:firstLine="1304"/>
        <w:spacing w:after="0" w:line="277" w:lineRule="auto"/>
        <w:tabs>
          <w:tab w:leader="none" w:pos="19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conditional right, granted to a Participant under Section 5 hereof, to purchase Stock at a specified price during specified time periods.</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Agreement</w:t>
      </w:r>
      <w:r>
        <w:rPr>
          <w:rFonts w:ascii="Arial" w:cs="Arial" w:eastAsia="Arial" w:hAnsi="Arial"/>
          <w:sz w:val="16"/>
          <w:szCs w:val="16"/>
          <w:color w:val="auto"/>
        </w:rPr>
        <w:t>” means a written agreement between the Company and a Participant evidencing the terms and conditions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 individual Option grant.</w:t>
      </w:r>
    </w:p>
    <w:p>
      <w:pPr>
        <w:spacing w:after="0" w:line="210" w:lineRule="exact"/>
        <w:rPr>
          <w:rFonts w:ascii="Arial" w:cs="Arial" w:eastAsia="Arial" w:hAnsi="Arial"/>
          <w:sz w:val="16"/>
          <w:szCs w:val="16"/>
          <w:color w:val="auto"/>
        </w:rPr>
      </w:pPr>
    </w:p>
    <w:p>
      <w:pPr>
        <w:ind w:left="1980" w:hanging="676"/>
        <w:spacing w:after="0"/>
        <w:tabs>
          <w:tab w:leader="none" w:pos="19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Person who has been granted an Award under the Plan, or if applicable, such other person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 who holds an Award.</w:t>
      </w:r>
    </w:p>
    <w:p>
      <w:pPr>
        <w:spacing w:after="0" w:line="210" w:lineRule="exact"/>
        <w:rPr>
          <w:rFonts w:ascii="Arial" w:cs="Arial" w:eastAsia="Arial" w:hAnsi="Arial"/>
          <w:sz w:val="16"/>
          <w:szCs w:val="16"/>
          <w:color w:val="auto"/>
        </w:rPr>
      </w:pPr>
    </w:p>
    <w:p>
      <w:pPr>
        <w:ind w:right="100" w:firstLine="1304"/>
        <w:spacing w:after="0" w:line="263" w:lineRule="auto"/>
        <w:tabs>
          <w:tab w:leader="none" w:pos="2001"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Agreement</w:t>
      </w:r>
      <w:r>
        <w:rPr>
          <w:rFonts w:ascii="Arial" w:cs="Arial" w:eastAsia="Arial" w:hAnsi="Arial"/>
          <w:sz w:val="18"/>
          <w:szCs w:val="18"/>
          <w:color w:val="auto"/>
        </w:rPr>
        <w:t>” means an employment or services agreement between a Participant and the Employer that describes the terms and conditions of such Participant’s employment or service with the Employer and is effective on the applicable date of grant with respect to any Award.</w:t>
      </w:r>
    </w:p>
    <w:p>
      <w:pPr>
        <w:spacing w:after="0" w:line="183" w:lineRule="exact"/>
        <w:rPr>
          <w:rFonts w:ascii="Arial" w:cs="Arial" w:eastAsia="Arial" w:hAnsi="Arial"/>
          <w:sz w:val="18"/>
          <w:szCs w:val="18"/>
          <w:color w:val="auto"/>
        </w:rPr>
      </w:pPr>
    </w:p>
    <w:p>
      <w:pPr>
        <w:ind w:right="100" w:firstLine="1304"/>
        <w:spacing w:after="0" w:line="275" w:lineRule="auto"/>
        <w:tabs>
          <w:tab w:leader="none" w:pos="2001" w:val="left"/>
        </w:tabs>
        <w:numPr>
          <w:ilvl w:val="0"/>
          <w:numId w:val="3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w:t>
      </w:r>
      <w:r>
        <w:rPr>
          <w:rFonts w:ascii="Arial" w:cs="Arial" w:eastAsia="Arial" w:hAnsi="Arial"/>
          <w:sz w:val="17"/>
          <w:szCs w:val="17"/>
          <w:color w:val="auto"/>
        </w:rPr>
        <w:t xml:space="preserve">” means any Transfer by a Participant of all or any portion of his (i) shares of Stock (or Nonstatutory Stock Options, for purposes of Section 5(f) below) to (x) any trust established for the sole benefit of such Participant or such Participant’s spouse or children or grandchildren,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Participant is the sole trustee of such trust, (y) any other entity (including an Individual Retirement Account or similar investment account) in which the direct and beneficial owner of all voting securities of such entity is held by such Participant, or (z) such Participant’s heirs, executors, administrators, or personal representatives upon the death, incompetency, or Disability of such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7" w:name="page428"/>
    <w:bookmarkEnd w:id="427"/>
    <w:p>
      <w:pPr>
        <w:ind w:right="140"/>
        <w:spacing w:after="0" w:line="263" w:lineRule="auto"/>
        <w:rPr>
          <w:sz w:val="20"/>
          <w:szCs w:val="20"/>
          <w:color w:val="auto"/>
        </w:rPr>
      </w:pPr>
      <w:r>
        <w:rPr>
          <w:rFonts w:ascii="Arial" w:cs="Arial" w:eastAsia="Arial" w:hAnsi="Arial"/>
          <w:sz w:val="18"/>
          <w:szCs w:val="18"/>
          <w:color w:val="auto"/>
        </w:rPr>
        <w:t>Participant, or (ii) Incentive Stock Options, for purposes of Section 5(f) below, to any trust if, under Section 671 of the Code and applicable law, the Participant is considered the sole beneficial owner of the Incentive Stock Options while they are held in the trust. Any Permitted Transfer shall be limited by the requirements of Section 21(a) hereof to the extent necessary to comply with Rule 12h-1(f).</w:t>
      </w:r>
    </w:p>
    <w:p>
      <w:pPr>
        <w:spacing w:after="0" w:line="184" w:lineRule="exact"/>
        <w:rPr>
          <w:sz w:val="20"/>
          <w:szCs w:val="20"/>
          <w:color w:val="auto"/>
        </w:rPr>
      </w:pPr>
    </w:p>
    <w:p>
      <w:pPr>
        <w:ind w:firstLine="1304"/>
        <w:spacing w:after="0" w:line="285" w:lineRule="auto"/>
        <w:tabs>
          <w:tab w:leader="none" w:pos="2011"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Drag-Along Purchase Price</w:t>
      </w:r>
      <w:r>
        <w:rPr>
          <w:rFonts w:ascii="Arial" w:cs="Arial" w:eastAsia="Arial" w:hAnsi="Arial"/>
          <w:sz w:val="16"/>
          <w:szCs w:val="16"/>
          <w:color w:val="auto"/>
        </w:rPr>
        <w:t xml:space="preserve">” means: (i) to the extent that the Majority Holders are selling shares of Stock, the same consideration per share of Stock as is proposed to be received by the Majority Holders with respect to their shares of Stock in such transaction (less, in the case of Share Equivalents, the exercise price for such Share Equivalents and less any applicable employment taxes or withholding obligations), including equivalent rights to receive (when and if paid) a proportionate share of any deferred consideration, earn-out, or escrow funds that may become available to the Majority Holders in connection with the proposed transaction; and (ii) to the extent that the Majority Holders are also selling preferred stock in such transaction, the Per Share Drag-Along Purchase Price for each share of Stock shall be equal to the implied equity value of each share of Stock (less, in the case of Share Equivalents, the exercise price for such Share Equivalents and less any applicable employment taxes or withholding obligations) determined by reference to the per share price being paid for the shares of preferred stock being sold by the Majority Holders and after giving effect to all amounts payable to the holders of preferred stock prior and in preference to the Stock pursuant to the liquidation preference provisions of the Certificate of Incorporation;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per share price being paid for such shares of Stock or preferred stock, as applicable, being sold by the Majority Holders includes any rights to receive a proportionate share of any deferred consideration, earn-out, or escrow funds that may become available to the Majority Holders in connection with the proposed transaction, such amounts shall be considered when determining the implied equity price of each share of Stock, but any portion of such amount included in the implied equity price of each share of Stock shall not be paid to the Participants required to sell shares of Stock pursuant to this Section 10(b) unless and until the portions of such amount included in the price per share being paid for the preferred stock are paid to the holders of the preferred stock and only to the extent that the holders of the preferred stock have received all amounts payable to the holders of preferred stock prior and in preference to the Stock pursuant to the liquidation preference provisions of the Certificate of Incorporation.</w:t>
      </w:r>
    </w:p>
    <w:p>
      <w:pPr>
        <w:spacing w:after="0" w:line="176" w:lineRule="exact"/>
        <w:rPr>
          <w:rFonts w:ascii="Arial" w:cs="Arial" w:eastAsia="Arial" w:hAnsi="Arial"/>
          <w:sz w:val="16"/>
          <w:szCs w:val="16"/>
          <w:color w:val="auto"/>
        </w:rPr>
      </w:pPr>
    </w:p>
    <w:p>
      <w:pPr>
        <w:ind w:right="440" w:firstLine="1304"/>
        <w:spacing w:after="0" w:line="277" w:lineRule="auto"/>
        <w:tabs>
          <w:tab w:leader="none" w:pos="201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(whether general or limited), joint-stock company, corporation, limited liability company, trust or unincorporated organization, and a government or agency or political subdivision thereof.</w:t>
      </w:r>
    </w:p>
    <w:p>
      <w:pPr>
        <w:spacing w:after="0" w:line="170" w:lineRule="exact"/>
        <w:rPr>
          <w:rFonts w:ascii="Arial" w:cs="Arial" w:eastAsia="Arial" w:hAnsi="Arial"/>
          <w:sz w:val="18"/>
          <w:szCs w:val="18"/>
          <w:color w:val="auto"/>
        </w:rPr>
      </w:pPr>
    </w:p>
    <w:p>
      <w:pPr>
        <w:ind w:right="40" w:firstLine="1304"/>
        <w:spacing w:after="0" w:line="263" w:lineRule="auto"/>
        <w:tabs>
          <w:tab w:leader="none" w:pos="200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 or Group</w:t>
      </w:r>
      <w:r>
        <w:rPr>
          <w:rFonts w:ascii="Arial" w:cs="Arial" w:eastAsia="Arial" w:hAnsi="Arial"/>
          <w:sz w:val="18"/>
          <w:szCs w:val="18"/>
          <w:color w:val="auto"/>
        </w:rPr>
        <w:t>” means any “person” (as defined in Section 3(a)(9) of the Exchange Act) or any two or more persons deemed to be one “person” (as used in Sections 13(d)(3) and 14(d)(2) of the Exchange Act), in each case, other than the Investors, any member of the Company Group, or an employee benefit plan maintained by any member of the Company Group.</w:t>
      </w:r>
    </w:p>
    <w:p>
      <w:pPr>
        <w:spacing w:after="0" w:line="183" w:lineRule="exact"/>
        <w:rPr>
          <w:rFonts w:ascii="Arial" w:cs="Arial" w:eastAsia="Arial" w:hAnsi="Arial"/>
          <w:sz w:val="18"/>
          <w:szCs w:val="18"/>
          <w:color w:val="auto"/>
        </w:rPr>
      </w:pPr>
    </w:p>
    <w:p>
      <w:pPr>
        <w:ind w:left="2020" w:hanging="716"/>
        <w:spacing w:after="0"/>
        <w:tabs>
          <w:tab w:leader="none" w:pos="20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CrowdStrike Holdings, Inc. 2011 Stock Incentive Plan, as may be amended from time to time.</w:t>
      </w:r>
    </w:p>
    <w:p>
      <w:pPr>
        <w:spacing w:after="0" w:line="225" w:lineRule="exact"/>
        <w:rPr>
          <w:rFonts w:ascii="Arial" w:cs="Arial" w:eastAsia="Arial" w:hAnsi="Arial"/>
          <w:sz w:val="18"/>
          <w:szCs w:val="18"/>
          <w:color w:val="auto"/>
        </w:rPr>
      </w:pPr>
    </w:p>
    <w:p>
      <w:pPr>
        <w:ind w:right="160" w:firstLine="1304"/>
        <w:spacing w:after="0" w:line="277" w:lineRule="auto"/>
        <w:tabs>
          <w:tab w:leader="none" w:pos="196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rate from time to time published in the “Money Rates” section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being the “Prime Rate” (or, if more than one rate is published as the Prime Rate, then the highest of such rates).</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Prohibition Event</w:t>
      </w:r>
      <w:r>
        <w:rPr>
          <w:rFonts w:ascii="Arial" w:cs="Arial" w:eastAsia="Arial" w:hAnsi="Arial"/>
          <w:sz w:val="18"/>
          <w:szCs w:val="18"/>
          <w:color w:val="auto"/>
        </w:rPr>
        <w:t>” has the meaning set forth in Section 11(d) below.</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Transferee</w:t>
      </w:r>
      <w:r>
        <w:rPr>
          <w:rFonts w:ascii="Arial" w:cs="Arial" w:eastAsia="Arial" w:hAnsi="Arial"/>
          <w:sz w:val="18"/>
          <w:szCs w:val="18"/>
          <w:color w:val="auto"/>
        </w:rPr>
        <w:t>” has the meaning set forth in Section 10(b)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8" w:name="page429"/>
    <w:bookmarkEnd w:id="428"/>
    <w:p>
      <w:pPr>
        <w:ind w:right="160" w:firstLine="1304"/>
        <w:spacing w:after="0" w:line="259" w:lineRule="auto"/>
        <w:tabs>
          <w:tab w:leader="none" w:pos="2001" w:val="left"/>
        </w:tabs>
        <w:numPr>
          <w:ilvl w:val="1"/>
          <w:numId w:val="3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Event</w:t>
      </w:r>
      <w:r>
        <w:rPr>
          <w:rFonts w:ascii="Arial" w:cs="Arial" w:eastAsia="Arial" w:hAnsi="Arial"/>
          <w:sz w:val="18"/>
          <w:szCs w:val="18"/>
          <w:color w:val="auto"/>
        </w:rPr>
        <w:t>” means, in the absence of an Award agreement or a Participant Agreement otherwise defining Repurchase Event, (i) a Participant’s voluntary Termination for any reason within sixty (60) months of the date the Participant commenced employment with the Company or any other member of the Company Group, (ii) a Participant’s Termination by the Employer on account of a Trigger Event, or (iii) if the Participant engages in Competitive Activities.</w:t>
      </w:r>
    </w:p>
    <w:p>
      <w:pPr>
        <w:spacing w:after="0" w:line="186" w:lineRule="exact"/>
        <w:rPr>
          <w:rFonts w:ascii="Arial" w:cs="Arial" w:eastAsia="Arial" w:hAnsi="Arial"/>
          <w:sz w:val="18"/>
          <w:szCs w:val="18"/>
          <w:color w:val="auto"/>
        </w:rPr>
      </w:pPr>
    </w:p>
    <w:p>
      <w:pPr>
        <w:ind w:left="2000" w:hanging="696"/>
        <w:spacing w:after="0"/>
        <w:tabs>
          <w:tab w:leader="none" w:pos="200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 Price</w:t>
      </w:r>
      <w:r>
        <w:rPr>
          <w:rFonts w:ascii="Arial" w:cs="Arial" w:eastAsia="Arial" w:hAnsi="Arial"/>
          <w:sz w:val="16"/>
          <w:szCs w:val="16"/>
          <w:color w:val="auto"/>
        </w:rPr>
        <w:t>” means, in the absence of an Award agreement or a Participant Agreement otherwise defining Repurchase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Price—</w:t>
      </w:r>
    </w:p>
    <w:p>
      <w:pPr>
        <w:spacing w:after="0" w:line="210" w:lineRule="exact"/>
        <w:rPr>
          <w:rFonts w:ascii="Arial" w:cs="Arial" w:eastAsia="Arial" w:hAnsi="Arial"/>
          <w:sz w:val="16"/>
          <w:szCs w:val="16"/>
          <w:color w:val="auto"/>
        </w:rPr>
      </w:pPr>
    </w:p>
    <w:p>
      <w:pPr>
        <w:ind w:left="660" w:right="60" w:firstLine="1292"/>
        <w:spacing w:after="0" w:line="311" w:lineRule="auto"/>
        <w:tabs>
          <w:tab w:leader="none" w:pos="2666" w:val="left"/>
        </w:tabs>
        <w:numPr>
          <w:ilvl w:val="2"/>
          <w:numId w:val="337"/>
        </w:numPr>
        <w:rPr>
          <w:rFonts w:ascii="Arial" w:cs="Arial" w:eastAsia="Arial" w:hAnsi="Arial"/>
          <w:sz w:val="16"/>
          <w:szCs w:val="16"/>
          <w:color w:val="auto"/>
        </w:rPr>
      </w:pPr>
      <w:r>
        <w:rPr>
          <w:rFonts w:ascii="Arial" w:cs="Arial" w:eastAsia="Arial" w:hAnsi="Arial"/>
          <w:sz w:val="16"/>
          <w:szCs w:val="16"/>
          <w:color w:val="auto"/>
        </w:rPr>
        <w:t>in the event that the Repurchase Right is triggered upon a Participant’s voluntary Termination for any reason within sixty (60) months of the date the Participant commenced employment with the Company or any other member of the Company Group, an amount equal to the Fair Market Value of the Stock on the date that the written notice of repurchase is delivered pursuant to Section 11(a) below;</w:t>
      </w:r>
    </w:p>
    <w:p>
      <w:pPr>
        <w:spacing w:after="0" w:line="148" w:lineRule="exact"/>
        <w:rPr>
          <w:rFonts w:ascii="Arial" w:cs="Arial" w:eastAsia="Arial" w:hAnsi="Arial"/>
          <w:sz w:val="16"/>
          <w:szCs w:val="16"/>
          <w:color w:val="auto"/>
        </w:rPr>
      </w:pPr>
    </w:p>
    <w:p>
      <w:pPr>
        <w:ind w:left="660" w:right="160" w:firstLine="1292"/>
        <w:spacing w:after="0" w:line="287" w:lineRule="auto"/>
        <w:tabs>
          <w:tab w:leader="none" w:pos="2671" w:val="left"/>
        </w:tabs>
        <w:numPr>
          <w:ilvl w:val="2"/>
          <w:numId w:val="337"/>
        </w:numPr>
        <w:rPr>
          <w:rFonts w:ascii="Arial" w:cs="Arial" w:eastAsia="Arial" w:hAnsi="Arial"/>
          <w:sz w:val="16"/>
          <w:szCs w:val="16"/>
          <w:color w:val="auto"/>
        </w:rPr>
      </w:pPr>
      <w:r>
        <w:rPr>
          <w:rFonts w:ascii="Arial" w:cs="Arial" w:eastAsia="Arial" w:hAnsi="Arial"/>
          <w:sz w:val="16"/>
          <w:szCs w:val="16"/>
          <w:color w:val="auto"/>
        </w:rPr>
        <w:t xml:space="preserve">in the event that the Repurchase Right is triggered upon a Participant’s Termination by the Employer on account of a Trigger Event, the lesser of (A) the original purchase price paid for such shares of Stock and (B) the Fair Market Value of the Stock on the date that the written notice of repurchase is delivered pursuant to Section 11(a)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(x) such Termination occurs after the ten</w:t>
      </w:r>
    </w:p>
    <w:p>
      <w:pPr>
        <w:spacing w:after="0" w:line="2" w:lineRule="exact"/>
        <w:rPr>
          <w:rFonts w:ascii="Arial" w:cs="Arial" w:eastAsia="Arial" w:hAnsi="Arial"/>
          <w:sz w:val="16"/>
          <w:szCs w:val="16"/>
          <w:color w:val="auto"/>
        </w:rPr>
      </w:pPr>
    </w:p>
    <w:p>
      <w:pPr>
        <w:ind w:left="660" w:right="200" w:hanging="4"/>
        <w:spacing w:after="0" w:line="255" w:lineRule="auto"/>
        <w:tabs>
          <w:tab w:leader="none" w:pos="100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year anniversary of the date of grant of the Award to which the shares of Stock subject to the Repurchase Right relate, and (y) the Award to which the shares of Stock subject to the Repurchase Right relate is a “stock right” within the meaning of Section 409A of the Code, the Repurchase Price shall instead be the Fair Market Value of the Stock on the date of repurchase; or</w:t>
      </w:r>
    </w:p>
    <w:p>
      <w:pPr>
        <w:spacing w:after="0" w:line="189" w:lineRule="exact"/>
        <w:rPr>
          <w:rFonts w:ascii="Arial" w:cs="Arial" w:eastAsia="Arial" w:hAnsi="Arial"/>
          <w:sz w:val="18"/>
          <w:szCs w:val="18"/>
          <w:color w:val="auto"/>
        </w:rPr>
      </w:pPr>
    </w:p>
    <w:p>
      <w:pPr>
        <w:ind w:left="660" w:firstLine="1292"/>
        <w:spacing w:after="0" w:line="263" w:lineRule="auto"/>
        <w:tabs>
          <w:tab w:leader="none" w:pos="2676" w:val="left"/>
        </w:tabs>
        <w:numPr>
          <w:ilvl w:val="2"/>
          <w:numId w:val="338"/>
        </w:numPr>
        <w:rPr>
          <w:rFonts w:ascii="Arial" w:cs="Arial" w:eastAsia="Arial" w:hAnsi="Arial"/>
          <w:sz w:val="18"/>
          <w:szCs w:val="18"/>
          <w:color w:val="auto"/>
        </w:rPr>
      </w:pPr>
      <w:r>
        <w:rPr>
          <w:rFonts w:ascii="Arial" w:cs="Arial" w:eastAsia="Arial" w:hAnsi="Arial"/>
          <w:sz w:val="18"/>
          <w:szCs w:val="18"/>
          <w:color w:val="auto"/>
        </w:rPr>
        <w:t>in the event that the Repurchase Right is triggered upon a Participant’s engaging in any Competitive Activities, the lesser of (A) the original purchase price paid for such shares of Stock and (B) the Fair Market Value of the Stock on the date that the written notice of repurchase is delivered pursuant to Section 11(a) below.</w:t>
      </w:r>
    </w:p>
    <w:p>
      <w:pPr>
        <w:spacing w:after="0" w:line="183" w:lineRule="exact"/>
        <w:rPr>
          <w:rFonts w:ascii="Arial" w:cs="Arial" w:eastAsia="Arial" w:hAnsi="Arial"/>
          <w:sz w:val="18"/>
          <w:szCs w:val="18"/>
          <w:color w:val="auto"/>
        </w:rPr>
      </w:pPr>
    </w:p>
    <w:p>
      <w:pPr>
        <w:ind w:left="2040" w:hanging="736"/>
        <w:spacing w:after="0"/>
        <w:tabs>
          <w:tab w:leader="none" w:pos="204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Right</w:t>
      </w:r>
      <w:r>
        <w:rPr>
          <w:rFonts w:ascii="Arial" w:cs="Arial" w:eastAsia="Arial" w:hAnsi="Arial"/>
          <w:sz w:val="18"/>
          <w:szCs w:val="18"/>
          <w:color w:val="auto"/>
        </w:rPr>
        <w:t>” has the meaning set forth in Section 11 below.</w:t>
      </w:r>
    </w:p>
    <w:p>
      <w:pPr>
        <w:spacing w:after="0" w:line="225" w:lineRule="exact"/>
        <w:rPr>
          <w:rFonts w:ascii="Arial" w:cs="Arial" w:eastAsia="Arial" w:hAnsi="Arial"/>
          <w:sz w:val="18"/>
          <w:szCs w:val="18"/>
          <w:color w:val="auto"/>
        </w:rPr>
      </w:pPr>
    </w:p>
    <w:p>
      <w:pPr>
        <w:ind w:right="440" w:firstLine="1304"/>
        <w:spacing w:after="0" w:line="263" w:lineRule="auto"/>
        <w:tabs>
          <w:tab w:leader="none" w:pos="2006" w:val="left"/>
        </w:tabs>
        <w:numPr>
          <w:ilvl w:val="1"/>
          <w:numId w:val="3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Right Exercise Period</w:t>
      </w:r>
      <w:r>
        <w:rPr>
          <w:rFonts w:ascii="Arial" w:cs="Arial" w:eastAsia="Arial" w:hAnsi="Arial"/>
          <w:sz w:val="18"/>
          <w:szCs w:val="18"/>
          <w:color w:val="auto"/>
        </w:rPr>
        <w:t>” means, with respect to each Participant, in the absence of an Award agreement or a Participant Agreement otherwise defining Repurchase Right Exercise Period, the period commencing on the date of the Participant’s Termination and ending on the Repurchase Right Lapse Date.</w:t>
      </w:r>
    </w:p>
    <w:p>
      <w:pPr>
        <w:spacing w:after="0" w:line="183" w:lineRule="exact"/>
        <w:rPr>
          <w:rFonts w:ascii="Arial" w:cs="Arial" w:eastAsia="Arial" w:hAnsi="Arial"/>
          <w:sz w:val="18"/>
          <w:szCs w:val="18"/>
          <w:color w:val="auto"/>
        </w:rPr>
      </w:pPr>
    </w:p>
    <w:p>
      <w:pPr>
        <w:ind w:right="400" w:firstLine="1304"/>
        <w:spacing w:after="0" w:line="277" w:lineRule="auto"/>
        <w:tabs>
          <w:tab w:leader="none" w:pos="2011" w:val="left"/>
        </w:tabs>
        <w:numPr>
          <w:ilvl w:val="1"/>
          <w:numId w:val="3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Right Lapse Date</w:t>
      </w:r>
      <w:r>
        <w:rPr>
          <w:rFonts w:ascii="Arial" w:cs="Arial" w:eastAsia="Arial" w:hAnsi="Arial"/>
          <w:sz w:val="18"/>
          <w:szCs w:val="18"/>
          <w:color w:val="auto"/>
        </w:rPr>
        <w:t>” means the earlier to occur of (i) the IPO Date and (ii) a Change in Control resulting in the Stock being listed on a national securities exchange.</w:t>
      </w:r>
    </w:p>
    <w:p>
      <w:pPr>
        <w:spacing w:after="0" w:line="170" w:lineRule="exact"/>
        <w:rPr>
          <w:rFonts w:ascii="Arial" w:cs="Arial" w:eastAsia="Arial" w:hAnsi="Arial"/>
          <w:sz w:val="18"/>
          <w:szCs w:val="18"/>
          <w:color w:val="auto"/>
        </w:rPr>
      </w:pPr>
    </w:p>
    <w:p>
      <w:pPr>
        <w:ind w:firstLine="1304"/>
        <w:spacing w:after="0" w:line="277" w:lineRule="auto"/>
        <w:tabs>
          <w:tab w:leader="none" w:pos="2001" w:val="left"/>
        </w:tabs>
        <w:numPr>
          <w:ilvl w:val="1"/>
          <w:numId w:val="3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Stock granted to a Participant under Section 6 hereof and that is subject to certain restrictions and to a risk of forfeiture, or issued pursuant to the early exercise of an Option.</w:t>
      </w:r>
    </w:p>
    <w:p>
      <w:pPr>
        <w:spacing w:after="0" w:line="170" w:lineRule="exact"/>
        <w:rPr>
          <w:rFonts w:ascii="Arial" w:cs="Arial" w:eastAsia="Arial" w:hAnsi="Arial"/>
          <w:sz w:val="18"/>
          <w:szCs w:val="18"/>
          <w:color w:val="auto"/>
        </w:rPr>
      </w:pPr>
    </w:p>
    <w:p>
      <w:pPr>
        <w:ind w:right="280" w:firstLine="1304"/>
        <w:spacing w:after="0" w:line="277" w:lineRule="auto"/>
        <w:tabs>
          <w:tab w:leader="none" w:pos="2001" w:val="left"/>
        </w:tabs>
        <w:numPr>
          <w:ilvl w:val="1"/>
          <w:numId w:val="3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Agreement</w:t>
      </w:r>
      <w:r>
        <w:rPr>
          <w:rFonts w:ascii="Arial" w:cs="Arial" w:eastAsia="Arial" w:hAnsi="Arial"/>
          <w:sz w:val="18"/>
          <w:szCs w:val="18"/>
          <w:color w:val="auto"/>
        </w:rPr>
        <w:t>” means a written agreement between the Company and a Participant evidencing the terms and conditions of an individual Restricted Stock grant.</w:t>
      </w:r>
    </w:p>
    <w:p>
      <w:pPr>
        <w:spacing w:after="0" w:line="170" w:lineRule="exact"/>
        <w:rPr>
          <w:rFonts w:ascii="Arial" w:cs="Arial" w:eastAsia="Arial" w:hAnsi="Arial"/>
          <w:sz w:val="18"/>
          <w:szCs w:val="18"/>
          <w:color w:val="auto"/>
        </w:rPr>
      </w:pPr>
    </w:p>
    <w:p>
      <w:pPr>
        <w:ind w:right="400" w:firstLine="1304"/>
        <w:spacing w:after="0" w:line="308" w:lineRule="auto"/>
        <w:tabs>
          <w:tab w:leader="none" w:pos="1991" w:val="left"/>
        </w:tabs>
        <w:numPr>
          <w:ilvl w:val="1"/>
          <w:numId w:val="3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of Stock, granted pursuant to Section 7. Each Restricted Stock Unit represents an unfunded and unsecured obligation of the Company.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9" w:name="page430"/>
    <w:bookmarkEnd w:id="429"/>
    <w:p>
      <w:pPr>
        <w:ind w:right="200" w:firstLine="1304"/>
        <w:spacing w:after="0" w:line="277" w:lineRule="auto"/>
        <w:tabs>
          <w:tab w:leader="none" w:pos="200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 Agreement</w:t>
      </w:r>
      <w:r>
        <w:rPr>
          <w:rFonts w:ascii="Arial" w:cs="Arial" w:eastAsia="Arial" w:hAnsi="Arial"/>
          <w:sz w:val="18"/>
          <w:szCs w:val="18"/>
          <w:color w:val="auto"/>
        </w:rPr>
        <w:t>” means a written agreement between the Company and a Participant evidencing the terms and conditions of an individual Restricted Stock Unit grant.</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12h-1(f)</w:t>
      </w:r>
      <w:r>
        <w:rPr>
          <w:rFonts w:ascii="Arial" w:cs="Arial" w:eastAsia="Arial" w:hAnsi="Arial"/>
          <w:sz w:val="18"/>
          <w:szCs w:val="18"/>
          <w:color w:val="auto"/>
        </w:rPr>
        <w:t>” means Rule 12h-1(f) promulgated under the Exchange Act, as amended from time to time.</w:t>
      </w:r>
    </w:p>
    <w:p>
      <w:pPr>
        <w:spacing w:after="0" w:line="225" w:lineRule="exact"/>
        <w:rPr>
          <w:rFonts w:ascii="Arial" w:cs="Arial" w:eastAsia="Arial" w:hAnsi="Arial"/>
          <w:sz w:val="18"/>
          <w:szCs w:val="18"/>
          <w:color w:val="auto"/>
        </w:rPr>
      </w:pPr>
    </w:p>
    <w:p>
      <w:pPr>
        <w:ind w:right="340" w:firstLine="1304"/>
        <w:spacing w:after="0" w:line="277" w:lineRule="auto"/>
        <w:tabs>
          <w:tab w:leader="none" w:pos="1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including rules thereunder and successor provisions and rules thereto.</w:t>
      </w:r>
    </w:p>
    <w:p>
      <w:pPr>
        <w:spacing w:after="0" w:line="170" w:lineRule="exact"/>
        <w:rPr>
          <w:sz w:val="20"/>
          <w:szCs w:val="20"/>
          <w:color w:val="auto"/>
        </w:rPr>
      </w:pPr>
    </w:p>
    <w:p>
      <w:pPr>
        <w:ind w:right="500" w:firstLine="1304"/>
        <w:spacing w:after="0" w:line="277" w:lineRule="auto"/>
        <w:tabs>
          <w:tab w:leader="none" w:pos="192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Equivalent</w:t>
      </w:r>
      <w:r>
        <w:rPr>
          <w:rFonts w:ascii="Arial" w:cs="Arial" w:eastAsia="Arial" w:hAnsi="Arial"/>
          <w:sz w:val="18"/>
          <w:szCs w:val="18"/>
          <w:color w:val="auto"/>
        </w:rPr>
        <w:t>” means any stock, warrants, rights, calls, options or other securities exchangeable or exercisable for, or convertible into, directly or indirectly, shares of Stock.</w:t>
      </w:r>
    </w:p>
    <w:p>
      <w:pPr>
        <w:spacing w:after="0" w:line="170" w:lineRule="exact"/>
        <w:rPr>
          <w:rFonts w:ascii="Arial" w:cs="Arial" w:eastAsia="Arial" w:hAnsi="Arial"/>
          <w:sz w:val="18"/>
          <w:szCs w:val="18"/>
          <w:color w:val="auto"/>
        </w:rPr>
      </w:pPr>
    </w:p>
    <w:p>
      <w:pPr>
        <w:ind w:right="240" w:firstLine="1304"/>
        <w:spacing w:after="0" w:line="277" w:lineRule="auto"/>
        <w:tabs>
          <w:tab w:leader="none" w:pos="195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the Company’s common stock, $0.001 par value per share, and such other securities as may be substituted for Stock pursuant to Section 12 hereof.</w:t>
      </w:r>
    </w:p>
    <w:p>
      <w:pPr>
        <w:spacing w:after="0" w:line="170" w:lineRule="exact"/>
        <w:rPr>
          <w:rFonts w:ascii="Arial" w:cs="Arial" w:eastAsia="Arial" w:hAnsi="Arial"/>
          <w:sz w:val="18"/>
          <w:szCs w:val="18"/>
          <w:color w:val="auto"/>
        </w:rPr>
      </w:pPr>
    </w:p>
    <w:p>
      <w:pPr>
        <w:ind w:left="1980" w:hanging="676"/>
        <w:spacing w:after="0"/>
        <w:tabs>
          <w:tab w:leader="none" w:pos="19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Shares</w:t>
      </w:r>
      <w:r>
        <w:rPr>
          <w:rFonts w:ascii="Arial" w:cs="Arial" w:eastAsia="Arial" w:hAnsi="Arial"/>
          <w:sz w:val="18"/>
          <w:szCs w:val="18"/>
          <w:color w:val="auto"/>
        </w:rPr>
        <w:t>” has the meaning set forth in Section 10(b) below.</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 “subsidiary corporation,” whether now or hereafter existing, as defined in Section 424(f) of the Code.</w:t>
      </w:r>
    </w:p>
    <w:p>
      <w:pPr>
        <w:spacing w:after="0" w:line="236" w:lineRule="exact"/>
        <w:rPr>
          <w:rFonts w:ascii="Arial" w:cs="Arial" w:eastAsia="Arial" w:hAnsi="Arial"/>
          <w:sz w:val="17"/>
          <w:szCs w:val="17"/>
          <w:color w:val="auto"/>
        </w:rPr>
      </w:pPr>
    </w:p>
    <w:p>
      <w:pPr>
        <w:ind w:firstLine="1304"/>
        <w:spacing w:after="0" w:line="272" w:lineRule="auto"/>
        <w:tabs>
          <w:tab w:leader="none" w:pos="197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means the termination of a Participant’s employment or service, as applicable, with the Employer for any reason;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so determined by the Committee at the time of any change in status in relation to the Employer (</w:t>
      </w:r>
      <w:r>
        <w:rPr>
          <w:rFonts w:ascii="Arial" w:cs="Arial" w:eastAsia="Arial" w:hAnsi="Arial"/>
          <w:sz w:val="17"/>
          <w:szCs w:val="17"/>
          <w:u w:val="single" w:color="auto"/>
          <w:color w:val="auto"/>
        </w:rPr>
        <w:t>e.g.</w:t>
      </w:r>
      <w:r>
        <w:rPr>
          <w:rFonts w:ascii="Arial" w:cs="Arial" w:eastAsia="Arial" w:hAnsi="Arial"/>
          <w:sz w:val="17"/>
          <w:szCs w:val="17"/>
          <w:color w:val="auto"/>
        </w:rPr>
        <w:t>, a Participant ceases to be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and begins providing services as a consultant, or vice versa), such change in status will not be deemed to be a Termination hereunder. Unless otherwise determined by the Committee, in the event that any Employer ceases to be a member of the Company Group (by reason of sale, divesture, spin-off, or other similar transaction), any Participants employed by or providing services to such former Employer shall be deemed to have a Termination hereunder as of the date of the consummation of such transaction, except if any such Participant’s employment or service is transferred to another entity that would constitute an Employer immediately following such transaction.</w:t>
      </w:r>
    </w:p>
    <w:p>
      <w:pPr>
        <w:spacing w:after="0" w:line="177" w:lineRule="exact"/>
        <w:rPr>
          <w:rFonts w:ascii="Arial" w:cs="Arial" w:eastAsia="Arial" w:hAnsi="Arial"/>
          <w:sz w:val="17"/>
          <w:szCs w:val="17"/>
          <w:color w:val="auto"/>
        </w:rPr>
      </w:pPr>
    </w:p>
    <w:p>
      <w:pPr>
        <w:ind w:left="1960" w:hanging="656"/>
        <w:spacing w:after="0"/>
        <w:tabs>
          <w:tab w:leader="none" w:pos="19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any sale, assignment, pledge, transfer, hypothecation or other disposition or encumbrance, and each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w:t>
      </w:r>
      <w:r>
        <w:rPr>
          <w:rFonts w:ascii="Arial" w:cs="Arial" w:eastAsia="Arial" w:hAnsi="Arial"/>
          <w:sz w:val="18"/>
          <w:szCs w:val="18"/>
          <w:color w:val="auto"/>
        </w:rPr>
        <w:t>”, “</w:t>
      </w:r>
      <w:r>
        <w:rPr>
          <w:rFonts w:ascii="Arial" w:cs="Arial" w:eastAsia="Arial" w:hAnsi="Arial"/>
          <w:sz w:val="18"/>
          <w:szCs w:val="18"/>
          <w:u w:val="single" w:color="auto"/>
          <w:color w:val="auto"/>
        </w:rPr>
        <w:t>Transferee</w:t>
      </w:r>
      <w:r>
        <w:rPr>
          <w:rFonts w:ascii="Arial" w:cs="Arial" w:eastAsia="Arial" w:hAnsi="Arial"/>
          <w:sz w:val="18"/>
          <w:szCs w:val="18"/>
          <w:color w:val="auto"/>
        </w:rPr>
        <w:t>” and “</w:t>
      </w:r>
      <w:r>
        <w:rPr>
          <w:rFonts w:ascii="Arial" w:cs="Arial" w:eastAsia="Arial" w:hAnsi="Arial"/>
          <w:sz w:val="18"/>
          <w:szCs w:val="18"/>
          <w:u w:val="single" w:color="auto"/>
          <w:color w:val="auto"/>
        </w:rPr>
        <w:t>Transferable</w:t>
      </w:r>
      <w:r>
        <w:rPr>
          <w:rFonts w:ascii="Arial" w:cs="Arial" w:eastAsia="Arial" w:hAnsi="Arial"/>
          <w:sz w:val="18"/>
          <w:szCs w:val="18"/>
          <w:color w:val="auto"/>
        </w:rPr>
        <w:t>” have a correlative meaning.</w:t>
      </w:r>
    </w:p>
    <w:p>
      <w:pPr>
        <w:spacing w:after="0" w:line="211" w:lineRule="exact"/>
        <w:rPr>
          <w:sz w:val="20"/>
          <w:szCs w:val="20"/>
          <w:color w:val="auto"/>
        </w:rPr>
      </w:pPr>
    </w:p>
    <w:p>
      <w:pPr>
        <w:ind w:right="20" w:firstLine="1304"/>
        <w:spacing w:after="0" w:line="269" w:lineRule="auto"/>
        <w:tabs>
          <w:tab w:leader="none" w:pos="200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Trigger Event</w:t>
      </w:r>
      <w:r>
        <w:rPr>
          <w:rFonts w:ascii="Arial" w:cs="Arial" w:eastAsia="Arial" w:hAnsi="Arial"/>
          <w:sz w:val="17"/>
          <w:szCs w:val="17"/>
          <w:color w:val="auto"/>
        </w:rPr>
        <w:t>” means (i) acts of willful misconduct on the part of a Participant in the course of his employment or service that has, or could be reasonably expected to result in material injury to the reputation or business of the Company or the Company Group; (ii) failure or refusal by a Participant to perform in any material respect his duties or responsibilities for the Employer (unless caused by the Participant’s incapacity due to physical or mental illness) as unanimously determined by the Board (excluding the Participant, if applicable), after the Board delivers a written demand for performance to the Participant, which written demand identifies in reasonable detail the manner in which the Board believes that the Participant has failed to substantially perform such duties and responsibilities and, if such breach can be cured, the Participant has been given thirty (30) days to cure such breach; (iii) misappropriation by a Participant of any assets or business opportunities of the Company or the Company Group that has, or could be reasonably expected to result in material injury to the reputation or business of the Company or the Company Group; (iv) embezzlement or fraud committed by a Participant or at his direction, or with his personal knowledge, in the course of his employment or service, that has, or could be reasonably expected to result in material injury to the reputation or business of the Company or the Company Group; (v) a Participant’s conviction by a court of competent jurisdiction of, or pleading</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30" w:name="page431"/>
    <w:bookmarkEnd w:id="430"/>
    <w:p>
      <w:pPr>
        <w:ind w:right="140"/>
        <w:spacing w:after="0" w:line="255" w:lineRule="auto"/>
        <w:rPr>
          <w:sz w:val="20"/>
          <w:szCs w:val="20"/>
          <w:color w:val="auto"/>
        </w:rPr>
      </w:pPr>
      <w:r>
        <w:rPr>
          <w:rFonts w:ascii="Arial" w:cs="Arial" w:eastAsia="Arial" w:hAnsi="Arial"/>
          <w:sz w:val="18"/>
          <w:szCs w:val="18"/>
          <w:color w:val="auto"/>
        </w:rPr>
        <w:t>“guilty” or “no contest” to, (x) a felony or (y) any other criminal charge involving fraud, misappropriation or embezzlement that has, or could be reasonably expected to have, an adverse impact on the performance of the Participant’s duties to the Company or other member of the Company Group or otherwise result in material injury to the reputation or business of the Company or the Company Group; or (vi) a Participant’s breach of any material provision of any Participant Agreement that has, or could be reasonably expected to result in material injury to the reputation or business of the Company or the Company Group, which breach is not susceptible to cure, or that is not cured within thirty (30) days after the Participant is given written notice by the Board of such breach.</w:t>
      </w:r>
    </w:p>
    <w:p>
      <w:pPr>
        <w:spacing w:after="0" w:line="192" w:lineRule="exact"/>
        <w:rPr>
          <w:sz w:val="20"/>
          <w:szCs w:val="20"/>
          <w:color w:val="auto"/>
        </w:rPr>
      </w:pPr>
    </w:p>
    <w:p>
      <w:pPr>
        <w:ind w:left="1340" w:hanging="576"/>
        <w:spacing w:after="0"/>
        <w:tabs>
          <w:tab w:leader="none" w:pos="134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225" w:lineRule="exact"/>
        <w:rPr>
          <w:rFonts w:ascii="Arial" w:cs="Arial" w:eastAsia="Arial" w:hAnsi="Arial"/>
          <w:sz w:val="18"/>
          <w:szCs w:val="18"/>
          <w:color w:val="auto"/>
        </w:rPr>
      </w:pPr>
    </w:p>
    <w:p>
      <w:pPr>
        <w:ind w:right="40" w:firstLine="1304"/>
        <w:spacing w:after="0" w:line="291" w:lineRule="auto"/>
        <w:tabs>
          <w:tab w:leader="none" w:pos="1990" w:val="left"/>
        </w:tabs>
        <w:numPr>
          <w:ilvl w:val="2"/>
          <w:numId w:val="342"/>
        </w:numPr>
        <w:rPr>
          <w:rFonts w:ascii="Arial" w:cs="Arial" w:eastAsia="Arial" w:hAnsi="Arial"/>
          <w:sz w:val="16"/>
          <w:szCs w:val="16"/>
          <w:color w:val="auto"/>
        </w:rPr>
      </w:pP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 Except as otherwise provided below, the Plan (including Appendix A hereto) shall be administered by the Committee. The Committee shall have full and final authority, in each case subject to and consistent with the provisions of the Plan, to</w:t>
      </w:r>
    </w:p>
    <w:p>
      <w:pPr>
        <w:ind w:right="40" w:firstLine="8"/>
        <w:spacing w:after="0" w:line="287" w:lineRule="auto"/>
        <w:tabs>
          <w:tab w:leader="none" w:pos="21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select Eligible Persons to become Participants, (ii) grant Awards, (iii) determine the type, number of shares of Stock subject to, and other terms and conditions of, and all other matters relating to, Awards, (iv) prescribe Award agreements (which need not be identical for each Participant) and rules and regulations for the administration of the Plan, (v) construe and interpret the Plan and Award agreements and correct defects, supply omissions, and reconcile inconsistencies therein, (vi) suspend the right to exercise Awards during any period that the Committee deems appropriate to comply with applicable securities laws, and thereafter extend the exercise period of an Award by an equivalent period of time, and (vii) make all other decisions and determinations as the Committee may deem necessary or advisable for the administration of the Plan. Any action of the Committee shall be final, conclusive, and binding on all persons, including, without limitation, each member of the Company Group, Eligible Persons, Participants, and beneficiaries of Participants. For the avoidance of doubt, the Board shall have the authority to take all actions under the Plan that the Committee is permitted to take.</w:t>
      </w:r>
    </w:p>
    <w:p>
      <w:pPr>
        <w:spacing w:after="0" w:line="169" w:lineRule="exact"/>
        <w:rPr>
          <w:rFonts w:ascii="Arial" w:cs="Arial" w:eastAsia="Arial" w:hAnsi="Arial"/>
          <w:sz w:val="16"/>
          <w:szCs w:val="16"/>
          <w:color w:val="auto"/>
        </w:rPr>
      </w:pPr>
    </w:p>
    <w:p>
      <w:pPr>
        <w:ind w:right="20" w:firstLine="1304"/>
        <w:spacing w:after="0" w:line="296" w:lineRule="auto"/>
        <w:tabs>
          <w:tab w:leader="none" w:pos="2000" w:val="left"/>
        </w:tabs>
        <w:numPr>
          <w:ilvl w:val="2"/>
          <w:numId w:val="343"/>
        </w:numPr>
        <w:rPr>
          <w:rFonts w:ascii="Arial" w:cs="Arial" w:eastAsia="Arial" w:hAnsi="Arial"/>
          <w:sz w:val="16"/>
          <w:szCs w:val="16"/>
          <w:color w:val="auto"/>
        </w:rPr>
      </w:pPr>
      <w:r>
        <w:rPr>
          <w:rFonts w:ascii="Arial" w:cs="Arial" w:eastAsia="Arial" w:hAnsi="Arial"/>
          <w:sz w:val="16"/>
          <w:szCs w:val="16"/>
          <w:u w:val="single" w:color="auto"/>
          <w:color w:val="auto"/>
        </w:rPr>
        <w:t>Delegation</w:t>
      </w:r>
      <w:r>
        <w:rPr>
          <w:rFonts w:ascii="Arial" w:cs="Arial" w:eastAsia="Arial" w:hAnsi="Arial"/>
          <w:sz w:val="16"/>
          <w:szCs w:val="16"/>
          <w:color w:val="auto"/>
        </w:rPr>
        <w:t>. To the extent permitted by applicable law, the Committee may delegate to officers or employees of any member of the Company Group, or committees thereof, the authority, subject to such terms as the Committee shall determine, to perform such functions, including but not limited to administrative functions, as the Committee may determine appropriate. The Committee may appoint agents to assist it in administering the Plan. Notwithstanding the foregoing or any other provision of the Plan to the contrary, any Award granted under the Plan to any person or entity who is not an employee of the Company or any other member of the Company Group shall be expressly approved by the Committee.</w:t>
      </w:r>
    </w:p>
    <w:p>
      <w:pPr>
        <w:spacing w:after="0" w:line="161" w:lineRule="exact"/>
        <w:rPr>
          <w:rFonts w:ascii="Arial" w:cs="Arial" w:eastAsia="Arial" w:hAnsi="Arial"/>
          <w:sz w:val="16"/>
          <w:szCs w:val="16"/>
          <w:color w:val="auto"/>
        </w:rPr>
      </w:pPr>
    </w:p>
    <w:p>
      <w:pPr>
        <w:ind w:right="80" w:firstLine="1304"/>
        <w:spacing w:after="0" w:line="277" w:lineRule="auto"/>
        <w:tabs>
          <w:tab w:leader="none" w:pos="1990" w:val="left"/>
        </w:tabs>
        <w:numPr>
          <w:ilvl w:val="2"/>
          <w:numId w:val="34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Committee shall take into account compliance with Section 409A of the Code in connection with any grant of an Award under the Plan, to the extent applicable.</w:t>
      </w:r>
    </w:p>
    <w:p>
      <w:pPr>
        <w:spacing w:after="0" w:line="166" w:lineRule="exact"/>
        <w:rPr>
          <w:rFonts w:ascii="Arial" w:cs="Arial" w:eastAsia="Arial" w:hAnsi="Arial"/>
          <w:sz w:val="18"/>
          <w:szCs w:val="18"/>
          <w:color w:val="auto"/>
        </w:rPr>
      </w:pPr>
    </w:p>
    <w:p>
      <w:pPr>
        <w:ind w:left="1340" w:hanging="576"/>
        <w:spacing w:after="0"/>
        <w:tabs>
          <w:tab w:leader="none" w:pos="1340" w:val="left"/>
        </w:tabs>
        <w:numPr>
          <w:ilvl w:val="1"/>
          <w:numId w:val="343"/>
        </w:numPr>
        <w:rPr>
          <w:rFonts w:ascii="Arial" w:cs="Arial" w:eastAsia="Arial" w:hAnsi="Arial"/>
          <w:sz w:val="18"/>
          <w:szCs w:val="18"/>
          <w:color w:val="auto"/>
        </w:rPr>
      </w:pPr>
      <w:r>
        <w:rPr>
          <w:rFonts w:ascii="Arial" w:cs="Arial" w:eastAsia="Arial" w:hAnsi="Arial"/>
          <w:sz w:val="18"/>
          <w:szCs w:val="18"/>
          <w:b w:val="1"/>
          <w:bCs w:val="1"/>
          <w:color w:val="auto"/>
        </w:rPr>
        <w:t>SHARES AVAILABLE UNDER THE PLAN.</w:t>
      </w:r>
    </w:p>
    <w:p>
      <w:pPr>
        <w:spacing w:after="0" w:line="229" w:lineRule="exact"/>
        <w:rPr>
          <w:rFonts w:ascii="Arial" w:cs="Arial" w:eastAsia="Arial" w:hAnsi="Arial"/>
          <w:sz w:val="18"/>
          <w:szCs w:val="18"/>
          <w:color w:val="auto"/>
        </w:rPr>
      </w:pPr>
    </w:p>
    <w:p>
      <w:pPr>
        <w:ind w:right="40" w:firstLine="1304"/>
        <w:spacing w:after="0" w:line="275" w:lineRule="auto"/>
        <w:tabs>
          <w:tab w:leader="none" w:pos="1990" w:val="left"/>
        </w:tabs>
        <w:numPr>
          <w:ilvl w:val="2"/>
          <w:numId w:val="344"/>
        </w:numPr>
        <w:rPr>
          <w:rFonts w:ascii="Arial" w:cs="Arial" w:eastAsia="Arial" w:hAnsi="Arial"/>
          <w:sz w:val="17"/>
          <w:szCs w:val="17"/>
          <w:color w:val="auto"/>
        </w:rPr>
      </w:pPr>
      <w:r>
        <w:rPr>
          <w:rFonts w:ascii="Arial" w:cs="Arial" w:eastAsia="Arial" w:hAnsi="Arial"/>
          <w:sz w:val="17"/>
          <w:szCs w:val="17"/>
          <w:u w:val="single" w:color="auto"/>
          <w:color w:val="auto"/>
        </w:rPr>
        <w:t>Number of Shares Available for Delivery</w:t>
      </w:r>
      <w:r>
        <w:rPr>
          <w:rFonts w:ascii="Arial" w:cs="Arial" w:eastAsia="Arial" w:hAnsi="Arial"/>
          <w:sz w:val="17"/>
          <w:szCs w:val="17"/>
          <w:color w:val="auto"/>
        </w:rPr>
        <w:t>. Subject to adjustment as provided in Section 12 hereof, the total number of shares of Stock reserved and available for delivery in connection with Awards under the Plan shall be 75,274,148. Shares of Stock delivered under the Plan shall consist of authorized and unissued shares or previously issued shares of Stock reacquired by the Company on the open market or by private purchase. Notwithstanding any other provision of the Plan to the contrary, the maximum aggregate number of shares of Stock that may be issued under the Plan pursuant to Incentive Stock Options is 150,548,296, subject to adjustment as provided in Section 12 hereof.</w:t>
      </w:r>
    </w:p>
    <w:p>
      <w:pPr>
        <w:spacing w:after="0" w:line="176" w:lineRule="exact"/>
        <w:rPr>
          <w:rFonts w:ascii="Arial" w:cs="Arial" w:eastAsia="Arial" w:hAnsi="Arial"/>
          <w:sz w:val="17"/>
          <w:szCs w:val="17"/>
          <w:color w:val="auto"/>
        </w:rPr>
      </w:pPr>
    </w:p>
    <w:p>
      <w:pPr>
        <w:ind w:firstLine="1304"/>
        <w:spacing w:after="0" w:line="277" w:lineRule="auto"/>
        <w:tabs>
          <w:tab w:leader="none" w:pos="2000" w:val="left"/>
        </w:tabs>
        <w:numPr>
          <w:ilvl w:val="2"/>
          <w:numId w:val="344"/>
        </w:numPr>
        <w:rPr>
          <w:rFonts w:ascii="Arial" w:cs="Arial" w:eastAsia="Arial" w:hAnsi="Arial"/>
          <w:sz w:val="18"/>
          <w:szCs w:val="18"/>
          <w:color w:val="auto"/>
        </w:rPr>
      </w:pPr>
      <w:r>
        <w:rPr>
          <w:rFonts w:ascii="Arial" w:cs="Arial" w:eastAsia="Arial" w:hAnsi="Arial"/>
          <w:sz w:val="18"/>
          <w:szCs w:val="18"/>
          <w:u w:val="single" w:color="auto"/>
          <w:color w:val="auto"/>
        </w:rPr>
        <w:t>Share Counting Rules</w:t>
      </w:r>
      <w:r>
        <w:rPr>
          <w:rFonts w:ascii="Arial" w:cs="Arial" w:eastAsia="Arial" w:hAnsi="Arial"/>
          <w:sz w:val="18"/>
          <w:szCs w:val="18"/>
          <w:color w:val="auto"/>
        </w:rPr>
        <w:t>. The Committee may adopt reasonable counting procedures to ensure appropriate counting, avoid double counting (as, for example, in the case of tandem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1" w:name="page432"/>
    <w:bookmarkEnd w:id="431"/>
    <w:p>
      <w:pPr>
        <w:ind w:right="20"/>
        <w:spacing w:after="0" w:line="271" w:lineRule="auto"/>
        <w:rPr>
          <w:sz w:val="20"/>
          <w:szCs w:val="20"/>
          <w:color w:val="auto"/>
        </w:rPr>
      </w:pPr>
      <w:r>
        <w:rPr>
          <w:rFonts w:ascii="Arial" w:cs="Arial" w:eastAsia="Arial" w:hAnsi="Arial"/>
          <w:sz w:val="17"/>
          <w:szCs w:val="17"/>
          <w:color w:val="auto"/>
        </w:rPr>
        <w:t>or substitute awards) and make adjustments if the number of shares of Stock actually delivered differs from the number of shares previously counted in connection with an Award. To the extent that an Award expires or is canceled, forfeited, settled in cash, repurchased or cancelled pursuant to Section 18(c), or otherwise terminated without a delivery to the Participant of the full number of shares to which the Award related or shares of Stock issued pursuant to an Award are forfeited to or repurchased by the Company due to the failure to vest, the undelivered, forfeited, or repurchased shares will again be available for grant. Shares withheld in payment of the exercise price or taxes relating to an Award and shares equal to the number surrendered in payment of any exercise price or taxes relating to an Award shall be deemed to constitute shares not delivered to the Participant and shall be deemed to again be available for Awards under the Plan. To the extent an Award under the Plan is paid out in cash rather than shares of Stock, such cash payment will not result in reducing the number of shares of Stock available for issuance under the Plan.</w:t>
      </w:r>
    </w:p>
    <w:p>
      <w:pPr>
        <w:spacing w:after="0" w:line="178" w:lineRule="exact"/>
        <w:rPr>
          <w:sz w:val="20"/>
          <w:szCs w:val="20"/>
          <w:color w:val="auto"/>
        </w:rPr>
      </w:pPr>
    </w:p>
    <w:p>
      <w:pPr>
        <w:ind w:left="1340" w:hanging="576"/>
        <w:spacing w:after="0"/>
        <w:tabs>
          <w:tab w:leader="none" w:pos="13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OPTIONS.</w:t>
      </w:r>
    </w:p>
    <w:p>
      <w:pPr>
        <w:spacing w:after="0" w:line="225" w:lineRule="exact"/>
        <w:rPr>
          <w:rFonts w:ascii="Arial" w:cs="Arial" w:eastAsia="Arial" w:hAnsi="Arial"/>
          <w:sz w:val="18"/>
          <w:szCs w:val="18"/>
          <w:color w:val="auto"/>
        </w:rPr>
      </w:pPr>
    </w:p>
    <w:p>
      <w:pPr>
        <w:ind w:right="20" w:firstLine="1304"/>
        <w:spacing w:after="0" w:line="259" w:lineRule="auto"/>
        <w:tabs>
          <w:tab w:leader="none" w:pos="1990" w:val="left"/>
        </w:tabs>
        <w:numPr>
          <w:ilvl w:val="1"/>
          <w:numId w:val="34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Nonstatutory Stock Options may be granted to Eligible Persons. Incentive Stock Options may be granted only to employees of the Company or any Parent or Subsidiary of the Company. Options may be granted in such form and having such terms and conditions as the Committee shall deem appropriate, subject to the conditions set forth in Appendix A hereto. The provisions of separate Options shall be set forth in Option Agreements, which agreements need not be identical.</w:t>
      </w:r>
    </w:p>
    <w:p>
      <w:pPr>
        <w:spacing w:after="0" w:line="186" w:lineRule="exact"/>
        <w:rPr>
          <w:rFonts w:ascii="Arial" w:cs="Arial" w:eastAsia="Arial" w:hAnsi="Arial"/>
          <w:sz w:val="18"/>
          <w:szCs w:val="18"/>
          <w:color w:val="auto"/>
        </w:rPr>
      </w:pPr>
    </w:p>
    <w:p>
      <w:pPr>
        <w:ind w:firstLine="1304"/>
        <w:spacing w:after="0" w:line="296" w:lineRule="auto"/>
        <w:tabs>
          <w:tab w:leader="none" w:pos="2000" w:val="left"/>
        </w:tabs>
        <w:numPr>
          <w:ilvl w:val="1"/>
          <w:numId w:val="34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xml:space="preserve">. The term of each Option shall be set by the Committee at the time of grant;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Option granted hereunder shall be exercisable after the expiration of ten (10) years from the date it was granted. In the case of an Incentive Stock Option granted to a Participant who, at the time the Incentive Stock Option is granted, owns (or is treated as owning under Section 424 of the Code) stock representing more than ten percent (10%) of the total combined voting power of all classes of stock of the Company (or any Parent or Subsidiary of the Company), the term of the Incentive Stock Option will be five (5) years from the date of grant or such shorter term as may be provided in the Option Agreement.</w:t>
      </w:r>
    </w:p>
    <w:p>
      <w:pPr>
        <w:spacing w:after="0" w:line="161" w:lineRule="exact"/>
        <w:rPr>
          <w:rFonts w:ascii="Arial" w:cs="Arial" w:eastAsia="Arial" w:hAnsi="Arial"/>
          <w:sz w:val="16"/>
          <w:szCs w:val="16"/>
          <w:color w:val="auto"/>
        </w:rPr>
      </w:pPr>
    </w:p>
    <w:p>
      <w:pPr>
        <w:ind w:right="20" w:firstLine="1304"/>
        <w:spacing w:after="0" w:line="271" w:lineRule="auto"/>
        <w:tabs>
          <w:tab w:leader="none" w:pos="1990" w:val="left"/>
        </w:tabs>
        <w:numPr>
          <w:ilvl w:val="1"/>
          <w:numId w:val="345"/>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per share of Stock for each Option shall be set by the Committee at the time of grant;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an Option is intended to qualify as a “stock right” within the meaning of Section 409A of the Code, the applicable exercise price</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less than the Fair Market Value on the date of grant. In addition, in the case of an Incentive Stock Option granted to a Participant who, at the time the Incentive Stock Option is granted, owns (or is treated as owning under Section 424 of the Code) stock representing more than ten percent (10%) of the total combined voting power of all classes of stock of the Company (or any Parent or Subsidiary of the Company), the applicable exercise price shall not be less than one hundred ten percent (110%) of the Fair Market Value on the date of grant. Notwithstanding the foregoing provisions of this Section 5(c), Options may be granted with an exercise price of less than one hundred percent (100%) of the Fair Market Value on the date of grant pursuant to a transaction described in, and in a manner consistent with, Section 424(a) of the Code.</w:t>
      </w:r>
    </w:p>
    <w:p>
      <w:pPr>
        <w:spacing w:after="0" w:line="178" w:lineRule="exact"/>
        <w:rPr>
          <w:rFonts w:ascii="Arial" w:cs="Arial" w:eastAsia="Arial" w:hAnsi="Arial"/>
          <w:sz w:val="17"/>
          <w:szCs w:val="17"/>
          <w:color w:val="auto"/>
        </w:rPr>
      </w:pPr>
    </w:p>
    <w:p>
      <w:pPr>
        <w:ind w:firstLine="1304"/>
        <w:spacing w:after="0" w:line="275" w:lineRule="auto"/>
        <w:tabs>
          <w:tab w:leader="none" w:pos="2000" w:val="left"/>
        </w:tabs>
        <w:numPr>
          <w:ilvl w:val="1"/>
          <w:numId w:val="345"/>
        </w:numPr>
        <w:rPr>
          <w:rFonts w:ascii="Arial" w:cs="Arial" w:eastAsia="Arial" w:hAnsi="Arial"/>
          <w:sz w:val="17"/>
          <w:szCs w:val="17"/>
          <w:color w:val="auto"/>
        </w:rPr>
      </w:pPr>
      <w:r>
        <w:rPr>
          <w:rFonts w:ascii="Arial" w:cs="Arial" w:eastAsia="Arial" w:hAnsi="Arial"/>
          <w:sz w:val="17"/>
          <w:szCs w:val="17"/>
          <w:u w:val="single" w:color="auto"/>
          <w:color w:val="auto"/>
        </w:rPr>
        <w:t>Payment for Stock</w:t>
      </w:r>
      <w:r>
        <w:rPr>
          <w:rFonts w:ascii="Arial" w:cs="Arial" w:eastAsia="Arial" w:hAnsi="Arial"/>
          <w:sz w:val="17"/>
          <w:szCs w:val="17"/>
          <w:color w:val="auto"/>
        </w:rPr>
        <w:t>. Payment for shares of Stock acquired pursuant to Options granted hereunder shall be made in full upon exercise of the Options in a manner approved by the Committee, which may include any of the following payment methods: (i) in immediately available funds in United States dollars, or by certified or bank cashier’s check, (ii) by delivery of a notice of “net exercise” to the Company, pursuant to which the Participant shall receive the number of shares of Stock underlying the Options so exercised reduced by the number of shares of Stock equal to the aggregate exercise price of the Options divided by the Fair Market Value on the date of exercise, (iii) by delivery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2" w:name="page433"/>
    <w:bookmarkEnd w:id="432"/>
    <w:p>
      <w:pPr>
        <w:spacing w:after="0" w:line="254" w:lineRule="auto"/>
        <w:rPr>
          <w:sz w:val="20"/>
          <w:szCs w:val="20"/>
          <w:color w:val="auto"/>
        </w:rPr>
      </w:pPr>
      <w:r>
        <w:rPr>
          <w:rFonts w:ascii="Arial" w:cs="Arial" w:eastAsia="Arial" w:hAnsi="Arial"/>
          <w:sz w:val="18"/>
          <w:szCs w:val="18"/>
          <w:color w:val="auto"/>
        </w:rPr>
        <w:t xml:space="preserve">shares of Stock having a Fair Market Value equal to the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shares have been held by the Participant for more than six (6) months prior to such delivery, or (iv) by any other means approved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methods of exercise set forth in clauses (ii), (iii) and (iv) above shall not be available if such method would result in a default under, any agreement to which the Company Group is a party, or otherwise violate applicable law, or if the Company Group does not have sufficient liquidity (as determined by the Committee). Anything herein to the contrary notwithstanding, if the Committee determines that any form of payment available hereunder would be in violation of Section 402 of the Sarbanes-Oxley Act of 2002, such form of payment shall not be available on or following the date the Company (or any of its Affiliates) files an initial registration statement for an IPO.</w:t>
      </w:r>
    </w:p>
    <w:p>
      <w:pPr>
        <w:spacing w:after="0" w:line="195" w:lineRule="exact"/>
        <w:rPr>
          <w:sz w:val="20"/>
          <w:szCs w:val="20"/>
          <w:color w:val="auto"/>
        </w:rPr>
      </w:pPr>
    </w:p>
    <w:p>
      <w:pPr>
        <w:ind w:right="80" w:firstLine="1304"/>
        <w:spacing w:after="0" w:line="269" w:lineRule="auto"/>
        <w:tabs>
          <w:tab w:leader="none" w:pos="1990" w:val="left"/>
        </w:tabs>
        <w:numPr>
          <w:ilvl w:val="1"/>
          <w:numId w:val="346"/>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xml:space="preserve">. Options shall vest and become exercisable in such manner, on such date or dates, or upon the achievement of performance or other conditions as determined by the Committee and set forth in the Option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notwithstanding any such vesting dates, the Committee may in its sole discretion accelerate the vesting of any Option, which acceleration shall not affect the terms and conditions of any such Option other than with respect to vesting. Unless otherwise specifically determined by the Committee, the vesting of an Option shall occur only while the Participant is employed by or rendering services to the Employer, and all vesting shall cease upon a Participant’s Termination with the Employer for any reason. Notwithstanding the foregoing, the Committee may provide in the Option Agreement that the Participant may elect to exercise all or a portion of an Option before it has otherwise become exercisable;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shares of Stock so purchased shall be Restricted Stock and shall be subject to (x) a repurchase in favor of the Company during a specified restricted period, with the repurchase price equal to the lesser of (i) the original purchase price paid for such Stock and (ii) the Fair Market Value of the Stock at the time of repurchase, or (y) such other restrictions as the Committee deems appropriate.</w:t>
      </w:r>
    </w:p>
    <w:p>
      <w:pPr>
        <w:spacing w:after="0" w:line="185" w:lineRule="exact"/>
        <w:rPr>
          <w:rFonts w:ascii="Arial" w:cs="Arial" w:eastAsia="Arial" w:hAnsi="Arial"/>
          <w:sz w:val="17"/>
          <w:szCs w:val="17"/>
          <w:color w:val="auto"/>
        </w:rPr>
      </w:pPr>
    </w:p>
    <w:p>
      <w:pPr>
        <w:ind w:right="20" w:firstLine="1304"/>
        <w:spacing w:after="0" w:line="291" w:lineRule="auto"/>
        <w:tabs>
          <w:tab w:leader="none" w:pos="2016" w:val="left"/>
        </w:tabs>
        <w:numPr>
          <w:ilvl w:val="1"/>
          <w:numId w:val="346"/>
        </w:numPr>
        <w:rPr>
          <w:rFonts w:ascii="Arial" w:cs="Arial" w:eastAsia="Arial" w:hAnsi="Arial"/>
          <w:sz w:val="16"/>
          <w:szCs w:val="16"/>
          <w:color w:val="auto"/>
        </w:rPr>
      </w:pPr>
      <w:r>
        <w:rPr>
          <w:rFonts w:ascii="Arial" w:cs="Arial" w:eastAsia="Arial" w:hAnsi="Arial"/>
          <w:sz w:val="16"/>
          <w:szCs w:val="16"/>
          <w:u w:val="single" w:color="auto"/>
          <w:color w:val="auto"/>
        </w:rPr>
        <w:t>Transferability of Options</w:t>
      </w:r>
      <w:r>
        <w:rPr>
          <w:rFonts w:ascii="Arial" w:cs="Arial" w:eastAsia="Arial" w:hAnsi="Arial"/>
          <w:sz w:val="16"/>
          <w:szCs w:val="16"/>
          <w:color w:val="auto"/>
        </w:rPr>
        <w:t>. Except in connection with a Permitted Transfer of vested Options, an Option shall not be Transferable except by will or by the laws of descent and distribution and shall be exercisable during the lifetime of the Participant only by the Participant. Notwithstanding the foregoing, in the event of the Disability of the Participant, an Option shall be exercisable by the Participant’s duly appointed guardian or legal representative to the extent it is exercisable by the Participant. To the extent a Participant wishes to make a Permitted Transfer of vested Options, it shall be a condition of each such Permitted Transfer that (x) the Transferee agrees to be bound by the terms of the Plan and the applicable Award agreement as though no such Transfer had taken place, and (y) the Participant has complied with all applicable law in connection with such Transfer. The Participant and the Transferee shall execute any documents reasonably required by the Committee to effectuate such Permitted Transfer.</w:t>
      </w:r>
    </w:p>
    <w:p>
      <w:pPr>
        <w:spacing w:after="0" w:line="166" w:lineRule="exact"/>
        <w:rPr>
          <w:rFonts w:ascii="Arial" w:cs="Arial" w:eastAsia="Arial" w:hAnsi="Arial"/>
          <w:sz w:val="16"/>
          <w:szCs w:val="16"/>
          <w:color w:val="auto"/>
        </w:rPr>
      </w:pPr>
    </w:p>
    <w:p>
      <w:pPr>
        <w:ind w:left="2000" w:hanging="696"/>
        <w:spacing w:after="0"/>
        <w:tabs>
          <w:tab w:leader="none" w:pos="2000" w:val="left"/>
        </w:tabs>
        <w:numPr>
          <w:ilvl w:val="1"/>
          <w:numId w:val="34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in an Option Agreement or determined by the Committee subsequent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w:t>
      </w:r>
    </w:p>
    <w:p>
      <w:pPr>
        <w:spacing w:after="0" w:line="210" w:lineRule="exact"/>
        <w:rPr>
          <w:rFonts w:ascii="Arial" w:cs="Arial" w:eastAsia="Arial" w:hAnsi="Arial"/>
          <w:sz w:val="16"/>
          <w:szCs w:val="16"/>
          <w:color w:val="auto"/>
        </w:rPr>
      </w:pPr>
    </w:p>
    <w:p>
      <w:pPr>
        <w:ind w:left="2660" w:hanging="708"/>
        <w:spacing w:after="0"/>
        <w:tabs>
          <w:tab w:leader="none" w:pos="2660" w:val="left"/>
        </w:tabs>
        <w:numPr>
          <w:ilvl w:val="2"/>
          <w:numId w:val="346"/>
        </w:numPr>
        <w:rPr>
          <w:rFonts w:ascii="Arial" w:cs="Arial" w:eastAsia="Arial" w:hAnsi="Arial"/>
          <w:sz w:val="17"/>
          <w:szCs w:val="17"/>
          <w:color w:val="auto"/>
        </w:rPr>
      </w:pPr>
      <w:r>
        <w:rPr>
          <w:rFonts w:ascii="Arial" w:cs="Arial" w:eastAsia="Arial" w:hAnsi="Arial"/>
          <w:sz w:val="17"/>
          <w:szCs w:val="17"/>
          <w:color w:val="auto"/>
        </w:rPr>
        <w:t>In the event of a Participant’s Termination with the Employer prior to the Expiration Date for any reason other than</w:t>
      </w:r>
    </w:p>
    <w:p>
      <w:pPr>
        <w:spacing w:after="0" w:line="34" w:lineRule="exact"/>
        <w:rPr>
          <w:rFonts w:ascii="Arial" w:cs="Arial" w:eastAsia="Arial" w:hAnsi="Arial"/>
          <w:sz w:val="17"/>
          <w:szCs w:val="17"/>
          <w:color w:val="auto"/>
        </w:rPr>
      </w:pPr>
    </w:p>
    <w:p>
      <w:pPr>
        <w:jc w:val="both"/>
        <w:ind w:left="660" w:right="220" w:hanging="4"/>
        <w:spacing w:after="0" w:line="302" w:lineRule="auto"/>
        <w:tabs>
          <w:tab w:leader="none" w:pos="95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by the Employer for Cause or (B) by reason of the Participant’s death or Disability, (1) all vesting with respect to such Participant’s Options shall cease, (2) all of such Participant’s unvested Options shall expire as of the date of such Termination, and (3) all of such Participant’s vested Options shall remain exercisable until the earlier of the Expiration Date and the date that is ninety (90) days after the date of such Termination.</w:t>
      </w:r>
    </w:p>
    <w:p>
      <w:pPr>
        <w:spacing w:after="0" w:line="155" w:lineRule="exact"/>
        <w:rPr>
          <w:rFonts w:ascii="Arial" w:cs="Arial" w:eastAsia="Arial" w:hAnsi="Arial"/>
          <w:sz w:val="16"/>
          <w:szCs w:val="16"/>
          <w:color w:val="auto"/>
        </w:rPr>
      </w:pPr>
    </w:p>
    <w:p>
      <w:pPr>
        <w:ind w:left="660" w:right="580" w:firstLine="1292"/>
        <w:spacing w:after="0" w:line="263" w:lineRule="auto"/>
        <w:tabs>
          <w:tab w:leader="none" w:pos="2671" w:val="left"/>
        </w:tabs>
        <w:numPr>
          <w:ilvl w:val="2"/>
          <w:numId w:val="347"/>
        </w:numPr>
        <w:rPr>
          <w:rFonts w:ascii="Arial" w:cs="Arial" w:eastAsia="Arial" w:hAnsi="Arial"/>
          <w:sz w:val="18"/>
          <w:szCs w:val="18"/>
          <w:color w:val="auto"/>
        </w:rPr>
      </w:pPr>
      <w:r>
        <w:rPr>
          <w:rFonts w:ascii="Arial" w:cs="Arial" w:eastAsia="Arial" w:hAnsi="Arial"/>
          <w:sz w:val="18"/>
          <w:szCs w:val="18"/>
          <w:color w:val="auto"/>
        </w:rPr>
        <w:t>In the event of a Participant’s Termination with the Employer prior to the Expiration Date by reason of such Participant’s death or Disability, (A) all vesting with respect to such Participant’s Options shall cease, (B) all of such Participant’s unvested Options shall expire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as of the date of such Termination, and (C) all of such Participant’s vested Options shall remain exercisable until the earlier of the Expiration Date and the date that is twelve (12) months after the date of such Termination due to death or Disability of the Participant. In the event of a Participant’s death, such Participant’s Options shall remain exercisable by the person or persons to whom a Participant’s rights under the Options pass by will or the applicable laws of descent and distribution until its expiration, but only to the extent the Options were vested by such Participant at the time of such Termination due to death.</w:t>
      </w:r>
    </w:p>
    <w:p>
      <w:pPr>
        <w:spacing w:after="0" w:line="188" w:lineRule="exact"/>
        <w:rPr>
          <w:sz w:val="20"/>
          <w:szCs w:val="20"/>
          <w:color w:val="auto"/>
        </w:rPr>
      </w:pPr>
    </w:p>
    <w:p>
      <w:pPr>
        <w:ind w:left="660" w:right="80" w:firstLine="1292"/>
        <w:spacing w:after="0" w:line="277" w:lineRule="auto"/>
        <w:tabs>
          <w:tab w:leader="none" w:pos="2676" w:val="left"/>
        </w:tabs>
        <w:numPr>
          <w:ilvl w:val="2"/>
          <w:numId w:val="348"/>
        </w:numPr>
        <w:rPr>
          <w:rFonts w:ascii="Arial" w:cs="Arial" w:eastAsia="Arial" w:hAnsi="Arial"/>
          <w:sz w:val="18"/>
          <w:szCs w:val="18"/>
          <w:color w:val="auto"/>
        </w:rPr>
      </w:pPr>
      <w:r>
        <w:rPr>
          <w:rFonts w:ascii="Arial" w:cs="Arial" w:eastAsia="Arial" w:hAnsi="Arial"/>
          <w:sz w:val="18"/>
          <w:szCs w:val="18"/>
          <w:color w:val="auto"/>
        </w:rPr>
        <w:t>In the event of a Participant’s Termination with the Employer prior to the Expiration Date by the Employer for Cause, all of such Participant’s Options (whether or not vested) shall immediately expire as of the date of such Termination.</w:t>
      </w:r>
    </w:p>
    <w:p>
      <w:pPr>
        <w:spacing w:after="0" w:line="170" w:lineRule="exact"/>
        <w:rPr>
          <w:rFonts w:ascii="Arial" w:cs="Arial" w:eastAsia="Arial" w:hAnsi="Arial"/>
          <w:sz w:val="18"/>
          <w:szCs w:val="18"/>
          <w:color w:val="auto"/>
        </w:rPr>
      </w:pPr>
    </w:p>
    <w:p>
      <w:pPr>
        <w:ind w:right="40" w:firstLine="1304"/>
        <w:spacing w:after="0" w:line="257" w:lineRule="auto"/>
        <w:tabs>
          <w:tab w:leader="none" w:pos="2000" w:val="left"/>
        </w:tabs>
        <w:numPr>
          <w:ilvl w:val="1"/>
          <w:numId w:val="349"/>
        </w:numPr>
        <w:rPr>
          <w:rFonts w:ascii="Arial" w:cs="Arial" w:eastAsia="Arial" w:hAnsi="Arial"/>
          <w:sz w:val="18"/>
          <w:szCs w:val="18"/>
          <w:color w:val="auto"/>
        </w:rPr>
      </w:pPr>
      <w:r>
        <w:rPr>
          <w:rFonts w:ascii="Arial" w:cs="Arial" w:eastAsia="Arial" w:hAnsi="Arial"/>
          <w:sz w:val="18"/>
          <w:szCs w:val="18"/>
          <w:u w:val="single" w:color="auto"/>
          <w:color w:val="auto"/>
        </w:rPr>
        <w:t>Book Entry; Certificates</w:t>
      </w:r>
      <w:r>
        <w:rPr>
          <w:rFonts w:ascii="Arial" w:cs="Arial" w:eastAsia="Arial" w:hAnsi="Arial"/>
          <w:sz w:val="18"/>
          <w:szCs w:val="18"/>
          <w:color w:val="auto"/>
        </w:rPr>
        <w:t>. Unless otherwise determined by the Committee, in its sole discretion, Stock acquired upon the exercise of Options shall be held in book entry form, rather than delivered to the Participant, through the expiration of the Lock-Up Period. If certificates representing Stock are registered in the name of the Participant, the Committee may require that such certificates bear an appropriate legend referring to the terms, conditions, and restrictions applicable to such Stock, that the Company retain physical possession of the certificates, and that the Participant deliver a stock power to the Company, endorsed in blank, relating to the Stock.</w:t>
      </w:r>
    </w:p>
    <w:p>
      <w:pPr>
        <w:spacing w:after="0" w:line="187" w:lineRule="exact"/>
        <w:rPr>
          <w:rFonts w:ascii="Arial" w:cs="Arial" w:eastAsia="Arial" w:hAnsi="Arial"/>
          <w:sz w:val="18"/>
          <w:szCs w:val="18"/>
          <w:color w:val="auto"/>
        </w:rPr>
      </w:pPr>
    </w:p>
    <w:p>
      <w:pPr>
        <w:ind w:right="20" w:firstLine="1304"/>
        <w:spacing w:after="0" w:line="268" w:lineRule="auto"/>
        <w:tabs>
          <w:tab w:leader="none" w:pos="2006" w:val="left"/>
        </w:tabs>
        <w:numPr>
          <w:ilvl w:val="1"/>
          <w:numId w:val="349"/>
        </w:numPr>
        <w:rPr>
          <w:rFonts w:ascii="Arial" w:cs="Arial" w:eastAsia="Arial" w:hAnsi="Arial"/>
          <w:sz w:val="17"/>
          <w:szCs w:val="17"/>
          <w:color w:val="auto"/>
        </w:rPr>
      </w:pPr>
      <w:r>
        <w:rPr>
          <w:rFonts w:ascii="Arial" w:cs="Arial" w:eastAsia="Arial" w:hAnsi="Arial"/>
          <w:sz w:val="17"/>
          <w:szCs w:val="17"/>
          <w:u w:val="single" w:color="auto"/>
          <w:color w:val="auto"/>
        </w:rPr>
        <w:t>Incentive Stock Option Limitations</w:t>
      </w:r>
      <w:r>
        <w:rPr>
          <w:rFonts w:ascii="Arial" w:cs="Arial" w:eastAsia="Arial" w:hAnsi="Arial"/>
          <w:sz w:val="17"/>
          <w:szCs w:val="17"/>
          <w:color w:val="auto"/>
        </w:rPr>
        <w:t>. Each Option will be designated in the Option Agreement as either an Incentive Stock Option or a Nonstatutory Stock Option. Notwithstanding such designation, however, to the extent that the aggregate Fair Market Value (determined as of the time of grant) of the shares of Stock with respect to which Incentive Stock Options are exercisable for the first time by the Participant during any calendar year (under the Plan and/or any other stock option plan of the Company or any Parent or Subsidiary of the Company) exceeds one hundred thousand dollars ($100,000), such Options will be treated as Nonstatutory Stock Options. For purposes of this Section 5(i), Incentive Stock Options will be taken into account in the order in which they were granted, the Fair Market Value of the shares will be determined as of the time the Option with respect to such shares is granted, and calculation will be performed in accordance with Section 422 of the Code. In addition, if an Eligible Person does not remain employed by the Company or any Parent or Subsidiary of the Company at all times from the time an Incentive Stock Option is granted until three months prior to the date of exercise thereof (or such other period as required by applicable law), such Option shall be treated as a Nonstatutory Stock Option. Neither the Company nor the Committee shall have any liability to a Participant or any other party, (i) if an Option (or any part thereof) which is intended to qualify as an Incentive Stock Option fails to qualify as an Incentive Stock Option or (ii) for any action or omission by the Committee that causes an Option not to qualify as an Incentive Stock Option, including without limitation, the conversion of an Incentive Stock Option to a Nonstatutory Stock Option or the grant of an Option intended as an Incentive Stock Option that fails to satisfy the requirements under the Code applicable to an Incentive Stock Option.</w:t>
      </w:r>
    </w:p>
    <w:p>
      <w:pPr>
        <w:spacing w:after="0" w:line="180" w:lineRule="exact"/>
        <w:rPr>
          <w:rFonts w:ascii="Arial" w:cs="Arial" w:eastAsia="Arial" w:hAnsi="Arial"/>
          <w:sz w:val="17"/>
          <w:szCs w:val="17"/>
          <w:color w:val="auto"/>
        </w:rPr>
      </w:pPr>
    </w:p>
    <w:p>
      <w:pPr>
        <w:ind w:left="1340" w:hanging="576"/>
        <w:spacing w:after="0"/>
        <w:tabs>
          <w:tab w:leader="none" w:pos="1340" w:val="left"/>
        </w:tabs>
        <w:numPr>
          <w:ilvl w:val="0"/>
          <w:numId w:val="350"/>
        </w:numPr>
        <w:rPr>
          <w:rFonts w:ascii="Arial" w:cs="Arial" w:eastAsia="Arial" w:hAnsi="Arial"/>
          <w:sz w:val="18"/>
          <w:szCs w:val="18"/>
          <w:color w:val="auto"/>
        </w:rPr>
      </w:pPr>
      <w:r>
        <w:rPr>
          <w:rFonts w:ascii="Arial" w:cs="Arial" w:eastAsia="Arial" w:hAnsi="Arial"/>
          <w:sz w:val="18"/>
          <w:szCs w:val="18"/>
          <w:b w:val="1"/>
          <w:bCs w:val="1"/>
          <w:color w:val="auto"/>
        </w:rPr>
        <w:t>RESTRICTED STOCK.</w:t>
      </w:r>
    </w:p>
    <w:p>
      <w:pPr>
        <w:sectPr>
          <w:pgSz w:w="11900" w:h="16838" w:orient="portrait"/>
          <w:cols w:equalWidth="0" w:num="1">
            <w:col w:w="11240"/>
          </w:cols>
          <w:pgMar w:left="320" w:top="341" w:right="339" w:bottom="137" w:gutter="0" w:footer="0" w:header="0"/>
        </w:sectPr>
      </w:pPr>
    </w:p>
    <w:bookmarkStart w:id="433" w:name="page434"/>
    <w:bookmarkEnd w:id="433"/>
    <w:p>
      <w:pPr>
        <w:ind w:left="-100" w:firstLine="1304"/>
        <w:spacing w:after="0" w:line="273" w:lineRule="auto"/>
        <w:tabs>
          <w:tab w:leader="none" w:pos="1890"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Restricted Stock may be granted to Eligible Persons hereunder and shall be in such form and having such terms and conditions as the Committee shall deem appropriate, subject to the conditions set forth in Appendix A hereto. The terms and conditions of each Restricted Stock grant shall be evidenced by a Restricted Stock Agreement, which agreements need not be identical. Subject to the restrictions set forth in Section 6(b), and except as otherwise set forth in the applicable Restricted Stock Agreement, the Participant shall generally have the rights and privileges of a stockholder as to such Restricted Stock, including the right to vote such Restricted Stock. Unless otherwise set forth in a Participant’s Restricted Stock Agreement, cash dividends and stock dividends, if any, with respect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15327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420" w:top="125" w:right="439" w:bottom="1440" w:gutter="0" w:footer="0" w:header="0"/>
        </w:sectPr>
      </w:pPr>
    </w:p>
    <w:bookmarkStart w:id="434" w:name="page435"/>
    <w:bookmarkEnd w:id="434"/>
    <w:p>
      <w:pPr>
        <w:spacing w:after="0" w:line="263" w:lineRule="auto"/>
        <w:rPr>
          <w:sz w:val="20"/>
          <w:szCs w:val="20"/>
          <w:color w:val="auto"/>
        </w:rPr>
      </w:pPr>
      <w:r>
        <w:rPr>
          <w:rFonts w:ascii="Arial" w:cs="Arial" w:eastAsia="Arial" w:hAnsi="Arial"/>
          <w:sz w:val="18"/>
          <w:szCs w:val="18"/>
          <w:color w:val="auto"/>
        </w:rPr>
        <w:t>the Restricted Stock shall be withheld by the Company for the Participant’s account, and shall be subject to forfeiture to the same degree as the shares of Restricted Stock to which such dividends relate. Except as otherwise determined by the Committee, no interest will accrue or be paid on the amount of any cash dividends withheld.</w:t>
      </w:r>
    </w:p>
    <w:p>
      <w:pPr>
        <w:spacing w:after="0" w:line="184" w:lineRule="exact"/>
        <w:rPr>
          <w:sz w:val="20"/>
          <w:szCs w:val="20"/>
          <w:color w:val="auto"/>
        </w:rPr>
      </w:pPr>
    </w:p>
    <w:p>
      <w:pPr>
        <w:ind w:right="60" w:firstLine="1304"/>
        <w:spacing w:after="0" w:line="291" w:lineRule="auto"/>
        <w:tabs>
          <w:tab w:leader="none" w:pos="2000" w:val="left"/>
        </w:tabs>
        <w:numPr>
          <w:ilvl w:val="1"/>
          <w:numId w:val="352"/>
        </w:numPr>
        <w:rPr>
          <w:rFonts w:ascii="Arial" w:cs="Arial" w:eastAsia="Arial" w:hAnsi="Arial"/>
          <w:sz w:val="16"/>
          <w:szCs w:val="16"/>
          <w:color w:val="auto"/>
        </w:rPr>
      </w:pPr>
      <w:r>
        <w:rPr>
          <w:rFonts w:ascii="Arial" w:cs="Arial" w:eastAsia="Arial" w:hAnsi="Arial"/>
          <w:sz w:val="16"/>
          <w:szCs w:val="16"/>
          <w:u w:val="single" w:color="auto"/>
          <w:color w:val="auto"/>
        </w:rPr>
        <w:t>Vesting and Restrictions on Transfer</w:t>
      </w:r>
      <w:r>
        <w:rPr>
          <w:rFonts w:ascii="Arial" w:cs="Arial" w:eastAsia="Arial" w:hAnsi="Arial"/>
          <w:sz w:val="16"/>
          <w:szCs w:val="16"/>
          <w:color w:val="auto"/>
        </w:rPr>
        <w:t>. Restricted Stock shall vest in such manner, on such date or dates, or upon the achievement of performance or other conditions, in each case as may be determined by the Committee and set forth in a Restricted Stock Agreement; provided, however, that notwithstanding any such vesting dates, the Committee may in its sole discretion accelerate the vesting of Restricted Stock at any time and for any reason. Unless otherwise specifically determined by the Committee, the vesting of Restricted Stock shall occur only while the Participant is employed by or rendering services to the Employer, and all vesting shall cease upon a Participant’s Termination for any reason. In addition to any other restrictions set forth in a Participant’s Restricted Stock Agreement, until such time that the Restricted Stock has vested pursuant to the terms of the Restricted Stock Agreement, the Participant shall not be permitted to Transfer the Restricted Stock unless such Transfer is approved by the Committee.</w:t>
      </w:r>
    </w:p>
    <w:p>
      <w:pPr>
        <w:spacing w:after="0" w:line="166" w:lineRule="exact"/>
        <w:rPr>
          <w:rFonts w:ascii="Arial" w:cs="Arial" w:eastAsia="Arial" w:hAnsi="Arial"/>
          <w:sz w:val="16"/>
          <w:szCs w:val="16"/>
          <w:color w:val="auto"/>
        </w:rPr>
      </w:pPr>
    </w:p>
    <w:p>
      <w:pPr>
        <w:ind w:right="300" w:firstLine="1304"/>
        <w:spacing w:after="0" w:line="273" w:lineRule="auto"/>
        <w:tabs>
          <w:tab w:leader="none" w:pos="1990" w:val="left"/>
        </w:tabs>
        <w:numPr>
          <w:ilvl w:val="1"/>
          <w:numId w:val="352"/>
        </w:numPr>
        <w:rPr>
          <w:rFonts w:ascii="Arial" w:cs="Arial" w:eastAsia="Arial" w:hAnsi="Arial"/>
          <w:sz w:val="17"/>
          <w:szCs w:val="17"/>
          <w:color w:val="auto"/>
        </w:rPr>
      </w:pPr>
      <w:r>
        <w:rPr>
          <w:rFonts w:ascii="Arial" w:cs="Arial" w:eastAsia="Arial" w:hAnsi="Arial"/>
          <w:sz w:val="17"/>
          <w:szCs w:val="17"/>
          <w:u w:val="single" w:color="auto"/>
          <w:color w:val="auto"/>
        </w:rPr>
        <w:t>Book Entry; Certificates</w:t>
      </w:r>
      <w:r>
        <w:rPr>
          <w:rFonts w:ascii="Arial" w:cs="Arial" w:eastAsia="Arial" w:hAnsi="Arial"/>
          <w:sz w:val="17"/>
          <w:szCs w:val="17"/>
          <w:color w:val="auto"/>
        </w:rPr>
        <w:t>. Restricted Stock granted under the Plan may be evidenced in such manner as the Committee shall determine. Unless otherwise determined by the Committee, in its sole discretion, the Restricted Stock shall be held in book entry form, rather than delivered to the Participant, through the expiration of the Lock-Up Period.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77" w:lineRule="exact"/>
        <w:rPr>
          <w:rFonts w:ascii="Arial" w:cs="Arial" w:eastAsia="Arial" w:hAnsi="Arial"/>
          <w:sz w:val="17"/>
          <w:szCs w:val="17"/>
          <w:color w:val="auto"/>
        </w:rPr>
      </w:pPr>
    </w:p>
    <w:p>
      <w:pPr>
        <w:ind w:right="100" w:firstLine="1304"/>
        <w:spacing w:after="0" w:line="273" w:lineRule="auto"/>
        <w:tabs>
          <w:tab w:leader="none" w:pos="2000" w:val="left"/>
        </w:tabs>
        <w:numPr>
          <w:ilvl w:val="1"/>
          <w:numId w:val="35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Except as may otherwise be provided by the Committee in the Restricted Stock Agreement, in the event of a Participant’s Termination with the Employer for any reason prior to the time that such Participant’s Restricted Stock has vested, (i) all vesting with respect to such Participant’s Restricted Stock shall cease, and (ii) as soon as practicable following such Termination, the Company shall repurchase from the Participant, and the Participant shall sell, all of such Participant’s unvested shares of Restricted Stock at a purchase price equal to the original purchase price paid for the Restricted Stock, or if the original purchase price is equal to $0, such unvested shares of Restricted Stock shall be forfeited by the Participant to the Company for no consideration as of the date of such Termination.</w:t>
      </w:r>
    </w:p>
    <w:p>
      <w:pPr>
        <w:spacing w:after="0" w:line="173" w:lineRule="exact"/>
        <w:rPr>
          <w:rFonts w:ascii="Arial" w:cs="Arial" w:eastAsia="Arial" w:hAnsi="Arial"/>
          <w:sz w:val="17"/>
          <w:szCs w:val="17"/>
          <w:color w:val="auto"/>
        </w:rPr>
      </w:pPr>
    </w:p>
    <w:p>
      <w:pPr>
        <w:ind w:left="1340" w:hanging="576"/>
        <w:spacing w:after="0"/>
        <w:tabs>
          <w:tab w:leader="none" w:pos="1340"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RESTRICTED STOCK UNITS.</w:t>
      </w:r>
    </w:p>
    <w:p>
      <w:pPr>
        <w:spacing w:after="0" w:line="229" w:lineRule="exact"/>
        <w:rPr>
          <w:rFonts w:ascii="Arial" w:cs="Arial" w:eastAsia="Arial" w:hAnsi="Arial"/>
          <w:sz w:val="18"/>
          <w:szCs w:val="18"/>
          <w:color w:val="auto"/>
        </w:rPr>
      </w:pPr>
    </w:p>
    <w:p>
      <w:pPr>
        <w:ind w:right="60" w:firstLine="1304"/>
        <w:spacing w:after="0" w:line="286" w:lineRule="auto"/>
        <w:tabs>
          <w:tab w:leader="none" w:pos="1990" w:val="left"/>
        </w:tabs>
        <w:numPr>
          <w:ilvl w:val="1"/>
          <w:numId w:val="35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Restricted Stock Units may be granted to Eligible Persons hereunder and shall be in such form and having such terms and conditions as the Committee shall deem appropriate, subject to the conditions set forth in Appendix A hereto. The terms and conditions of each Restricted Stock Unit grant shall be evidenced by a Restricted Stock Unit Agreement, which agreements need not be identical.</w:t>
      </w:r>
    </w:p>
    <w:p>
      <w:pPr>
        <w:spacing w:after="0" w:line="165" w:lineRule="exact"/>
        <w:rPr>
          <w:rFonts w:ascii="Arial" w:cs="Arial" w:eastAsia="Arial" w:hAnsi="Arial"/>
          <w:sz w:val="17"/>
          <w:szCs w:val="17"/>
          <w:color w:val="auto"/>
        </w:rPr>
      </w:pPr>
    </w:p>
    <w:p>
      <w:pPr>
        <w:ind w:right="100" w:firstLine="1304"/>
        <w:spacing w:after="0" w:line="259" w:lineRule="auto"/>
        <w:tabs>
          <w:tab w:leader="none" w:pos="2000" w:val="left"/>
        </w:tabs>
        <w:numPr>
          <w:ilvl w:val="1"/>
          <w:numId w:val="353"/>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Committee will set vesting criteria in its discretion, which, depending on the extent to which the criteria are met, will determine the number of Restricted Stock Units that will be paid out to the Participant. The Committee may set vesting criteria based upon the achievement of Company-wide, business unit, or individual goals (including, but not limited to, continued employment or service), or any other basis determined by the Committee in its discretion.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5" w:name="page436"/>
    <w:bookmarkEnd w:id="435"/>
    <w:p>
      <w:pPr>
        <w:jc w:val="both"/>
        <w:ind w:firstLine="1304"/>
        <w:spacing w:after="0" w:line="263" w:lineRule="auto"/>
        <w:tabs>
          <w:tab w:leader="none" w:pos="1990" w:val="left"/>
        </w:tabs>
        <w:numPr>
          <w:ilvl w:val="1"/>
          <w:numId w:val="354"/>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Committee. Notwithstanding the foregoing, at any time after the grant of Restricted Stock Units, the Committee, in its sole discretion, may reduce or waive any vesting criteria that must be met to receive a payout.</w:t>
      </w:r>
    </w:p>
    <w:p>
      <w:pPr>
        <w:spacing w:after="0" w:line="183" w:lineRule="exact"/>
        <w:rPr>
          <w:rFonts w:ascii="Arial" w:cs="Arial" w:eastAsia="Arial" w:hAnsi="Arial"/>
          <w:sz w:val="18"/>
          <w:szCs w:val="18"/>
          <w:color w:val="auto"/>
        </w:rPr>
      </w:pPr>
    </w:p>
    <w:p>
      <w:pPr>
        <w:ind w:right="180" w:firstLine="1304"/>
        <w:spacing w:after="0" w:line="263" w:lineRule="auto"/>
        <w:tabs>
          <w:tab w:leader="none" w:pos="2000" w:val="left"/>
        </w:tabs>
        <w:numPr>
          <w:ilvl w:val="1"/>
          <w:numId w:val="354"/>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Committee and set forth in the Restricted Stock Unit Agreement. The Committee, in its sole discretion, may settle earned Restricted Stock Units in cash, Shares, or a combination of both.</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1"/>
          <w:numId w:val="354"/>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Restricted Stock Unit Agreement, all unearned Restricted Stock Units will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forfeited to the Company.</w:t>
      </w:r>
    </w:p>
    <w:p>
      <w:pPr>
        <w:spacing w:after="0" w:line="206" w:lineRule="exact"/>
        <w:rPr>
          <w:rFonts w:ascii="Arial" w:cs="Arial" w:eastAsia="Arial" w:hAnsi="Arial"/>
          <w:sz w:val="17"/>
          <w:szCs w:val="17"/>
          <w:color w:val="auto"/>
        </w:rPr>
      </w:pPr>
    </w:p>
    <w:p>
      <w:pPr>
        <w:ind w:left="1340" w:hanging="576"/>
        <w:spacing w:after="0"/>
        <w:tabs>
          <w:tab w:leader="none" w:pos="1340"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OTHER STOCK-BASED AWARDS.</w:t>
      </w:r>
    </w:p>
    <w:p>
      <w:pPr>
        <w:spacing w:after="0" w:line="229" w:lineRule="exact"/>
        <w:rPr>
          <w:sz w:val="20"/>
          <w:szCs w:val="20"/>
          <w:color w:val="auto"/>
        </w:rPr>
      </w:pPr>
    </w:p>
    <w:p>
      <w:pPr>
        <w:ind w:right="120" w:firstLine="630"/>
        <w:spacing w:after="0" w:line="293" w:lineRule="auto"/>
        <w:rPr>
          <w:sz w:val="20"/>
          <w:szCs w:val="20"/>
          <w:color w:val="auto"/>
        </w:rPr>
      </w:pPr>
      <w:r>
        <w:rPr>
          <w:rFonts w:ascii="Arial" w:cs="Arial" w:eastAsia="Arial" w:hAnsi="Arial"/>
          <w:sz w:val="16"/>
          <w:szCs w:val="16"/>
          <w:color w:val="auto"/>
        </w:rPr>
        <w:t>The Committee is authorized, subject to limitations under applicable law, to grant to Participants such other Awards that may be denominated or payable in, valued in whole or in part by reference to, or otherwise based upon, or related to, Stock, as deemed by the Committee to be consistent with the purposes of the Plan. The Committee may also grant Stock as a bonus, or may grant other awards in lieu of obligations of the Company or other member of the Company Group to pay cash or deliver other property under this Plan or under other plans or compensatory arrangements, subject to such terms as shall be determined by the Committee. The terms and conditions applicable to such Awards shall be determined by the Committee and evidenced by Award agreements, which agreements need not be identical, subject to the conditions set forth in Appendix A hereto.</w:t>
      </w:r>
    </w:p>
    <w:p>
      <w:pPr>
        <w:spacing w:after="0" w:line="160" w:lineRule="exact"/>
        <w:rPr>
          <w:sz w:val="20"/>
          <w:szCs w:val="20"/>
          <w:color w:val="auto"/>
        </w:rPr>
      </w:pPr>
    </w:p>
    <w:p>
      <w:pPr>
        <w:ind w:left="1340" w:hanging="576"/>
        <w:spacing w:after="0"/>
        <w:tabs>
          <w:tab w:leader="none" w:pos="1340" w:val="left"/>
        </w:tabs>
        <w:numPr>
          <w:ilvl w:val="0"/>
          <w:numId w:val="356"/>
        </w:numPr>
        <w:rPr>
          <w:rFonts w:ascii="Arial" w:cs="Arial" w:eastAsia="Arial" w:hAnsi="Arial"/>
          <w:sz w:val="18"/>
          <w:szCs w:val="18"/>
          <w:color w:val="auto"/>
        </w:rPr>
      </w:pPr>
      <w:r>
        <w:rPr>
          <w:rFonts w:ascii="Arial" w:cs="Arial" w:eastAsia="Arial" w:hAnsi="Arial"/>
          <w:sz w:val="18"/>
          <w:szCs w:val="18"/>
          <w:b w:val="1"/>
          <w:bCs w:val="1"/>
          <w:color w:val="auto"/>
        </w:rPr>
        <w:t>COMPLIANCE WITH CODE SECTION 409A.</w:t>
      </w:r>
    </w:p>
    <w:p>
      <w:pPr>
        <w:spacing w:after="0" w:line="229" w:lineRule="exact"/>
        <w:rPr>
          <w:sz w:val="20"/>
          <w:szCs w:val="20"/>
          <w:color w:val="auto"/>
        </w:rPr>
      </w:pPr>
    </w:p>
    <w:p>
      <w:pPr>
        <w:ind w:right="240" w:firstLine="630"/>
        <w:spacing w:after="0" w:line="254" w:lineRule="auto"/>
        <w:rPr>
          <w:sz w:val="20"/>
          <w:szCs w:val="20"/>
          <w:color w:val="auto"/>
        </w:rPr>
      </w:pPr>
      <w:r>
        <w:rPr>
          <w:rFonts w:ascii="Arial" w:cs="Arial" w:eastAsia="Arial" w:hAnsi="Arial"/>
          <w:sz w:val="18"/>
          <w:szCs w:val="18"/>
          <w:color w:val="auto"/>
        </w:rPr>
        <w:t>Awards will be designed and operated in such a manner that they are either exempt from the application of, or comply with, the requirements of Code Section 409A, except as otherwise determined in the sole discretion of the Committee. The Plan and each Option Agreement, Restricted Stock Agreement, and Restricted Stock Unit Agreement under the Plan are intended to meet the requirements of Code Section 409A and will be construed and interpreted in accordance with such intent, except as otherwise determined in the sole discretion of the Committee.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91" w:lineRule="exact"/>
        <w:rPr>
          <w:sz w:val="20"/>
          <w:szCs w:val="20"/>
          <w:color w:val="auto"/>
        </w:rPr>
      </w:pPr>
    </w:p>
    <w:p>
      <w:pPr>
        <w:ind w:left="1340" w:hanging="576"/>
        <w:spacing w:after="0"/>
        <w:tabs>
          <w:tab w:leader="none" w:pos="1340"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RESTRICTIONS ON STOCK; PROXY.</w:t>
      </w:r>
    </w:p>
    <w:p>
      <w:pPr>
        <w:spacing w:after="0" w:line="229" w:lineRule="exact"/>
        <w:rPr>
          <w:rFonts w:ascii="Arial" w:cs="Arial" w:eastAsia="Arial" w:hAnsi="Arial"/>
          <w:sz w:val="18"/>
          <w:szCs w:val="18"/>
          <w:color w:val="auto"/>
        </w:rPr>
      </w:pPr>
    </w:p>
    <w:p>
      <w:pPr>
        <w:ind w:right="20" w:firstLine="1304"/>
        <w:spacing w:after="0" w:line="271" w:lineRule="auto"/>
        <w:tabs>
          <w:tab w:leader="none" w:pos="1990" w:val="left"/>
        </w:tabs>
        <w:numPr>
          <w:ilvl w:val="1"/>
          <w:numId w:val="357"/>
        </w:numPr>
        <w:rPr>
          <w:rFonts w:ascii="Arial" w:cs="Arial" w:eastAsia="Arial" w:hAnsi="Arial"/>
          <w:sz w:val="17"/>
          <w:szCs w:val="17"/>
          <w:color w:val="auto"/>
        </w:rPr>
      </w:pPr>
      <w:r>
        <w:rPr>
          <w:rFonts w:ascii="Arial" w:cs="Arial" w:eastAsia="Arial" w:hAnsi="Arial"/>
          <w:sz w:val="17"/>
          <w:szCs w:val="17"/>
          <w:u w:val="single" w:color="auto"/>
          <w:color w:val="auto"/>
        </w:rPr>
        <w:t>Prohibition on Transfers</w:t>
      </w:r>
      <w:r>
        <w:rPr>
          <w:rFonts w:ascii="Arial" w:cs="Arial" w:eastAsia="Arial" w:hAnsi="Arial"/>
          <w:sz w:val="17"/>
          <w:szCs w:val="17"/>
          <w:color w:val="auto"/>
        </w:rPr>
        <w:t>. Except (i) as otherwise approved by the Committee or provided in an Award agreement or Participant Agreement, (ii) pursuant to subsections (b) and (c) of this Section 10, or (iii) pursuant to Section 11 below, shares of Stock acquired by a Participant pursuant to the vesting and/or exercise of any Award granted hereunder may not be Transferred or otherwise disposed of until the first to occur of (x) the expiration of a one hundred eighty (180)-day period (or such other period as may be requested by the Company or the managing underwriter to accommodate regulatory restrictions on (A) the publication or other distribution of research reports and (B) analyst recommendations and opinions, including, but not limited to, the restrictions contained in FINRA Rule 2241, or any successor provisions or amendments thereto) following the IPO Date (the “</w:t>
      </w:r>
      <w:r>
        <w:rPr>
          <w:rFonts w:ascii="Arial" w:cs="Arial" w:eastAsia="Arial" w:hAnsi="Arial"/>
          <w:sz w:val="17"/>
          <w:szCs w:val="17"/>
          <w:u w:val="single" w:color="auto"/>
          <w:color w:val="auto"/>
        </w:rPr>
        <w:t>Lock-Up Period</w:t>
      </w:r>
      <w:r>
        <w:rPr>
          <w:rFonts w:ascii="Arial" w:cs="Arial" w:eastAsia="Arial" w:hAnsi="Arial"/>
          <w:sz w:val="17"/>
          <w:szCs w:val="17"/>
          <w:color w:val="auto"/>
        </w:rPr>
        <w:t>”) or (y) the occurrence of a Change in Control. If requested by the underwriters managing any public offering, each Participant shall execute a separate agreement to the foregoing effect. The Company may impose stop-transfer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6" w:name="page437"/>
    <w:bookmarkEnd w:id="436"/>
    <w:p>
      <w:pPr>
        <w:spacing w:after="0"/>
        <w:rPr>
          <w:sz w:val="20"/>
          <w:szCs w:val="20"/>
          <w:color w:val="auto"/>
        </w:rPr>
      </w:pPr>
      <w:r>
        <w:rPr>
          <w:rFonts w:ascii="Arial" w:cs="Arial" w:eastAsia="Arial" w:hAnsi="Arial"/>
          <w:sz w:val="18"/>
          <w:szCs w:val="18"/>
          <w:color w:val="auto"/>
        </w:rPr>
        <w:t>instructions with respect to the Stock (or securities) subject to the foregoing restriction until the end of such Lock-Up Period.</w:t>
      </w:r>
    </w:p>
    <w:p>
      <w:pPr>
        <w:spacing w:after="0" w:line="225" w:lineRule="exact"/>
        <w:rPr>
          <w:sz w:val="20"/>
          <w:szCs w:val="20"/>
          <w:color w:val="auto"/>
        </w:rPr>
      </w:pPr>
    </w:p>
    <w:p>
      <w:pPr>
        <w:ind w:left="2000" w:hanging="696"/>
        <w:spacing w:after="0"/>
        <w:tabs>
          <w:tab w:leader="none" w:pos="200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Drag-Along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2"/>
        <w:spacing w:after="0" w:line="287" w:lineRule="auto"/>
        <w:tabs>
          <w:tab w:leader="none" w:pos="2654" w:val="left"/>
        </w:tabs>
        <w:numPr>
          <w:ilvl w:val="1"/>
          <w:numId w:val="358"/>
        </w:numPr>
        <w:rPr>
          <w:rFonts w:ascii="Arial" w:cs="Arial" w:eastAsia="Arial" w:hAnsi="Arial"/>
          <w:sz w:val="16"/>
          <w:szCs w:val="16"/>
          <w:color w:val="auto"/>
        </w:rPr>
      </w:pPr>
      <w:r>
        <w:rPr>
          <w:rFonts w:ascii="Arial" w:cs="Arial" w:eastAsia="Arial" w:hAnsi="Arial"/>
          <w:sz w:val="16"/>
          <w:szCs w:val="16"/>
          <w:color w:val="auto"/>
        </w:rPr>
        <w:t>If at any time and from time to time following the six (6) month anniversary of the Effective Date, the Investors and their Affiliates together with any other stockholders that would result in an aggregate ownership of greater than fifty percent (50%) of the Company’s voting power (the “</w:t>
      </w:r>
      <w:r>
        <w:rPr>
          <w:rFonts w:ascii="Arial" w:cs="Arial" w:eastAsia="Arial" w:hAnsi="Arial"/>
          <w:sz w:val="16"/>
          <w:szCs w:val="16"/>
          <w:u w:val="single" w:color="auto"/>
          <w:color w:val="auto"/>
        </w:rPr>
        <w:t>Majority Holders</w:t>
      </w:r>
      <w:r>
        <w:rPr>
          <w:rFonts w:ascii="Arial" w:cs="Arial" w:eastAsia="Arial" w:hAnsi="Arial"/>
          <w:sz w:val="16"/>
          <w:szCs w:val="16"/>
          <w:color w:val="auto"/>
        </w:rPr>
        <w:t>”) desire to (i) Transfer in a bona fide arms’ length sale all of their Company Securities and shares of Stock to any Person or Persons who are not Affiliates of the Company or the Majority Holders, (ii) approve any merger of the Company with or into any other Person who is not an Affiliate of the Company or the Majority Holders, including any transaction that would constitute a Deemed Liquidation Event, or (iii) approve any sale of all or substantially all of the Company’s assets to any Person or Persons who are not Affiliates of the Company or the Majority Holders, including any transaction that would constitute a Deemed Liquidation Event (such Person or Persons is referred to as the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 the Majority Holders shall have the right (the “</w:t>
      </w:r>
      <w:r>
        <w:rPr>
          <w:rFonts w:ascii="Arial" w:cs="Arial" w:eastAsia="Arial" w:hAnsi="Arial"/>
          <w:sz w:val="16"/>
          <w:szCs w:val="16"/>
          <w:u w:val="single" w:color="auto"/>
          <w:color w:val="auto"/>
        </w:rPr>
        <w:t>Drag-Along Right</w:t>
      </w:r>
      <w:r>
        <w:rPr>
          <w:rFonts w:ascii="Arial" w:cs="Arial" w:eastAsia="Arial" w:hAnsi="Arial"/>
          <w:sz w:val="16"/>
          <w:szCs w:val="16"/>
          <w:color w:val="auto"/>
        </w:rPr>
        <w:t>”), but not the obligation, to require each Participant (x) in the case of a Transfer of the type referred to in clause (i), to sell to the Proposed Transferee all of such Participant’s shares of Stock received in connection with an Award granted hereunder (the “</w:t>
      </w:r>
      <w:r>
        <w:rPr>
          <w:rFonts w:ascii="Arial" w:cs="Arial" w:eastAsia="Arial" w:hAnsi="Arial"/>
          <w:sz w:val="16"/>
          <w:szCs w:val="16"/>
          <w:u w:val="single" w:color="auto"/>
          <w:color w:val="auto"/>
        </w:rPr>
        <w:t>Subject Shares</w:t>
      </w:r>
      <w:r>
        <w:rPr>
          <w:rFonts w:ascii="Arial" w:cs="Arial" w:eastAsia="Arial" w:hAnsi="Arial"/>
          <w:sz w:val="16"/>
          <w:szCs w:val="16"/>
          <w:color w:val="auto"/>
        </w:rPr>
        <w:t>”) for the Per Share Drag-Along Purchase Price, or (y) in the case of a merger or sale of assets or other Deemed Liquidation Event referred to in clauses (ii) or (iii), to vote (or act by written consent with respect to) all of such Participant’s Subject Shares in favor of such transaction and to waive any dissenters’ rights, appraisal rights or similar rights such Participant may have under applicable law.</w:t>
      </w:r>
    </w:p>
    <w:p>
      <w:pPr>
        <w:spacing w:after="0" w:line="167" w:lineRule="exact"/>
        <w:rPr>
          <w:rFonts w:ascii="Arial" w:cs="Arial" w:eastAsia="Arial" w:hAnsi="Arial"/>
          <w:sz w:val="16"/>
          <w:szCs w:val="16"/>
          <w:color w:val="auto"/>
        </w:rPr>
      </w:pPr>
    </w:p>
    <w:p>
      <w:pPr>
        <w:ind w:right="60" w:firstLine="1952"/>
        <w:spacing w:after="0" w:line="254" w:lineRule="auto"/>
        <w:tabs>
          <w:tab w:leader="none" w:pos="2659"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To exercise a Drag-Along Right, the Majority Holders shall give each Participant a written notice (a “</w:t>
      </w:r>
      <w:r>
        <w:rPr>
          <w:rFonts w:ascii="Arial" w:cs="Arial" w:eastAsia="Arial" w:hAnsi="Arial"/>
          <w:sz w:val="18"/>
          <w:szCs w:val="18"/>
          <w:u w:val="single" w:color="auto"/>
          <w:color w:val="auto"/>
        </w:rPr>
        <w:t>Drag-Along</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containing the proposed Per Share Drag-Along Purchase Price, terms of payment and other material terms and conditions of the Proposed Transferee’s offer. Each Participant shall thereafter be obligated to sell or vote (or act by written consent with respect to) all Subject Shares (including any Share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sale to the Proposed Transferee is consummated within one hundred eighty (180) days of delivery of the Drag-Along Notice. If the sale, merger or other transaction contemplated by this Section 10(b) is not consummated within such 180-day period, then each Participant shall no longer be obligated to sell such Subject Shares pursuant to that specific Drag-Along Right but shall remain subject to the provisions of this Section 10(b).</w:t>
      </w:r>
    </w:p>
    <w:p>
      <w:pPr>
        <w:spacing w:after="0" w:line="194" w:lineRule="exact"/>
        <w:rPr>
          <w:rFonts w:ascii="Arial" w:cs="Arial" w:eastAsia="Arial" w:hAnsi="Arial"/>
          <w:sz w:val="18"/>
          <w:szCs w:val="18"/>
          <w:color w:val="auto"/>
        </w:rPr>
      </w:pPr>
    </w:p>
    <w:p>
      <w:pPr>
        <w:ind w:right="40" w:firstLine="1952"/>
        <w:spacing w:after="0" w:line="273" w:lineRule="auto"/>
        <w:tabs>
          <w:tab w:leader="none" w:pos="2664" w:val="left"/>
        </w:tabs>
        <w:numPr>
          <w:ilvl w:val="1"/>
          <w:numId w:val="358"/>
        </w:numPr>
        <w:rPr>
          <w:rFonts w:ascii="Arial" w:cs="Arial" w:eastAsia="Arial" w:hAnsi="Arial"/>
          <w:sz w:val="17"/>
          <w:szCs w:val="17"/>
          <w:color w:val="auto"/>
        </w:rPr>
      </w:pPr>
      <w:r>
        <w:rPr>
          <w:rFonts w:ascii="Arial" w:cs="Arial" w:eastAsia="Arial" w:hAnsi="Arial"/>
          <w:sz w:val="17"/>
          <w:szCs w:val="17"/>
          <w:color w:val="auto"/>
        </w:rPr>
        <w:t>Each Participant shall execute and deliver such instruments of conveyance and transfer and take such other action, including executing any purchase agreement, merger agreement, indemnity agreement, escrow agreement or related documents, as may be reasonably required by the Majority Holders or the Company in order to carry out the terms and provisions of this Section 10(b). Each Participant acknowledges the rights of the Investors to act on behalf of such Participant pursuant to Section 10(b). At the closing of the proposed transaction, each such Participant shall deliver, against receipt of the consideration payable in such transaction, certificates representing the Subject Shares, together with executed stock powers or other instruments of transfer acceptable to the Majority Holders.</w:t>
      </w:r>
    </w:p>
    <w:p>
      <w:pPr>
        <w:spacing w:after="0" w:line="177" w:lineRule="exact"/>
        <w:rPr>
          <w:rFonts w:ascii="Arial" w:cs="Arial" w:eastAsia="Arial" w:hAnsi="Arial"/>
          <w:sz w:val="17"/>
          <w:szCs w:val="17"/>
          <w:color w:val="auto"/>
        </w:rPr>
      </w:pPr>
    </w:p>
    <w:p>
      <w:pPr>
        <w:ind w:right="80" w:firstLine="1952"/>
        <w:spacing w:after="0" w:line="257" w:lineRule="auto"/>
        <w:tabs>
          <w:tab w:leader="none" w:pos="2653" w:val="left"/>
        </w:tabs>
        <w:numPr>
          <w:ilvl w:val="1"/>
          <w:numId w:val="358"/>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10(b), in the event that all or a portion of the Per Share Drag-Along Purchase Price consists of securities and the sale of such securities to a Participant would require either a registration under the Securities Act or the preparation of a disclosure document pursuant to Regulation D under the Securities Act (or any successor regulation) or a similar provision of any state securities law, then, at the option of the Majority Holders, any one or more of the Participants may receive, in lieu of such securities, the fair market value of some or all of such securities in cash, as determined in good faith by the Majority 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7" w:name="page438"/>
    <w:bookmarkEnd w:id="437"/>
    <w:p>
      <w:pPr>
        <w:ind w:left="2660" w:hanging="708"/>
        <w:spacing w:after="0"/>
        <w:tabs>
          <w:tab w:leader="none" w:pos="26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rights provided in this Section 10(b) shall expire upon the IPO Date.</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Notwithstanding the foregoing, a Participant will not be required to comply with this Section 10(b) in connection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proposed transaction unless:</w:t>
      </w:r>
    </w:p>
    <w:p>
      <w:pPr>
        <w:spacing w:after="0" w:line="210" w:lineRule="exact"/>
        <w:rPr>
          <w:rFonts w:ascii="Arial" w:cs="Arial" w:eastAsia="Arial" w:hAnsi="Arial"/>
          <w:sz w:val="16"/>
          <w:szCs w:val="16"/>
          <w:color w:val="auto"/>
        </w:rPr>
      </w:pPr>
    </w:p>
    <w:p>
      <w:pPr>
        <w:ind w:firstLine="2600"/>
        <w:spacing w:after="0" w:line="290" w:lineRule="auto"/>
        <w:tabs>
          <w:tab w:leader="none" w:pos="3296" w:val="left"/>
        </w:tabs>
        <w:numPr>
          <w:ilvl w:val="1"/>
          <w:numId w:val="359"/>
        </w:numPr>
        <w:rPr>
          <w:rFonts w:ascii="Arial" w:cs="Arial" w:eastAsia="Arial" w:hAnsi="Arial"/>
          <w:sz w:val="16"/>
          <w:szCs w:val="16"/>
          <w:color w:val="auto"/>
        </w:rPr>
      </w:pPr>
      <w:r>
        <w:rPr>
          <w:rFonts w:ascii="Arial" w:cs="Arial" w:eastAsia="Arial" w:hAnsi="Arial"/>
          <w:sz w:val="16"/>
          <w:szCs w:val="16"/>
          <w:color w:val="auto"/>
        </w:rPr>
        <w:t>any representations and warranties to be made by such Participant in connection with the proposed transaction are limited to representations and warranties related to authority, ownership and the ability to convey title to such Subject Shares, including but not limited to representations and warranties that (i) the Participant holds all right, title and interest in and to the Subject Shares such Participant purports to hold, free and clear of any liens, claims and encumbrances, (ii) the obligations of the Participant in connection with the transaction have been duly authorized, if applicable, (iii) the documents to be entered into by the Participant in connection with such proposed transaction have been duly executed by the Participant and delivered to the acquirer and are enforceable against the Participant in accordance with their respective terms and (iv) neither the execution and delivery of documents to be entered into in connection with the transaction, nor the performance of the Participant’s obligations thereunder, will cause a breach or violation of the terms of any agreement, law or judgment, order or decree of any court or governmental agency;</w:t>
      </w:r>
    </w:p>
    <w:p>
      <w:pPr>
        <w:spacing w:after="0" w:line="165" w:lineRule="exact"/>
        <w:rPr>
          <w:rFonts w:ascii="Arial" w:cs="Arial" w:eastAsia="Arial" w:hAnsi="Arial"/>
          <w:sz w:val="16"/>
          <w:szCs w:val="16"/>
          <w:color w:val="auto"/>
        </w:rPr>
      </w:pPr>
    </w:p>
    <w:p>
      <w:pPr>
        <w:ind w:right="20" w:firstLine="2600"/>
        <w:spacing w:after="0" w:line="290" w:lineRule="auto"/>
        <w:tabs>
          <w:tab w:leader="none" w:pos="3296"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 liability for indemnification, if any, of such Participant in the proposed transaction and for the inaccuracy of any representations and warranties made is pro rata in proportion to the amount of consideration paid to such Participant in connection with such proposed transaction, taking into account that all proceeds from a proposed transaction, regardless of when paid, shall be distributed in accordance with Section 10(b)(i). For purposes of clarification: (i) amounts paid to an indemnified party from an escrow account that were reserved from the proceeds of a proposed transaction shall be deducted from such escrow account and the remaining proceeds in such escrow account shall be paid in accordance with Section 10(b)(i); and (ii) amounts paid to an indemnified party in excess of amounts that were reserved in an escrow account or amounts paid in cases where there was no such escrow account shall be paid from proceeds, if any, received by the Participants in accordance with Section 10(b)(i) on a pro rata basis, based on the amount of proceeds so received by each such Participant pursuant to Section 10(b)(i);</w:t>
      </w:r>
    </w:p>
    <w:p>
      <w:pPr>
        <w:spacing w:after="0" w:line="165" w:lineRule="exact"/>
        <w:rPr>
          <w:rFonts w:ascii="Arial" w:cs="Arial" w:eastAsia="Arial" w:hAnsi="Arial"/>
          <w:sz w:val="16"/>
          <w:szCs w:val="16"/>
          <w:color w:val="auto"/>
        </w:rPr>
      </w:pPr>
    </w:p>
    <w:p>
      <w:pPr>
        <w:ind w:right="60" w:firstLine="2600"/>
        <w:spacing w:after="0" w:line="254" w:lineRule="auto"/>
        <w:tabs>
          <w:tab w:leader="none" w:pos="3296" w:val="left"/>
        </w:tabs>
        <w:numPr>
          <w:ilvl w:val="1"/>
          <w:numId w:val="359"/>
        </w:numPr>
        <w:rPr>
          <w:rFonts w:ascii="Arial" w:cs="Arial" w:eastAsia="Arial" w:hAnsi="Arial"/>
          <w:sz w:val="18"/>
          <w:szCs w:val="18"/>
          <w:color w:val="auto"/>
        </w:rPr>
      </w:pPr>
      <w:r>
        <w:rPr>
          <w:rFonts w:ascii="Arial" w:cs="Arial" w:eastAsia="Arial" w:hAnsi="Arial"/>
          <w:sz w:val="18"/>
          <w:szCs w:val="18"/>
          <w:color w:val="auto"/>
        </w:rPr>
        <w:t>liability shall be limited to such Participant’s applicable share (determined based on the respective proceeds payable to each Participant in connection with such proposed transaction in accordance with Section 10(b)(i)) of a negotiated aggregate indemnification amount that in no event exceeds the amount of consideration otherwise payable to such Participant in connection with such proposed transaction, except with respect to claims related to (i) fraud by such Participant and (ii) any breach of representations regarding (a) such Participant’s authority to sell, (b) the shares of Stock to be Transferred by such Participant being free and clear of any liens, claims or encumbrances, (c) such Participant being the sole record and beneficial owner of such shares of Stock and (d) such Participant having obtained or made any necessary consents, approvals, permits, filings and notifications from governmental authorities or third parties to consummate such transaction, the liability for which need not be limited as to such Participant; and</w:t>
      </w:r>
    </w:p>
    <w:p>
      <w:pPr>
        <w:spacing w:after="0" w:line="191" w:lineRule="exact"/>
        <w:rPr>
          <w:rFonts w:ascii="Arial" w:cs="Arial" w:eastAsia="Arial" w:hAnsi="Arial"/>
          <w:sz w:val="18"/>
          <w:szCs w:val="18"/>
          <w:color w:val="auto"/>
        </w:rPr>
      </w:pPr>
    </w:p>
    <w:p>
      <w:pPr>
        <w:ind w:left="3300" w:hanging="700"/>
        <w:spacing w:after="0"/>
        <w:tabs>
          <w:tab w:leader="none" w:pos="330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 consideration payable to such Participant in the proposed transaction is cash or freely-tradable securities.</w:t>
      </w:r>
    </w:p>
    <w:p>
      <w:pPr>
        <w:spacing w:after="0" w:line="248" w:lineRule="exact"/>
        <w:rPr>
          <w:sz w:val="20"/>
          <w:szCs w:val="20"/>
          <w:color w:val="auto"/>
        </w:rPr>
      </w:pPr>
    </w:p>
    <w:p>
      <w:pPr>
        <w:ind w:right="160" w:firstLine="1304"/>
        <w:spacing w:after="0" w:line="259" w:lineRule="auto"/>
        <w:tabs>
          <w:tab w:leader="none" w:pos="199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Permitted Transfers</w:t>
      </w:r>
      <w:r>
        <w:rPr>
          <w:rFonts w:ascii="Arial" w:cs="Arial" w:eastAsia="Arial" w:hAnsi="Arial"/>
          <w:sz w:val="18"/>
          <w:szCs w:val="18"/>
          <w:color w:val="auto"/>
        </w:rPr>
        <w:t xml:space="preserve">. Stock acquired upon vesting and/or exercise of an Award may be Transferred in connection with a Permitted Transfer;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it shall be a condition of each such Permitted Transfer that (x) the Transferee agrees to be bound by the terms of the Plan and the applicable Award agreement as though no such Transfer had taken place, and that (y) the Participant has complied with all applicable law in connection with such Transfer. The Participant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38" w:name="page439"/>
    <w:bookmarkEnd w:id="438"/>
    <w:p>
      <w:pPr>
        <w:spacing w:after="0"/>
        <w:rPr>
          <w:sz w:val="20"/>
          <w:szCs w:val="20"/>
          <w:color w:val="auto"/>
        </w:rPr>
      </w:pPr>
      <w:r>
        <w:rPr>
          <w:rFonts w:ascii="Arial" w:cs="Arial" w:eastAsia="Arial" w:hAnsi="Arial"/>
          <w:sz w:val="18"/>
          <w:szCs w:val="18"/>
          <w:color w:val="auto"/>
        </w:rPr>
        <w:t>the Transferee shall execute any documents reasonably required by the Committee to effectuate such Permitted Transfer.</w:t>
      </w:r>
    </w:p>
    <w:p>
      <w:pPr>
        <w:spacing w:after="0" w:line="225" w:lineRule="exact"/>
        <w:rPr>
          <w:sz w:val="20"/>
          <w:szCs w:val="20"/>
          <w:color w:val="auto"/>
        </w:rPr>
      </w:pPr>
    </w:p>
    <w:p>
      <w:pPr>
        <w:ind w:right="20" w:firstLine="1304"/>
        <w:spacing w:after="0" w:line="269" w:lineRule="auto"/>
        <w:tabs>
          <w:tab w:leader="none" w:pos="2000" w:val="left"/>
        </w:tabs>
        <w:numPr>
          <w:ilvl w:val="1"/>
          <w:numId w:val="361"/>
        </w:numPr>
        <w:rPr>
          <w:rFonts w:ascii="Arial" w:cs="Arial" w:eastAsia="Arial" w:hAnsi="Arial"/>
          <w:sz w:val="17"/>
          <w:szCs w:val="17"/>
          <w:color w:val="auto"/>
        </w:rPr>
      </w:pPr>
      <w:r>
        <w:rPr>
          <w:rFonts w:ascii="Arial" w:cs="Arial" w:eastAsia="Arial" w:hAnsi="Arial"/>
          <w:sz w:val="17"/>
          <w:szCs w:val="17"/>
          <w:u w:val="single" w:color="auto"/>
          <w:color w:val="auto"/>
        </w:rPr>
        <w:t>Grant of Irrevocable Proxy</w:t>
      </w:r>
      <w:r>
        <w:rPr>
          <w:rFonts w:ascii="Arial" w:cs="Arial" w:eastAsia="Arial" w:hAnsi="Arial"/>
          <w:sz w:val="17"/>
          <w:szCs w:val="17"/>
          <w:color w:val="auto"/>
        </w:rPr>
        <w:t>. Except as otherwise provided in an Award agreement or Participant Agreement, as a condition of the grant of any Award under the Plan, each Participant shall grant to the Investors, acting jointly, the Participant’s irrevocable proxy, and appoint the Investors, or any designee or nominee of the Investors, as the Participant’s attorney-in-fact (with full power of substitution and resubstitution), for and in its name, place, and stead, to (i) vote or act by written consent with respect to the shares of Stock (whether or not vested) now or hereafter owned by the Participant (or any Transferee), including the right to sign such Participant’s name, as a stockholder, to any consent, certificate, or other document relating to the Company that applicable law may require, in connection with any and all matters (other than any amendment to the Plan that would require stockholder approval), including, without limitation, the election of directors, and (ii) take any and all action necessary to sell or otherwise Transfer any Subject Shares as contemplated by this Section 10. Such proxy shall be coupled with an interest, and the Participant will take such further action or execute such other instruments as may be necessary to effectuate the intent of this proxy. The proxy described in this subsection (d) shall terminate upon the earlier to occur of the IPO Date or the date of a Change in Control.</w:t>
      </w:r>
    </w:p>
    <w:p>
      <w:pPr>
        <w:spacing w:after="0" w:line="185" w:lineRule="exact"/>
        <w:rPr>
          <w:rFonts w:ascii="Arial" w:cs="Arial" w:eastAsia="Arial" w:hAnsi="Arial"/>
          <w:sz w:val="17"/>
          <w:szCs w:val="17"/>
          <w:color w:val="auto"/>
        </w:rPr>
      </w:pPr>
    </w:p>
    <w:p>
      <w:pPr>
        <w:ind w:firstLine="1304"/>
        <w:spacing w:after="0" w:line="259" w:lineRule="auto"/>
        <w:tabs>
          <w:tab w:leader="none" w:pos="1990" w:val="left"/>
        </w:tabs>
        <w:numPr>
          <w:ilvl w:val="1"/>
          <w:numId w:val="361"/>
        </w:numPr>
        <w:rPr>
          <w:rFonts w:ascii="Arial" w:cs="Arial" w:eastAsia="Arial" w:hAnsi="Arial"/>
          <w:sz w:val="18"/>
          <w:szCs w:val="18"/>
          <w:color w:val="auto"/>
        </w:rPr>
      </w:pPr>
      <w:r>
        <w:rPr>
          <w:rFonts w:ascii="Arial" w:cs="Arial" w:eastAsia="Arial" w:hAnsi="Arial"/>
          <w:sz w:val="18"/>
          <w:szCs w:val="18"/>
          <w:u w:val="single" w:color="auto"/>
          <w:color w:val="auto"/>
        </w:rPr>
        <w:t>Stockholders’ or Similar Agreement</w:t>
      </w:r>
      <w:r>
        <w:rPr>
          <w:rFonts w:ascii="Arial" w:cs="Arial" w:eastAsia="Arial" w:hAnsi="Arial"/>
          <w:sz w:val="18"/>
          <w:szCs w:val="18"/>
          <w:color w:val="auto"/>
        </w:rPr>
        <w:t>. In the event that a Participant is a party to any stockholders’ or similar agreement with the Company and/or the Investors containing similar provisions to those set forth in this Section 10, the provisions of this Section 10 shall continue to apply to such Participant and any shares of Stock acquired pursuant to any Award hereunder, and shall be in addition to, and not in lieu of, the terms and conditions of such stockholders’ or similar agreement.</w:t>
      </w:r>
    </w:p>
    <w:p>
      <w:pPr>
        <w:spacing w:after="0" w:line="182" w:lineRule="exact"/>
        <w:rPr>
          <w:rFonts w:ascii="Arial" w:cs="Arial" w:eastAsia="Arial" w:hAnsi="Arial"/>
          <w:sz w:val="18"/>
          <w:szCs w:val="18"/>
          <w:color w:val="auto"/>
        </w:rPr>
      </w:pPr>
    </w:p>
    <w:p>
      <w:pPr>
        <w:ind w:left="1340" w:hanging="576"/>
        <w:spacing w:after="0"/>
        <w:tabs>
          <w:tab w:leader="none" w:pos="134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REPURCHASE RIGHTS UPON TERMINATION.</w:t>
      </w:r>
    </w:p>
    <w:p>
      <w:pPr>
        <w:spacing w:after="0" w:line="229" w:lineRule="exact"/>
        <w:rPr>
          <w:rFonts w:ascii="Arial" w:cs="Arial" w:eastAsia="Arial" w:hAnsi="Arial"/>
          <w:sz w:val="18"/>
          <w:szCs w:val="18"/>
          <w:color w:val="auto"/>
        </w:rPr>
      </w:pPr>
    </w:p>
    <w:p>
      <w:pPr>
        <w:ind w:right="20" w:firstLine="1304"/>
        <w:spacing w:after="0" w:line="254" w:lineRule="auto"/>
        <w:tabs>
          <w:tab w:leader="none" w:pos="199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Except as otherwise provided in an Award agreement or Participant Agreement, if, prior to the Repurchase Right Lapse Date, a Repurchase Event occurs, then at any time during the Repurchase Right Exercise Period, in addition to any repurchase right or obligation of the Company with respect to unvested shares of Restricted Stock as provided in Section 6 above, the Company shall have the right to repurchase the shares of Stock received pursuant to Awards granted hereunder at a per-share price equal to the Repurchase Price (the “</w:t>
      </w:r>
      <w:r>
        <w:rPr>
          <w:rFonts w:ascii="Arial" w:cs="Arial" w:eastAsia="Arial" w:hAnsi="Arial"/>
          <w:sz w:val="18"/>
          <w:szCs w:val="18"/>
          <w:u w:val="single" w:color="auto"/>
          <w:color w:val="auto"/>
        </w:rPr>
        <w:t>Repurchase Right</w:t>
      </w:r>
      <w:r>
        <w:rPr>
          <w:rFonts w:ascii="Arial" w:cs="Arial" w:eastAsia="Arial" w:hAnsi="Arial"/>
          <w:sz w:val="18"/>
          <w:szCs w:val="18"/>
          <w:color w:val="auto"/>
        </w:rPr>
        <w:t>”). The Repurchase Right shall be exercisable upon written notice to a Participant indicating the number of shares of Stock to be repurchased and the date on which the repurchase is to be effected, such date to be not more than thirty (30) days after the date of such notice. To the extent not otherwise held in book entry form by the Company, the certificates representing the shares of Stock to be repurchased shall be delivered to the Company prior to the close of business on the date specified for the repurchase.</w:t>
      </w:r>
    </w:p>
    <w:p>
      <w:pPr>
        <w:spacing w:after="0" w:line="191" w:lineRule="exact"/>
        <w:rPr>
          <w:rFonts w:ascii="Arial" w:cs="Arial" w:eastAsia="Arial" w:hAnsi="Arial"/>
          <w:sz w:val="18"/>
          <w:szCs w:val="18"/>
          <w:color w:val="auto"/>
        </w:rPr>
      </w:pPr>
    </w:p>
    <w:p>
      <w:pPr>
        <w:ind w:right="380" w:firstLine="1304"/>
        <w:spacing w:after="0" w:line="342" w:lineRule="auto"/>
        <w:tabs>
          <w:tab w:leader="none" w:pos="200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If the Company exercises the Repurchase Right following a Participant’s Termination other than (A) by the Employer for a Trigger Event or (B) by a Participant’s voluntary resignation, the aggregate Repurchase Price shall be paid in a lump sum at the time of repurchase.</w:t>
      </w:r>
    </w:p>
    <w:p>
      <w:pPr>
        <w:spacing w:after="0" w:line="123" w:lineRule="exact"/>
        <w:rPr>
          <w:rFonts w:ascii="Arial" w:cs="Arial" w:eastAsia="Arial" w:hAnsi="Arial"/>
          <w:sz w:val="16"/>
          <w:szCs w:val="16"/>
          <w:color w:val="auto"/>
        </w:rPr>
      </w:pPr>
    </w:p>
    <w:p>
      <w:pPr>
        <w:ind w:right="120" w:firstLine="1304"/>
        <w:spacing w:after="0" w:line="275" w:lineRule="auto"/>
        <w:tabs>
          <w:tab w:leader="none" w:pos="199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If the Company exercises the Repurchase Right following a Participant’s Termination (A) by the Employer for a Trigger Event or (B) by such Participant’s voluntary resignation, the Company shall be permitted to issue a promissory note equal to the aggregate Repurchase Price in lieu of a cash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promissory note shall have a maturity date that does not exceed three (3) years from the date of such repurchase, shall bear simple interest of not less than the Prime Rate in effect on the date of such repurchase, and shall be payable as to interest in equal monthly installments during the term of the note and as to principal on the maturity 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9" w:name="page440"/>
    <w:bookmarkEnd w:id="439"/>
    <w:p>
      <w:pPr>
        <w:ind w:left="-40" w:right="160" w:firstLine="1304"/>
        <w:spacing w:after="0" w:line="293" w:lineRule="auto"/>
        <w:tabs>
          <w:tab w:leader="none" w:pos="196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Except as otherwise provided in an Award agreement or Participant Agreement, notwithstanding anything contained in this Section 11(d) to the contrary, in the event that any repurchase described herein would result in a default under any applicable financing documents of the Company or any other member of the Company Group, or would otherwise be prohibited by applicable law (as applicable, a “</w:t>
      </w:r>
      <w:r>
        <w:rPr>
          <w:rFonts w:ascii="Arial" w:cs="Arial" w:eastAsia="Arial" w:hAnsi="Arial"/>
          <w:sz w:val="16"/>
          <w:szCs w:val="16"/>
          <w:u w:val="single" w:color="auto"/>
          <w:color w:val="auto"/>
        </w:rPr>
        <w:t>Prohibition Event</w:t>
      </w:r>
      <w:r>
        <w:rPr>
          <w:rFonts w:ascii="Arial" w:cs="Arial" w:eastAsia="Arial" w:hAnsi="Arial"/>
          <w:sz w:val="16"/>
          <w:szCs w:val="16"/>
          <w:color w:val="auto"/>
        </w:rPr>
        <w:t>”), commencement of the applicable Repurchase Right Exercise Period shall be delayed until the Prohibition Event ceases to exist, but in no event shall such delay extend for more than eighteen (18) months. Except as otherwise provided in an Award agreement or Participant Agreement, without limiting the foregoing, at any time prior to the Repurchase Right Lapse Date, the Company shall be permitted to assign the Repurchase Right to the Investors.</w:t>
      </w:r>
    </w:p>
    <w:p>
      <w:pPr>
        <w:spacing w:after="0" w:line="164" w:lineRule="exact"/>
        <w:rPr>
          <w:rFonts w:ascii="Arial" w:cs="Arial" w:eastAsia="Arial" w:hAnsi="Arial"/>
          <w:sz w:val="16"/>
          <w:szCs w:val="16"/>
          <w:color w:val="auto"/>
        </w:rPr>
      </w:pPr>
    </w:p>
    <w:p>
      <w:pPr>
        <w:ind w:left="-40" w:right="260" w:firstLine="1304"/>
        <w:spacing w:after="0" w:line="259" w:lineRule="auto"/>
        <w:tabs>
          <w:tab w:leader="none" w:pos="195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In connection with any purchase of shares of Stock pursuant to this Section 11, the Company will be entitled to receive customary representations and warranties from the Participant regarding the purchase of such shares of Stock as may be reasonably requested by the Company, including but not limited to the representation that the Participant has good and marketable title to such shares of Stock to be Transferred free and clear of all liens, claims, and other encumbrances.</w:t>
      </w:r>
    </w:p>
    <w:p>
      <w:pPr>
        <w:spacing w:after="0" w:line="182" w:lineRule="exact"/>
        <w:rPr>
          <w:rFonts w:ascii="Arial" w:cs="Arial" w:eastAsia="Arial" w:hAnsi="Arial"/>
          <w:sz w:val="18"/>
          <w:szCs w:val="18"/>
          <w:color w:val="auto"/>
        </w:rPr>
      </w:pPr>
    </w:p>
    <w:p>
      <w:pPr>
        <w:ind w:left="1300" w:hanging="576"/>
        <w:spacing w:after="0"/>
        <w:tabs>
          <w:tab w:leader="none" w:pos="130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ADJUSTMENT FOR RECAPITALIZATION, MERGER, ETC.</w:t>
      </w:r>
    </w:p>
    <w:p>
      <w:pPr>
        <w:spacing w:after="0" w:line="229" w:lineRule="exact"/>
        <w:rPr>
          <w:rFonts w:ascii="Arial" w:cs="Arial" w:eastAsia="Arial" w:hAnsi="Arial"/>
          <w:sz w:val="18"/>
          <w:szCs w:val="18"/>
          <w:color w:val="auto"/>
        </w:rPr>
      </w:pPr>
    </w:p>
    <w:p>
      <w:pPr>
        <w:ind w:left="-40" w:firstLine="1304"/>
        <w:spacing w:after="0" w:line="290" w:lineRule="auto"/>
        <w:tabs>
          <w:tab w:leader="none" w:pos="1950"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Capitalization Adjustments</w:t>
      </w:r>
      <w:r>
        <w:rPr>
          <w:rFonts w:ascii="Arial" w:cs="Arial" w:eastAsia="Arial" w:hAnsi="Arial"/>
          <w:sz w:val="16"/>
          <w:szCs w:val="16"/>
          <w:color w:val="auto"/>
        </w:rPr>
        <w:t>. The aggregate number of shares of Stock that may be granted or purchased pursuant to Awards (as set forth in Section 4 above), the number of shares of Stock covered by each outstanding Award, and/or the price per share thereof in each such Award shall be equitably and proportionally adjusted or substituted, as determined by the Committee, as to the number, price, or kind of a share of Stock or other consideration subject to such Awards (i) in the event of changes in the outstanding Stock or in the capital structure of the Company by reason of stock dividends, extraordinary cash dividends, stock splits, reverse stock splits, recapitalizations, reorganizations, mergers, consolidations, combinations, exchanges, or other relevant changes in capitalization occurring after the date of grant of any such Award (including any Corporate Event (as defined below)), or (ii) in the event of any change in applicable laws or circumstances that results in or could result in, in either case as determined by the Committee in its sole discretion, any substantial dilution or enlargement of the rights intended to be granted to, or available for, Participants in the Plan.</w:t>
      </w:r>
    </w:p>
    <w:p>
      <w:pPr>
        <w:spacing w:after="0" w:line="165" w:lineRule="exact"/>
        <w:rPr>
          <w:rFonts w:ascii="Arial" w:cs="Arial" w:eastAsia="Arial" w:hAnsi="Arial"/>
          <w:sz w:val="16"/>
          <w:szCs w:val="16"/>
          <w:color w:val="auto"/>
        </w:rPr>
      </w:pPr>
    </w:p>
    <w:p>
      <w:pPr>
        <w:ind w:left="-40" w:right="80" w:firstLine="1304"/>
        <w:spacing w:after="0" w:line="257" w:lineRule="auto"/>
        <w:tabs>
          <w:tab w:leader="none" w:pos="1960" w:val="left"/>
        </w:tabs>
        <w:numPr>
          <w:ilvl w:val="1"/>
          <w:numId w:val="364"/>
        </w:numPr>
        <w:rPr>
          <w:rFonts w:ascii="Arial" w:cs="Arial" w:eastAsia="Arial" w:hAnsi="Arial"/>
          <w:sz w:val="18"/>
          <w:szCs w:val="18"/>
          <w:color w:val="auto"/>
        </w:rPr>
      </w:pPr>
      <w:r>
        <w:rPr>
          <w:rFonts w:ascii="Arial" w:cs="Arial" w:eastAsia="Arial" w:hAnsi="Arial"/>
          <w:sz w:val="18"/>
          <w:szCs w:val="18"/>
          <w:u w:val="single" w:color="auto"/>
          <w:color w:val="auto"/>
        </w:rPr>
        <w:t>Corporate Events</w:t>
      </w:r>
      <w:r>
        <w:rPr>
          <w:rFonts w:ascii="Arial" w:cs="Arial" w:eastAsia="Arial" w:hAnsi="Arial"/>
          <w:sz w:val="18"/>
          <w:szCs w:val="18"/>
          <w:color w:val="auto"/>
        </w:rPr>
        <w:t>. Notwithstanding the foregoing, except as may otherwise be provided in an Award agreement, in connection with (i) a merger or consolidation involving the Company in which the Company is not the surviving corporation, (ii) a merger or consolidation involving the Company in which the Company is the surviving corporation but the holders of shares of Stock receive securities of another corporation and/or other property, including cash, (iii) a Change in Control, or (iv) the reorganization or liquidation of the Company (each, a “</w:t>
      </w:r>
      <w:r>
        <w:rPr>
          <w:rFonts w:ascii="Arial" w:cs="Arial" w:eastAsia="Arial" w:hAnsi="Arial"/>
          <w:sz w:val="18"/>
          <w:szCs w:val="18"/>
          <w:u w:val="single" w:color="auto"/>
          <w:color w:val="auto"/>
        </w:rPr>
        <w:t>Corporate Event</w:t>
      </w:r>
      <w:r>
        <w:rPr>
          <w:rFonts w:ascii="Arial" w:cs="Arial" w:eastAsia="Arial" w:hAnsi="Arial"/>
          <w:sz w:val="18"/>
          <w:szCs w:val="18"/>
          <w:color w:val="auto"/>
        </w:rPr>
        <w:t>”), the Committee may, in its discretion, provide for any one or more of the following:</w:t>
      </w:r>
    </w:p>
    <w:p>
      <w:pPr>
        <w:spacing w:after="0" w:line="187" w:lineRule="exact"/>
        <w:rPr>
          <w:rFonts w:ascii="Arial" w:cs="Arial" w:eastAsia="Arial" w:hAnsi="Arial"/>
          <w:sz w:val="18"/>
          <w:szCs w:val="18"/>
          <w:color w:val="auto"/>
        </w:rPr>
      </w:pPr>
    </w:p>
    <w:p>
      <w:pPr>
        <w:jc w:val="both"/>
        <w:ind w:left="620" w:right="460" w:firstLine="1292"/>
        <w:spacing w:after="0" w:line="311" w:lineRule="auto"/>
        <w:tabs>
          <w:tab w:leader="none" w:pos="2626" w:val="left"/>
        </w:tabs>
        <w:numPr>
          <w:ilvl w:val="2"/>
          <w:numId w:val="364"/>
        </w:numPr>
        <w:rPr>
          <w:rFonts w:ascii="Arial" w:cs="Arial" w:eastAsia="Arial" w:hAnsi="Arial"/>
          <w:sz w:val="16"/>
          <w:szCs w:val="16"/>
          <w:color w:val="auto"/>
        </w:rPr>
      </w:pPr>
      <w:r>
        <w:rPr>
          <w:rFonts w:ascii="Arial" w:cs="Arial" w:eastAsia="Arial" w:hAnsi="Arial"/>
          <w:sz w:val="16"/>
          <w:szCs w:val="16"/>
          <w:color w:val="auto"/>
        </w:rPr>
        <w:t>The assumption or substitution of any or all Awards in connection with such Corporate Event, in which case, the Awards shall be subject to the adjustment set forth in subsection (a) above, and to the extent such Awards vest subject to the achievement of performance objectives or criteria, such objectives or criteria shall be adjusted appropriately to reflect the Corporate Event;</w:t>
      </w:r>
    </w:p>
    <w:p>
      <w:pPr>
        <w:spacing w:after="0" w:line="148" w:lineRule="exact"/>
        <w:rPr>
          <w:rFonts w:ascii="Arial" w:cs="Arial" w:eastAsia="Arial" w:hAnsi="Arial"/>
          <w:sz w:val="16"/>
          <w:szCs w:val="16"/>
          <w:color w:val="auto"/>
        </w:rPr>
      </w:pPr>
    </w:p>
    <w:p>
      <w:pPr>
        <w:ind w:left="2620" w:hanging="708"/>
        <w:spacing w:after="0"/>
        <w:tabs>
          <w:tab w:leader="none" w:pos="2620" w:val="left"/>
        </w:tabs>
        <w:numPr>
          <w:ilvl w:val="2"/>
          <w:numId w:val="364"/>
        </w:numPr>
        <w:rPr>
          <w:rFonts w:ascii="Arial" w:cs="Arial" w:eastAsia="Arial" w:hAnsi="Arial"/>
          <w:sz w:val="18"/>
          <w:szCs w:val="18"/>
          <w:color w:val="auto"/>
        </w:rPr>
      </w:pPr>
      <w:r>
        <w:rPr>
          <w:rFonts w:ascii="Arial" w:cs="Arial" w:eastAsia="Arial" w:hAnsi="Arial"/>
          <w:sz w:val="18"/>
          <w:szCs w:val="18"/>
          <w:color w:val="auto"/>
        </w:rPr>
        <w:t>The acceleration of vesting of any Awards, subject to the consummation of such Corporate Event;</w:t>
      </w:r>
    </w:p>
    <w:p>
      <w:pPr>
        <w:spacing w:after="0" w:line="225" w:lineRule="exact"/>
        <w:rPr>
          <w:rFonts w:ascii="Arial" w:cs="Arial" w:eastAsia="Arial" w:hAnsi="Arial"/>
          <w:sz w:val="18"/>
          <w:szCs w:val="18"/>
          <w:color w:val="auto"/>
        </w:rPr>
      </w:pPr>
    </w:p>
    <w:p>
      <w:pPr>
        <w:ind w:left="620" w:right="120" w:firstLine="1292"/>
        <w:spacing w:after="0" w:line="342" w:lineRule="auto"/>
        <w:tabs>
          <w:tab w:leader="none" w:pos="2636" w:val="left"/>
        </w:tabs>
        <w:numPr>
          <w:ilvl w:val="2"/>
          <w:numId w:val="364"/>
        </w:numPr>
        <w:rPr>
          <w:rFonts w:ascii="Arial" w:cs="Arial" w:eastAsia="Arial" w:hAnsi="Arial"/>
          <w:sz w:val="16"/>
          <w:szCs w:val="16"/>
          <w:color w:val="auto"/>
        </w:rPr>
      </w:pPr>
      <w:r>
        <w:rPr>
          <w:rFonts w:ascii="Arial" w:cs="Arial" w:eastAsia="Arial" w:hAnsi="Arial"/>
          <w:sz w:val="16"/>
          <w:szCs w:val="16"/>
          <w:color w:val="auto"/>
        </w:rPr>
        <w:t>The cancellation of any or all Awards (whether vested or unvested) as of the consummation of such Corporate Event, together with payment to Participants holding vested Awards (including any Awards that would vest upon the Corporate Event but for such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15327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60" w:top="341" w:right="359" w:bottom="1440" w:gutter="0" w:footer="0" w:header="0"/>
        </w:sectPr>
      </w:pPr>
    </w:p>
    <w:bookmarkStart w:id="440" w:name="page441"/>
    <w:bookmarkEnd w:id="440"/>
    <w:p>
      <w:pPr>
        <w:ind w:left="660"/>
        <w:spacing w:after="0" w:line="255" w:lineRule="auto"/>
        <w:rPr>
          <w:sz w:val="20"/>
          <w:szCs w:val="20"/>
          <w:color w:val="auto"/>
        </w:rPr>
      </w:pPr>
      <w:r>
        <w:rPr>
          <w:rFonts w:ascii="Arial" w:cs="Arial" w:eastAsia="Arial" w:hAnsi="Arial"/>
          <w:sz w:val="18"/>
          <w:szCs w:val="18"/>
          <w:color w:val="auto"/>
        </w:rPr>
        <w:t xml:space="preserve">cancellation) so canceled of an amount in respect of cancellation of their Awards based on the amount of the per-share consideration being paid for the Stock in connection with such Corporate Event, less, in the case of Options and other Awards subject to exercise, the applicable exercise or base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holders of Options and other Awards subject to exercise shall be entitled to consideration in respect of cancellation of such Awards only if the per-share consideration less the applicable exercise price or base price is greater than zero (and to the extent that the per-share consideration is less than or equal to the applicable exercise price, such Awards shall be cancelled for no consideration); and</w:t>
      </w:r>
    </w:p>
    <w:p>
      <w:pPr>
        <w:spacing w:after="0" w:line="192" w:lineRule="exact"/>
        <w:rPr>
          <w:sz w:val="20"/>
          <w:szCs w:val="20"/>
          <w:color w:val="auto"/>
        </w:rPr>
      </w:pPr>
    </w:p>
    <w:p>
      <w:pPr>
        <w:ind w:left="660" w:right="80" w:firstLine="1292"/>
        <w:spacing w:after="0" w:line="259" w:lineRule="auto"/>
        <w:tabs>
          <w:tab w:leader="none" w:pos="266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replacement of any or all Awards (other than Awards that are “stock rights” within the meaning of Section 409A of the Code) with a cash incentive program that preserves the value of the Awards so replaced (determined as of the consummation of the Corporate Event), with subsequent payment of cash incentives subject to the same vesting conditions as applicable to the Awards so replaced, and payment to be made within thirty (30) days of the applicable vesting date.</w:t>
      </w:r>
    </w:p>
    <w:p>
      <w:pPr>
        <w:spacing w:after="0" w:line="18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Payments to holders pursuant to clause (iii)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Stock covered by the Award at such time (less any applicable exercise or base price). In addition, in connection with any Corporate Event, prior to any payment or adjustment contemplated under this subsection (b), the Committee may require a Participant to (A) represent and warrant as to the unencumbered title to his Awards,</w:t>
      </w:r>
    </w:p>
    <w:p>
      <w:pPr>
        <w:spacing w:after="0" w:line="2" w:lineRule="exact"/>
        <w:rPr>
          <w:sz w:val="20"/>
          <w:szCs w:val="20"/>
          <w:color w:val="auto"/>
        </w:rPr>
      </w:pPr>
    </w:p>
    <w:p>
      <w:pPr>
        <w:ind w:right="280" w:firstLine="8"/>
        <w:spacing w:after="0" w:line="255" w:lineRule="auto"/>
        <w:tabs>
          <w:tab w:leader="none" w:pos="28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bear such Participant’s pro-rata share of any post-closing indemnity obligations, and be subject to the same post-closing purchase price adjustments, escrow terms, offset rights, holdback terms, and similar conditions as the other holders of Stock, and (C) deliver customary transfer documentation as reasonably determined by the Committee.</w:t>
      </w:r>
    </w:p>
    <w:p>
      <w:pPr>
        <w:spacing w:after="0" w:line="189" w:lineRule="exact"/>
        <w:rPr>
          <w:rFonts w:ascii="Arial" w:cs="Arial" w:eastAsia="Arial" w:hAnsi="Arial"/>
          <w:sz w:val="18"/>
          <w:szCs w:val="18"/>
          <w:color w:val="auto"/>
        </w:rPr>
      </w:pPr>
    </w:p>
    <w:p>
      <w:pPr>
        <w:ind w:right="740" w:firstLine="1304"/>
        <w:spacing w:after="0" w:line="277" w:lineRule="auto"/>
        <w:tabs>
          <w:tab w:leader="none" w:pos="199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Any adjustment provided under this Section 12 may, in the Committee’s discretion, provide for the elimination of any fractional share that might otherwise become subject to an Award.</w:t>
      </w:r>
    </w:p>
    <w:p>
      <w:pPr>
        <w:spacing w:after="0" w:line="166" w:lineRule="exact"/>
        <w:rPr>
          <w:sz w:val="20"/>
          <w:szCs w:val="20"/>
          <w:color w:val="auto"/>
        </w:rPr>
      </w:pPr>
    </w:p>
    <w:p>
      <w:pPr>
        <w:ind w:left="2000" w:hanging="588"/>
        <w:spacing w:after="0"/>
        <w:tabs>
          <w:tab w:leader="none" w:pos="2000" w:val="left"/>
        </w:tabs>
        <w:numPr>
          <w:ilvl w:val="0"/>
          <w:numId w:val="367"/>
        </w:numPr>
        <w:rPr>
          <w:rFonts w:ascii="Arial" w:cs="Arial" w:eastAsia="Arial" w:hAnsi="Arial"/>
          <w:sz w:val="18"/>
          <w:szCs w:val="18"/>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proceeds received from the sale of Stock pursuant to the Plan shall be used for general corporate purposes.</w:t>
      </w:r>
    </w:p>
    <w:p>
      <w:pPr>
        <w:spacing w:after="0" w:line="221" w:lineRule="exact"/>
        <w:rPr>
          <w:sz w:val="20"/>
          <w:szCs w:val="20"/>
          <w:color w:val="auto"/>
        </w:rPr>
      </w:pPr>
    </w:p>
    <w:p>
      <w:pPr>
        <w:ind w:left="2000" w:hanging="588"/>
        <w:spacing w:after="0"/>
        <w:tabs>
          <w:tab w:leader="none" w:pos="2000" w:val="left"/>
        </w:tabs>
        <w:numPr>
          <w:ilvl w:val="0"/>
          <w:numId w:val="368"/>
        </w:numPr>
        <w:rPr>
          <w:rFonts w:ascii="Arial" w:cs="Arial" w:eastAsia="Arial" w:hAnsi="Arial"/>
          <w:sz w:val="18"/>
          <w:szCs w:val="18"/>
          <w:color w:val="auto"/>
        </w:rPr>
      </w:pPr>
      <w:r>
        <w:rPr>
          <w:rFonts w:ascii="Arial" w:cs="Arial" w:eastAsia="Arial" w:hAnsi="Arial"/>
          <w:sz w:val="18"/>
          <w:szCs w:val="18"/>
          <w:b w:val="1"/>
          <w:bCs w:val="1"/>
          <w:color w:val="auto"/>
        </w:rPr>
        <w:t>RIGHTS AND PRIVILEGES AS A STOCKHOLDER.</w:t>
      </w:r>
    </w:p>
    <w:p>
      <w:pPr>
        <w:spacing w:after="0" w:line="229"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Except as otherwise specifically provided in the Plan, no person shall be entitled to the rights and privileges of stock ownership in respect of shares of Stock that are subject to Awards hereunder until such shares have been issued to that person.</w:t>
      </w:r>
    </w:p>
    <w:p>
      <w:pPr>
        <w:spacing w:after="0" w:line="166" w:lineRule="exact"/>
        <w:rPr>
          <w:sz w:val="20"/>
          <w:szCs w:val="20"/>
          <w:color w:val="auto"/>
        </w:rPr>
      </w:pPr>
    </w:p>
    <w:p>
      <w:pPr>
        <w:ind w:left="2000" w:hanging="588"/>
        <w:spacing w:after="0"/>
        <w:tabs>
          <w:tab w:leader="none" w:pos="2000" w:val="left"/>
        </w:tabs>
        <w:numPr>
          <w:ilvl w:val="0"/>
          <w:numId w:val="369"/>
        </w:numPr>
        <w:rPr>
          <w:rFonts w:ascii="Arial" w:cs="Arial" w:eastAsia="Arial" w:hAnsi="Arial"/>
          <w:sz w:val="18"/>
          <w:szCs w:val="18"/>
          <w:color w:val="auto"/>
        </w:rPr>
      </w:pPr>
      <w:r>
        <w:rPr>
          <w:rFonts w:ascii="Arial" w:cs="Arial" w:eastAsia="Arial" w:hAnsi="Arial"/>
          <w:sz w:val="18"/>
          <w:szCs w:val="18"/>
          <w:b w:val="1"/>
          <w:bCs w:val="1"/>
          <w:color w:val="auto"/>
        </w:rPr>
        <w:t>EMPLOYMENT OR SERVICE RIGHTS.</w:t>
      </w:r>
    </w:p>
    <w:p>
      <w:pPr>
        <w:spacing w:after="0" w:line="229" w:lineRule="exact"/>
        <w:rPr>
          <w:sz w:val="20"/>
          <w:szCs w:val="20"/>
          <w:color w:val="auto"/>
        </w:rPr>
      </w:pPr>
    </w:p>
    <w:p>
      <w:pPr>
        <w:jc w:val="both"/>
        <w:ind w:firstLine="630"/>
        <w:spacing w:after="0" w:line="263" w:lineRule="auto"/>
        <w:rPr>
          <w:sz w:val="20"/>
          <w:szCs w:val="20"/>
          <w:color w:val="auto"/>
        </w:rPr>
      </w:pPr>
      <w:r>
        <w:rPr>
          <w:rFonts w:ascii="Arial" w:cs="Arial" w:eastAsia="Arial" w:hAnsi="Arial"/>
          <w:sz w:val="18"/>
          <w:szCs w:val="18"/>
          <w:color w:val="auto"/>
        </w:rPr>
        <w:t>No individual shall have any claim or right to be granted an Award under the Plan or, having been selected for the grant of an Award, to be selected for the grant of any other Award. Neither the Plan nor any action taken hereunder shall be construed as giving any individual any right to be retained in the employ or service of the Employer or any other member the Company Group.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1" w:name="page442"/>
    <w:bookmarkEnd w:id="441"/>
    <w:p>
      <w:pPr>
        <w:ind w:left="2000" w:hanging="588"/>
        <w:spacing w:after="0"/>
        <w:tabs>
          <w:tab w:leader="none" w:pos="200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COMPLIANCE WITH LAWS.</w:t>
      </w:r>
    </w:p>
    <w:p>
      <w:pPr>
        <w:spacing w:after="0" w:line="229" w:lineRule="exact"/>
        <w:rPr>
          <w:sz w:val="20"/>
          <w:szCs w:val="20"/>
          <w:color w:val="auto"/>
        </w:rPr>
      </w:pPr>
    </w:p>
    <w:p>
      <w:pPr>
        <w:ind w:firstLine="630"/>
        <w:spacing w:after="0" w:line="288" w:lineRule="auto"/>
        <w:rPr>
          <w:sz w:val="20"/>
          <w:szCs w:val="20"/>
          <w:color w:val="auto"/>
        </w:rPr>
      </w:pPr>
      <w:r>
        <w:rPr>
          <w:rFonts w:ascii="Arial" w:cs="Arial" w:eastAsia="Arial" w:hAnsi="Arial"/>
          <w:sz w:val="16"/>
          <w:szCs w:val="16"/>
          <w:color w:val="auto"/>
        </w:rPr>
        <w:t>The obligation of the Company to deliver Stock upon vesting and/or exercise of any Award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with the Securities and Exchange Commission pursuant to the Securities Act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or resale under the Securities Act any of the shares of Stock to be offered or sold under the Plan or any shares of Stock to be issued upon exercise or settlement of Awards.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164" w:lineRule="exact"/>
        <w:rPr>
          <w:sz w:val="20"/>
          <w:szCs w:val="20"/>
          <w:color w:val="auto"/>
        </w:rPr>
      </w:pPr>
    </w:p>
    <w:p>
      <w:pPr>
        <w:ind w:left="2000" w:hanging="588"/>
        <w:spacing w:after="0"/>
        <w:tabs>
          <w:tab w:leader="none" w:pos="2000" w:val="left"/>
        </w:tabs>
        <w:numPr>
          <w:ilvl w:val="0"/>
          <w:numId w:val="371"/>
        </w:numPr>
        <w:rPr>
          <w:rFonts w:ascii="Arial" w:cs="Arial" w:eastAsia="Arial" w:hAnsi="Arial"/>
          <w:sz w:val="18"/>
          <w:szCs w:val="18"/>
          <w:color w:val="auto"/>
        </w:rPr>
      </w:pPr>
      <w:r>
        <w:rPr>
          <w:rFonts w:ascii="Arial" w:cs="Arial" w:eastAsia="Arial" w:hAnsi="Arial"/>
          <w:sz w:val="18"/>
          <w:szCs w:val="18"/>
          <w:b w:val="1"/>
          <w:bCs w:val="1"/>
          <w:color w:val="auto"/>
        </w:rPr>
        <w:t>WITHHOLDING OBLIGATIONS.</w:t>
      </w:r>
    </w:p>
    <w:p>
      <w:pPr>
        <w:spacing w:after="0" w:line="229" w:lineRule="exact"/>
        <w:rPr>
          <w:sz w:val="20"/>
          <w:szCs w:val="20"/>
          <w:color w:val="auto"/>
        </w:rPr>
      </w:pPr>
    </w:p>
    <w:p>
      <w:pPr>
        <w:ind w:right="40" w:firstLine="630"/>
        <w:spacing w:after="0" w:line="272" w:lineRule="auto"/>
        <w:rPr>
          <w:sz w:val="20"/>
          <w:szCs w:val="20"/>
          <w:color w:val="auto"/>
        </w:rPr>
      </w:pPr>
      <w:r>
        <w:rPr>
          <w:rFonts w:ascii="Arial" w:cs="Arial" w:eastAsia="Arial" w:hAnsi="Arial"/>
          <w:sz w:val="17"/>
          <w:szCs w:val="17"/>
          <w:color w:val="auto"/>
        </w:rPr>
        <w:t xml:space="preserve">As a condition to the vesting and/or exercise of any Award, the Committee may require that a Participant satisfy, through a cash payment by the Participant, or in the discretion of the Committee, through deduction or withholding from any payment of any kind otherwise due to the Participant, or through such other arrangements as are satisfactory to the Committee, the minimum amount of all federal, state, and local income and other taxes of any kind required or permitted to be withheld in connection with such vesting and/or exercise. The Committee, in its discretion, may permit shares of Stock to be used to satisfy tax withholding requirements, and such shares shall be valued at their Fair Market Value as of the exercise or settlement date of the Award;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aggregate Fair Market Value of the number of shares of Stock that may be used to satisfy tax withholding requirements may not exceed the minimum statutorily required withholding amount with respect to such Award.</w:t>
      </w:r>
    </w:p>
    <w:p>
      <w:pPr>
        <w:spacing w:after="0" w:line="173" w:lineRule="exact"/>
        <w:rPr>
          <w:sz w:val="20"/>
          <w:szCs w:val="20"/>
          <w:color w:val="auto"/>
        </w:rPr>
      </w:pPr>
    </w:p>
    <w:p>
      <w:pPr>
        <w:ind w:left="2000" w:hanging="588"/>
        <w:spacing w:after="0"/>
        <w:tabs>
          <w:tab w:leader="none" w:pos="2000" w:val="left"/>
        </w:tabs>
        <w:numPr>
          <w:ilvl w:val="1"/>
          <w:numId w:val="372"/>
        </w:numPr>
        <w:rPr>
          <w:rFonts w:ascii="Arial" w:cs="Arial" w:eastAsia="Arial" w:hAnsi="Arial"/>
          <w:sz w:val="18"/>
          <w:szCs w:val="18"/>
          <w:color w:val="auto"/>
        </w:rPr>
      </w:pPr>
      <w:r>
        <w:rPr>
          <w:rFonts w:ascii="Arial" w:cs="Arial" w:eastAsia="Arial" w:hAnsi="Arial"/>
          <w:sz w:val="18"/>
          <w:szCs w:val="18"/>
          <w:b w:val="1"/>
          <w:bCs w:val="1"/>
          <w:color w:val="auto"/>
        </w:rPr>
        <w:t>AMENDMENT OF THE PLAN OR AWARDS.</w:t>
      </w:r>
    </w:p>
    <w:p>
      <w:pPr>
        <w:spacing w:after="0" w:line="229" w:lineRule="exact"/>
        <w:rPr>
          <w:rFonts w:ascii="Arial" w:cs="Arial" w:eastAsia="Arial" w:hAnsi="Arial"/>
          <w:sz w:val="18"/>
          <w:szCs w:val="18"/>
          <w:color w:val="auto"/>
        </w:rPr>
      </w:pPr>
    </w:p>
    <w:p>
      <w:pPr>
        <w:ind w:right="40" w:firstLine="1304"/>
        <w:spacing w:after="0" w:line="301" w:lineRule="auto"/>
        <w:tabs>
          <w:tab w:leader="none" w:pos="1990"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xml:space="preserve">. The Board may, at any time and from time to time, amend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Board shall not, without stockholder approval, make any amendment to the Plan that requires stockholder approval pursuant to applicable law or, at any time that the Stock is listed on any national securities exchange, the applicable rules of any national securities exchange on which the Stock is listed. Rights under any Award granted before amendment of the Plan shall not be impaired by any amendment of the Plan unless the Participant consents in writing.</w:t>
      </w:r>
    </w:p>
    <w:p>
      <w:pPr>
        <w:spacing w:after="0" w:line="157" w:lineRule="exact"/>
        <w:rPr>
          <w:rFonts w:ascii="Arial" w:cs="Arial" w:eastAsia="Arial" w:hAnsi="Arial"/>
          <w:sz w:val="16"/>
          <w:szCs w:val="16"/>
          <w:color w:val="auto"/>
        </w:rPr>
      </w:pPr>
    </w:p>
    <w:p>
      <w:pPr>
        <w:ind w:right="20" w:firstLine="1304"/>
        <w:spacing w:after="0" w:line="293" w:lineRule="auto"/>
        <w:tabs>
          <w:tab w:leader="none" w:pos="2000"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Amendment of Awards</w:t>
      </w:r>
      <w:r>
        <w:rPr>
          <w:rFonts w:ascii="Arial" w:cs="Arial" w:eastAsia="Arial" w:hAnsi="Arial"/>
          <w:sz w:val="16"/>
          <w:szCs w:val="16"/>
          <w:color w:val="auto"/>
        </w:rPr>
        <w:t xml:space="preserve">. The Board or the Committee may, at any time and from time to time, amend the terms of any one or more Awards at any time and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rights under any Award shall not be impaired by any such amendment unless the Participant consents in writing (it being understood that no action taken by the Board or the Committee that is expressly permitted under the Plan, including, without limitation, any actions described in Section 12 hereof, shall constitute an amendment of an Award for such purpose). Notwithstanding the foregoing, subject to the limitations of applicable law, if any, and without an affected Participant’s consent, the Board or the Committee may amend the terms of any one or more Awards as necessary to bring the Award into compliance with Section 409A of the Code.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42" w:name="page443"/>
    <w:bookmarkEnd w:id="442"/>
    <w:p>
      <w:pPr>
        <w:ind w:right="160" w:firstLine="1304"/>
        <w:spacing w:after="0" w:line="254" w:lineRule="auto"/>
        <w:tabs>
          <w:tab w:leader="none" w:pos="1990"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Repricing of Awards without Stockholder Approval</w:t>
      </w:r>
      <w:r>
        <w:rPr>
          <w:rFonts w:ascii="Arial" w:cs="Arial" w:eastAsia="Arial" w:hAnsi="Arial"/>
          <w:sz w:val="18"/>
          <w:szCs w:val="18"/>
          <w:color w:val="auto"/>
        </w:rPr>
        <w:t>. The repricing of Awards upon the approval of the Board or Committee shall expressly be permitted under the Plan without additional stockholder approval. For this purpose, a “repricing” means any of the following (or any other action that has the same effect as any of the following): (i) changing the terms of an Award to lower its exercise or base price (other than on account of capital adjustments resulting from share splits, etc., as described in Section 12(a)), (ii) any other action that is treated as “repricing” under generally accepted accounting principles, and (iii) repurchasing for cash or canceling an Award in exchange for another Award at a time when its exercise or base price is greater than the Fair Market Value of the underlying Stock, unless the cancellation and exchange occurs in connection with an event set forth in Section 12(b).</w:t>
      </w:r>
    </w:p>
    <w:p>
      <w:pPr>
        <w:spacing w:after="0" w:line="190" w:lineRule="exact"/>
        <w:rPr>
          <w:rFonts w:ascii="Arial" w:cs="Arial" w:eastAsia="Arial" w:hAnsi="Arial"/>
          <w:sz w:val="18"/>
          <w:szCs w:val="18"/>
          <w:color w:val="auto"/>
        </w:rPr>
      </w:pPr>
    </w:p>
    <w:p>
      <w:pPr>
        <w:ind w:left="2000" w:hanging="588"/>
        <w:spacing w:after="0"/>
        <w:tabs>
          <w:tab w:leader="none" w:pos="2000" w:val="left"/>
        </w:tabs>
        <w:numPr>
          <w:ilvl w:val="1"/>
          <w:numId w:val="374"/>
        </w:numPr>
        <w:rPr>
          <w:rFonts w:ascii="Arial" w:cs="Arial" w:eastAsia="Arial" w:hAnsi="Arial"/>
          <w:sz w:val="18"/>
          <w:szCs w:val="18"/>
          <w:color w:val="auto"/>
        </w:rPr>
      </w:pPr>
      <w:r>
        <w:rPr>
          <w:rFonts w:ascii="Arial" w:cs="Arial" w:eastAsia="Arial" w:hAnsi="Arial"/>
          <w:sz w:val="18"/>
          <w:szCs w:val="18"/>
          <w:b w:val="1"/>
          <w:bCs w:val="1"/>
          <w:color w:val="auto"/>
        </w:rPr>
        <w:t>TERMINATION OR SUSPENSION OF THE PLAN.</w:t>
      </w:r>
    </w:p>
    <w:p>
      <w:pPr>
        <w:spacing w:after="0" w:line="229"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The Board may suspend or terminate the Plan at any time. Unless sooner terminated, the Plan shall terminate on the day before the tenth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of the Effective Date. No Awards may be granted under the Plan while the Plan is suspended or after it is terminated; </w:t>
      </w:r>
      <w:r>
        <w:rPr>
          <w:rFonts w:ascii="Arial" w:cs="Arial" w:eastAsia="Arial" w:hAnsi="Arial"/>
          <w:sz w:val="18"/>
          <w:szCs w:val="18"/>
          <w:i w:val="1"/>
          <w:iCs w:val="1"/>
          <w:color w:val="auto"/>
        </w:rPr>
        <w:t>provided, however</w:t>
      </w:r>
      <w:r>
        <w:rPr>
          <w:rFonts w:ascii="Arial" w:cs="Arial" w:eastAsia="Arial" w:hAnsi="Arial"/>
          <w:sz w:val="18"/>
          <w:szCs w:val="18"/>
          <w:color w:val="auto"/>
        </w:rPr>
        <w:t>, that following any suspension or termination of the Plan, the Plan shall remain in effect for the purposes of governing all Awards then outstanding hereunder until such time as all Awards under the Plan have been terminated, forfeited, or otherwise canceled, or earned, exercised, settled, or otherwise paid out, in accordance with their terms.</w:t>
      </w:r>
    </w:p>
    <w:p>
      <w:pPr>
        <w:spacing w:after="0" w:line="200" w:lineRule="exact"/>
        <w:rPr>
          <w:sz w:val="20"/>
          <w:szCs w:val="20"/>
          <w:color w:val="auto"/>
        </w:rPr>
      </w:pPr>
    </w:p>
    <w:p>
      <w:pPr>
        <w:ind w:left="2000" w:hanging="588"/>
        <w:spacing w:after="0"/>
        <w:tabs>
          <w:tab w:leader="none" w:pos="2000" w:val="left"/>
        </w:tabs>
        <w:numPr>
          <w:ilvl w:val="0"/>
          <w:numId w:val="375"/>
        </w:numPr>
        <w:rPr>
          <w:rFonts w:ascii="Arial" w:cs="Arial" w:eastAsia="Arial" w:hAnsi="Arial"/>
          <w:sz w:val="18"/>
          <w:szCs w:val="18"/>
          <w:color w:val="auto"/>
        </w:rPr>
      </w:pPr>
      <w:r>
        <w:rPr>
          <w:rFonts w:ascii="Arial" w:cs="Arial" w:eastAsia="Arial" w:hAnsi="Arial"/>
          <w:sz w:val="18"/>
          <w:szCs w:val="18"/>
          <w:b w:val="1"/>
          <w:bCs w:val="1"/>
          <w:color w:val="auto"/>
        </w:rPr>
        <w:t>EFFECTIVE DATE OF THE PLAN.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Plan is effective as of the Effective Date.</w:t>
      </w:r>
    </w:p>
    <w:p>
      <w:pPr>
        <w:spacing w:after="0" w:line="221" w:lineRule="exact"/>
        <w:rPr>
          <w:sz w:val="20"/>
          <w:szCs w:val="20"/>
          <w:color w:val="auto"/>
        </w:rPr>
      </w:pPr>
    </w:p>
    <w:p>
      <w:pPr>
        <w:ind w:left="2000" w:hanging="588"/>
        <w:spacing w:after="0"/>
        <w:tabs>
          <w:tab w:leader="none" w:pos="2000" w:val="left"/>
        </w:tabs>
        <w:numPr>
          <w:ilvl w:val="1"/>
          <w:numId w:val="376"/>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ind w:right="80" w:firstLine="1304"/>
        <w:spacing w:after="0" w:line="254" w:lineRule="auto"/>
        <w:tabs>
          <w:tab w:leader="none" w:pos="199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Compliance with Exemption Provided by Rule 12h-1(f)</w:t>
      </w:r>
      <w:r>
        <w:rPr>
          <w:rFonts w:ascii="Arial" w:cs="Arial" w:eastAsia="Arial" w:hAnsi="Arial"/>
          <w:sz w:val="18"/>
          <w:szCs w:val="18"/>
          <w:color w:val="auto"/>
        </w:rPr>
        <w:t>. If, (i) the aggregate of the number of holders of a class of the Company’s equity securities (excluding any exempted securities and any securities held by persons who received the securities pursuant to an employee compensation plan in transactions exempted from the registration requirements of section 5 of the Securities Act) does not equal or exceed either (A) two thousand (2,000) such persons or (B) five hundred (500) such persons who are not accredited investors, and (ii) the assets of the Company at the end of the Company’s most recently completed fiscal year do not exceed $10 million, then the following restrictions shall apply during any period during which the Company does not have a class of its securities registered under Section 12 of the Exchange Act and is not required to file reports under Section 15(d) of the Exchange Act:</w:t>
      </w:r>
    </w:p>
    <w:p>
      <w:pPr>
        <w:spacing w:after="0" w:line="194" w:lineRule="exact"/>
        <w:rPr>
          <w:rFonts w:ascii="Arial" w:cs="Arial" w:eastAsia="Arial" w:hAnsi="Arial"/>
          <w:sz w:val="18"/>
          <w:szCs w:val="18"/>
          <w:color w:val="auto"/>
        </w:rPr>
      </w:pPr>
    </w:p>
    <w:p>
      <w:pPr>
        <w:ind w:left="660" w:right="60" w:firstLine="1292"/>
        <w:spacing w:after="0" w:line="271" w:lineRule="auto"/>
        <w:tabs>
          <w:tab w:leader="none" w:pos="2666" w:val="left"/>
        </w:tabs>
        <w:numPr>
          <w:ilvl w:val="2"/>
          <w:numId w:val="377"/>
        </w:numPr>
        <w:rPr>
          <w:rFonts w:ascii="Arial" w:cs="Arial" w:eastAsia="Arial" w:hAnsi="Arial"/>
          <w:sz w:val="17"/>
          <w:szCs w:val="17"/>
          <w:color w:val="auto"/>
        </w:rPr>
      </w:pPr>
      <w:r>
        <w:rPr>
          <w:rFonts w:ascii="Arial" w:cs="Arial" w:eastAsia="Arial" w:hAnsi="Arial"/>
          <w:sz w:val="17"/>
          <w:szCs w:val="17"/>
          <w:color w:val="auto"/>
        </w:rPr>
        <w:t>the Options and, prior to exercise of the Options, the shares of Stock issuable upon exercise of the Options may not be Transferred until the Company is no longer relying on the exemption provided by Rule 12h-1(f), except: (1) as permitted by Rule 701(c) promulgated under the Securities Act, (2) to a guardian upon the disability of the holder of the Option, or (3) to an executor upon the death of the holder of the Option (collectively, the “</w:t>
      </w:r>
      <w:r>
        <w:rPr>
          <w:rFonts w:ascii="Arial" w:cs="Arial" w:eastAsia="Arial" w:hAnsi="Arial"/>
          <w:sz w:val="17"/>
          <w:szCs w:val="17"/>
          <w:u w:val="single" w:color="auto"/>
          <w:color w:val="auto"/>
        </w:rPr>
        <w:t>Permitted Transferees</w:t>
      </w:r>
      <w:r>
        <w:rPr>
          <w:rFonts w:ascii="Arial" w:cs="Arial" w:eastAsia="Arial" w:hAnsi="Arial"/>
          <w:sz w:val="17"/>
          <w:szCs w:val="17"/>
          <w:color w:val="auto"/>
        </w:rPr>
        <w:t>”); provided, however, the following Transfers are permitted: (x) Transfers by the holders of Options to the Company, and (y) Transfers in connection with a change of control or other acquisition involving the Company, if following such transaction, the Options no longer remain outstanding and the Company is no longer relying on the exemption provided by Rule 12h-1(f); provided further, that any Permitted Transferees may not further Transfer the Options or, prior to exercise of the Options, the Stock issuable upon exercise of the Options;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right="220" w:firstLine="1292"/>
        <w:spacing w:after="0" w:line="301" w:lineRule="auto"/>
        <w:tabs>
          <w:tab w:leader="none" w:pos="2671" w:val="left"/>
        </w:tabs>
        <w:numPr>
          <w:ilvl w:val="1"/>
          <w:numId w:val="378"/>
        </w:numPr>
        <w:rPr>
          <w:rFonts w:ascii="Arial" w:cs="Arial" w:eastAsia="Arial" w:hAnsi="Arial"/>
          <w:sz w:val="16"/>
          <w:szCs w:val="16"/>
          <w:color w:val="auto"/>
        </w:rPr>
      </w:pPr>
      <w:r>
        <w:rPr>
          <w:rFonts w:ascii="Arial" w:cs="Arial" w:eastAsia="Arial" w:hAnsi="Arial"/>
          <w:sz w:val="16"/>
          <w:szCs w:val="16"/>
          <w:color w:val="auto"/>
        </w:rPr>
        <w:t>except as otherwise provided in (i) above, the Options and shares of Stock issuable upon exercise of the Options are restricted as to any Transfer, including any short position, any “put equivalent position” as defined by Rule 16a-1(h) promulgated under the Exchange Act, or any “call equivalent position” as defined by Rule 16a-1(b) promulgated under the Exchange Act by the holder of the Options prior to exercise of an Option until the Company is no longer relying on the exemption provided by Rule 12h-1(f); and</w:t>
      </w:r>
    </w:p>
    <w:p>
      <w:pPr>
        <w:spacing w:after="0" w:line="157" w:lineRule="exact"/>
        <w:rPr>
          <w:rFonts w:ascii="Arial" w:cs="Arial" w:eastAsia="Arial" w:hAnsi="Arial"/>
          <w:sz w:val="16"/>
          <w:szCs w:val="16"/>
          <w:color w:val="auto"/>
        </w:rPr>
      </w:pPr>
    </w:p>
    <w:p>
      <w:pPr>
        <w:ind w:left="660" w:right="40" w:firstLine="1292"/>
        <w:spacing w:after="0" w:line="255" w:lineRule="auto"/>
        <w:tabs>
          <w:tab w:leader="none" w:pos="2676"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at any time that the Company is relying on the exemption provided by Rule 12h-1(f), the Company shall deliver to all Participants (whether by physical or electronic delivery to the Participants or by written notice to the Participants of the availability of the information on an Internet site that may be password-protected and of any password needed to access the information) the information required by Rule 701(e)(3), (4), and (5) promulgated under the Securities Act every six (6) months, including financial statements that are not more than one hundred eighty (180) days old;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Company may condition the delivery of such information upon the Participant’s agreement to maintain its confidentiality.</w:t>
      </w:r>
    </w:p>
    <w:p>
      <w:pPr>
        <w:spacing w:after="0" w:line="192" w:lineRule="exact"/>
        <w:rPr>
          <w:rFonts w:ascii="Arial" w:cs="Arial" w:eastAsia="Arial" w:hAnsi="Arial"/>
          <w:sz w:val="18"/>
          <w:szCs w:val="18"/>
          <w:color w:val="auto"/>
        </w:rPr>
      </w:pPr>
    </w:p>
    <w:p>
      <w:pPr>
        <w:ind w:firstLine="1304"/>
        <w:spacing w:after="0" w:line="289" w:lineRule="auto"/>
        <w:tabs>
          <w:tab w:leader="none" w:pos="2000"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Participants Outside of the United States</w:t>
      </w:r>
      <w:r>
        <w:rPr>
          <w:rFonts w:ascii="Arial" w:cs="Arial" w:eastAsia="Arial" w:hAnsi="Arial"/>
          <w:sz w:val="16"/>
          <w:szCs w:val="16"/>
          <w:color w:val="auto"/>
        </w:rPr>
        <w:t>. The Committee may modify the terms of any Award under the Plan made to or held by a Participant who is then a resident or primarily employed or providing services outside of the United States in any manner deemed by the Committee to be necessary or appropriate in order that such Award shall conform to laws, regulations, and customs of the country in which the Participant is then a resident or primarily employed or providing services, or so that the value and other benefits of the Award to the Participant, as affected by foreign tax laws and other restrictions applicable as a result of the Participant’s residence or employment or service abroad, shall be comparable to the value of such Award to a Participant who is a resident or primarily employed or providing services in the United States. Additionally, the Committee may adopt such procedures and sub-plans as are necessary or appropriate to permit participation in the Plan by such Participants. An Award may be modified under this Section 21(b) in a manner that is inconsistent with the express terms of the Plan, so long as such modifications will not contravene any applicable law or regulation or result in actual liability under Section 16(b) of the Exchange Act for the Participant whose Award is modified.</w:t>
      </w:r>
    </w:p>
    <w:p>
      <w:pPr>
        <w:spacing w:after="0" w:line="166" w:lineRule="exact"/>
        <w:rPr>
          <w:rFonts w:ascii="Arial" w:cs="Arial" w:eastAsia="Arial" w:hAnsi="Arial"/>
          <w:sz w:val="16"/>
          <w:szCs w:val="16"/>
          <w:color w:val="auto"/>
        </w:rPr>
      </w:pPr>
    </w:p>
    <w:p>
      <w:pPr>
        <w:ind w:right="200" w:firstLine="1304"/>
        <w:spacing w:after="0" w:line="275" w:lineRule="auto"/>
        <w:tabs>
          <w:tab w:leader="none" w:pos="1990"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Clawback/Recoupment Policy</w:t>
      </w:r>
      <w:r>
        <w:rPr>
          <w:rFonts w:ascii="Arial" w:cs="Arial" w:eastAsia="Arial" w:hAnsi="Arial"/>
          <w:sz w:val="17"/>
          <w:szCs w:val="17"/>
          <w:color w:val="auto"/>
        </w:rPr>
        <w:t>. Notwithstanding anything contained herein to the contrary, all Awards granted under the Plan shall be and remain subject to any incentive compensation clawback or recoupment policy currently in effect or as may be adopted by the Board and, in each case, as may be amended from time to time. Any such policy adoption or amendment shall in no event require the prior consent of any Participant. Additionally, the Committee may adopt such procedures and sub-plans as are necessary or appropriate to permit participation in the Plan by Eligible Persons who are foreign nationals or employed or providing services outside the United States.</w:t>
      </w:r>
    </w:p>
    <w:p>
      <w:pPr>
        <w:spacing w:after="0" w:line="176" w:lineRule="exact"/>
        <w:rPr>
          <w:rFonts w:ascii="Arial" w:cs="Arial" w:eastAsia="Arial" w:hAnsi="Arial"/>
          <w:sz w:val="17"/>
          <w:szCs w:val="17"/>
          <w:color w:val="auto"/>
        </w:rPr>
      </w:pPr>
    </w:p>
    <w:p>
      <w:pPr>
        <w:ind w:right="40" w:firstLine="1304"/>
        <w:spacing w:after="0" w:line="296" w:lineRule="auto"/>
        <w:tabs>
          <w:tab w:leader="none" w:pos="2000"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No Liability of Committee Members</w:t>
      </w:r>
      <w:r>
        <w:rPr>
          <w:rFonts w:ascii="Arial" w:cs="Arial" w:eastAsia="Arial" w:hAnsi="Arial"/>
          <w:sz w:val="16"/>
          <w:szCs w:val="16"/>
          <w:color w:val="auto"/>
        </w:rPr>
        <w:t>. No member of the Committee or any of its permitted delegates shall be personally liable by reason of any contract or other instrument executed by such member or on his behalf in his capacity as a member of the Committee or a delegate of the Committee 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all costs and expenses (including counsel fees) and liabilities (including any sum paid in settlement of a claim) arising out of</w:t>
      </w:r>
    </w:p>
    <w:p>
      <w:pPr>
        <w:sectPr>
          <w:pgSz w:w="11900" w:h="16838" w:orient="portrait"/>
          <w:cols w:equalWidth="0" w:num="1">
            <w:col w:w="11240"/>
          </w:cols>
          <w:pgMar w:left="320" w:top="341" w:right="339" w:bottom="0" w:gutter="0" w:footer="0" w:header="0"/>
        </w:sectPr>
      </w:pPr>
    </w:p>
    <w:bookmarkStart w:id="443" w:name="page444"/>
    <w:bookmarkEnd w:id="443"/>
    <w:p>
      <w:pPr>
        <w:jc w:val="both"/>
        <w:spacing w:after="0" w:line="311" w:lineRule="auto"/>
        <w:rPr>
          <w:sz w:val="20"/>
          <w:szCs w:val="20"/>
          <w:color w:val="auto"/>
        </w:rPr>
      </w:pPr>
      <w:r>
        <w:rPr>
          <w:rFonts w:ascii="Arial" w:cs="Arial" w:eastAsia="Arial" w:hAnsi="Arial"/>
          <w:sz w:val="16"/>
          <w:szCs w:val="16"/>
          <w:color w:val="auto"/>
        </w:rPr>
        <w:t xml:space="preserve">any act or omission to act in connection with the Plan unless arising out of such person’s own fraud or willful misconduct;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or articles 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4" w:name="page445"/>
    <w:bookmarkEnd w:id="444"/>
    <w:p>
      <w:pPr>
        <w:ind w:right="600"/>
        <w:spacing w:after="0" w:line="277" w:lineRule="auto"/>
        <w:rPr>
          <w:sz w:val="20"/>
          <w:szCs w:val="20"/>
          <w:color w:val="auto"/>
        </w:rPr>
      </w:pPr>
      <w:r>
        <w:rPr>
          <w:rFonts w:ascii="Arial" w:cs="Arial" w:eastAsia="Arial" w:hAnsi="Arial"/>
          <w:sz w:val="18"/>
          <w:szCs w:val="18"/>
          <w:color w:val="auto"/>
        </w:rPr>
        <w:t>incorporation or by-laws, each as may be amended from time to time, as a matter of law, or otherwise, or any power that the Company may have to indemnify them or hold them harmless.</w:t>
      </w:r>
    </w:p>
    <w:p>
      <w:pPr>
        <w:spacing w:after="0" w:line="170" w:lineRule="exact"/>
        <w:rPr>
          <w:sz w:val="20"/>
          <w:szCs w:val="20"/>
          <w:color w:val="auto"/>
        </w:rPr>
      </w:pPr>
    </w:p>
    <w:p>
      <w:pPr>
        <w:ind w:firstLine="1304"/>
        <w:spacing w:after="0" w:line="296" w:lineRule="auto"/>
        <w:tabs>
          <w:tab w:leader="none" w:pos="1990"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Payments Following Accidents or Illness</w:t>
      </w:r>
      <w:r>
        <w:rPr>
          <w:rFonts w:ascii="Arial" w:cs="Arial" w:eastAsia="Arial" w:hAnsi="Arial"/>
          <w:sz w:val="16"/>
          <w:szCs w:val="16"/>
          <w:color w:val="auto"/>
        </w:rPr>
        <w:t>. If the Committee shall find that any person to whom any amount is payable under the 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or relative, or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61" w:lineRule="exact"/>
        <w:rPr>
          <w:rFonts w:ascii="Arial" w:cs="Arial" w:eastAsia="Arial" w:hAnsi="Arial"/>
          <w:sz w:val="16"/>
          <w:szCs w:val="16"/>
          <w:color w:val="auto"/>
        </w:rPr>
      </w:pPr>
    </w:p>
    <w:p>
      <w:pPr>
        <w:ind w:right="240" w:firstLine="1304"/>
        <w:spacing w:after="0" w:line="277" w:lineRule="auto"/>
        <w:tabs>
          <w:tab w:leader="none" w:pos="2016"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internal laws of the State of Delaware without reference to the principles of conflicts of laws thereof.</w:t>
      </w:r>
    </w:p>
    <w:p>
      <w:pPr>
        <w:spacing w:after="0" w:line="170" w:lineRule="exact"/>
        <w:rPr>
          <w:rFonts w:ascii="Arial" w:cs="Arial" w:eastAsia="Arial" w:hAnsi="Arial"/>
          <w:sz w:val="18"/>
          <w:szCs w:val="18"/>
          <w:color w:val="auto"/>
        </w:rPr>
      </w:pPr>
    </w:p>
    <w:p>
      <w:pPr>
        <w:ind w:firstLine="1304"/>
        <w:spacing w:after="0" w:line="255" w:lineRule="auto"/>
        <w:tabs>
          <w:tab w:leader="none" w:pos="200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Funding</w:t>
      </w:r>
      <w:r>
        <w:rPr>
          <w:rFonts w:ascii="Arial" w:cs="Arial" w:eastAsia="Arial" w:hAnsi="Arial"/>
          <w:sz w:val="18"/>
          <w:szCs w:val="18"/>
          <w:color w:val="auto"/>
        </w:rPr>
        <w:t>. No provision of the Plan shall require the Company, for the purpose of satisfying any obligations under the Plan, to purchase assets or place any assets in a trust or other entity to which contributions are 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or service providers under general law.</w:t>
      </w:r>
    </w:p>
    <w:p>
      <w:pPr>
        <w:spacing w:after="0" w:line="192" w:lineRule="exact"/>
        <w:rPr>
          <w:rFonts w:ascii="Arial" w:cs="Arial" w:eastAsia="Arial" w:hAnsi="Arial"/>
          <w:sz w:val="18"/>
          <w:szCs w:val="18"/>
          <w:color w:val="auto"/>
        </w:rPr>
      </w:pPr>
    </w:p>
    <w:p>
      <w:pPr>
        <w:ind w:firstLine="1304"/>
        <w:spacing w:after="0" w:line="259" w:lineRule="auto"/>
        <w:tabs>
          <w:tab w:leader="none" w:pos="200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Each member of the Committee and each member of the Board shall be fully justified in relying, acting, or failing to act, and shall not be liable for having so relied, acted, or failed to act in good faith, upon any report made by the independent public accountant of the Company or other member of the Company Group and upon any other information furnished in connection with the Plan by any person or persons other than such member.</w:t>
      </w:r>
    </w:p>
    <w:p>
      <w:pPr>
        <w:spacing w:after="0" w:line="186" w:lineRule="exact"/>
        <w:rPr>
          <w:rFonts w:ascii="Arial" w:cs="Arial" w:eastAsia="Arial" w:hAnsi="Arial"/>
          <w:sz w:val="18"/>
          <w:szCs w:val="18"/>
          <w:color w:val="auto"/>
        </w:rPr>
      </w:pPr>
    </w:p>
    <w:p>
      <w:pPr>
        <w:ind w:right="100" w:firstLine="1304"/>
        <w:spacing w:after="0" w:line="277" w:lineRule="auto"/>
        <w:tabs>
          <w:tab w:leader="none" w:pos="2006"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rFonts w:ascii="Arial" w:cs="Arial" w:eastAsia="Arial" w:hAnsi="Arial"/>
          <w:sz w:val="18"/>
          <w:szCs w:val="18"/>
          <w:color w:val="auto"/>
        </w:rPr>
      </w:pPr>
    </w:p>
    <w:p>
      <w:pPr>
        <w:ind w:right="140" w:firstLine="1304"/>
        <w:spacing w:after="0" w:line="279" w:lineRule="auto"/>
        <w:tabs>
          <w:tab w:leader="none" w:pos="2006"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was approved by a majority of the holders of outstanding securities of the Company entitled to vote on November 18, 2011. Within the twelve (12) month period following the Restatement Effective Date, the Plan shall be approved by the stockholders of the Company in accordance with the requirements of Section 422 of the Code. To the extent any Option is exercised, or Award is purchased, prior to the date upon which stockholder approval is obtained, such exercise or purchase shall be rescinded.</w:t>
      </w:r>
    </w:p>
    <w:p>
      <w:pPr>
        <w:spacing w:after="0" w:line="171" w:lineRule="exact"/>
        <w:rPr>
          <w:sz w:val="20"/>
          <w:szCs w:val="20"/>
          <w:color w:val="auto"/>
        </w:rPr>
      </w:pPr>
    </w:p>
    <w:p>
      <w:pPr>
        <w:ind w:left="4860"/>
        <w:spacing w:after="0"/>
        <w:tabs>
          <w:tab w:leader="none" w:pos="556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45" w:name="page446"/>
    <w:bookmarkEnd w:id="445"/>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2011 STOCK INCENTIVE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PROVISIONS APPLICABLE TO AWARDS GRANTED TO CALIFORNIA RESIDENTS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This Appendix A to the 2011 Stock Incentive Plan shall apply only to the Participants who are residents of the State of California and who are receiving an Award under the Plan. Capitalized terms contained herein shall have the same meanings given to them in the Plan, unless otherwise provided by this Appendix A. Notwithstanding any provisions contained in the Plan to the contrary and to the extent required by applicable laws, the following terms shall apply to all Awards granted to residents of the State of California, until such time as the Committee amends this Appendix A or the Committee otherwise provides, to the extent necessary to comply with Section 25102(o) of the California Corporations Code.</w:t>
      </w:r>
    </w:p>
    <w:p>
      <w:pPr>
        <w:spacing w:after="0" w:line="176" w:lineRule="exact"/>
        <w:rPr>
          <w:sz w:val="20"/>
          <w:szCs w:val="20"/>
          <w:color w:val="auto"/>
        </w:rPr>
      </w:pPr>
    </w:p>
    <w:p>
      <w:pPr>
        <w:ind w:right="200" w:firstLine="656"/>
        <w:spacing w:after="0" w:line="277" w:lineRule="auto"/>
        <w:tabs>
          <w:tab w:leader="none" w:pos="170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term of each Option shall be stated in the Option Agreement, provided, however, that the term shall be no more than ten (10) years from the date of grant thereof.</w:t>
      </w:r>
    </w:p>
    <w:p>
      <w:pPr>
        <w:spacing w:after="0" w:line="170" w:lineRule="exact"/>
        <w:rPr>
          <w:rFonts w:ascii="Arial" w:cs="Arial" w:eastAsia="Arial" w:hAnsi="Arial"/>
          <w:sz w:val="18"/>
          <w:szCs w:val="18"/>
          <w:color w:val="auto"/>
        </w:rPr>
      </w:pPr>
    </w:p>
    <w:p>
      <w:pPr>
        <w:ind w:right="80" w:firstLine="656"/>
        <w:spacing w:after="0" w:line="259" w:lineRule="auto"/>
        <w:tabs>
          <w:tab w:leader="none" w:pos="171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Unless determined otherwise by the Committee, Awards may not be Transferred in any manner other than by will or by the laws of descent and distribution, and may be exercised, during the lifetime of the Participant, only by the Participant. If the Committee makes an Award Transferable, such Award may only be Transferred (i) by will, (ii) by the laws of descent and distribution, or (iii) as permitted by Rule 701 promulgated under the Securities Act.</w:t>
      </w:r>
    </w:p>
    <w:p>
      <w:pPr>
        <w:spacing w:after="0" w:line="186" w:lineRule="exact"/>
        <w:rPr>
          <w:rFonts w:ascii="Arial" w:cs="Arial" w:eastAsia="Arial" w:hAnsi="Arial"/>
          <w:sz w:val="18"/>
          <w:szCs w:val="18"/>
          <w:color w:val="auto"/>
        </w:rPr>
      </w:pPr>
    </w:p>
    <w:p>
      <w:pPr>
        <w:ind w:right="40" w:firstLine="656"/>
        <w:spacing w:after="0" w:line="257" w:lineRule="auto"/>
        <w:tabs>
          <w:tab w:leader="none" w:pos="170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event of a Participant’s Termination with the Employer (other than for Cause), such Participant may exercise his or her Option within such period of time as specified in the Option Agreement, which shall not be less than thirty (30) days following the date of the Participant’s Termination, to the extent that the Option is vested on the date of a Participant’s Termination (but in no event later than the expiration of the term of the Option as set forth in the Option Agreement). In the absence of a specified time in the Option Agreement, the Option shall remain exercisable for three (3) months following the Participant’s Termination (other than for Cause).</w:t>
      </w:r>
    </w:p>
    <w:p>
      <w:pPr>
        <w:spacing w:after="0" w:line="187" w:lineRule="exact"/>
        <w:rPr>
          <w:rFonts w:ascii="Arial" w:cs="Arial" w:eastAsia="Arial" w:hAnsi="Arial"/>
          <w:sz w:val="18"/>
          <w:szCs w:val="18"/>
          <w:color w:val="auto"/>
        </w:rPr>
      </w:pPr>
    </w:p>
    <w:p>
      <w:pPr>
        <w:ind w:firstLine="656"/>
        <w:spacing w:after="0" w:line="257" w:lineRule="auto"/>
        <w:tabs>
          <w:tab w:leader="none" w:pos="171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event of a Participant’s Termination with the Employer as a result of the Participant’s Disability, the Participant may exercise his or her Option within such period of time as specified in the Option Agreement, which shall not be less than six (6) months following the date of the Participant’s Termination, to the extent the Option is vested on the date of the Participant’s Termination (but in no event later than the expiration of the term of such Option as set forth in the Option Agreement). In the absence of a specified time in the Option Agreement, the Option shall remain exercisable for twelve (12) months following the Participant’s Termination.</w:t>
      </w:r>
    </w:p>
    <w:p>
      <w:pPr>
        <w:spacing w:after="0" w:line="187" w:lineRule="exact"/>
        <w:rPr>
          <w:rFonts w:ascii="Arial" w:cs="Arial" w:eastAsia="Arial" w:hAnsi="Arial"/>
          <w:sz w:val="18"/>
          <w:szCs w:val="18"/>
          <w:color w:val="auto"/>
        </w:rPr>
      </w:pPr>
    </w:p>
    <w:p>
      <w:pPr>
        <w:ind w:firstLine="656"/>
        <w:spacing w:after="0" w:line="255" w:lineRule="auto"/>
        <w:tabs>
          <w:tab w:leader="none" w:pos="1702"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event of a Participant’s Termination with the Employer as a result of the Participant’s death, the Option may be exercised within such period of time as specified in the Option Agreement, which shall not be less than six (6) months following the date of the Participant’s death, to the extent the Option is vested on the date of death (but in no event later than the expiration of the term of such Option as set forth in the Option Agreement) by the Participant’s designated beneficiary, personal representative, or by the person(s) to whom the Option is Transferred pursuant to the Participant’s will or in accordance with the laws of descent and distribution. In the absence of a specified time in the Option Agreement, the Option shall remain exercisable for twelve (12) months following the Participant’s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5327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6" w:name="page447"/>
    <w:bookmarkEnd w:id="446"/>
    <w:p>
      <w:pPr>
        <w:ind w:firstLine="656"/>
        <w:spacing w:after="0" w:line="277" w:lineRule="auto"/>
        <w:tabs>
          <w:tab w:leader="none" w:pos="172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No Award shall be granted to a resident of California more than ten (10) years after the earlier of the date of adoption of the Plan or the date the Plan is approved by the stockholders.</w:t>
      </w:r>
    </w:p>
    <w:p>
      <w:pPr>
        <w:spacing w:after="0" w:line="170" w:lineRule="exact"/>
        <w:rPr>
          <w:rFonts w:ascii="Arial" w:cs="Arial" w:eastAsia="Arial" w:hAnsi="Arial"/>
          <w:sz w:val="18"/>
          <w:szCs w:val="18"/>
          <w:color w:val="auto"/>
        </w:rPr>
      </w:pPr>
    </w:p>
    <w:p>
      <w:pPr>
        <w:ind w:right="80" w:firstLine="656"/>
        <w:spacing w:after="0" w:line="272" w:lineRule="auto"/>
        <w:tabs>
          <w:tab w:leader="none" w:pos="1712"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In the event that any dividend or other distribution (whether in the form of cash, Stock, other securities, or other property), recapitalization, stock split, reverse stock split, reorganization, merger, consolidation, split-up, spin-off, combination, repurchase, or exchange of Stock or other securities of the Company, or other change in the corporate structure of the Company affecting the Stock occurs, the Committee, in order to prevent diminution or enlargement of the benefits or potential benefits intended to be made available under the Plan, will adjust the number and class of Stock that may be delivered under the Plan and/or the number, class, and price of Stock covered by each outstanding Award; provided, however, that the Committee will make such adjustments to an Award required by Section 25102(o) of the California Corporations Code to the extent the Company is relying upon the exemption afforded thereby with respect to the Award.</w:t>
      </w:r>
    </w:p>
    <w:p>
      <w:pPr>
        <w:spacing w:after="0" w:line="177" w:lineRule="exact"/>
        <w:rPr>
          <w:rFonts w:ascii="Arial" w:cs="Arial" w:eastAsia="Arial" w:hAnsi="Arial"/>
          <w:sz w:val="17"/>
          <w:szCs w:val="17"/>
          <w:color w:val="auto"/>
        </w:rPr>
      </w:pPr>
    </w:p>
    <w:p>
      <w:pPr>
        <w:ind w:right="200" w:firstLine="656"/>
        <w:spacing w:after="0" w:line="277" w:lineRule="auto"/>
        <w:tabs>
          <w:tab w:leader="none" w:pos="1712"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This Appendix A shall be deemed to be part of the Plan and the Committee shall have the authority to amend this Appendix A in accordance with Section 18 of the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2011 STOCK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STOCK OPTION AGREEMENT</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Unless otherwise defined herein, the capitalized terms in this Global Stock Option Agreement (the “Option Agreement”) shall have the same meaning as set forth in the 2011 Stock Incentive Plan (the “Plan”).</w:t>
      </w:r>
    </w:p>
    <w:p>
      <w:pPr>
        <w:spacing w:after="0" w:line="166" w:lineRule="exact"/>
        <w:rPr>
          <w:sz w:val="20"/>
          <w:szCs w:val="20"/>
          <w:color w:val="auto"/>
        </w:rPr>
      </w:pPr>
    </w:p>
    <w:p>
      <w:pPr>
        <w:ind w:left="660" w:right="7420" w:hanging="652"/>
        <w:spacing w:after="0" w:line="500" w:lineRule="auto"/>
        <w:tabs>
          <w:tab w:leader="none" w:pos="667"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STOCK OPTION GRANT </w:t>
      </w:r>
      <w:r>
        <w:rPr>
          <w:rFonts w:ascii="Arial" w:cs="Arial" w:eastAsia="Arial" w:hAnsi="Arial"/>
          <w:sz w:val="18"/>
          <w:szCs w:val="18"/>
          <w:b w:val="1"/>
          <w:bCs w:val="1"/>
          <w:color w:val="auto"/>
        </w:rPr>
        <w:t>Name:</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undersigned Participant has been granted an Option to purchase shares of Stock of the Company (the “Shares”), subject to the terms and conditions of the Plan and this Option Agreement (including any exhibit or appendix hereto),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Date of Grant:</w:t>
            </w:r>
          </w:p>
        </w:tc>
        <w:tc>
          <w:tcPr>
            <w:tcW w:w="11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Vesting Commencement Date:</w:t>
            </w:r>
          </w:p>
        </w:tc>
        <w:tc>
          <w:tcPr>
            <w:tcW w:w="1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1140" w:type="dxa"/>
            <w:vAlign w:val="bottom"/>
          </w:tcPr>
          <w:p>
            <w:pPr>
              <w:ind w:left="96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Total Number of Shares Granted:</w:t>
            </w:r>
          </w:p>
        </w:tc>
        <w:tc>
          <w:tcPr>
            <w:tcW w:w="1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Total Exercise Price :</w:t>
            </w:r>
          </w:p>
        </w:tc>
        <w:tc>
          <w:tcPr>
            <w:tcW w:w="1140" w:type="dxa"/>
            <w:vAlign w:val="bottom"/>
          </w:tcPr>
          <w:p>
            <w:pPr>
              <w:ind w:left="960"/>
              <w:spacing w:after="0"/>
              <w:rPr>
                <w:sz w:val="20"/>
                <w:szCs w:val="20"/>
                <w:color w:val="auto"/>
              </w:rPr>
            </w:pPr>
            <w:r>
              <w:rPr>
                <w:rFonts w:ascii="Arial" w:cs="Arial" w:eastAsia="Arial" w:hAnsi="Arial"/>
                <w:sz w:val="18"/>
                <w:szCs w:val="18"/>
                <w:color w:val="auto"/>
              </w:rPr>
              <w:t>$</w:t>
            </w:r>
          </w:p>
        </w:tc>
        <w:tc>
          <w:tcPr>
            <w:tcW w:w="2020" w:type="dxa"/>
            <w:vAlign w:val="bottom"/>
          </w:tcPr>
          <w:p>
            <w:pPr>
              <w:spacing w:after="0"/>
              <w:rPr>
                <w:sz w:val="24"/>
                <w:szCs w:val="24"/>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Type of Option:</w:t>
            </w:r>
          </w:p>
        </w:tc>
        <w:tc>
          <w:tcPr>
            <w:tcW w:w="1140" w:type="dxa"/>
            <w:vAlign w:val="bottom"/>
          </w:tcPr>
          <w:p>
            <w:pPr>
              <w:ind w:left="960"/>
              <w:spacing w:after="0"/>
              <w:rPr>
                <w:sz w:val="20"/>
                <w:szCs w:val="20"/>
                <w:color w:val="auto"/>
              </w:rPr>
            </w:pPr>
            <w:r>
              <w:rPr>
                <w:rFonts w:ascii="Arial" w:cs="Arial" w:eastAsia="Arial" w:hAnsi="Arial"/>
                <w:sz w:val="18"/>
                <w:szCs w:val="18"/>
                <w:color w:val="auto"/>
              </w:rPr>
              <w:t>o</w:t>
            </w:r>
          </w:p>
        </w:tc>
        <w:tc>
          <w:tcPr>
            <w:tcW w:w="2020" w:type="dxa"/>
            <w:vAlign w:val="bottom"/>
          </w:tcPr>
          <w:p>
            <w:pPr>
              <w:ind w:left="80"/>
              <w:spacing w:after="0"/>
              <w:rPr>
                <w:sz w:val="20"/>
                <w:szCs w:val="20"/>
                <w:color w:val="auto"/>
              </w:rPr>
            </w:pPr>
            <w:r>
              <w:rPr>
                <w:rFonts w:ascii="Arial" w:cs="Arial" w:eastAsia="Arial" w:hAnsi="Arial"/>
                <w:sz w:val="18"/>
                <w:szCs w:val="18"/>
                <w:color w:val="auto"/>
              </w:rPr>
              <w:t>Incentive Stock Option</w:t>
            </w:r>
          </w:p>
        </w:tc>
      </w:tr>
      <w:tr>
        <w:trPr>
          <w:trHeight w:val="432"/>
        </w:trPr>
        <w:tc>
          <w:tcPr>
            <w:tcW w:w="1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rPr>
              <w:t>o</w:t>
            </w:r>
          </w:p>
        </w:tc>
        <w:tc>
          <w:tcPr>
            <w:tcW w:w="2020" w:type="dxa"/>
            <w:vAlign w:val="bottom"/>
          </w:tcPr>
          <w:p>
            <w:pPr>
              <w:ind w:left="80"/>
              <w:spacing w:after="0"/>
              <w:rPr>
                <w:sz w:val="20"/>
                <w:szCs w:val="20"/>
                <w:color w:val="auto"/>
              </w:rPr>
            </w:pPr>
            <w:r>
              <w:rPr>
                <w:rFonts w:ascii="Arial" w:cs="Arial" w:eastAsia="Arial" w:hAnsi="Arial"/>
                <w:sz w:val="18"/>
                <w:szCs w:val="18"/>
                <w:color w:val="auto"/>
                <w:w w:val="91"/>
              </w:rPr>
              <w:t>Nonstatutory Stock Option</w:t>
            </w: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Expiration Date:</w:t>
            </w:r>
          </w:p>
        </w:tc>
        <w:tc>
          <w:tcPr>
            <w:tcW w:w="1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91"/>
        </w:trPr>
        <w:tc>
          <w:tcPr>
            <w:tcW w:w="336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11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shall be exercisable, in whole or in part, according to the following vesting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[Insert Vesting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Option shall be exercisable for ninety (90) days after Participant’s Termination with the Employer, unless such Termination is due to Participant’s death or Disability, in which case this Option shall be exercisable for twelve (12) months after Participant’s Termination with the Employer, as further described in Section 11(k). Notwithstanding the foregoing sentence, in no event may this Option be exercised after the Expiration Date as provided above and this Option may be subject to earlier termination as provided in Section 12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47" w:name="page448"/>
    <w:bookmarkEnd w:id="447"/>
    <w:p>
      <w:pPr>
        <w:ind w:left="660" w:hanging="652"/>
        <w:spacing w:after="0"/>
        <w:tabs>
          <w:tab w:leader="none" w:pos="66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ind w:right="200" w:firstLine="656"/>
        <w:spacing w:after="0" w:line="257" w:lineRule="auto"/>
        <w:tabs>
          <w:tab w:leader="none" w:pos="1296"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Committee hereby grants to Participant named in the Notice of Stock Option Grant in Part I of this Option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Sections 18 and 19 of the Plan, in the event of a conflict between the terms and conditions of the Plan and this Option Agreement, the terms and conditions of the Plan shall prevail.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designated in the Notice of Stock Option Grant as an Incentive Stock Option (“ISO”), this Option is intended to qualify as an Incentive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Option as defined in Section 422 of the Code. Nevertheless, to the extent that it exceeds the $100,000 rule of Section 422(d) of the Code, this Option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treated as a Nonstatutory Stock Option (“NSO”) pursuant to Section 5(i) of the Plan. For purposes of determining the extent to which this Option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treated as a NSO pursuant to Section 5(i) of the Plan, ISOs will be taken into account in the order in which they were granted, the Fair Market Value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will be determined as of the time the Option with respect to such Shares is granted, and calculation will be performed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422 of the Code. If Participant does not remain employed by the Company or any Parent or Subsidiary of the Company at all times from the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Option is granted until three (3) months prior to the date of exercise thereof (or such other period as required by applicable law), this Option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treated as a NSO. Further, if for any reason this Option (or portion thereof) shall not qualify as an ISO, then, to the extent of such disqualification,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 (or portion thereof) shall be regarded as a NSO granted under the Plan. Neither the Company nor the Committee shall have any liability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Participant or any other party, (i) if this Option (or any part thereof) which is intended to qualify as an ISO fails to qualify as an ISO or (ii) for any action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omission by the Committee that causes this Option not to qualify as an ISO, including without limitation, the conversion of the ISO to a NSO or the failure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Option to satisfy the requirements under the Code applicable to ISOs.</w:t>
      </w:r>
    </w:p>
    <w:p>
      <w:pPr>
        <w:spacing w:after="0" w:line="211" w:lineRule="exact"/>
        <w:rPr>
          <w:sz w:val="20"/>
          <w:szCs w:val="20"/>
          <w:color w:val="auto"/>
        </w:rPr>
      </w:pPr>
    </w:p>
    <w:p>
      <w:pPr>
        <w:ind w:left="1300" w:hanging="644"/>
        <w:spacing w:after="0"/>
        <w:tabs>
          <w:tab w:leader="none" w:pos="130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4"/>
        <w:spacing w:after="0" w:line="277" w:lineRule="auto"/>
        <w:tabs>
          <w:tab w:leader="none" w:pos="1941"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shall be exercisable during its term in accordance with the Vesting Schedule set out in the Notice of Stock Option Grant and with the applicable provisions of the Plan and this Option Agreement.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This Option may not be exercised for a fraction of a Share.</w:t>
      </w:r>
    </w:p>
    <w:p>
      <w:pPr>
        <w:spacing w:after="0" w:line="225" w:lineRule="exact"/>
        <w:rPr>
          <w:rFonts w:ascii="Arial" w:cs="Arial" w:eastAsia="Arial" w:hAnsi="Arial"/>
          <w:sz w:val="18"/>
          <w:szCs w:val="18"/>
          <w:color w:val="auto"/>
        </w:rPr>
      </w:pPr>
    </w:p>
    <w:p>
      <w:pPr>
        <w:ind w:right="20" w:firstLine="1304"/>
        <w:spacing w:after="0" w:line="269" w:lineRule="auto"/>
        <w:tabs>
          <w:tab w:leader="none" w:pos="1955" w:val="left"/>
        </w:tabs>
        <w:numPr>
          <w:ilvl w:val="1"/>
          <w:numId w:val="385"/>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shall be exercisable by delivery of an exercise notice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“Exercise Notice”) or in a manner and pursuant to such procedures as the Committee may determine, which shall state the election to exercise the Option, the number of Shares with respect to which the Option is being exercised (the “Exercised Shares”), and such other representations and agreements as may be required by the Company. Prior to executing the Exercise Notice, Participant should review the Company’s information statement (the “Information Statement”), which contains, among other things, a description of the terms of the Plan, information about the risks associated with exercising the Option and the Company’s financial statements. The Information Statement can be accessed by logging into the Certent stock option portal accessible through Okta and looking under the tab labeled “Documents” or following alternative delivery instructions given to Participant in the future. (Participant should contact stockoptionhelp@crowdstrike.com if he or she has trouble accessing the Certent portal or has any other questions about accessing the Information Statement).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48" w:name="page449"/>
    <w:bookmarkEnd w:id="448"/>
    <w:p>
      <w:pPr>
        <w:ind w:right="40" w:firstLine="1296"/>
        <w:spacing w:after="0" w:line="275" w:lineRule="auto"/>
        <w:rPr>
          <w:sz w:val="20"/>
          <w:szCs w:val="20"/>
          <w:color w:val="auto"/>
        </w:rPr>
      </w:pPr>
      <w:r>
        <w:rPr>
          <w:rFonts w:ascii="Arial" w:cs="Arial" w:eastAsia="Arial" w:hAnsi="Arial"/>
          <w:sz w:val="17"/>
          <w:szCs w:val="17"/>
          <w:color w:val="auto"/>
        </w:rPr>
        <w:t>No Shares shall be issued pursuant to the exercise of an Option unless such issuance and such exercise comply with the requirements relating to the administration of equity-based awards under U.S. state corporate laws, U.S. federal and state securities laws, the Code, any stock exchange or quotation system on which the Stock is listed or quoted and the applicable laws of any foreign country or jurisdiction where the Option has been granted under the Plan (the “Applicable Laws”). Assuming such compliance, for U.S. income tax purposes, the Shares shall be considered transferred to Participant on the date on which the Option is exercised with respect to such Shares.</w:t>
      </w:r>
    </w:p>
    <w:p>
      <w:pPr>
        <w:spacing w:after="0" w:line="176" w:lineRule="exact"/>
        <w:rPr>
          <w:sz w:val="20"/>
          <w:szCs w:val="20"/>
          <w:color w:val="auto"/>
        </w:rPr>
      </w:pPr>
    </w:p>
    <w:p>
      <w:pPr>
        <w:ind w:right="120" w:firstLine="656"/>
        <w:spacing w:after="0" w:line="301" w:lineRule="auto"/>
        <w:tabs>
          <w:tab w:leader="none" w:pos="1296"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Participant’s Representations</w:t>
      </w:r>
      <w:r>
        <w:rPr>
          <w:rFonts w:ascii="Arial" w:cs="Arial" w:eastAsia="Arial" w:hAnsi="Arial"/>
          <w:sz w:val="16"/>
          <w:szCs w:val="16"/>
          <w:color w:val="auto"/>
        </w:rPr>
        <w:t xml:space="preserve">. In the event the Shares have not been registered under the U.S.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Further, Participant shall, if required by the Company, execute a Stockholders’ Joinder Agreement in a form acceptable to the Company as a condition to exercise the Option.</w:t>
      </w:r>
    </w:p>
    <w:p>
      <w:pPr>
        <w:spacing w:after="0" w:line="157" w:lineRule="exact"/>
        <w:rPr>
          <w:rFonts w:ascii="Arial" w:cs="Arial" w:eastAsia="Arial" w:hAnsi="Arial"/>
          <w:sz w:val="16"/>
          <w:szCs w:val="16"/>
          <w:color w:val="auto"/>
        </w:rPr>
      </w:pPr>
    </w:p>
    <w:p>
      <w:pPr>
        <w:ind w:right="40" w:firstLine="656"/>
        <w:spacing w:after="0" w:line="279" w:lineRule="auto"/>
        <w:tabs>
          <w:tab w:leader="none" w:pos="1296"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Proxy and Power of Attorney</w:t>
      </w:r>
      <w:r>
        <w:rPr>
          <w:rFonts w:ascii="Arial" w:cs="Arial" w:eastAsia="Arial" w:hAnsi="Arial"/>
          <w:sz w:val="17"/>
          <w:szCs w:val="17"/>
          <w:color w:val="auto"/>
        </w:rPr>
        <w:t xml:space="preserve">. Notwithstanding anything herein to the contrary, and as a condition precedent to the receipt of the Option, Participant is required to execute and deliver to the Company an irrevocable proxy and power of attorney (the “Proxy”),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appointing as Participant’s proxy, attorney and agent, the Investors (or any designee or nominee of the Investors) as designated in </w:t>
      </w:r>
      <w:r>
        <w:rPr>
          <w:rFonts w:ascii="Arial" w:cs="Arial" w:eastAsia="Arial" w:hAnsi="Arial"/>
          <w:sz w:val="17"/>
          <w:szCs w:val="17"/>
          <w:u w:val="single" w:color="auto"/>
          <w:color w:val="auto"/>
        </w:rPr>
        <w:t>Exhibit C</w:t>
      </w:r>
      <w:r>
        <w:rPr>
          <w:rFonts w:ascii="Arial" w:cs="Arial" w:eastAsia="Arial" w:hAnsi="Arial"/>
          <w:sz w:val="17"/>
          <w:szCs w:val="17"/>
          <w:color w:val="auto"/>
        </w:rPr>
        <w:t>. Such Proxy shall terminate and be of no further force and effect upon the earlier of the IPO Date or the date of a Change in Control.</w:t>
      </w:r>
    </w:p>
    <w:p>
      <w:pPr>
        <w:spacing w:after="0" w:line="171" w:lineRule="exact"/>
        <w:rPr>
          <w:rFonts w:ascii="Arial" w:cs="Arial" w:eastAsia="Arial" w:hAnsi="Arial"/>
          <w:sz w:val="17"/>
          <w:szCs w:val="17"/>
          <w:color w:val="auto"/>
        </w:rPr>
      </w:pPr>
    </w:p>
    <w:p>
      <w:pPr>
        <w:ind w:right="40" w:firstLine="656"/>
        <w:spacing w:after="0" w:line="271" w:lineRule="auto"/>
        <w:tabs>
          <w:tab w:leader="none" w:pos="1296"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except as otherwise approved by the Committee or provided otherwise in Sections 8 and 9 of the Plan, Shares acquired by Participant pursuant to the exercise of this Option may not be Transferred or otherwise disposed of until the first to occur of (x) expiration of a one hundred eighty (180)-day period (or such other period as may be requested by the Company or the managing underwriter to accommodate regulatory restrictions on (A) the publication or other distribution of research reports and (B) analyst recommendations and opinions, including, but not limited to, the restrictions contained in FINRA Rule 2241 or any successor provisions or amendments thereto) following the IPO Date (the “Lock-Up Period”) or (y) the occurrence of a Change in Control. If requested by the underwriters managing any public offering, Participant shall execute a separate agreement to the foregoing effect. The Company may impose stop-transfer instructions with respect to the Shares subject to the foregoing restriction until the end of such Lock-Up Period.</w:t>
      </w:r>
    </w:p>
    <w:p>
      <w:pPr>
        <w:spacing w:after="0" w:line="178" w:lineRule="exact"/>
        <w:rPr>
          <w:rFonts w:ascii="Arial" w:cs="Arial" w:eastAsia="Arial" w:hAnsi="Arial"/>
          <w:sz w:val="17"/>
          <w:szCs w:val="17"/>
          <w:color w:val="auto"/>
        </w:rPr>
      </w:pPr>
    </w:p>
    <w:p>
      <w:pPr>
        <w:ind w:firstLine="656"/>
        <w:spacing w:after="0" w:line="255" w:lineRule="auto"/>
        <w:tabs>
          <w:tab w:leader="none" w:pos="1296"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The Company will issue the Shares with respect to which this Option is exercised upon payment of the Shares acquired in accordance with Section 5(d) of the Plan, which Section 5(d) is incorporated herein by reference and made a part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Participant wishes to use any method of payment other than in immediately available funds in United States dollars, or by certified or bank cashier’s check, Participant shall have received the prior written approval of the Committee or its designee approving such method of payment. Moreover, due to tax or regulatory considerations, certain methods of payment may be specifically required or prohibited for Participants in certain jurisdictions, as provided in Exhibit D to this Option Agreement.</w:t>
      </w:r>
    </w:p>
    <w:p>
      <w:pPr>
        <w:spacing w:after="0" w:line="192" w:lineRule="exact"/>
        <w:rPr>
          <w:rFonts w:ascii="Arial" w:cs="Arial" w:eastAsia="Arial" w:hAnsi="Arial"/>
          <w:sz w:val="18"/>
          <w:szCs w:val="18"/>
          <w:color w:val="auto"/>
        </w:rPr>
      </w:pPr>
    </w:p>
    <w:p>
      <w:pPr>
        <w:ind w:right="220" w:firstLine="656"/>
        <w:spacing w:after="0" w:line="263" w:lineRule="auto"/>
        <w:tabs>
          <w:tab w:leader="none" w:pos="1296"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Laws.</w:t>
      </w:r>
    </w:p>
    <w:p>
      <w:pPr>
        <w:spacing w:after="0" w:line="183" w:lineRule="exact"/>
        <w:rPr>
          <w:rFonts w:ascii="Arial" w:cs="Arial" w:eastAsia="Arial" w:hAnsi="Arial"/>
          <w:sz w:val="18"/>
          <w:szCs w:val="18"/>
          <w:color w:val="auto"/>
        </w:rPr>
      </w:pPr>
    </w:p>
    <w:p>
      <w:pPr>
        <w:ind w:right="140" w:firstLine="656"/>
        <w:spacing w:after="0" w:line="286" w:lineRule="auto"/>
        <w:tabs>
          <w:tab w:leader="none" w:pos="1296"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Except in connection with a Permitted Transfer of vested Options, this Option may not be transferred in any manner otherwise than by will or by the laws of descent or distribution and may be exercised during the lifetime of Participant only by Participant. Notwithstanding the foregoing, in the event of the Disability of Participant, this Option shall be exercisable by Participant’s duly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49" w:name="page450"/>
    <w:bookmarkEnd w:id="449"/>
    <w:p>
      <w:pPr>
        <w:ind w:right="160"/>
        <w:spacing w:after="0" w:line="277" w:lineRule="auto"/>
        <w:rPr>
          <w:sz w:val="20"/>
          <w:szCs w:val="20"/>
          <w:color w:val="auto"/>
        </w:rPr>
      </w:pPr>
      <w:r>
        <w:rPr>
          <w:rFonts w:ascii="Arial" w:cs="Arial" w:eastAsia="Arial" w:hAnsi="Arial"/>
          <w:sz w:val="18"/>
          <w:szCs w:val="18"/>
          <w:color w:val="auto"/>
        </w:rPr>
        <w:t>appointed guardian or legal representative to the extent it is exercisable by Participant. The terms of the Plan and this Option Agreement shall be binding upon the executors, administrators, heirs, successors and assigns of Participant.</w:t>
      </w:r>
    </w:p>
    <w:p>
      <w:pPr>
        <w:spacing w:after="0" w:line="170" w:lineRule="exact"/>
        <w:rPr>
          <w:sz w:val="20"/>
          <w:szCs w:val="20"/>
          <w:color w:val="auto"/>
        </w:rPr>
      </w:pPr>
    </w:p>
    <w:p>
      <w:pPr>
        <w:ind w:right="400" w:firstLine="656"/>
        <w:spacing w:after="0" w:line="277" w:lineRule="auto"/>
        <w:tabs>
          <w:tab w:leader="none" w:pos="1296"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prior to the Expiration Date set out in the Notice of Stock Option Grant, and may be exercised only in accordance with the Plan and the terms of this Option Agreement.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4"/>
        <w:spacing w:after="0" w:line="269" w:lineRule="auto"/>
        <w:tabs>
          <w:tab w:leader="none" w:pos="1617"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Responsibility for Taxes</w:t>
      </w:r>
      <w:r>
        <w:rPr>
          <w:rFonts w:ascii="Arial" w:cs="Arial" w:eastAsia="Arial" w:hAnsi="Arial"/>
          <w:sz w:val="17"/>
          <w:szCs w:val="17"/>
          <w:color w:val="auto"/>
        </w:rPr>
        <w:t>. Participant acknowledges that, regardless of any action taken by the Company or, if different, the Employer, the ultimate liability for all income tax, social insurance, payroll tax, fringe benefits tax, payment on account or other tax-related items related to his or her participation in the Plan and legally applicable to Participant (“Tax-Related Items”) is and remains Participant’s responsibility and may exceed the amount actually withheld by the Company or the Employer. Participant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he or she acknowledges that the Company and/or the Employer (or former employer, as applicable) may be required to withhold or account for Tax-Related Items in more than one jurisdiction.</w:t>
      </w:r>
    </w:p>
    <w:p>
      <w:pPr>
        <w:spacing w:after="0" w:line="18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Prior to any relevant taxable or tax withholding event, as applicable, Participant agrees to make adequate arrangements satisfactory to the Company and/or the Employer, as set forth in Section 17 of the Plan, to satisfy all Tax-Related Items. In this regard, Participant authorizes the Company and/or the Parent or any Subsidiary, including the Employer, or their respective agents, at their discretion, to satisfy the obligations with regard to all Tax-Related Items by withholding from: (i) a cash payment paid by Participant, (ii) Participant’s wages or other cash compensation paid to Participant by the Company and/or the Parent or Subsidiary, (iii) proceeds of the sale of Shares acquired at exercise of the Option either through a cashless exercise (provided that a public market for the common stock exists) or other voluntary sale or through a mandatory sale arranged by the Company (on Participant’s behalf pursuant to this authorization) without further consent and/or (iv) if approved by the Committee, the Shares to be issued upon exercise.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may withhold or account for Tax-Related Items by considering applicable minimum statutory withholding amounts or other applicable withholding rates, including up to the maximum applicable rate in Participant’s jurisdiction, to the extent permitted under the Plan. If a maximum rate has been used, Participant may receive a refund of any over-withheld amount in cash and will have no entitlement to the common stock equivalent. If the obligation for Tax-Related Items is satisfied by withholding in Shares, for tax purposes, Participant is deemed to have been issued the full number of Shares subject to the exercised Options, notwithstanding that a number of the Shares are held back solely for the purpose of paying the Tax-Related Items.</w:t>
      </w:r>
    </w:p>
    <w:p>
      <w:pPr>
        <w:spacing w:after="0" w:line="19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his or her obligations in connection with the Tax-Related Items.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0" w:name="page451"/>
    <w:bookmarkEnd w:id="450"/>
    <w:p>
      <w:pPr>
        <w:jc w:val="both"/>
        <w:ind w:right="200" w:firstLine="1304"/>
        <w:spacing w:after="0" w:line="279" w:lineRule="auto"/>
        <w:tabs>
          <w:tab w:leader="none" w:pos="1627" w:val="left"/>
        </w:tabs>
        <w:numPr>
          <w:ilvl w:val="1"/>
          <w:numId w:val="388"/>
        </w:numPr>
        <w:rPr>
          <w:rFonts w:ascii="Arial" w:cs="Arial" w:eastAsia="Arial" w:hAnsi="Arial"/>
          <w:sz w:val="17"/>
          <w:szCs w:val="17"/>
          <w:color w:val="auto"/>
        </w:rPr>
      </w:pPr>
      <w:r>
        <w:rPr>
          <w:rFonts w:ascii="Arial" w:cs="Arial" w:eastAsia="Arial" w:hAnsi="Arial"/>
          <w:sz w:val="17"/>
          <w:szCs w:val="17"/>
          <w:u w:val="single" w:color="auto"/>
          <w:color w:val="auto"/>
        </w:rPr>
        <w:t>Notice of Disqualifying Disposition of ISO Shares</w:t>
      </w:r>
      <w:r>
        <w:rPr>
          <w:rFonts w:ascii="Arial" w:cs="Arial" w:eastAsia="Arial" w:hAnsi="Arial"/>
          <w:sz w:val="17"/>
          <w:szCs w:val="17"/>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1" w:lineRule="exact"/>
        <w:rPr>
          <w:rFonts w:ascii="Arial" w:cs="Arial" w:eastAsia="Arial" w:hAnsi="Arial"/>
          <w:sz w:val="17"/>
          <w:szCs w:val="17"/>
          <w:color w:val="auto"/>
        </w:rPr>
      </w:pPr>
    </w:p>
    <w:p>
      <w:pPr>
        <w:ind w:firstLine="1304"/>
        <w:spacing w:after="0" w:line="270" w:lineRule="auto"/>
        <w:tabs>
          <w:tab w:leader="none" w:pos="1955" w:val="left"/>
        </w:tabs>
        <w:numPr>
          <w:ilvl w:val="1"/>
          <w:numId w:val="388"/>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xml:space="preserve"> Under Section 409A of the Code,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80" w:lineRule="exact"/>
        <w:rPr>
          <w:rFonts w:ascii="Arial" w:cs="Arial" w:eastAsia="Arial" w:hAnsi="Arial"/>
          <w:sz w:val="17"/>
          <w:szCs w:val="17"/>
          <w:color w:val="auto"/>
        </w:rPr>
      </w:pPr>
    </w:p>
    <w:p>
      <w:pPr>
        <w:ind w:left="1300" w:hanging="644"/>
        <w:spacing w:after="0"/>
        <w:tabs>
          <w:tab w:leader="none" w:pos="130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By accepting the grant, Participant acknowledges, understands and agrees that:</w:t>
      </w:r>
    </w:p>
    <w:p>
      <w:pPr>
        <w:spacing w:after="0" w:line="225" w:lineRule="exact"/>
        <w:rPr>
          <w:rFonts w:ascii="Arial" w:cs="Arial" w:eastAsia="Arial" w:hAnsi="Arial"/>
          <w:sz w:val="18"/>
          <w:szCs w:val="18"/>
          <w:color w:val="auto"/>
        </w:rPr>
      </w:pPr>
    </w:p>
    <w:p>
      <w:pPr>
        <w:ind w:firstLine="1304"/>
        <w:spacing w:after="0" w:line="277" w:lineRule="auto"/>
        <w:tabs>
          <w:tab w:leader="none" w:pos="161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right="220" w:firstLine="1304"/>
        <w:spacing w:after="0" w:line="277" w:lineRule="auto"/>
        <w:tabs>
          <w:tab w:leader="none" w:pos="162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70" w:lineRule="exact"/>
        <w:rPr>
          <w:rFonts w:ascii="Arial" w:cs="Arial" w:eastAsia="Arial" w:hAnsi="Arial"/>
          <w:sz w:val="18"/>
          <w:szCs w:val="18"/>
          <w:color w:val="auto"/>
        </w:rPr>
      </w:pPr>
    </w:p>
    <w:p>
      <w:pPr>
        <w:ind w:left="1640" w:hanging="336"/>
        <w:spacing w:after="0"/>
        <w:tabs>
          <w:tab w:leader="none" w:pos="164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all decisions with respect to future Option or other grants, if any, will be at the sole discretion of the Company;</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Option and any Shares acquired under the Plan are not intended to replace any pension rights or compensation;</w:t>
      </w:r>
    </w:p>
    <w:p>
      <w:pPr>
        <w:spacing w:after="0" w:line="225" w:lineRule="exact"/>
        <w:rPr>
          <w:rFonts w:ascii="Arial" w:cs="Arial" w:eastAsia="Arial" w:hAnsi="Arial"/>
          <w:sz w:val="18"/>
          <w:szCs w:val="18"/>
          <w:color w:val="auto"/>
        </w:rPr>
      </w:pPr>
    </w:p>
    <w:p>
      <w:pPr>
        <w:ind w:right="340" w:firstLine="1304"/>
        <w:spacing w:after="0" w:line="286" w:lineRule="auto"/>
        <w:tabs>
          <w:tab w:leader="none" w:pos="1624" w:val="left"/>
        </w:tabs>
        <w:numPr>
          <w:ilvl w:val="1"/>
          <w:numId w:val="389"/>
        </w:numPr>
        <w:rPr>
          <w:rFonts w:ascii="Arial" w:cs="Arial" w:eastAsia="Arial" w:hAnsi="Arial"/>
          <w:sz w:val="17"/>
          <w:szCs w:val="17"/>
          <w:color w:val="auto"/>
        </w:rPr>
      </w:pPr>
      <w:r>
        <w:rPr>
          <w:rFonts w:ascii="Arial" w:cs="Arial" w:eastAsia="Arial" w:hAnsi="Arial"/>
          <w:sz w:val="17"/>
          <w:szCs w:val="17"/>
          <w:color w:val="auto"/>
        </w:rPr>
        <w:t>the Option and any Shares acquired under the Plan and the income from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65" w:lineRule="exact"/>
        <w:rPr>
          <w:rFonts w:ascii="Arial" w:cs="Arial" w:eastAsia="Arial" w:hAnsi="Arial"/>
          <w:sz w:val="17"/>
          <w:szCs w:val="17"/>
          <w:color w:val="auto"/>
        </w:rPr>
      </w:pPr>
    </w:p>
    <w:p>
      <w:pPr>
        <w:ind w:left="1640" w:hanging="336"/>
        <w:spacing w:after="0"/>
        <w:tabs>
          <w:tab w:leader="none" w:pos="164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indeterminable, and cannot be predicted with certainty;</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if the underlying Shares do not increase in value, the Option will have no value;</w:t>
      </w:r>
    </w:p>
    <w:p>
      <w:pPr>
        <w:spacing w:after="0" w:line="225" w:lineRule="exact"/>
        <w:rPr>
          <w:rFonts w:ascii="Arial" w:cs="Arial" w:eastAsia="Arial" w:hAnsi="Arial"/>
          <w:sz w:val="18"/>
          <w:szCs w:val="18"/>
          <w:color w:val="auto"/>
        </w:rPr>
      </w:pPr>
    </w:p>
    <w:p>
      <w:pPr>
        <w:ind w:left="1640" w:hanging="336"/>
        <w:spacing w:after="0"/>
        <w:tabs>
          <w:tab w:leader="none" w:pos="1640" w:val="left"/>
        </w:tabs>
        <w:numPr>
          <w:ilvl w:val="1"/>
          <w:numId w:val="389"/>
        </w:numPr>
        <w:rPr>
          <w:rFonts w:ascii="Arial" w:cs="Arial" w:eastAsia="Arial" w:hAnsi="Arial"/>
          <w:sz w:val="16"/>
          <w:szCs w:val="16"/>
          <w:color w:val="auto"/>
        </w:rPr>
      </w:pPr>
      <w:r>
        <w:rPr>
          <w:rFonts w:ascii="Arial" w:cs="Arial" w:eastAsia="Arial" w:hAnsi="Arial"/>
          <w:sz w:val="16"/>
          <w:szCs w:val="16"/>
          <w:color w:val="auto"/>
        </w:rPr>
        <w:t>if Participant exercises the Option and acquires Shares, the value of such Shares may increase or decrease, even below the Exercise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1" w:name="page452"/>
    <w:bookmarkEnd w:id="451"/>
    <w:p>
      <w:pPr>
        <w:ind w:firstLine="1304"/>
        <w:spacing w:after="0" w:line="263" w:lineRule="auto"/>
        <w:tabs>
          <w:tab w:leader="none" w:pos="1628" w:val="left"/>
        </w:tabs>
        <w:numPr>
          <w:ilvl w:val="1"/>
          <w:numId w:val="390"/>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Option resulting from the termination of Participant’s employment or other service relationship (for any reason whatsoever, whether or not later found to be invalid or in breach of employment laws in the jurisdiction where Participant is employed or the terms of his or her employment agreement, if any);</w:t>
      </w:r>
    </w:p>
    <w:p>
      <w:pPr>
        <w:spacing w:after="0" w:line="183" w:lineRule="exact"/>
        <w:rPr>
          <w:rFonts w:ascii="Arial" w:cs="Arial" w:eastAsia="Arial" w:hAnsi="Arial"/>
          <w:sz w:val="18"/>
          <w:szCs w:val="18"/>
          <w:color w:val="auto"/>
        </w:rPr>
      </w:pPr>
    </w:p>
    <w:p>
      <w:pPr>
        <w:ind w:firstLine="1304"/>
        <w:spacing w:after="0" w:line="269" w:lineRule="auto"/>
        <w:tabs>
          <w:tab w:leader="none" w:pos="1627" w:val="left"/>
        </w:tabs>
        <w:numPr>
          <w:ilvl w:val="1"/>
          <w:numId w:val="390"/>
        </w:numPr>
        <w:rPr>
          <w:rFonts w:ascii="Arial" w:cs="Arial" w:eastAsia="Arial" w:hAnsi="Arial"/>
          <w:sz w:val="17"/>
          <w:szCs w:val="17"/>
          <w:color w:val="auto"/>
        </w:rPr>
      </w:pPr>
      <w:r>
        <w:rPr>
          <w:rFonts w:ascii="Arial" w:cs="Arial" w:eastAsia="Arial" w:hAnsi="Arial"/>
          <w:sz w:val="17"/>
          <w:szCs w:val="17"/>
          <w:color w:val="auto"/>
        </w:rPr>
        <w:t>for purposes of the Option, Participant’s employment or service relationship will be considered terminated as of the date he or she is no longer actively providing services to the Company, the Employer or any other Subsidiary of the Company (regardless of the reason for such termination and whether or not later found to be invalid or in breach of employment laws in the jurisdiction where Participant is employed or the terms of his or her employment agreement, if any), and unless otherwise expressly provided in this Option Agreement or determined by the Company, (i) Participant’s right to vest in the Option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employed or the terms of his or her employment agreement, if any); and (ii) the period (if any) during which Participant may exercise the Option after such termination of his or her employment or service relationship will commence on the date Participant ceases to actively provide services and will not be extended by any notice period mandated under employment laws in the jurisdiction where Participant is employed or the terms of Participant’s employment agreement, if any; the Committee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78" w:lineRule="exact"/>
        <w:rPr>
          <w:rFonts w:ascii="Arial" w:cs="Arial" w:eastAsia="Arial" w:hAnsi="Arial"/>
          <w:sz w:val="17"/>
          <w:szCs w:val="17"/>
          <w:color w:val="auto"/>
        </w:rPr>
      </w:pPr>
    </w:p>
    <w:p>
      <w:pPr>
        <w:ind w:right="40" w:firstLine="1304"/>
        <w:spacing w:after="0" w:line="342" w:lineRule="auto"/>
        <w:tabs>
          <w:tab w:leader="none" w:pos="1641" w:val="left"/>
        </w:tabs>
        <w:numPr>
          <w:ilvl w:val="1"/>
          <w:numId w:val="390"/>
        </w:numPr>
        <w:rPr>
          <w:rFonts w:ascii="Arial" w:cs="Arial" w:eastAsia="Arial" w:hAnsi="Arial"/>
          <w:sz w:val="16"/>
          <w:szCs w:val="16"/>
          <w:color w:val="auto"/>
        </w:rPr>
      </w:pPr>
      <w:r>
        <w:rPr>
          <w:rFonts w:ascii="Arial" w:cs="Arial" w:eastAsia="Arial" w:hAnsi="Arial"/>
          <w:sz w:val="16"/>
          <w:szCs w:val="16"/>
          <w:color w:val="auto"/>
        </w:rPr>
        <w:t>unless otherwise agreed with the Company, the Option and the Shares subject to the Option, and the income from and value of same, are not granted as consideration for, or in connection with, the service Participant may provide as a director of a Subsidiary of the Company; and</w:t>
      </w:r>
    </w:p>
    <w:p>
      <w:pPr>
        <w:spacing w:after="0" w:line="123" w:lineRule="exact"/>
        <w:rPr>
          <w:rFonts w:ascii="Arial" w:cs="Arial" w:eastAsia="Arial" w:hAnsi="Arial"/>
          <w:sz w:val="16"/>
          <w:szCs w:val="16"/>
          <w:color w:val="auto"/>
        </w:rPr>
      </w:pPr>
    </w:p>
    <w:p>
      <w:pPr>
        <w:ind w:right="220" w:firstLine="1304"/>
        <w:spacing w:after="0" w:line="263" w:lineRule="auto"/>
        <w:tabs>
          <w:tab w:leader="none" w:pos="1947" w:val="left"/>
        </w:tabs>
        <w:numPr>
          <w:ilvl w:val="1"/>
          <w:numId w:val="390"/>
        </w:numPr>
        <w:rPr>
          <w:rFonts w:ascii="Arial" w:cs="Arial" w:eastAsia="Arial" w:hAnsi="Arial"/>
          <w:sz w:val="18"/>
          <w:szCs w:val="18"/>
          <w:color w:val="auto"/>
        </w:rPr>
      </w:pPr>
      <w:r>
        <w:rPr>
          <w:rFonts w:ascii="Arial" w:cs="Arial" w:eastAsia="Arial" w:hAnsi="Arial"/>
          <w:sz w:val="18"/>
          <w:szCs w:val="18"/>
          <w:color w:val="auto"/>
        </w:rPr>
        <w:t>neither the Company, the Employer nor any other Subsidiary of the Company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83" w:lineRule="exact"/>
        <w:rPr>
          <w:rFonts w:ascii="Arial" w:cs="Arial" w:eastAsia="Arial" w:hAnsi="Arial"/>
          <w:sz w:val="18"/>
          <w:szCs w:val="18"/>
          <w:color w:val="auto"/>
        </w:rPr>
      </w:pPr>
    </w:p>
    <w:p>
      <w:pPr>
        <w:ind w:right="240" w:firstLine="656"/>
        <w:spacing w:after="0" w:line="259" w:lineRule="auto"/>
        <w:tabs>
          <w:tab w:leader="none" w:pos="1291"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his or her acquisition or sale of the underlying Shares. Participant understands and agrees that he or she consult with his or her own personal tax, legal and financial advisors regarding his or her participation in the Plan before taking any action related to the Plan.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91"/>
        </w:numPr>
        <w:rPr>
          <w:rFonts w:ascii="Arial" w:cs="Arial" w:eastAsia="Arial" w:hAnsi="Arial"/>
          <w:sz w:val="18"/>
          <w:szCs w:val="18"/>
          <w:color w:val="auto"/>
        </w:rPr>
      </w:pPr>
      <w:r>
        <w:rPr>
          <w:rFonts w:ascii="Arial" w:cs="Arial" w:eastAsia="Arial" w:hAnsi="Arial"/>
          <w:sz w:val="18"/>
          <w:szCs w:val="18"/>
          <w:b w:val="1"/>
          <w:bCs w:val="1"/>
          <w:i w:val="1"/>
          <w:iCs w:val="1"/>
          <w:color w:val="auto"/>
        </w:rPr>
        <w:t>Data Privacy.</w:t>
      </w:r>
    </w:p>
    <w:p>
      <w:pPr>
        <w:spacing w:after="0" w:line="225" w:lineRule="exact"/>
        <w:rPr>
          <w:sz w:val="20"/>
          <w:szCs w:val="20"/>
          <w:color w:val="auto"/>
        </w:rPr>
      </w:pPr>
    </w:p>
    <w:p>
      <w:pPr>
        <w:ind w:right="20" w:firstLine="656"/>
        <w:spacing w:after="0" w:line="255" w:lineRule="auto"/>
        <w:tabs>
          <w:tab w:leader="none" w:pos="1303" w:val="left"/>
        </w:tabs>
        <w:numPr>
          <w:ilvl w:val="0"/>
          <w:numId w:val="3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Collection and Usage</w:t>
      </w:r>
      <w:r>
        <w:rPr>
          <w:rFonts w:ascii="Arial" w:cs="Arial" w:eastAsia="Arial" w:hAnsi="Arial"/>
          <w:sz w:val="18"/>
          <w:szCs w:val="18"/>
          <w:b w:val="1"/>
          <w:bCs w:val="1"/>
          <w:i w:val="1"/>
          <w:iCs w:val="1"/>
          <w:color w:val="auto"/>
        </w:rPr>
        <w:t>. The Company collects, processes and uses personal data about Participant, including but not limited to, Participant’s name, home address, email address and telephone number, date of birth, social insurance number, passport or other identification number, salary, nationality, job title, any Shares or directorships held in the Company, details of all options or any other entitlement to Shares awarded, canceled, exercised, vested, unvested or outstanding in Participant’s favor, which the Company receives from Participant or the Employer. In order to participate in the Plan, the Company will collect Participant’s personal data for purposes of allocating Shares and implementing, administering and managing the Plan.</w:t>
      </w:r>
    </w:p>
    <w:p>
      <w:pPr>
        <w:spacing w:after="0" w:line="19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If Participant is based in the European Union (“EU”) or European Economic Area (“EEA”) the Company’s legal basis for the processing of Participant’s personal data is based on the necessity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2" w:name="page453"/>
    <w:bookmarkEnd w:id="452"/>
    <w:p>
      <w:pPr>
        <w:spacing w:after="0"/>
        <w:rPr>
          <w:sz w:val="20"/>
          <w:szCs w:val="20"/>
          <w:color w:val="auto"/>
        </w:rPr>
      </w:pPr>
      <w:r>
        <w:rPr>
          <w:rFonts w:ascii="Arial" w:cs="Arial" w:eastAsia="Arial" w:hAnsi="Arial"/>
          <w:sz w:val="18"/>
          <w:szCs w:val="18"/>
          <w:b w:val="1"/>
          <w:bCs w:val="1"/>
          <w:i w:val="1"/>
          <w:iCs w:val="1"/>
          <w:color w:val="auto"/>
        </w:rPr>
        <w:t>Company’s performance of its obligations under the Plan and pursuant to the Company’s legitimate business interests.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Participant is based in any other jurisdiction, the Company’s legal basis for the processing of Participant’s personal data is Participant’s consent, as further described below.</w:t>
      </w:r>
    </w:p>
    <w:p>
      <w:pPr>
        <w:spacing w:after="0" w:line="170" w:lineRule="exact"/>
        <w:rPr>
          <w:sz w:val="20"/>
          <w:szCs w:val="20"/>
          <w:color w:val="auto"/>
        </w:rPr>
      </w:pPr>
    </w:p>
    <w:p>
      <w:pPr>
        <w:ind w:right="40" w:firstLine="656"/>
        <w:spacing w:after="0" w:line="279" w:lineRule="auto"/>
        <w:tabs>
          <w:tab w:leader="none" w:pos="1303" w:val="left"/>
        </w:tabs>
        <w:numPr>
          <w:ilvl w:val="0"/>
          <w:numId w:val="39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Stock Plan Administration and Service Providers</w:t>
      </w:r>
      <w:r>
        <w:rPr>
          <w:rFonts w:ascii="Arial" w:cs="Arial" w:eastAsia="Arial" w:hAnsi="Arial"/>
          <w:sz w:val="17"/>
          <w:szCs w:val="17"/>
          <w:b w:val="1"/>
          <w:bCs w:val="1"/>
          <w:i w:val="1"/>
          <w:iCs w:val="1"/>
          <w:color w:val="auto"/>
        </w:rPr>
        <w:t>. The Company may transfer Participant’s data to one or more third party stock plan service providers based in the United States (“U.S.”), which may assist the Company with the implementation, administration and management of the Plan. Such service provider(s) may open an account for Participant to receive and trade Shares. Participant may be asked to acknowledge, or agree to, separate terms and data processing practices with the service provider(s).</w:t>
      </w:r>
    </w:p>
    <w:p>
      <w:pPr>
        <w:spacing w:after="0" w:line="171" w:lineRule="exact"/>
        <w:rPr>
          <w:rFonts w:ascii="Arial" w:cs="Arial" w:eastAsia="Arial" w:hAnsi="Arial"/>
          <w:sz w:val="17"/>
          <w:szCs w:val="17"/>
          <w:b w:val="1"/>
          <w:bCs w:val="1"/>
          <w:i w:val="1"/>
          <w:iCs w:val="1"/>
          <w:color w:val="auto"/>
        </w:rPr>
      </w:pPr>
    </w:p>
    <w:p>
      <w:pPr>
        <w:ind w:right="620" w:firstLine="656"/>
        <w:spacing w:after="0" w:line="277" w:lineRule="auto"/>
        <w:tabs>
          <w:tab w:leader="none" w:pos="1307" w:val="left"/>
        </w:tabs>
        <w:numPr>
          <w:ilvl w:val="0"/>
          <w:numId w:val="3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Participant’s personal data will be transferred from Participant’s country to the U.S., where the Company and its service providers are based.</w:t>
      </w:r>
    </w:p>
    <w:p>
      <w:pPr>
        <w:spacing w:after="0" w:line="170" w:lineRule="exact"/>
        <w:rPr>
          <w:sz w:val="20"/>
          <w:szCs w:val="20"/>
          <w:color w:val="auto"/>
        </w:rPr>
      </w:pPr>
    </w:p>
    <w:p>
      <w:pPr>
        <w:ind w:right="700"/>
        <w:spacing w:after="0" w:line="381" w:lineRule="auto"/>
        <w:rPr>
          <w:sz w:val="20"/>
          <w:szCs w:val="20"/>
          <w:color w:val="auto"/>
        </w:rPr>
      </w:pPr>
      <w:r>
        <w:rPr>
          <w:rFonts w:ascii="Arial" w:cs="Arial" w:eastAsia="Arial" w:hAnsi="Arial"/>
          <w:sz w:val="15"/>
          <w:szCs w:val="15"/>
          <w:b w:val="1"/>
          <w:bCs w:val="1"/>
          <w:i w:val="1"/>
          <w:iCs w:val="1"/>
          <w:color w:val="auto"/>
        </w:rPr>
        <w:t>If Participant is based in the EU/EEA, the Company’s legal basis for the transfer of Participant’s data to the U.S. is that it is authorized by the Company’s participation in the EU-U.S. Privacy Shield and its use of the standard data protection clauses adopted by the EU Commission.</w:t>
      </w:r>
    </w:p>
    <w:p>
      <w:pPr>
        <w:spacing w:after="0" w:line="1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Participant is based in any other jurisdiction, the Company’s legal basis for the transfer of Participant’s personal data to the U.S. is Participant’s consent, as further described below.</w:t>
      </w:r>
    </w:p>
    <w:p>
      <w:pPr>
        <w:spacing w:after="0" w:line="170" w:lineRule="exact"/>
        <w:rPr>
          <w:sz w:val="20"/>
          <w:szCs w:val="20"/>
          <w:color w:val="auto"/>
        </w:rPr>
      </w:pPr>
    </w:p>
    <w:p>
      <w:pPr>
        <w:ind w:firstLine="656"/>
        <w:spacing w:after="0" w:line="320" w:lineRule="auto"/>
        <w:tabs>
          <w:tab w:leader="none" w:pos="1303" w:val="left"/>
        </w:tabs>
        <w:numPr>
          <w:ilvl w:val="0"/>
          <w:numId w:val="39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Data Retention</w:t>
      </w:r>
      <w:r>
        <w:rPr>
          <w:rFonts w:ascii="Arial" w:cs="Arial" w:eastAsia="Arial" w:hAnsi="Arial"/>
          <w:sz w:val="15"/>
          <w:szCs w:val="15"/>
          <w:b w:val="1"/>
          <w:bCs w:val="1"/>
          <w:i w:val="1"/>
          <w:iCs w:val="1"/>
          <w:color w:val="auto"/>
        </w:rPr>
        <w:t>. The Company will use Participant’s personal data only as long as necessary to implement, administer and manage his or her participation in the Plan or as required to comply with legal or regulatory obligations, including under tax and securities laws. When the Company no longer needs Participant’s personal data, which will generally be seven (7) years after he or she participates in the Plan, the Company will remove it from its systems. If the Company keeps the data longer, it would be to satisfy legal or regulatory obligations and the Company’s legal basis would be relevant laws or regulations (if Participant is in the EU/EEA) and/or Participant’s consent (if Participant is outside the EU/EEA).</w:t>
      </w:r>
    </w:p>
    <w:p>
      <w:pPr>
        <w:spacing w:after="0" w:line="146" w:lineRule="exact"/>
        <w:rPr>
          <w:rFonts w:ascii="Arial" w:cs="Arial" w:eastAsia="Arial" w:hAnsi="Arial"/>
          <w:sz w:val="15"/>
          <w:szCs w:val="15"/>
          <w:b w:val="1"/>
          <w:bCs w:val="1"/>
          <w:i w:val="1"/>
          <w:iCs w:val="1"/>
          <w:color w:val="auto"/>
        </w:rPr>
      </w:pPr>
    </w:p>
    <w:p>
      <w:pPr>
        <w:ind w:right="20" w:firstLine="656"/>
        <w:spacing w:after="0" w:line="255" w:lineRule="auto"/>
        <w:tabs>
          <w:tab w:leader="none" w:pos="1307" w:val="left"/>
        </w:tabs>
        <w:numPr>
          <w:ilvl w:val="0"/>
          <w:numId w:val="3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he or she may have a number of rights under data privacy laws in Participant’s jurisdiction. Depending on where Participant is based, such rights may include the right to (i) request access or copies of personal data processed by the Company, (ii) rectification of incorrect data, (iii) deletion of data, (iv) restrictions on processing of data, (v) portability of data, (vi) lodge complaints with competent authorities in Participant’s jurisdiction, and/or (vii) receive a list with the names and addresses of any potential recipients of Participant’s personal data. To receive clarification regarding these rights or to exercise these rights, Participant can contact the Company’s data privacy officer.</w:t>
      </w:r>
    </w:p>
    <w:p>
      <w:pPr>
        <w:spacing w:after="0" w:line="192" w:lineRule="exact"/>
        <w:rPr>
          <w:rFonts w:ascii="Arial" w:cs="Arial" w:eastAsia="Arial" w:hAnsi="Arial"/>
          <w:sz w:val="18"/>
          <w:szCs w:val="18"/>
          <w:b w:val="1"/>
          <w:bCs w:val="1"/>
          <w:i w:val="1"/>
          <w:iCs w:val="1"/>
          <w:color w:val="auto"/>
        </w:rPr>
      </w:pPr>
    </w:p>
    <w:p>
      <w:pPr>
        <w:ind w:right="60" w:firstLine="656"/>
        <w:spacing w:after="0" w:line="290" w:lineRule="auto"/>
        <w:tabs>
          <w:tab w:leader="none" w:pos="1314" w:val="left"/>
        </w:tabs>
        <w:numPr>
          <w:ilvl w:val="0"/>
          <w:numId w:val="39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Privacy Consent</w:t>
      </w:r>
      <w:r>
        <w:rPr>
          <w:rFonts w:ascii="Arial" w:cs="Arial" w:eastAsia="Arial" w:hAnsi="Arial"/>
          <w:sz w:val="16"/>
          <w:szCs w:val="16"/>
          <w:b w:val="1"/>
          <w:bCs w:val="1"/>
          <w:i w:val="1"/>
          <w:iCs w:val="1"/>
          <w:color w:val="auto"/>
        </w:rPr>
        <w:t>. If Participant is located in a jurisdiction outside the EU/EEA, Participant hereby unambiguously consents to the collection, use and transfer, in electronic or other form, of his or her personal data, as described above and in any other grant materials, by and among, as applicable, the Employer, the Company and any affiliate for the exclusive purpose of implementing, administering and managing Participant’s participation in the Plan. Participant understands that he or she may, at any time, refuse or withdraw the consents herein, in any case without cost, by contacting in writing his or her human resources representative. If Participant does not consent or later seeks to revoke his or her consent, Participant’s employment status or service with the Employer will not be affected; the only consequence of refusing or withdrawing consent is that the Company would not be able to grant Options or other equity awards to Participant or administer or maintain such awards. Therefore, Participant understands that refusing or withdrawing consent may affect his or her ability to participate in the Plan.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3" w:name="page454"/>
    <w:bookmarkEnd w:id="453"/>
    <w:p>
      <w:pPr>
        <w:spacing w:after="0" w:line="277" w:lineRule="auto"/>
        <w:rPr>
          <w:sz w:val="20"/>
          <w:szCs w:val="20"/>
          <w:color w:val="auto"/>
        </w:rPr>
      </w:pPr>
      <w:r>
        <w:rPr>
          <w:rFonts w:ascii="Arial" w:cs="Arial" w:eastAsia="Arial" w:hAnsi="Arial"/>
          <w:sz w:val="18"/>
          <w:szCs w:val="18"/>
          <w:b w:val="1"/>
          <w:bCs w:val="1"/>
          <w:i w:val="1"/>
          <w:iCs w:val="1"/>
          <w:color w:val="auto"/>
        </w:rPr>
        <w:t>For more information on the consequences of refusal to consent or withdrawal of consent, Participant should contact his or her local human resources representative.</w:t>
      </w:r>
    </w:p>
    <w:p>
      <w:pPr>
        <w:spacing w:after="0" w:line="170" w:lineRule="exact"/>
        <w:rPr>
          <w:sz w:val="20"/>
          <w:szCs w:val="20"/>
          <w:color w:val="auto"/>
        </w:rPr>
      </w:pPr>
    </w:p>
    <w:p>
      <w:pPr>
        <w:ind w:right="100" w:firstLine="656"/>
        <w:spacing w:after="0" w:line="259" w:lineRule="auto"/>
        <w:tabs>
          <w:tab w:leader="none" w:pos="1291" w:val="left"/>
        </w:tabs>
        <w:numPr>
          <w:ilvl w:val="0"/>
          <w:numId w:val="395"/>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 and Venue</w:t>
      </w:r>
      <w:r>
        <w:rPr>
          <w:rFonts w:ascii="Arial" w:cs="Arial" w:eastAsia="Arial" w:hAnsi="Arial"/>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Agreement is governed by the internal substantive laws, but not the choice of law rules, of Delaware.</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Any and all disputes relating to, concerning or arising from this Option Agreement, or relating to, concerning or arising from the relationship between the parties evidenced by the Option or this Option Agreement, shall be brought and heard exclusively in the United States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77" w:lineRule="exact"/>
        <w:rPr>
          <w:sz w:val="20"/>
          <w:szCs w:val="20"/>
          <w:color w:val="auto"/>
        </w:rPr>
      </w:pPr>
    </w:p>
    <w:p>
      <w:pPr>
        <w:ind w:right="60" w:firstLine="656"/>
        <w:spacing w:after="0" w:line="311" w:lineRule="auto"/>
        <w:tabs>
          <w:tab w:leader="none" w:pos="1291"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8" w:lineRule="exact"/>
        <w:rPr>
          <w:rFonts w:ascii="Arial" w:cs="Arial" w:eastAsia="Arial" w:hAnsi="Arial"/>
          <w:sz w:val="16"/>
          <w:szCs w:val="16"/>
          <w:color w:val="auto"/>
        </w:rPr>
      </w:pPr>
    </w:p>
    <w:p>
      <w:pPr>
        <w:ind w:right="60" w:firstLine="656"/>
        <w:spacing w:after="0" w:line="342" w:lineRule="auto"/>
        <w:tabs>
          <w:tab w:leader="none" w:pos="1291"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If Participant has received this Option Agreement, or any other document related to the Option and/or the Plan translated into a language other than English and if the meaning of the translated version is different than the English version, the English version will control.</w:t>
      </w:r>
    </w:p>
    <w:p>
      <w:pPr>
        <w:spacing w:after="0" w:line="123" w:lineRule="exact"/>
        <w:rPr>
          <w:rFonts w:ascii="Arial" w:cs="Arial" w:eastAsia="Arial" w:hAnsi="Arial"/>
          <w:sz w:val="16"/>
          <w:szCs w:val="16"/>
          <w:color w:val="auto"/>
        </w:rPr>
      </w:pPr>
    </w:p>
    <w:p>
      <w:pPr>
        <w:ind w:right="280" w:firstLine="656"/>
        <w:spacing w:after="0" w:line="277" w:lineRule="auto"/>
        <w:tabs>
          <w:tab w:leader="none" w:pos="1291"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Option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ind w:right="40" w:firstLine="656"/>
        <w:spacing w:after="0" w:line="259" w:lineRule="auto"/>
        <w:tabs>
          <w:tab w:leader="none" w:pos="1291" w:val="left"/>
        </w:tabs>
        <w:numPr>
          <w:ilvl w:val="0"/>
          <w:numId w:val="396"/>
        </w:numPr>
        <w:rPr>
          <w:rFonts w:ascii="Arial" w:cs="Arial" w:eastAsia="Arial" w:hAnsi="Arial"/>
          <w:sz w:val="18"/>
          <w:szCs w:val="18"/>
          <w:color w:val="auto"/>
        </w:rPr>
      </w:pPr>
      <w:r>
        <w:rPr>
          <w:rFonts w:ascii="Arial" w:cs="Arial" w:eastAsia="Arial" w:hAnsi="Arial"/>
          <w:sz w:val="18"/>
          <w:szCs w:val="18"/>
          <w:u w:val="single" w:color="auto"/>
          <w:color w:val="auto"/>
        </w:rPr>
        <w:t>Country-Specific Provisions</w:t>
      </w:r>
      <w:r>
        <w:rPr>
          <w:rFonts w:ascii="Arial" w:cs="Arial" w:eastAsia="Arial" w:hAnsi="Arial"/>
          <w:sz w:val="18"/>
          <w:szCs w:val="18"/>
          <w:color w:val="auto"/>
        </w:rPr>
        <w:t>. The Option shall be subject to any special terms and conditions set forth in Exhibit D to this Option Agreement. Moreover, if Participant relocates to one of the countries included in Exhibit D, the special terms and conditions for such country will apply to Participant, to the extent the Company determines that the application of such terms and conditions is necessary or advisable for legal or administrative reasons.</w:t>
      </w:r>
    </w:p>
    <w:p>
      <w:pPr>
        <w:spacing w:after="0" w:line="186" w:lineRule="exact"/>
        <w:rPr>
          <w:rFonts w:ascii="Arial" w:cs="Arial" w:eastAsia="Arial" w:hAnsi="Arial"/>
          <w:sz w:val="18"/>
          <w:szCs w:val="18"/>
          <w:color w:val="auto"/>
        </w:rPr>
      </w:pPr>
    </w:p>
    <w:p>
      <w:pPr>
        <w:ind w:firstLine="656"/>
        <w:spacing w:after="0" w:line="311" w:lineRule="auto"/>
        <w:tabs>
          <w:tab w:leader="none" w:pos="1291"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Participant’s participation in the Plan, on the Option and on any Shares purchased upon exercise of the Option, to the extent the Company determines it is necessary or advisable for legal or administrative reasons, and to require Participant to sign any additional agreements or undertakings that may be necessary to accomplish the foregoing.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4" w:name="page455"/>
    <w:bookmarkEnd w:id="454"/>
    <w:p>
      <w:pPr>
        <w:ind w:left="-40" w:right="140" w:firstLine="656"/>
        <w:spacing w:after="0" w:line="342" w:lineRule="auto"/>
        <w:tabs>
          <w:tab w:leader="none" w:pos="1251" w:val="left"/>
        </w:tabs>
        <w:numPr>
          <w:ilvl w:val="0"/>
          <w:numId w:val="39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Participant acknowledges that a waiver by the Company of breach of any provision of this Option Agreement shall not operate or be construed as a waiver of any other provision of this Option Agreement, or of any subsequent breach by Participant or any other Participant.</w:t>
      </w:r>
    </w:p>
    <w:p>
      <w:pPr>
        <w:spacing w:after="0" w:line="123" w:lineRule="exact"/>
        <w:rPr>
          <w:rFonts w:ascii="Arial" w:cs="Arial" w:eastAsia="Arial" w:hAnsi="Arial"/>
          <w:sz w:val="16"/>
          <w:szCs w:val="16"/>
          <w:color w:val="auto"/>
        </w:rPr>
      </w:pPr>
    </w:p>
    <w:p>
      <w:pPr>
        <w:ind w:left="-40" w:right="40" w:firstLine="656"/>
        <w:spacing w:after="0" w:line="254" w:lineRule="auto"/>
        <w:tabs>
          <w:tab w:leader="none" w:pos="1251"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Participant may be subject to insider trading restrictions and/or market abuse laws in applicable jurisdictions including, but not limited to the United States and Participant’s country of residence, which may affect his or her ability to accept, acquire, sell or otherwise dispose of Shares or rights to Shares or rights linked to the value of Shares during such times as Participant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speak to his or her personal advisor on this matter.</w:t>
      </w:r>
    </w:p>
    <w:p>
      <w:pPr>
        <w:spacing w:after="0" w:line="194" w:lineRule="exact"/>
        <w:rPr>
          <w:rFonts w:ascii="Arial" w:cs="Arial" w:eastAsia="Arial" w:hAnsi="Arial"/>
          <w:sz w:val="18"/>
          <w:szCs w:val="18"/>
          <w:color w:val="auto"/>
        </w:rPr>
      </w:pPr>
    </w:p>
    <w:p>
      <w:pPr>
        <w:ind w:left="-40" w:right="20" w:firstLine="656"/>
        <w:spacing w:after="0" w:line="255" w:lineRule="auto"/>
        <w:tabs>
          <w:tab w:leader="none" w:pos="1251"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Foreign Asset/Account and Exchange Control Requirements</w:t>
      </w:r>
      <w:r>
        <w:rPr>
          <w:rFonts w:ascii="Arial" w:cs="Arial" w:eastAsia="Arial" w:hAnsi="Arial"/>
          <w:sz w:val="18"/>
          <w:szCs w:val="18"/>
          <w:color w:val="auto"/>
        </w:rPr>
        <w:t>. Participant acknowledges that there may be certain foreign asset and/or account reporting requirements or exchange control restrictions which may affect Participant’s ability to acquire or hold Shares or cash received from participating in the Plan (including the proceeds from the sale of Shares and any dividends paid on Shares) in a brokerage or bank account outside Participant’s country. Participant may be required to report such accounts, assets or related transactions to the tax, exchange control or other authorities in his or her country. Participant also may be required to repatriate sale proceeds or other funds received as a result of participating in the Plan to Participant’s country within a certain time after receipt.</w:t>
      </w:r>
    </w:p>
    <w:p>
      <w:pPr>
        <w:spacing w:after="0" w:line="192" w:lineRule="exact"/>
        <w:rPr>
          <w:rFonts w:ascii="Arial" w:cs="Arial" w:eastAsia="Arial" w:hAnsi="Arial"/>
          <w:sz w:val="18"/>
          <w:szCs w:val="18"/>
          <w:color w:val="auto"/>
        </w:rPr>
      </w:pPr>
    </w:p>
    <w:p>
      <w:pPr>
        <w:ind w:left="-40" w:firstLine="656"/>
        <w:spacing w:after="0" w:line="253" w:lineRule="auto"/>
        <w:tabs>
          <w:tab w:leader="none" w:pos="1251"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SHARES PURSUANT TO THE VESTING SCHEDULE HEREOF IS EARNED ONLY BY CONTINUING IN EMPLOYMENT OR SERVICE OF THE EMPLOYER AT THE WILL OF THE EMPLOYER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AN EMPLOYEE OR SERVICE PROVIDER OF THE EMPLOYER FOR THE VESTING PERIOD, FOR ANY PERIOD, OR AT ALL, AND SHALL NOT INTERFERE IN ANY WAY WITH PARTICIPANT’S RIGHT OR THE RIGHT OF THE EMPLOYER TO TERMINATE PARTICIPANT’S RELATIONSHIP AS AN EMPLOYEE OR SERVICE PROVIDER AT ANY TIME, WITH OR WITHOUT CAUSE.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1532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60" w:top="341" w:right="379" w:bottom="1440" w:gutter="0" w:footer="0" w:header="0"/>
        </w:sectPr>
      </w:pPr>
    </w:p>
    <w:bookmarkStart w:id="455" w:name="page456"/>
    <w:bookmarkEnd w:id="455"/>
    <w:p>
      <w:pPr>
        <w:ind w:right="60" w:firstLine="648"/>
        <w:spacing w:after="0" w:line="296"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Agreement in their entirety, has had an opportunity to obtain the advice of counsel prior to executing this Option Agreement and fully understands all provisions of the Option Agreement. Participant hereby agrees to accept as binding, conclusive and final all decisions or interpretations of the Committee upon any questions arising under the Plan or this Option Agreement. Participant further agrees to notify the Company upon any change in the residence address indicated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PARTICIPANT</w:t>
            </w:r>
          </w:p>
        </w:tc>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CROWDSTRIKE HOLDINGS, INC.</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8"/>
                <w:szCs w:val="18"/>
                <w:color w:val="auto"/>
              </w:rPr>
              <w:t>Signature</w:t>
            </w:r>
          </w:p>
        </w:tc>
        <w:tc>
          <w:tcPr>
            <w:tcW w:w="1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By</w:t>
            </w: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300" w:type="dxa"/>
            <w:vAlign w:val="bottom"/>
          </w:tcPr>
          <w:p>
            <w:pPr>
              <w:spacing w:after="0"/>
              <w:rPr>
                <w:sz w:val="20"/>
                <w:szCs w:val="20"/>
                <w:color w:val="auto"/>
              </w:rPr>
            </w:pPr>
            <w:r>
              <w:rPr>
                <w:rFonts w:ascii="Arial" w:cs="Arial" w:eastAsia="Arial" w:hAnsi="Arial"/>
                <w:sz w:val="18"/>
                <w:szCs w:val="18"/>
                <w:color w:val="auto"/>
              </w:rPr>
              <w:t>Print Name</w:t>
            </w:r>
          </w:p>
        </w:tc>
        <w:tc>
          <w:tcPr>
            <w:tcW w:w="1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660" w:type="dxa"/>
            <w:vAlign w:val="bottom"/>
            <w:gridSpan w:val="2"/>
          </w:tcPr>
          <w:p>
            <w:pPr>
              <w:spacing w:after="0"/>
              <w:rPr>
                <w:sz w:val="20"/>
                <w:szCs w:val="20"/>
                <w:color w:val="auto"/>
              </w:rPr>
            </w:pPr>
            <w:r>
              <w:rPr>
                <w:rFonts w:ascii="Arial" w:cs="Arial" w:eastAsia="Arial" w:hAnsi="Arial"/>
                <w:sz w:val="18"/>
                <w:szCs w:val="18"/>
                <w:color w:val="auto"/>
              </w:rPr>
              <w:t>Residence Address</w:t>
            </w: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gridSpan w:val="4"/>
          </w:tcPr>
          <w:p>
            <w:pPr>
              <w:jc w:val="center"/>
              <w:ind w:left="530"/>
              <w:spacing w:after="0"/>
              <w:rPr>
                <w:sz w:val="20"/>
                <w:szCs w:val="20"/>
                <w:color w:val="auto"/>
              </w:rPr>
            </w:pPr>
            <w:r>
              <w:rPr>
                <w:rFonts w:ascii="Arial" w:cs="Arial" w:eastAsia="Arial" w:hAnsi="Arial"/>
                <w:sz w:val="18"/>
                <w:szCs w:val="18"/>
                <w:color w:val="auto"/>
                <w:w w:val="89"/>
              </w:rPr>
              <w:t>10</w:t>
            </w:r>
          </w:p>
        </w:tc>
        <w:tc>
          <w:tcPr>
            <w:tcW w:w="2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gridSpan w:val="3"/>
          </w:tcPr>
          <w:p>
            <w:pPr>
              <w:spacing w:after="0"/>
              <w:rPr>
                <w:sz w:val="11"/>
                <w:szCs w:val="11"/>
                <w:color w:val="auto"/>
              </w:rPr>
            </w:pPr>
          </w:p>
        </w:tc>
        <w:tc>
          <w:tcPr>
            <w:tcW w:w="246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496"/>
        </w:trPr>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80" w:type="dxa"/>
            <w:vAlign w:val="bottom"/>
            <w:gridSpan w:val="4"/>
          </w:tcPr>
          <w:p>
            <w:pPr>
              <w:jc w:val="center"/>
              <w:ind w:right="2460"/>
              <w:spacing w:after="0"/>
              <w:rPr>
                <w:sz w:val="20"/>
                <w:szCs w:val="20"/>
                <w:color w:val="auto"/>
              </w:rPr>
            </w:pPr>
            <w:r>
              <w:rPr>
                <w:rFonts w:ascii="Arial" w:cs="Arial" w:eastAsia="Arial" w:hAnsi="Arial"/>
                <w:sz w:val="18"/>
                <w:szCs w:val="18"/>
                <w:b w:val="1"/>
                <w:bCs w:val="1"/>
                <w:color w:val="auto"/>
              </w:rPr>
              <w:t>EXHIBIT A</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2011 STOCK INCENTIVE PLAN</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980" w:type="dxa"/>
            <w:vAlign w:val="bottom"/>
            <w:gridSpan w:val="5"/>
          </w:tcPr>
          <w:p>
            <w:pPr>
              <w:jc w:val="center"/>
              <w:ind w:right="1860"/>
              <w:spacing w:after="0"/>
              <w:rPr>
                <w:sz w:val="20"/>
                <w:szCs w:val="20"/>
                <w:color w:val="auto"/>
              </w:rPr>
            </w:pPr>
            <w:r>
              <w:rPr>
                <w:rFonts w:ascii="Arial" w:cs="Arial" w:eastAsia="Arial" w:hAnsi="Arial"/>
                <w:sz w:val="18"/>
                <w:szCs w:val="18"/>
                <w:b w:val="1"/>
                <w:bCs w:val="1"/>
                <w:color w:val="auto"/>
              </w:rPr>
              <w:t>EXERCISE NOTICE</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2660" w:type="dxa"/>
            <w:vAlign w:val="bottom"/>
            <w:gridSpan w:val="2"/>
          </w:tcPr>
          <w:p>
            <w:pPr>
              <w:spacing w:after="0"/>
              <w:rPr>
                <w:sz w:val="20"/>
                <w:szCs w:val="20"/>
                <w:color w:val="auto"/>
              </w:rPr>
            </w:pPr>
            <w:r>
              <w:rPr>
                <w:rFonts w:ascii="Arial" w:cs="Arial" w:eastAsia="Arial" w:hAnsi="Arial"/>
                <w:sz w:val="18"/>
                <w:szCs w:val="18"/>
                <w:color w:val="auto"/>
              </w:rPr>
              <w:t>CrowdStrike Holdings, Inc.</w:t>
            </w: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150 Mathilda Place</w:t>
            </w:r>
          </w:p>
        </w:tc>
        <w:tc>
          <w:tcPr>
            <w:tcW w:w="1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Suite 300</w:t>
            </w:r>
          </w:p>
        </w:tc>
        <w:tc>
          <w:tcPr>
            <w:tcW w:w="1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Sunnyvale, CA 94086</w:t>
            </w:r>
          </w:p>
        </w:tc>
        <w:tc>
          <w:tcPr>
            <w:tcW w:w="1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USA</w:t>
            </w:r>
          </w:p>
        </w:tc>
        <w:tc>
          <w:tcPr>
            <w:tcW w:w="1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Attention:</w:t>
            </w:r>
          </w:p>
        </w:tc>
        <w:tc>
          <w:tcPr>
            <w:tcW w:w="1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300" w:type="dxa"/>
            <w:vAlign w:val="bottom"/>
          </w:tcPr>
          <w:p>
            <w:pPr>
              <w:ind w:left="660"/>
              <w:spacing w:after="0"/>
              <w:rPr>
                <w:sz w:val="20"/>
                <w:szCs w:val="20"/>
                <w:color w:val="auto"/>
              </w:rPr>
            </w:pPr>
            <w:r>
              <w:rPr>
                <w:rFonts w:ascii="Arial" w:cs="Arial" w:eastAsia="Arial" w:hAnsi="Arial"/>
                <w:sz w:val="18"/>
                <w:szCs w:val="18"/>
                <w:color w:val="auto"/>
              </w:rPr>
              <w:t>1.</w:t>
            </w:r>
          </w:p>
        </w:tc>
        <w:tc>
          <w:tcPr>
            <w:tcW w:w="3260" w:type="dxa"/>
            <w:vAlign w:val="bottom"/>
            <w:gridSpan w:val="2"/>
          </w:tcPr>
          <w:p>
            <w:pPr>
              <w:spacing w:after="0"/>
              <w:rPr>
                <w:sz w:val="20"/>
                <w:szCs w:val="20"/>
                <w:color w:val="auto"/>
              </w:rPr>
            </w:pPr>
            <w:r>
              <w:rPr>
                <w:rFonts w:ascii="Arial" w:cs="Arial" w:eastAsia="Arial" w:hAnsi="Arial"/>
                <w:sz w:val="18"/>
                <w:szCs w:val="18"/>
                <w:color w:val="auto"/>
                <w:w w:val="99"/>
              </w:rPr>
              <w:t>Exercise of Option. Effective as of today,</w:t>
            </w:r>
          </w:p>
        </w:tc>
        <w:tc>
          <w:tcPr>
            <w:tcW w:w="6680" w:type="dxa"/>
            <w:vAlign w:val="bottom"/>
            <w:gridSpan w:val="6"/>
          </w:tcPr>
          <w:p>
            <w:pPr>
              <w:ind w:left="520"/>
              <w:spacing w:after="0"/>
              <w:rPr>
                <w:sz w:val="20"/>
                <w:szCs w:val="20"/>
                <w:color w:val="auto"/>
              </w:rPr>
            </w:pPr>
            <w:r>
              <w:rPr>
                <w:rFonts w:ascii="Arial" w:cs="Arial" w:eastAsia="Arial" w:hAnsi="Arial"/>
                <w:sz w:val="18"/>
                <w:szCs w:val="18"/>
                <w:color w:val="auto"/>
                <w:w w:val="96"/>
              </w:rPr>
              <w:t>,   , the undersigned (“Participant”) hereby elects to exercise Participant’s option</w:t>
            </w:r>
          </w:p>
        </w:tc>
        <w:tc>
          <w:tcPr>
            <w:tcW w:w="4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5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2660" w:type="dxa"/>
            <w:vAlign w:val="bottom"/>
            <w:gridSpan w:val="2"/>
          </w:tcPr>
          <w:p>
            <w:pPr>
              <w:spacing w:after="0"/>
              <w:rPr>
                <w:sz w:val="20"/>
                <w:szCs w:val="20"/>
                <w:color w:val="auto"/>
              </w:rPr>
            </w:pPr>
            <w:r>
              <w:rPr>
                <w:rFonts w:ascii="Arial" w:cs="Arial" w:eastAsia="Arial" w:hAnsi="Arial"/>
                <w:sz w:val="18"/>
                <w:szCs w:val="18"/>
                <w:color w:val="auto"/>
              </w:rPr>
              <w:t>(the “Option”) to purchase</w:t>
            </w:r>
          </w:p>
        </w:tc>
        <w:tc>
          <w:tcPr>
            <w:tcW w:w="8580" w:type="dxa"/>
            <w:vAlign w:val="bottom"/>
            <w:gridSpan w:val="7"/>
          </w:tcPr>
          <w:p>
            <w:pPr>
              <w:ind w:left="80"/>
              <w:spacing w:after="0"/>
              <w:rPr>
                <w:sz w:val="20"/>
                <w:szCs w:val="20"/>
                <w:color w:val="auto"/>
              </w:rPr>
            </w:pPr>
            <w:r>
              <w:rPr>
                <w:rFonts w:ascii="Arial" w:cs="Arial" w:eastAsia="Arial" w:hAnsi="Arial"/>
                <w:sz w:val="18"/>
                <w:szCs w:val="18"/>
                <w:color w:val="auto"/>
                <w:w w:val="91"/>
              </w:rPr>
              <w:t>shares of the common stock (the “Shares”) of CrowdStrike Holdings, Inc. (the “Company”) under and pursuant to the</w:t>
            </w:r>
          </w:p>
        </w:tc>
        <w:tc>
          <w:tcPr>
            <w:tcW w:w="40" w:type="dxa"/>
            <w:vAlign w:val="bottom"/>
          </w:tcPr>
          <w:p>
            <w:pPr>
              <w:spacing w:after="0"/>
              <w:rPr>
                <w:sz w:val="19"/>
                <w:szCs w:val="19"/>
                <w:color w:val="auto"/>
              </w:rPr>
            </w:pPr>
          </w:p>
        </w:tc>
      </w:tr>
      <w:tr>
        <w:trPr>
          <w:trHeight w:val="230"/>
        </w:trPr>
        <w:tc>
          <w:tcPr>
            <w:tcW w:w="8540" w:type="dxa"/>
            <w:vAlign w:val="bottom"/>
            <w:gridSpan w:val="8"/>
          </w:tcPr>
          <w:p>
            <w:pPr>
              <w:spacing w:after="0"/>
              <w:rPr>
                <w:sz w:val="20"/>
                <w:szCs w:val="20"/>
                <w:color w:val="auto"/>
              </w:rPr>
            </w:pPr>
            <w:r>
              <w:rPr>
                <w:rFonts w:ascii="Arial" w:cs="Arial" w:eastAsia="Arial" w:hAnsi="Arial"/>
                <w:sz w:val="18"/>
                <w:szCs w:val="18"/>
                <w:color w:val="auto"/>
                <w:w w:val="94"/>
              </w:rPr>
              <w:t>2011 Stock Incentive Plan, as amended as of the date hereof (the “Plan”) and the Stock Option Agreement dated</w:t>
            </w:r>
          </w:p>
        </w:tc>
        <w:tc>
          <w:tcPr>
            <w:tcW w:w="2700" w:type="dxa"/>
            <w:vAlign w:val="bottom"/>
          </w:tcPr>
          <w:p>
            <w:pPr>
              <w:ind w:left="220"/>
              <w:spacing w:after="0"/>
              <w:rPr>
                <w:sz w:val="20"/>
                <w:szCs w:val="20"/>
                <w:color w:val="auto"/>
              </w:rPr>
            </w:pPr>
            <w:r>
              <w:rPr>
                <w:rFonts w:ascii="Arial" w:cs="Arial" w:eastAsia="Arial" w:hAnsi="Arial"/>
                <w:sz w:val="18"/>
                <w:szCs w:val="18"/>
                <w:color w:val="auto"/>
              </w:rPr>
              <w:t>,    (the “Option Agreement”).</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-2564765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-2564765</wp:posOffset>
            </wp:positionV>
            <wp:extent cx="1270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580" w:firstLine="656"/>
        <w:spacing w:after="0" w:line="277" w:lineRule="auto"/>
        <w:tabs>
          <w:tab w:leader="none" w:pos="1296"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purchase price of the Shares, as set forth in the Option Agreement, and any and all withholding taxes due in connection with the exercise of the Option.</w:t>
      </w:r>
    </w:p>
    <w:p>
      <w:pPr>
        <w:spacing w:after="0" w:line="170" w:lineRule="exact"/>
        <w:rPr>
          <w:rFonts w:ascii="Arial" w:cs="Arial" w:eastAsia="Arial" w:hAnsi="Arial"/>
          <w:sz w:val="18"/>
          <w:szCs w:val="18"/>
          <w:color w:val="auto"/>
        </w:rPr>
      </w:pPr>
    </w:p>
    <w:p>
      <w:pPr>
        <w:ind w:right="460" w:firstLine="656"/>
        <w:spacing w:after="0" w:line="308" w:lineRule="auto"/>
        <w:tabs>
          <w:tab w:leader="none" w:pos="1296" w:val="left"/>
        </w:tabs>
        <w:numPr>
          <w:ilvl w:val="0"/>
          <w:numId w:val="398"/>
        </w:numPr>
        <w:rPr>
          <w:rFonts w:ascii="Arial" w:cs="Arial" w:eastAsia="Arial" w:hAnsi="Arial"/>
          <w:sz w:val="17"/>
          <w:szCs w:val="17"/>
          <w:color w:val="auto"/>
        </w:rPr>
      </w:pPr>
      <w:r>
        <w:rPr>
          <w:rFonts w:ascii="Arial" w:cs="Arial" w:eastAsia="Arial" w:hAnsi="Arial"/>
          <w:sz w:val="17"/>
          <w:szCs w:val="17"/>
          <w:u w:val="single" w:color="auto"/>
          <w:color w:val="auto"/>
        </w:rPr>
        <w:t>Representations of Participant</w:t>
      </w:r>
      <w:r>
        <w:rPr>
          <w:rFonts w:ascii="Arial" w:cs="Arial" w:eastAsia="Arial" w:hAnsi="Arial"/>
          <w:sz w:val="17"/>
          <w:szCs w:val="17"/>
          <w:color w:val="auto"/>
        </w:rPr>
        <w:t>. Participant acknowledges that Participant has received, read and understood the Plan and the Option Agreement and agrees to abide by and be bound by their terms and conditions. Further, Participant agrees to the following:</w:t>
      </w:r>
    </w:p>
    <w:p>
      <w:pPr>
        <w:spacing w:after="0" w:line="146" w:lineRule="exact"/>
        <w:rPr>
          <w:rFonts w:ascii="Arial" w:cs="Arial" w:eastAsia="Arial" w:hAnsi="Arial"/>
          <w:sz w:val="17"/>
          <w:szCs w:val="17"/>
          <w:color w:val="auto"/>
        </w:rPr>
      </w:pPr>
    </w:p>
    <w:p>
      <w:pPr>
        <w:ind w:right="280" w:firstLine="1304"/>
        <w:spacing w:after="0" w:line="286" w:lineRule="auto"/>
        <w:tabs>
          <w:tab w:leader="none" w:pos="1617" w:val="left"/>
        </w:tabs>
        <w:numPr>
          <w:ilvl w:val="1"/>
          <w:numId w:val="398"/>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 Statement</w:t>
      </w:r>
      <w:r>
        <w:rPr>
          <w:rFonts w:ascii="Arial" w:cs="Arial" w:eastAsia="Arial" w:hAnsi="Arial"/>
          <w:sz w:val="17"/>
          <w:szCs w:val="17"/>
          <w:color w:val="auto"/>
        </w:rPr>
        <w:t xml:space="preserve">. In the event the Shares have not been registered under the Securities Act of 1933, as amended (the “Securities Act”), at the time the Option is exercised, Participant shall, concurrently with the signing of this Exercise Notice, deliver to the Company Participant’s executed Investment Representation Statement,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Option Agreement.</w:t>
      </w:r>
    </w:p>
    <w:p>
      <w:pPr>
        <w:spacing w:after="0" w:line="165" w:lineRule="exact"/>
        <w:rPr>
          <w:rFonts w:ascii="Arial" w:cs="Arial" w:eastAsia="Arial" w:hAnsi="Arial"/>
          <w:sz w:val="17"/>
          <w:szCs w:val="17"/>
          <w:color w:val="auto"/>
        </w:rPr>
      </w:pPr>
    </w:p>
    <w:p>
      <w:pPr>
        <w:ind w:right="180" w:firstLine="1304"/>
        <w:spacing w:after="0" w:line="257" w:lineRule="auto"/>
        <w:tabs>
          <w:tab w:leader="none" w:pos="1627"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Proxy and Power of Attorney</w:t>
      </w:r>
      <w:r>
        <w:rPr>
          <w:rFonts w:ascii="Arial" w:cs="Arial" w:eastAsia="Arial" w:hAnsi="Arial"/>
          <w:sz w:val="18"/>
          <w:szCs w:val="18"/>
          <w:color w:val="auto"/>
        </w:rPr>
        <w:t xml:space="preserve">. Participant hereby acknowledges and agrees that until the earlier of the IPO Date or the date of a Change in Control, the Shares acquired by Participant upon the exercise of the Option shall be voted by an irrevocable proxy and power of attorney (the “Proxy”),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Option Agreement. Participant shall, concurrently with the signing of this Exercise Notice, deliver to the Company Participant’s executed Proxy. Such Proxy shall terminate and be of no further force and effect upon the earlier of the IPO Date or the date of a Change in Control.</w:t>
      </w:r>
    </w:p>
    <w:p>
      <w:pPr>
        <w:spacing w:after="0" w:line="187" w:lineRule="exact"/>
        <w:rPr>
          <w:rFonts w:ascii="Arial" w:cs="Arial" w:eastAsia="Arial" w:hAnsi="Arial"/>
          <w:sz w:val="18"/>
          <w:szCs w:val="18"/>
          <w:color w:val="auto"/>
        </w:rPr>
      </w:pPr>
    </w:p>
    <w:p>
      <w:pPr>
        <w:ind w:right="140" w:firstLine="1304"/>
        <w:spacing w:after="0" w:line="263" w:lineRule="auto"/>
        <w:tabs>
          <w:tab w:leader="none" w:pos="1631"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Stockholders’ Joinder Agreement</w:t>
      </w:r>
      <w:r>
        <w:rPr>
          <w:rFonts w:ascii="Arial" w:cs="Arial" w:eastAsia="Arial" w:hAnsi="Arial"/>
          <w:sz w:val="18"/>
          <w:szCs w:val="18"/>
          <w:color w:val="auto"/>
        </w:rPr>
        <w:t>. If required by the Company, Participant hereby agrees to enter into a Stockholders’ Joinder Agreement in a form acceptable to the Company as a condition to exercise the Option. Such form of Stockholders’ Joinder Agreement will be provided to Participant upon request.</w:t>
      </w:r>
    </w:p>
    <w:p>
      <w:pPr>
        <w:spacing w:after="0" w:line="183" w:lineRule="exact"/>
        <w:rPr>
          <w:rFonts w:ascii="Arial" w:cs="Arial" w:eastAsia="Arial" w:hAnsi="Arial"/>
          <w:sz w:val="18"/>
          <w:szCs w:val="18"/>
          <w:color w:val="auto"/>
        </w:rPr>
      </w:pPr>
    </w:p>
    <w:p>
      <w:pPr>
        <w:jc w:val="both"/>
        <w:ind w:right="960" w:firstLine="1304"/>
        <w:spacing w:after="0" w:line="263" w:lineRule="auto"/>
        <w:tabs>
          <w:tab w:leader="none" w:pos="1627"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Information Statement</w:t>
      </w:r>
      <w:r>
        <w:rPr>
          <w:rFonts w:ascii="Arial" w:cs="Arial" w:eastAsia="Arial" w:hAnsi="Arial"/>
          <w:sz w:val="18"/>
          <w:szCs w:val="18"/>
          <w:color w:val="auto"/>
        </w:rPr>
        <w:t>. If Participant is exercising an Option with a Date of Grant on or after June 30, 2017, Participant acknowledges receipt of the Information Statement as well as Participant’s agreement to keep the contents of the Information Statement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56" w:name="page457"/>
    <w:bookmarkEnd w:id="456"/>
    <w:p>
      <w:pPr>
        <w:ind w:left="-8" w:right="20" w:firstLine="656"/>
        <w:spacing w:after="0" w:line="257" w:lineRule="auto"/>
        <w:tabs>
          <w:tab w:leader="none" w:pos="1288" w:val="left"/>
        </w:tabs>
        <w:numPr>
          <w:ilvl w:val="1"/>
          <w:numId w:val="399"/>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12 of the Plan.</w:t>
      </w:r>
    </w:p>
    <w:p>
      <w:pPr>
        <w:spacing w:after="0" w:line="187" w:lineRule="exact"/>
        <w:rPr>
          <w:rFonts w:ascii="Arial" w:cs="Arial" w:eastAsia="Arial" w:hAnsi="Arial"/>
          <w:sz w:val="18"/>
          <w:szCs w:val="18"/>
          <w:color w:val="auto"/>
        </w:rPr>
      </w:pPr>
    </w:p>
    <w:p>
      <w:pPr>
        <w:ind w:left="-8" w:right="20" w:firstLine="656"/>
        <w:spacing w:after="0" w:line="277" w:lineRule="auto"/>
        <w:tabs>
          <w:tab w:leader="none" w:pos="1288" w:val="left"/>
        </w:tabs>
        <w:numPr>
          <w:ilvl w:val="1"/>
          <w:numId w:val="399"/>
        </w:numPr>
        <w:rPr>
          <w:rFonts w:ascii="Arial" w:cs="Arial" w:eastAsia="Arial" w:hAnsi="Arial"/>
          <w:sz w:val="18"/>
          <w:szCs w:val="18"/>
          <w:color w:val="auto"/>
        </w:rPr>
      </w:pPr>
      <w:r>
        <w:rPr>
          <w:rFonts w:ascii="Arial" w:cs="Arial" w:eastAsia="Arial" w:hAnsi="Arial"/>
          <w:sz w:val="18"/>
          <w:szCs w:val="18"/>
          <w:u w:val="single" w:color="auto"/>
          <w:color w:val="auto"/>
        </w:rPr>
        <w:t>Company’s Repurchase Right</w:t>
      </w:r>
      <w:r>
        <w:rPr>
          <w:rFonts w:ascii="Arial" w:cs="Arial" w:eastAsia="Arial" w:hAnsi="Arial"/>
          <w:sz w:val="18"/>
          <w:szCs w:val="18"/>
          <w:color w:val="auto"/>
        </w:rPr>
        <w:t>. The Shares will be subject to the Company’s Repurchase Right until the Repurchase Right Lapse Date, as set forth in Section 11 of the Plan.</w:t>
      </w:r>
    </w:p>
    <w:p>
      <w:pPr>
        <w:spacing w:after="0" w:line="170" w:lineRule="exact"/>
        <w:rPr>
          <w:rFonts w:ascii="Arial" w:cs="Arial" w:eastAsia="Arial" w:hAnsi="Arial"/>
          <w:sz w:val="18"/>
          <w:szCs w:val="18"/>
          <w:color w:val="auto"/>
        </w:rPr>
      </w:pPr>
    </w:p>
    <w:p>
      <w:pPr>
        <w:ind w:left="-8" w:firstLine="656"/>
        <w:spacing w:after="0" w:line="286" w:lineRule="auto"/>
        <w:tabs>
          <w:tab w:leader="none" w:pos="1288" w:val="left"/>
        </w:tabs>
        <w:numPr>
          <w:ilvl w:val="1"/>
          <w:numId w:val="399"/>
        </w:numPr>
        <w:rPr>
          <w:rFonts w:ascii="Arial" w:cs="Arial" w:eastAsia="Arial" w:hAnsi="Arial"/>
          <w:sz w:val="16"/>
          <w:szCs w:val="16"/>
          <w:color w:val="auto"/>
        </w:rPr>
      </w:pPr>
      <w:r>
        <w:rPr>
          <w:rFonts w:ascii="Arial" w:cs="Arial" w:eastAsia="Arial" w:hAnsi="Arial"/>
          <w:sz w:val="16"/>
          <w:szCs w:val="16"/>
          <w:u w:val="single" w:color="auto"/>
          <w:color w:val="auto"/>
        </w:rPr>
        <w:t>Prohibition on Transfers</w:t>
      </w:r>
      <w:r>
        <w:rPr>
          <w:rFonts w:ascii="Arial" w:cs="Arial" w:eastAsia="Arial" w:hAnsi="Arial"/>
          <w:sz w:val="16"/>
          <w:szCs w:val="16"/>
          <w:color w:val="auto"/>
        </w:rPr>
        <w:t>. The Shares will be subject to the prohibition on Transfers set forth in Section 10(a) of the Plan until the first to occur of (x) expiration of a one hundred eighty (180)-day period (or such other period as may be requested by the Company or the managing underwriter to accommodate regulatory restrictions on (A) the publication or other distribution of research reports and (B) analyst recommendations or opinions, including, but not limited to, the restrictions contained in FINRA Rule 2241,or any successor provisions or amendments thereto) following the IPO Date or</w:t>
      </w:r>
    </w:p>
    <w:p>
      <w:pPr>
        <w:spacing w:after="0" w:line="1" w:lineRule="exact"/>
        <w:rPr>
          <w:rFonts w:ascii="Arial" w:cs="Arial" w:eastAsia="Arial" w:hAnsi="Arial"/>
          <w:sz w:val="16"/>
          <w:szCs w:val="16"/>
          <w:color w:val="auto"/>
        </w:rPr>
      </w:pPr>
    </w:p>
    <w:p>
      <w:pPr>
        <w:jc w:val="both"/>
        <w:ind w:left="-8" w:right="560" w:firstLine="8"/>
        <w:spacing w:after="0" w:line="273" w:lineRule="auto"/>
        <w:tabs>
          <w:tab w:leader="none" w:pos="247"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occurrence of a Change in Control. Shares may be Transferred in connection with a Permitted Transfer pursuant to Section 10(c) of the Plan, provided that the Transferee agrees to be bound by the terms of the Plan and the Option Agreement as though no such Transfer had taken place, and provided that Participant has complied with all Applicable Laws in connection with such Transfer. Participant and the Transferee shall execute any documents reasonably required by the Committee to effectuate such Permitted Transfer.</w:t>
      </w:r>
    </w:p>
    <w:p>
      <w:pPr>
        <w:spacing w:after="0" w:line="176" w:lineRule="exact"/>
        <w:rPr>
          <w:rFonts w:ascii="Arial" w:cs="Arial" w:eastAsia="Arial" w:hAnsi="Arial"/>
          <w:sz w:val="17"/>
          <w:szCs w:val="17"/>
          <w:color w:val="auto"/>
        </w:rPr>
      </w:pPr>
    </w:p>
    <w:p>
      <w:pPr>
        <w:ind w:left="-8" w:right="560" w:firstLine="656"/>
        <w:spacing w:after="0" w:line="277" w:lineRule="auto"/>
        <w:tabs>
          <w:tab w:leader="none" w:pos="1288" w:val="left"/>
        </w:tabs>
        <w:numPr>
          <w:ilvl w:val="1"/>
          <w:numId w:val="400"/>
        </w:numPr>
        <w:rPr>
          <w:rFonts w:ascii="Arial" w:cs="Arial" w:eastAsia="Arial" w:hAnsi="Arial"/>
          <w:sz w:val="18"/>
          <w:szCs w:val="18"/>
          <w:color w:val="auto"/>
        </w:rPr>
      </w:pPr>
      <w:r>
        <w:rPr>
          <w:rFonts w:ascii="Arial" w:cs="Arial" w:eastAsia="Arial" w:hAnsi="Arial"/>
          <w:sz w:val="18"/>
          <w:szCs w:val="18"/>
          <w:u w:val="single" w:color="auto"/>
          <w:color w:val="auto"/>
        </w:rPr>
        <w:t>Drag-Along Right</w:t>
      </w:r>
      <w:r>
        <w:rPr>
          <w:rFonts w:ascii="Arial" w:cs="Arial" w:eastAsia="Arial" w:hAnsi="Arial"/>
          <w:sz w:val="18"/>
          <w:szCs w:val="18"/>
          <w:color w:val="auto"/>
        </w:rPr>
        <w:t>. Until the IPO Date, the Shares will be subject to the Drag-Along Right of the Majority Holders, as set forth in Section 10(b) of the Plan.</w:t>
      </w:r>
    </w:p>
    <w:p>
      <w:pPr>
        <w:spacing w:after="0" w:line="170" w:lineRule="exact"/>
        <w:rPr>
          <w:rFonts w:ascii="Arial" w:cs="Arial" w:eastAsia="Arial" w:hAnsi="Arial"/>
          <w:sz w:val="18"/>
          <w:szCs w:val="18"/>
          <w:color w:val="auto"/>
        </w:rPr>
      </w:pPr>
    </w:p>
    <w:p>
      <w:pPr>
        <w:ind w:left="-8" w:right="100" w:firstLine="656"/>
        <w:spacing w:after="0" w:line="263" w:lineRule="auto"/>
        <w:tabs>
          <w:tab w:leader="none" w:pos="1288" w:val="left"/>
        </w:tabs>
        <w:numPr>
          <w:ilvl w:val="1"/>
          <w:numId w:val="400"/>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83" w:lineRule="exact"/>
        <w:rPr>
          <w:rFonts w:ascii="Arial" w:cs="Arial" w:eastAsia="Arial" w:hAnsi="Arial"/>
          <w:sz w:val="18"/>
          <w:szCs w:val="18"/>
          <w:color w:val="auto"/>
        </w:rPr>
      </w:pPr>
    </w:p>
    <w:p>
      <w:pPr>
        <w:ind w:left="1292" w:hanging="644"/>
        <w:spacing w:after="0"/>
        <w:tabs>
          <w:tab w:leader="none" w:pos="1292" w:val="left"/>
        </w:tabs>
        <w:numPr>
          <w:ilvl w:val="1"/>
          <w:numId w:val="400"/>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340" w:firstLine="1304"/>
        <w:spacing w:after="0" w:line="263" w:lineRule="auto"/>
        <w:tabs>
          <w:tab w:leader="none" w:pos="1609" w:val="left"/>
        </w:tabs>
        <w:numPr>
          <w:ilvl w:val="2"/>
          <w:numId w:val="400"/>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4" w:lineRule="exact"/>
        <w:rPr>
          <w:sz w:val="20"/>
          <w:szCs w:val="20"/>
          <w:color w:val="auto"/>
        </w:rPr>
      </w:pPr>
    </w:p>
    <w:p>
      <w:pPr>
        <w:ind w:left="1292" w:right="200" w:hanging="15"/>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88" w:lineRule="exact"/>
        <w:rPr>
          <w:sz w:val="20"/>
          <w:szCs w:val="20"/>
          <w:color w:val="auto"/>
        </w:rPr>
      </w:pPr>
    </w:p>
    <w:p>
      <w:pPr>
        <w:ind w:left="1292" w:right="120" w:hanging="15"/>
        <w:spacing w:after="0" w:line="279" w:lineRule="auto"/>
        <w:rPr>
          <w:sz w:val="20"/>
          <w:szCs w:val="20"/>
          <w:color w:val="auto"/>
        </w:rPr>
      </w:pPr>
      <w:r>
        <w:rPr>
          <w:rFonts w:ascii="Arial" w:cs="Arial" w:eastAsia="Arial" w:hAnsi="Arial"/>
          <w:sz w:val="17"/>
          <w:szCs w:val="17"/>
          <w:color w:val="auto"/>
        </w:rPr>
        <w:t>THE SHARES REPRESENTED BY THIS CERTIFICATE ARE SUBJECT TO CERTAIN RESTRICTIONS ON TRANSFER AND A REPURCHASE RIGHT HELD BY THE ISSUER OF THESE SHARES OR ITS ASSIGNEE(S) AS SET FORTH IN THE EXERCISE NOTICE BETWEEN THE ISSUER OF THESE SHARES AND THE ORIGINAL HOLDER OF THESE SHARES, A COPY OF WHICH MAY BE OBTAINED AT THE PRINCIPAL OFFICE OF THE ISSUER OF THESE SHARES. SUCH TRANSFER</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457" w:name="page458"/>
    <w:bookmarkEnd w:id="457"/>
    <w:p>
      <w:pPr>
        <w:ind w:left="1260"/>
        <w:spacing w:after="0"/>
        <w:rPr>
          <w:sz w:val="20"/>
          <w:szCs w:val="20"/>
          <w:color w:val="auto"/>
        </w:rPr>
      </w:pPr>
      <w:r>
        <w:rPr>
          <w:rFonts w:ascii="Arial" w:cs="Arial" w:eastAsia="Arial" w:hAnsi="Arial"/>
          <w:sz w:val="18"/>
          <w:szCs w:val="18"/>
          <w:color w:val="auto"/>
        </w:rPr>
        <w:t>RESTRICTIONS AND REPURCHASE RIGHT ARE BINDING ON TRANSFEREES OF THESE SHARES.</w:t>
      </w:r>
    </w:p>
    <w:p>
      <w:pPr>
        <w:spacing w:after="0" w:line="225" w:lineRule="exact"/>
        <w:rPr>
          <w:sz w:val="20"/>
          <w:szCs w:val="20"/>
          <w:color w:val="auto"/>
        </w:rPr>
      </w:pPr>
    </w:p>
    <w:p>
      <w:pPr>
        <w:ind w:left="1280" w:right="20" w:hanging="15"/>
        <w:spacing w:after="0" w:line="257" w:lineRule="auto"/>
        <w:rPr>
          <w:sz w:val="20"/>
          <w:szCs w:val="20"/>
          <w:color w:val="auto"/>
        </w:rPr>
      </w:pPr>
      <w:r>
        <w:rPr>
          <w:rFonts w:ascii="Arial" w:cs="Arial" w:eastAsia="Arial" w:hAnsi="Arial"/>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8" w:lineRule="exact"/>
        <w:rPr>
          <w:sz w:val="20"/>
          <w:szCs w:val="20"/>
          <w:color w:val="auto"/>
        </w:rPr>
      </w:pPr>
    </w:p>
    <w:p>
      <w:pPr>
        <w:ind w:left="-20" w:right="40" w:firstLine="1304"/>
        <w:spacing w:after="0" w:line="263" w:lineRule="auto"/>
        <w:tabs>
          <w:tab w:leader="none" w:pos="1607"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ind w:left="-20" w:right="500" w:firstLine="1304"/>
        <w:spacing w:after="0" w:line="263" w:lineRule="auto"/>
        <w:tabs>
          <w:tab w:leader="none" w:pos="1611" w:val="left"/>
        </w:tabs>
        <w:numPr>
          <w:ilvl w:val="1"/>
          <w:numId w:val="401"/>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ind w:left="-20" w:right="20" w:firstLine="656"/>
        <w:spacing w:after="0" w:line="286" w:lineRule="auto"/>
        <w:tabs>
          <w:tab w:leader="none" w:pos="1271"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65" w:lineRule="exact"/>
        <w:rPr>
          <w:rFonts w:ascii="Arial" w:cs="Arial" w:eastAsia="Arial" w:hAnsi="Arial"/>
          <w:sz w:val="17"/>
          <w:szCs w:val="17"/>
          <w:color w:val="auto"/>
        </w:rPr>
      </w:pPr>
    </w:p>
    <w:p>
      <w:pPr>
        <w:ind w:left="-20" w:right="180" w:firstLine="656"/>
        <w:spacing w:after="0" w:line="263" w:lineRule="auto"/>
        <w:tabs>
          <w:tab w:leader="none" w:pos="1265"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Participant or by the Company forthwith to the Committee, which shall review such dispute at its next regular meeting. The resolution of such a dispute by the Committee shall be final and binding on all parties.</w:t>
      </w:r>
    </w:p>
    <w:p>
      <w:pPr>
        <w:spacing w:after="0" w:line="183" w:lineRule="exact"/>
        <w:rPr>
          <w:rFonts w:ascii="Arial" w:cs="Arial" w:eastAsia="Arial" w:hAnsi="Arial"/>
          <w:sz w:val="18"/>
          <w:szCs w:val="18"/>
          <w:color w:val="auto"/>
        </w:rPr>
      </w:pPr>
    </w:p>
    <w:p>
      <w:pPr>
        <w:ind w:left="-20" w:firstLine="656"/>
        <w:spacing w:after="0" w:line="289" w:lineRule="auto"/>
        <w:tabs>
          <w:tab w:leader="none" w:pos="1271" w:val="left"/>
        </w:tabs>
        <w:numPr>
          <w:ilvl w:val="0"/>
          <w:numId w:val="402"/>
        </w:numPr>
        <w:rPr>
          <w:rFonts w:ascii="Arial" w:cs="Arial" w:eastAsia="Arial" w:hAnsi="Arial"/>
          <w:sz w:val="16"/>
          <w:szCs w:val="16"/>
          <w:color w:val="auto"/>
        </w:rPr>
      </w:pPr>
      <w:r>
        <w:rPr>
          <w:rFonts w:ascii="Arial" w:cs="Arial" w:eastAsia="Arial" w:hAnsi="Arial"/>
          <w:sz w:val="16"/>
          <w:szCs w:val="16"/>
          <w:u w:val="single" w:color="auto"/>
          <w:color w:val="auto"/>
        </w:rPr>
        <w:t>Governing Law and Venue; Severability</w:t>
      </w:r>
      <w:r>
        <w:rPr>
          <w:rFonts w:ascii="Arial" w:cs="Arial" w:eastAsia="Arial" w:hAnsi="Arial"/>
          <w:sz w:val="16"/>
          <w:szCs w:val="16"/>
          <w:color w:val="auto"/>
        </w:rPr>
        <w:t>. This Exercise Notice is governed by the internal substantive laws, but not the choice of law rules, of Delaware. Any and all disputes relating to, concerning or arising from this Exercise Notice, or relating to, concerning or arising from the relationship between the parties evidenced by the Option or this Exercise Notice, shall be brought and heard exclusively in the United States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 In the event that any provision hereof becomes or is declared by a court of competent jurisdiction to be illegal, unenforceable or void, this Exercise Notice shall continue in full force and effect.</w:t>
      </w:r>
    </w:p>
    <w:p>
      <w:pPr>
        <w:spacing w:after="0" w:line="166" w:lineRule="exact"/>
        <w:rPr>
          <w:rFonts w:ascii="Arial" w:cs="Arial" w:eastAsia="Arial" w:hAnsi="Arial"/>
          <w:sz w:val="16"/>
          <w:szCs w:val="16"/>
          <w:color w:val="auto"/>
        </w:rPr>
      </w:pPr>
    </w:p>
    <w:p>
      <w:pPr>
        <w:ind w:left="-20" w:right="40" w:firstLine="656"/>
        <w:spacing w:after="0" w:line="286" w:lineRule="auto"/>
        <w:tabs>
          <w:tab w:leader="none" w:pos="1271"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the Investment Representation Statement, the Information Statement (if applicable) and the Proxy constitute the entire agreement of the parties with respect to the subject matter hereof and supersede in their entirety all prior undertakings and agreements of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458" w:name="page459"/>
    <w:bookmarkEnd w:id="458"/>
    <w:p>
      <w:pPr>
        <w:ind w:right="60"/>
        <w:spacing w:after="0" w:line="277" w:lineRule="auto"/>
        <w:rPr>
          <w:sz w:val="20"/>
          <w:szCs w:val="20"/>
          <w:color w:val="auto"/>
        </w:rPr>
      </w:pPr>
      <w:r>
        <w:rPr>
          <w:rFonts w:ascii="Arial" w:cs="Arial" w:eastAsia="Arial" w:hAnsi="Arial"/>
          <w:sz w:val="18"/>
          <w:szCs w:val="18"/>
          <w:color w:val="auto"/>
        </w:rPr>
        <w:t>Company and Participant with respect to the subject matter hereof, and may not be modified adversely to Participant’s interest except by means of a writing signed by the Company and Participant.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Submitted by:</w:t>
            </w:r>
          </w:p>
        </w:tc>
        <w:tc>
          <w:tcPr>
            <w:tcW w:w="5620" w:type="dxa"/>
            <w:vAlign w:val="bottom"/>
          </w:tcPr>
          <w:p>
            <w:pPr>
              <w:spacing w:after="0"/>
              <w:rPr>
                <w:sz w:val="20"/>
                <w:szCs w:val="20"/>
                <w:color w:val="auto"/>
              </w:rPr>
            </w:pPr>
            <w:r>
              <w:rPr>
                <w:rFonts w:ascii="Arial" w:cs="Arial" w:eastAsia="Arial" w:hAnsi="Arial"/>
                <w:sz w:val="18"/>
                <w:szCs w:val="18"/>
                <w:color w:val="auto"/>
              </w:rPr>
              <w:t>Accepted 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5620" w:type="dxa"/>
            <w:vAlign w:val="bottom"/>
          </w:tcPr>
          <w:p>
            <w:pPr>
              <w:spacing w:after="0"/>
              <w:rPr>
                <w:sz w:val="20"/>
                <w:szCs w:val="20"/>
                <w:color w:val="auto"/>
              </w:rPr>
            </w:pPr>
            <w:r>
              <w:rPr>
                <w:rFonts w:ascii="Arial" w:cs="Arial" w:eastAsia="Arial" w:hAnsi="Arial"/>
                <w:sz w:val="18"/>
                <w:szCs w:val="18"/>
                <w:color w:val="auto"/>
              </w:rPr>
              <w:t>CROWDSTRIKE HOLDINGS,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260" w:type="dxa"/>
            <w:vAlign w:val="bottom"/>
            <w:tcBorders>
              <w:bottom w:val="single" w:sz="8" w:color="auto"/>
            </w:tcBorders>
          </w:tcPr>
          <w:p>
            <w:pPr>
              <w:spacing w:after="0"/>
              <w:rPr>
                <w:sz w:val="24"/>
                <w:szCs w:val="24"/>
                <w:color w:val="auto"/>
              </w:rPr>
            </w:pPr>
          </w:p>
        </w:tc>
        <w:tc>
          <w:tcPr>
            <w:tcW w:w="360" w:type="dxa"/>
            <w:vAlign w:val="bottom"/>
            <w:vMerge w:val="restart"/>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60" w:type="dxa"/>
            <w:vAlign w:val="bottom"/>
          </w:tcPr>
          <w:p>
            <w:pPr>
              <w:spacing w:after="0"/>
              <w:rPr>
                <w:sz w:val="20"/>
                <w:szCs w:val="20"/>
                <w:color w:val="auto"/>
              </w:rPr>
            </w:pPr>
            <w:r>
              <w:rPr>
                <w:rFonts w:ascii="Arial" w:cs="Arial" w:eastAsia="Arial" w:hAnsi="Arial"/>
                <w:sz w:val="18"/>
                <w:szCs w:val="18"/>
                <w:color w:val="auto"/>
              </w:rPr>
              <w:t>Signature</w:t>
            </w:r>
          </w:p>
        </w:tc>
        <w:tc>
          <w:tcPr>
            <w:tcW w:w="360" w:type="dxa"/>
            <w:vAlign w:val="bottom"/>
            <w:vMerge w:val="continue"/>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260" w:type="dxa"/>
            <w:vAlign w:val="bottom"/>
            <w:tcBorders>
              <w:bottom w:val="single" w:sz="8" w:color="auto"/>
            </w:tcBorders>
          </w:tcPr>
          <w:p>
            <w:pPr>
              <w:spacing w:after="0"/>
              <w:rPr>
                <w:sz w:val="24"/>
                <w:szCs w:val="24"/>
                <w:color w:val="auto"/>
              </w:rPr>
            </w:pPr>
          </w:p>
        </w:tc>
        <w:tc>
          <w:tcPr>
            <w:tcW w:w="360" w:type="dxa"/>
            <w:vAlign w:val="bottom"/>
            <w:vMerge w:val="restart"/>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60" w:type="dxa"/>
            <w:vAlign w:val="bottom"/>
          </w:tcPr>
          <w:p>
            <w:pPr>
              <w:spacing w:after="0"/>
              <w:rPr>
                <w:sz w:val="20"/>
                <w:szCs w:val="20"/>
                <w:color w:val="auto"/>
              </w:rPr>
            </w:pPr>
            <w:r>
              <w:rPr>
                <w:rFonts w:ascii="Arial" w:cs="Arial" w:eastAsia="Arial" w:hAnsi="Arial"/>
                <w:sz w:val="18"/>
                <w:szCs w:val="18"/>
                <w:color w:val="auto"/>
              </w:rPr>
              <w:t>Print Name</w:t>
            </w:r>
          </w:p>
        </w:tc>
        <w:tc>
          <w:tcPr>
            <w:tcW w:w="360" w:type="dxa"/>
            <w:vAlign w:val="bottom"/>
            <w:vMerge w:val="continue"/>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Print Name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620" w:type="dxa"/>
            <w:vAlign w:val="bottom"/>
          </w:tcPr>
          <w:p>
            <w:pPr>
              <w:spacing w:after="0"/>
              <w:rPr>
                <w:sz w:val="20"/>
                <w:szCs w:val="20"/>
                <w:color w:val="auto"/>
              </w:rPr>
            </w:pPr>
            <w:r>
              <w:rPr>
                <w:rFonts w:ascii="Arial" w:cs="Arial" w:eastAsia="Arial" w:hAnsi="Arial"/>
                <w:sz w:val="18"/>
                <w:szCs w:val="18"/>
                <w:color w:val="auto"/>
              </w:rPr>
              <w:t>Address: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Date Received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59" w:name="page460"/>
    <w:bookmarkEnd w:id="459"/>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8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53"/>
        </w:trPr>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60" w:type="dxa"/>
            <w:vAlign w:val="bottom"/>
            <w:gridSpan w:val="3"/>
          </w:tcPr>
          <w:p>
            <w:pPr>
              <w:jc w:val="center"/>
              <w:ind w:left="123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PARTICIPANT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COMPANY</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360" w:type="dxa"/>
            <w:vAlign w:val="bottom"/>
            <w:gridSpan w:val="3"/>
          </w:tcPr>
          <w:p>
            <w:pPr>
              <w:ind w:left="260"/>
              <w:spacing w:after="0"/>
              <w:rPr>
                <w:sz w:val="20"/>
                <w:szCs w:val="20"/>
                <w:color w:val="auto"/>
              </w:rPr>
            </w:pPr>
            <w:r>
              <w:rPr>
                <w:rFonts w:ascii="Arial" w:cs="Arial" w:eastAsia="Arial" w:hAnsi="Arial"/>
                <w:sz w:val="18"/>
                <w:szCs w:val="18"/>
                <w:color w:val="auto"/>
              </w:rPr>
              <w:t>CROWDSTRIKE HOLDINGS, INC.</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SECURITY</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360" w:type="dxa"/>
            <w:vAlign w:val="bottom"/>
            <w:gridSpan w:val="3"/>
          </w:tcPr>
          <w:p>
            <w:pPr>
              <w:ind w:left="260"/>
              <w:spacing w:after="0"/>
              <w:rPr>
                <w:sz w:val="20"/>
                <w:szCs w:val="20"/>
                <w:color w:val="auto"/>
              </w:rPr>
            </w:pPr>
            <w:r>
              <w:rPr>
                <w:rFonts w:ascii="Arial" w:cs="Arial" w:eastAsia="Arial" w:hAnsi="Arial"/>
                <w:sz w:val="18"/>
                <w:szCs w:val="18"/>
                <w:color w:val="auto"/>
              </w:rPr>
              <w:t>COMMON STOCK</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AMOUNT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DATE</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purchase of the above-listed Securities, the undersigned Participant represents to the Company the following:</w:t>
      </w:r>
    </w:p>
    <w:p>
      <w:pPr>
        <w:spacing w:after="0" w:line="225" w:lineRule="exact"/>
        <w:rPr>
          <w:sz w:val="20"/>
          <w:szCs w:val="20"/>
          <w:color w:val="auto"/>
        </w:rPr>
      </w:pPr>
    </w:p>
    <w:p>
      <w:pPr>
        <w:ind w:firstLine="656"/>
        <w:spacing w:after="0" w:line="259" w:lineRule="auto"/>
        <w:tabs>
          <w:tab w:leader="none" w:pos="129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U.S. Securities Act of 1933, as amended (the “Securities Act”).</w:t>
      </w:r>
    </w:p>
    <w:p>
      <w:pPr>
        <w:spacing w:after="0" w:line="186" w:lineRule="exact"/>
        <w:rPr>
          <w:rFonts w:ascii="Arial" w:cs="Arial" w:eastAsia="Arial" w:hAnsi="Arial"/>
          <w:sz w:val="18"/>
          <w:szCs w:val="18"/>
          <w:color w:val="auto"/>
        </w:rPr>
      </w:pPr>
    </w:p>
    <w:p>
      <w:pPr>
        <w:ind w:firstLine="656"/>
        <w:spacing w:after="0" w:line="289" w:lineRule="auto"/>
        <w:tabs>
          <w:tab w:leader="none" w:pos="1303" w:val="left"/>
        </w:tabs>
        <w:numPr>
          <w:ilvl w:val="0"/>
          <w:numId w:val="403"/>
        </w:numPr>
        <w:rPr>
          <w:rFonts w:ascii="Arial" w:cs="Arial" w:eastAsia="Arial" w:hAnsi="Arial"/>
          <w:sz w:val="16"/>
          <w:szCs w:val="16"/>
          <w:color w:val="auto"/>
        </w:rPr>
      </w:pPr>
      <w:r>
        <w:rPr>
          <w:rFonts w:ascii="Arial" w:cs="Arial" w:eastAsia="Arial" w:hAnsi="Arial"/>
          <w:sz w:val="16"/>
          <w:szCs w:val="16"/>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federal or state securities laws.</w:t>
      </w:r>
    </w:p>
    <w:p>
      <w:pPr>
        <w:spacing w:after="0" w:line="166" w:lineRule="exact"/>
        <w:rPr>
          <w:rFonts w:ascii="Arial" w:cs="Arial" w:eastAsia="Arial" w:hAnsi="Arial"/>
          <w:sz w:val="16"/>
          <w:szCs w:val="16"/>
          <w:color w:val="auto"/>
        </w:rPr>
      </w:pPr>
    </w:p>
    <w:p>
      <w:pPr>
        <w:ind w:right="40" w:firstLine="656"/>
        <w:spacing w:after="0" w:line="290" w:lineRule="auto"/>
        <w:tabs>
          <w:tab w:leader="none" w:pos="1307" w:val="left"/>
        </w:tabs>
        <w:numPr>
          <w:ilvl w:val="0"/>
          <w:numId w:val="403"/>
        </w:numPr>
        <w:rPr>
          <w:rFonts w:ascii="Arial" w:cs="Arial" w:eastAsia="Arial" w:hAnsi="Arial"/>
          <w:sz w:val="16"/>
          <w:szCs w:val="16"/>
          <w:color w:val="auto"/>
        </w:rPr>
      </w:pPr>
      <w:r>
        <w:rPr>
          <w:rFonts w:ascii="Arial" w:cs="Arial" w:eastAsia="Arial" w:hAnsi="Arial"/>
          <w:sz w:val="16"/>
          <w:szCs w:val="16"/>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U.S. Securities Exchange Act of 1934, as amended (the “Exchange Act”)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60" w:name="page461"/>
    <w:bookmarkEnd w:id="460"/>
    <w:p>
      <w:pPr>
        <w:ind w:right="40"/>
        <w:spacing w:after="0" w:line="277" w:lineRule="auto"/>
        <w:rPr>
          <w:sz w:val="20"/>
          <w:szCs w:val="20"/>
          <w:color w:val="auto"/>
        </w:rPr>
      </w:pPr>
      <w:r>
        <w:rPr>
          <w:rFonts w:ascii="Arial" w:cs="Arial" w:eastAsia="Arial" w:hAnsi="Arial"/>
          <w:sz w:val="18"/>
          <w:szCs w:val="18"/>
          <w:color w:val="auto"/>
        </w:rPr>
        <w:t>“broker’s transaction”, transactions directly with a “market maker” or “riskless principal transactions” (as those terms are defined under the Exchange Act) and (4) the timely filing of a Form 144, if applicable.</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57" w:lineRule="exact"/>
        <w:rPr>
          <w:sz w:val="20"/>
          <w:szCs w:val="20"/>
          <w:color w:val="auto"/>
        </w:rPr>
      </w:pPr>
    </w:p>
    <w:p>
      <w:pPr>
        <w:ind w:right="20" w:firstLine="656"/>
        <w:spacing w:after="0" w:line="293" w:lineRule="auto"/>
        <w:tabs>
          <w:tab w:leader="none" w:pos="1303" w:val="left"/>
        </w:tabs>
        <w:numPr>
          <w:ilvl w:val="0"/>
          <w:numId w:val="404"/>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Rules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1" w:name="page462"/>
    <w:bookmarkEnd w:id="461"/>
    <w:p>
      <w:pPr>
        <w:jc w:val="center"/>
        <w:ind w:right="-5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IRREVOCABLE PROXY AND POWER OF ATTORNEY</w:t>
      </w:r>
    </w:p>
    <w:p>
      <w:pPr>
        <w:spacing w:after="0" w:line="22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undersigned, as owner or the beneficial owner or the future owner of securities of CrowdStrike Holdings, Inc. (the “Company”) described below, hereby irrevocably appoints the Investors (as this term is defined in the Company’s 2011 Stock Incentive Plan, as amended as of the date hereof (the “Plan”)), as the undersigned’s proxy and attorney-in-fact, with respect to any and all aspects of the undersigned’s shareholdings in the Company.</w:t>
      </w:r>
    </w:p>
    <w:p>
      <w:pPr>
        <w:spacing w:after="0" w:line="14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Without derogating from the generality of the aforesaid, the Investors shall be entitled to (i) vote or act by written consent with respect to the shares of stock of the Company (whether or not vested) now or hereafter owned by the undersigned (or any Transferee, as this term is defined in the Plan), including the right to sign the undersigned’s name, as a stockholder, to any consent, certificate, or other document relating to the Company that applicable law may require, in connection with any and all matters (other than any amendment to the Plan that would require stockholder approval), including, without limitation, the election of directors, and (ii) take any and all action necessary to sell or otherwise Transfer (as this term is defined in the Plan) any subject shares as contemplated by Section 10 of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Irrevocable Proxy and Power of Attorney is made pursuant to the Plan and the Option Agreement signed between the undersigned and the</w:t>
      </w:r>
    </w:p>
    <w:p>
      <w:pPr>
        <w:spacing w:after="0" w:line="46"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Company on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This Irrevocable Proxy and Power of Attorney is irrevocable as it may affect rights of third parties. The proxy holder will have the full power of substitution and revocation. All authority herein conferred shall survive the death or incapacity of the undersigned and any obligation of the undersigned hereunder shall be binding upon the heirs, personal representatives, successors and assigns of the undersigned.</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Irrevocable Proxy and Power of Attorney shall expire automatically and be of no further force and effect immediately upon the earlier of the IPO Date or the date of a Change in Control (as these terms are defined in the Plan).</w:t>
      </w:r>
    </w:p>
    <w:p>
      <w:pPr>
        <w:spacing w:after="0" w:line="170" w:lineRule="exact"/>
        <w:rPr>
          <w:sz w:val="20"/>
          <w:szCs w:val="20"/>
          <w:color w:val="auto"/>
        </w:rPr>
      </w:pPr>
    </w:p>
    <w:p>
      <w:pPr>
        <w:ind w:left="660"/>
        <w:spacing w:after="0"/>
        <w:tabs>
          <w:tab w:leader="none" w:pos="8620" w:val="left"/>
          <w:tab w:leader="none" w:pos="10100" w:val="left"/>
          <w:tab w:leader="none" w:pos="10420" w:val="left"/>
        </w:tabs>
        <w:rPr>
          <w:sz w:val="20"/>
          <w:szCs w:val="20"/>
          <w:color w:val="auto"/>
        </w:rPr>
      </w:pPr>
      <w:r>
        <w:rPr>
          <w:rFonts w:ascii="Arial" w:cs="Arial" w:eastAsia="Arial" w:hAnsi="Arial"/>
          <w:sz w:val="17"/>
          <w:szCs w:val="17"/>
          <w:color w:val="auto"/>
        </w:rPr>
        <w:t>IN WITNESS WHEREOF, the undersigned has executed this Irrevocable Proxy and Power of Attorney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62" w:name="page463"/>
    <w:bookmarkEnd w:id="462"/>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STOCK 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COUNTRY-SPECIFIC PROVISIONS FOR PARTICIPANTS OUTSIDE THE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These Country-Specific Terms and Conditions (“Country-Specific Terms”) include additional terms and conditions that govern the Option granted to Participant under the Plan if he or is in one of the countries listed below. If Participant is a citizen or resident (or is considered as such for local law purposes) of a country other than the country in which Participant is currently residing and/or working, or if Participant relocates to another country after the grant of the Option, the Company shall, in its discretion, determine to what extent the Country-Specific Terms contained herein shall be applicable to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These Country-Specific Terms may also include information regarding exchange controls and certain other issues of which Participant should be aware with respect to participation in the Plan. The information is based on the securities, exchange control, and other laws in effect in the respective countries as of April 2018. Such laws are often complex and change frequently. As a result, the Company strongly recommends that Participant not rely on the information in these Country-Specific Terms as the only source of information relating to the consequences of his or her participation in the Plan because the information may be out of date at the time Participant exercises the Option or sells Shares acquired under the Plan.</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Participant’s situation.</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Finally, if Participant is a citizen or resident (or is considered as such for local law purposes) of a country other than the country in which Participant is currently residing and/or working, or if Participant relocates to another country after the grant of the Option, the notifications contained herein may not be applicable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3" w:name="page464"/>
    <w:bookmarkEnd w:id="463"/>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u w:val="single" w:color="auto"/>
          <w:color w:val="auto"/>
        </w:rPr>
        <w:t>Tax Information</w:t>
      </w:r>
      <w:r>
        <w:rPr>
          <w:rFonts w:ascii="Arial" w:cs="Arial" w:eastAsia="Arial" w:hAnsi="Arial"/>
          <w:sz w:val="18"/>
          <w:szCs w:val="18"/>
          <w:color w:val="auto"/>
        </w:rPr>
        <w:t>. The Plan is a plan to which Subdivision 83A-C of the Income Tax Assessment Act 1997 (Cth) applies (subject to the conditions in the Act).</w:t>
      </w:r>
    </w:p>
    <w:p>
      <w:pPr>
        <w:spacing w:after="0" w:line="17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If Participant acquires Shares pursuant to the Option and offers the Shares for sale to a person or entity resident in Australia, such offer may be subject to disclosure requirements under Australian law. Participant should obtain legal advice as to Participant’s disclosure obligations prior to making any such offer.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following provision supplements Section 6 of the Option Agreement: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Due to regulatory considerations in Canada, Participant is prohibited from surrendering Shares that Participant already owns or attesting to the ownership of Shares to pay the Exercise Price or any Tax-Related Items in connection with the Option.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The following provision replaces Section 11(k) of the Option Agreement: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purposes of this Option, Participant’s employment or service will be considered terminated as of the date that is the earlier of (i) the date of Participant’s termination, (ii) the date Participant receives notice of termination, or (iii) the date Participant is no longer actively providing services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active service would not include any contractual notice period or any period of “garden leave” or similar period mandated under Canadian laws or the terms of Participant’s employment agreement, if any), regardless of the reason for such termination and whether or not later found to be invalid or in breach of employment laws in the jurisdiction where Participant is employed or the terms of his or her employment agreement, if any; unless otherwise expressly provided in this Option Agreement or determined by the Company, (A) Participant’s right to vest in the Option under the Plan, if any, will terminate as of such date and (B) the period (if any) during which Participant may exercise the Option after such termination of his or her employment or service relationship will commence on such date; in the event that the date the Participant is no longer actively providing services cannot be reasonably determined under the terms of this Option Agreement and the Plan, the Committee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following provisions apply to residents of Quebec:</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u w:val="single" w:color="auto"/>
          <w:color w:val="auto"/>
        </w:rPr>
        <w:t>Language Consent</w:t>
      </w:r>
      <w:r>
        <w:rPr>
          <w:rFonts w:ascii="Arial" w:cs="Arial" w:eastAsia="Arial" w:hAnsi="Arial"/>
          <w:sz w:val="17"/>
          <w:szCs w:val="17"/>
          <w:color w:val="auto"/>
        </w:rPr>
        <w:t>. The parties acknowledge that it is their express wish that the Option Agreement, as well as all documents, notices and legal proceedings entered into, given or instituted pursuant hereto or relating directly or indirectly hereto, be drawn up in English.</w:t>
      </w:r>
    </w:p>
    <w:p>
      <w:pPr>
        <w:spacing w:after="0" w:line="1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u w:val="single" w:color="auto"/>
          <w:color w:val="auto"/>
        </w:rPr>
        <w:t>Consentement à la Langue Utilisée</w:t>
      </w:r>
      <w:r>
        <w:rPr>
          <w:rFonts w:ascii="Arial" w:cs="Arial" w:eastAsia="Arial" w:hAnsi="Arial"/>
          <w:sz w:val="18"/>
          <w:szCs w:val="18"/>
          <w:i w:val="1"/>
          <w:iCs w:val="1"/>
          <w:color w:val="auto"/>
        </w:rPr>
        <w:t>. Les parties reconnaissent avoir expressément souhaité que la convention, ainsi que tous les documents, avis et procédures judiciaires, exécutés, donnés ou intentés en vertu de, ou liés, directement ou indirectement à la présente convention, soient rédigés en langue anglaise.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The following provision supplements Section 13 of the Option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4" w:name="page465"/>
    <w:bookmarkEnd w:id="464"/>
    <w:p>
      <w:pPr>
        <w:ind w:right="60" w:firstLine="648"/>
        <w:spacing w:after="0" w:line="267" w:lineRule="auto"/>
        <w:rPr>
          <w:sz w:val="20"/>
          <w:szCs w:val="20"/>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7"/>
          <w:szCs w:val="17"/>
          <w:b w:val="1"/>
          <w:bCs w:val="1"/>
          <w:i w:val="1"/>
          <w:iCs w:val="1"/>
          <w:color w:val="auto"/>
        </w:rPr>
        <w:t>authorizes the Company and the Company’s representatives to discuss with and obtain all relevant information from all personnel,</w:t>
      </w:r>
      <w:r>
        <w:rPr>
          <w:rFonts w:ascii="Arial" w:cs="Arial" w:eastAsia="Arial" w:hAnsi="Arial"/>
          <w:sz w:val="18"/>
          <w:szCs w:val="18"/>
          <w:b w:val="1"/>
          <w:bCs w:val="1"/>
          <w:i w:val="1"/>
          <w:iCs w:val="1"/>
          <w:color w:val="auto"/>
        </w:rPr>
        <w:t xml:space="preserve"> </w:t>
      </w:r>
      <w:r>
        <w:rPr>
          <w:rFonts w:ascii="Arial" w:cs="Arial" w:eastAsia="Arial" w:hAnsi="Arial"/>
          <w:sz w:val="17"/>
          <w:szCs w:val="17"/>
          <w:b w:val="1"/>
          <w:bCs w:val="1"/>
          <w:i w:val="1"/>
          <w:iCs w:val="1"/>
          <w:color w:val="auto"/>
        </w:rPr>
        <w:t>professional or non-professional, involved with the administration of the Plan. Participant further authorizes the Company, any Parent or Subsidiary of the Company, the Employer, or any stock plan service provider as may be selected by the Company from time to time to assist with the Plan, to disclose and discuss the Plan with their advisors. Participant also authorizes the Company and the Employer to record such information and to keep such information in Participant’s employee file.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sale of Shares acquired under the Plan may not take place in Canada.</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u w:val="single" w:color="auto"/>
          <w:color w:val="auto"/>
        </w:rPr>
        <w:t>Foreign Asset and Account Reporting Information</w:t>
      </w:r>
      <w:r>
        <w:rPr>
          <w:rFonts w:ascii="Arial" w:cs="Arial" w:eastAsia="Arial" w:hAnsi="Arial"/>
          <w:sz w:val="17"/>
          <w:szCs w:val="17"/>
          <w:color w:val="auto"/>
        </w:rPr>
        <w:t>. Canadian residents are required to report their foreign specified property (</w:t>
      </w:r>
      <w:r>
        <w:rPr>
          <w:rFonts w:ascii="Arial" w:cs="Arial" w:eastAsia="Arial" w:hAnsi="Arial"/>
          <w:sz w:val="17"/>
          <w:szCs w:val="17"/>
          <w:i w:val="1"/>
          <w:iCs w:val="1"/>
          <w:color w:val="auto"/>
        </w:rPr>
        <w:t>e.g.</w:t>
      </w:r>
      <w:r>
        <w:rPr>
          <w:rFonts w:ascii="Arial" w:cs="Arial" w:eastAsia="Arial" w:hAnsi="Arial"/>
          <w:sz w:val="17"/>
          <w:szCs w:val="17"/>
          <w:color w:val="auto"/>
        </w:rPr>
        <w:t>, the Option, Shares) on form T1135 (Foreign Income Verification Statement) if the total cost of the foreign specified property exceeds C$100,000 at any time in the year. The Option must be reported - generally at a nil cost - if the C$100,000 threshold is exceeded because of other foreign specific property held by Participant. The Shares acquired under the Plan must be reported and their cost generally is the adjusted cost base (“ACB”) of the Shares. The ACB ordinarily would equal the fair market value of the Shares at the time of acquisition, but if such Canadian resident owns other Shares, this ACB may have to be averaged with the ACB of the other shares. The form T1135 generally must be filed by April 30 of the following year. Canadian residents should consult with a personal advisor to ensure compliance with the applicable reporting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Non-Tax-Qualified Option</w:t>
      </w:r>
      <w:r>
        <w:rPr>
          <w:rFonts w:ascii="Arial" w:cs="Arial" w:eastAsia="Arial" w:hAnsi="Arial"/>
          <w:sz w:val="18"/>
          <w:szCs w:val="18"/>
          <w:color w:val="auto"/>
        </w:rPr>
        <w:t>. The Option granted under the Option Agreement is not intended to be a French tax-qualified stock option.</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By accepting the Option, Participant confirms having read and understood the Plan and Option Agreement, including all terms and conditions included therein, which were provided in the English language. Participant accepts the terms of those documents accordingly.</w:t>
      </w:r>
    </w:p>
    <w:p>
      <w:pPr>
        <w:spacing w:after="0" w:line="124"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i w:val="1"/>
          <w:iCs w:val="1"/>
          <w:u w:val="single" w:color="auto"/>
          <w:color w:val="auto"/>
        </w:rPr>
        <w:t>Consentement à la Langue Utilisée</w:t>
      </w:r>
      <w:r>
        <w:rPr>
          <w:rFonts w:ascii="Arial" w:cs="Arial" w:eastAsia="Arial" w:hAnsi="Arial"/>
          <w:sz w:val="18"/>
          <w:szCs w:val="18"/>
          <w:i w:val="1"/>
          <w:iCs w:val="1"/>
          <w:color w:val="auto"/>
        </w:rPr>
        <w:t>. En acceptant l’Option, le Titulaire de l’Option confirme avoir lu et compris le Plan et le Contrat y relatifs, inclutant tous leurs termes et conditions, qui ont été transmis en langue anglaise. Le Titulaire de l’Option accepte les dispositions de ces documents en connaissance de cause.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German residents must report cross-border payments in excess of €12,500 on a monthly basis to the German Federal Bank (</w:t>
      </w:r>
      <w:r>
        <w:rPr>
          <w:rFonts w:ascii="Arial" w:cs="Arial" w:eastAsia="Arial" w:hAnsi="Arial"/>
          <w:sz w:val="16"/>
          <w:szCs w:val="16"/>
          <w:i w:val="1"/>
          <w:iCs w:val="1"/>
          <w:color w:val="auto"/>
        </w:rPr>
        <w:t>Bundesbank</w:t>
      </w:r>
      <w:r>
        <w:rPr>
          <w:rFonts w:ascii="Arial" w:cs="Arial" w:eastAsia="Arial" w:hAnsi="Arial"/>
          <w:sz w:val="16"/>
          <w:szCs w:val="16"/>
          <w:color w:val="auto"/>
        </w:rPr>
        <w:t>). In case of payments in connection with securities (including proceeds realized upon the sale of Shares), the report must be filed electronically by the 5th day of the month following the month in which the payment was received. The form of report (“</w:t>
      </w:r>
      <w:r>
        <w:rPr>
          <w:rFonts w:ascii="Arial" w:cs="Arial" w:eastAsia="Arial" w:hAnsi="Arial"/>
          <w:sz w:val="16"/>
          <w:szCs w:val="16"/>
          <w:i w:val="1"/>
          <w:iCs w:val="1"/>
          <w:color w:val="auto"/>
        </w:rPr>
        <w:t>Allgemeine Meldeportal</w:t>
      </w:r>
      <w:r>
        <w:rPr>
          <w:rFonts w:ascii="Arial" w:cs="Arial" w:eastAsia="Arial" w:hAnsi="Arial"/>
          <w:sz w:val="16"/>
          <w:szCs w:val="16"/>
          <w:color w:val="auto"/>
        </w:rPr>
        <w:t xml:space="preserve"> </w:t>
      </w:r>
      <w:r>
        <w:rPr>
          <w:rFonts w:ascii="Arial" w:cs="Arial" w:eastAsia="Arial" w:hAnsi="Arial"/>
          <w:sz w:val="16"/>
          <w:szCs w:val="16"/>
          <w:i w:val="1"/>
          <w:iCs w:val="1"/>
          <w:color w:val="auto"/>
        </w:rPr>
        <w:t>Statistik</w:t>
      </w:r>
      <w:r>
        <w:rPr>
          <w:rFonts w:ascii="Arial" w:cs="Arial" w:eastAsia="Arial" w:hAnsi="Arial"/>
          <w:sz w:val="16"/>
          <w:szCs w:val="16"/>
          <w:color w:val="auto"/>
        </w:rPr>
        <w:t>”) can be accessed via the Bundesbank’s website (www.bundesbank.de) and is available in both German and English.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following provision supplements Section 6 of the Option Agreement:</w:t>
      </w:r>
    </w:p>
    <w:p>
      <w:pPr>
        <w:spacing w:after="0" w:line="22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Due to legal considerations in India, payment of the Exercise Price and any Tax-Related Items withholding may not be made pursuant to a cashless “sell to cover” exercise whereby some, but not all, of the Shares purchased upon exercise of the Option are sold to pay the Exercise Price. The Company reserves the right to provide Participant with additional methods of payment in the future depending on the development of local law.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Indian residents are required to repatriate any funds realized under the Plan to India within prescribed periods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e.g.</w:t>
      </w:r>
      <w:r>
        <w:rPr>
          <w:rFonts w:ascii="Arial" w:cs="Arial" w:eastAsia="Arial" w:hAnsi="Arial"/>
          <w:sz w:val="16"/>
          <w:szCs w:val="16"/>
          <w:color w:val="auto"/>
        </w:rPr>
        <w:t>, within ninety (90) days of the receipt of proceeds from the sale of Shares, or such other period as may apply under applicable exchange control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may be amended from time to time). Participant should maintain any foreign inward remittance certificate (received from the bank where the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is deposited) in the event that the Reserve Bank of India or the Employer requests proof of repatriation.</w:t>
      </w:r>
    </w:p>
    <w:p>
      <w:pPr>
        <w:spacing w:after="0" w:line="21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u w:val="single" w:color="auto"/>
          <w:color w:val="auto"/>
        </w:rPr>
        <w:t>Foreign Asset and Account Reporting Information</w:t>
      </w:r>
      <w:r>
        <w:rPr>
          <w:rFonts w:ascii="Arial" w:cs="Arial" w:eastAsia="Arial" w:hAnsi="Arial"/>
          <w:sz w:val="18"/>
          <w:szCs w:val="18"/>
          <w:color w:val="auto"/>
        </w:rPr>
        <w:t>. Foreign bank accounts and any foreign financial assets (including Shares held outside India) must be declared by Indian residents in their annual tax return. Participant is responsible for complying with this reporting obligation to the extent it applies to Participant and should confer with Participant’s personal legal advisor in this regard.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u w:val="single" w:color="auto"/>
          <w:color w:val="auto"/>
        </w:rPr>
        <w:t>Director Notification Requirement</w:t>
      </w:r>
      <w:r>
        <w:rPr>
          <w:rFonts w:ascii="Arial" w:cs="Arial" w:eastAsia="Arial" w:hAnsi="Arial"/>
          <w:sz w:val="18"/>
          <w:szCs w:val="18"/>
          <w:color w:val="auto"/>
        </w:rPr>
        <w:t>. If Participant is a director, shadow director or secretary of an Irish Subsidiary and has a 1% or more shareholding interest in the Company, he or she must notify the Irish Subsidiary in writing upon receiving or disposing of an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Options, Shares) or upon becoming aware of the event giving rise to the notification requirement, or upon becoming a director, shadow director or secretary if such an interest exists at that time. This notification requirement also applies with respect to the interests of a spouse or minor child (whose interests will be attributed to the director, shadow director or secretary).</w:t>
      </w:r>
    </w:p>
    <w:p>
      <w:pPr>
        <w:sectPr>
          <w:pgSz w:w="11900" w:h="16838" w:orient="portrait"/>
          <w:cols w:equalWidth="0" w:num="1">
            <w:col w:w="11240"/>
          </w:cols>
          <w:pgMar w:left="320" w:top="341" w:right="339" w:bottom="0" w:gutter="0" w:footer="0" w:header="0"/>
        </w:sectPr>
      </w:pPr>
    </w:p>
    <w:bookmarkStart w:id="465" w:name="page466"/>
    <w:bookmarkEnd w:id="465"/>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u w:val="single" w:color="auto"/>
          <w:color w:val="auto"/>
        </w:rPr>
        <w:t>Plan Document Acknowledgment</w:t>
      </w:r>
      <w:r>
        <w:rPr>
          <w:rFonts w:ascii="Arial" w:cs="Arial" w:eastAsia="Arial" w:hAnsi="Arial"/>
          <w:sz w:val="18"/>
          <w:szCs w:val="18"/>
          <w:color w:val="auto"/>
        </w:rPr>
        <w:t>. By accepting the Option, Participant acknowledges that he or she has received a copy of the Plan, the Option Agreement including this Exhibit D and has reviewed the Plan, the Option Agreement including this Exhibit D in their entirety and fully accepts all provisions thereof. Participant further acknowledges that he or she has read and specifically and expressly approves the following provisions of the Option Agreement: (i) Responsibility for Taxes; (ii) Non-Transferability of Option; (iii) Language; (iv) Entire Agreement; Governing Law and Venue; and (v) Imposition of Other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u w:val="single" w:color="auto"/>
          <w:color w:val="auto"/>
        </w:rPr>
        <w:t>Foreign Asset and Account Reporting Information</w:t>
      </w:r>
      <w:r>
        <w:rPr>
          <w:rFonts w:ascii="Arial" w:cs="Arial" w:eastAsia="Arial" w:hAnsi="Arial"/>
          <w:sz w:val="18"/>
          <w:szCs w:val="18"/>
          <w:color w:val="auto"/>
        </w:rPr>
        <w:t>. Italian residents who, at any time during the fiscal year, hold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or Options) which may generate income taxable 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6" w:name="page467"/>
    <w:bookmarkEnd w:id="466"/>
    <w:p>
      <w:pPr>
        <w:jc w:val="both"/>
        <w:ind w:right="280"/>
        <w:spacing w:after="0" w:line="311" w:lineRule="auto"/>
        <w:rPr>
          <w:sz w:val="20"/>
          <w:szCs w:val="20"/>
          <w:color w:val="auto"/>
        </w:rPr>
      </w:pPr>
      <w:r>
        <w:rPr>
          <w:rFonts w:ascii="Arial" w:cs="Arial" w:eastAsia="Arial" w:hAnsi="Arial"/>
          <w:sz w:val="16"/>
          <w:szCs w:val="16"/>
          <w:color w:val="auto"/>
        </w:rPr>
        <w:t>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Participant should consult a personal legal advisor to ensure compliance with applicable reporting requirements.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remits an amount to purchase Shares in one transaction that exceeds ¥30,000,000, Participant is required to file a Payment Report with the Ministry of Finance through the Bank of Japan or the bank through which the payment is effected. If Participant intends to acquire Shares with a value in excess of ¥100,000,000 in a single transaction, Participant also must file an ex post facto Report Concerning Acquisition of Shares with the Ministry of Finance through the Bank of Japan within 20 days of acquiring the Shares. The forms to make these reports may be acquired at the Bank of Japan.</w:t>
      </w:r>
    </w:p>
    <w:p>
      <w:pPr>
        <w:spacing w:after="0" w:line="18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u w:val="single" w:color="auto"/>
          <w:color w:val="auto"/>
        </w:rPr>
        <w:t>Foreign Asset and Account Reporting Information</w:t>
      </w:r>
      <w:r>
        <w:rPr>
          <w:rFonts w:ascii="Arial" w:cs="Arial" w:eastAsia="Arial" w:hAnsi="Arial"/>
          <w:sz w:val="16"/>
          <w:szCs w:val="16"/>
          <w:color w:val="auto"/>
        </w:rPr>
        <w:t>. Details of any assets held outside Japan on an annual basis as of December 31 (including Shares acquired under the Plan) must be reported to the tax authorities, to the extent such assets have a total net fair market value exceeding ¥50,000,000. Such report is due by March 15 each year. Participant should consult with his or her personal tax advisor to determine if the reporting obligation applies to Participant and whether Participant will be required to include details of Participant’s outstanding Options, as well as Shares, in the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u w:val="single" w:color="auto"/>
          <w:color w:val="auto"/>
        </w:rPr>
        <w:t>Plan Document Acknowledgement</w:t>
      </w:r>
      <w:r>
        <w:rPr>
          <w:rFonts w:ascii="Arial" w:cs="Arial" w:eastAsia="Arial" w:hAnsi="Arial"/>
          <w:sz w:val="16"/>
          <w:szCs w:val="16"/>
          <w:color w:val="auto"/>
        </w:rPr>
        <w:t>. By accepting the Option, Participant acknowledges that he or she has received a copy of the Plan and the Option Agreement, including this Exhibit D, which Participant has reviewed. Participant acknowledges further that he or she accepts all the provisions of the Plan and the Option Agreement, including this Exhibit D. Participant also acknowledges that he or she has read and specifically and expressly approves the terms and conditions set forth in Section 11 (“Nature of Grant”) in the Option Agreement, which clearly provides as follows:</w:t>
      </w:r>
    </w:p>
    <w:p>
      <w:pPr>
        <w:spacing w:after="0" w:line="157" w:lineRule="exact"/>
        <w:rPr>
          <w:sz w:val="20"/>
          <w:szCs w:val="20"/>
          <w:color w:val="auto"/>
        </w:rPr>
      </w:pPr>
    </w:p>
    <w:p>
      <w:pPr>
        <w:ind w:left="1360" w:hanging="704"/>
        <w:spacing w:after="0"/>
        <w:tabs>
          <w:tab w:leader="none" w:pos="13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Participant’s participation in the Plan does not constitute an acquired right;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Plan and Participant’s participation in it are offered by the Company on a wholly discretionary basis;</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Participant’s participation in the Plan is voluntary;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The Company and its Subsidiaries are not responsible for any decrease in the value of the Option and/or any Shares acquired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u w:val="single" w:color="auto"/>
          <w:color w:val="auto"/>
        </w:rPr>
        <w:t>Labor Law Policy and Acknowledgment</w:t>
      </w:r>
      <w:r>
        <w:rPr>
          <w:rFonts w:ascii="Arial" w:cs="Arial" w:eastAsia="Arial" w:hAnsi="Arial"/>
          <w:sz w:val="18"/>
          <w:szCs w:val="18"/>
          <w:color w:val="auto"/>
        </w:rPr>
        <w:t>. By accepting the Option, Participant expressly recognizes that the Company, with registered offices at 150 Mathilda Place, Suite 300, Sunnyvale, California 94086, U.S.A., is solely responsible for the administration of the Plan and that Participant’s participation in the Plan and acquisition of Shares do not constitute an employment relationship between Participant and the Company since Participant is participating in the Plan on a wholly commercial basis and his or her sole employer is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7" w:name="page468"/>
    <w:bookmarkEnd w:id="467"/>
    <w:p>
      <w:pPr>
        <w:ind w:right="60"/>
        <w:spacing w:after="0" w:line="257" w:lineRule="auto"/>
        <w:rPr>
          <w:sz w:val="20"/>
          <w:szCs w:val="20"/>
          <w:color w:val="auto"/>
        </w:rPr>
      </w:pPr>
      <w:r>
        <w:rPr>
          <w:rFonts w:ascii="Arial" w:cs="Arial" w:eastAsia="Arial" w:hAnsi="Arial"/>
          <w:sz w:val="18"/>
          <w:szCs w:val="18"/>
          <w:color w:val="auto"/>
        </w:rPr>
        <w:t>CrowdStrike Mexico, S de RL de CV (“</w:t>
      </w:r>
      <w:r>
        <w:rPr>
          <w:rFonts w:ascii="Arial" w:cs="Arial" w:eastAsia="Arial" w:hAnsi="Arial"/>
          <w:sz w:val="18"/>
          <w:szCs w:val="18"/>
          <w:u w:val="single" w:color="auto"/>
          <w:color w:val="auto"/>
        </w:rPr>
        <w:t>CrowdStrike Mexico</w:t>
      </w:r>
      <w:r>
        <w:rPr>
          <w:rFonts w:ascii="Arial" w:cs="Arial" w:eastAsia="Arial" w:hAnsi="Arial"/>
          <w:sz w:val="18"/>
          <w:szCs w:val="18"/>
          <w:color w:val="auto"/>
        </w:rPr>
        <w:t>”), located at WeWork - Paseo de la Reforma 296 Floor 40-A104, Col. Juarez, C.P. 06600 Mexico. Based on the foregoing, Participant expressly recognizes that the Plan and the benefits that he or she may derive from participating in the Plan do not establish any rights between Participant and the employer, CrowdStrike Mexico, and do not form part of the employment conditions and/or benefits provided by CrowdStrike Mexico, and any modification of the Plan or its termination shall not constitute a change or impairment of the terms and conditions of Participant’s employment.</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Participant further understands that his or her participation in the Plan is as a result of a unilateral and discretionary decision of the Company; therefore, the Company reserves the absolute right to amend and/or discontinue Participant’s participation at any time without any liability to Participant.</w:t>
      </w:r>
    </w:p>
    <w:p>
      <w:pPr>
        <w:spacing w:after="0" w:line="12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Finally, Participant hereby declares that he or she does not reserve to him- or herself any action or right to bring any claim against the Company for any compensation or damages regarding any provision of the Plan or the benefits derived under the Plan, and Participant therefore grants a full and broad release to the Company, and its subsidiaries, branches, representative offices, shareholders, directors, officers, employees, agents, or legal representatives with respect to any claim that may arise.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Spanish Translation</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i w:val="1"/>
          <w:iCs w:val="1"/>
          <w:u w:val="single" w:color="auto"/>
          <w:color w:val="auto"/>
        </w:rPr>
        <w:t>Reconocimiento del Documento del Plan</w:t>
      </w:r>
      <w:r>
        <w:rPr>
          <w:rFonts w:ascii="Arial" w:cs="Arial" w:eastAsia="Arial" w:hAnsi="Arial"/>
          <w:sz w:val="16"/>
          <w:szCs w:val="16"/>
          <w:i w:val="1"/>
          <w:iCs w:val="1"/>
          <w:color w:val="auto"/>
        </w:rPr>
        <w:t>. Al aceptar la Opción, el Participante reconoce que ha recibido una copia del Plan y del Acuerdo de la Opción, incluyendo este Anexo D, los cuales que el Participante ha revisado. El Participante reconoce, además, que acepta todas las disposiciones del Plan y del Acuerdo de la Opción, incluyendo este Anexo D. El Participante también reconoce que ha leído y que concretamente aprueba de forma expresa los términos y condiciones establecidos en la Sección 11 (“Naturaleza de la Subvención”) del Acuerdo de la Opción, que claramente dispone lo siguiente:</w:t>
      </w:r>
    </w:p>
    <w:p>
      <w:pPr>
        <w:spacing w:after="0" w:line="157" w:lineRule="exact"/>
        <w:rPr>
          <w:sz w:val="20"/>
          <w:szCs w:val="20"/>
          <w:color w:val="auto"/>
        </w:rPr>
      </w:pPr>
    </w:p>
    <w:p>
      <w:pPr>
        <w:ind w:left="2000" w:hanging="696"/>
        <w:spacing w:after="0"/>
        <w:tabs>
          <w:tab w:leader="none" w:pos="2000" w:val="left"/>
        </w:tabs>
        <w:numPr>
          <w:ilvl w:val="0"/>
          <w:numId w:val="406"/>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Participante en el Plan no constituye un derecho adquirido;</w:t>
      </w:r>
    </w:p>
    <w:p>
      <w:pPr>
        <w:spacing w:after="0" w:line="225" w:lineRule="exact"/>
        <w:rPr>
          <w:rFonts w:ascii="Arial" w:cs="Arial" w:eastAsia="Arial" w:hAnsi="Arial"/>
          <w:sz w:val="18"/>
          <w:szCs w:val="18"/>
          <w:i w:val="1"/>
          <w:iCs w:val="1"/>
          <w:color w:val="auto"/>
        </w:rPr>
      </w:pPr>
    </w:p>
    <w:p>
      <w:pPr>
        <w:ind w:left="2000" w:hanging="696"/>
        <w:spacing w:after="0"/>
        <w:tabs>
          <w:tab w:leader="none" w:pos="2000" w:val="left"/>
        </w:tabs>
        <w:numPr>
          <w:ilvl w:val="0"/>
          <w:numId w:val="406"/>
        </w:numPr>
        <w:rPr>
          <w:rFonts w:ascii="Arial" w:cs="Arial" w:eastAsia="Arial" w:hAnsi="Arial"/>
          <w:sz w:val="18"/>
          <w:szCs w:val="18"/>
          <w:i w:val="1"/>
          <w:iCs w:val="1"/>
          <w:color w:val="auto"/>
        </w:rPr>
      </w:pPr>
      <w:r>
        <w:rPr>
          <w:rFonts w:ascii="Arial" w:cs="Arial" w:eastAsia="Arial" w:hAnsi="Arial"/>
          <w:sz w:val="18"/>
          <w:szCs w:val="18"/>
          <w:i w:val="1"/>
          <w:iCs w:val="1"/>
          <w:color w:val="auto"/>
        </w:rPr>
        <w:t>El Plan y la participación del Participante en el Plan se ofrecen por la Compañía en su discrecionalidad total;</w:t>
      </w:r>
    </w:p>
    <w:p>
      <w:pPr>
        <w:spacing w:after="0" w:line="225" w:lineRule="exact"/>
        <w:rPr>
          <w:rFonts w:ascii="Arial" w:cs="Arial" w:eastAsia="Arial" w:hAnsi="Arial"/>
          <w:sz w:val="18"/>
          <w:szCs w:val="18"/>
          <w:i w:val="1"/>
          <w:iCs w:val="1"/>
          <w:color w:val="auto"/>
        </w:rPr>
      </w:pPr>
    </w:p>
    <w:p>
      <w:pPr>
        <w:ind w:left="2000" w:hanging="696"/>
        <w:spacing w:after="0"/>
        <w:tabs>
          <w:tab w:leader="none" w:pos="2000" w:val="left"/>
        </w:tabs>
        <w:numPr>
          <w:ilvl w:val="0"/>
          <w:numId w:val="406"/>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Participante en el Plan es voluntaria; y</w:t>
      </w:r>
    </w:p>
    <w:p>
      <w:pPr>
        <w:spacing w:after="0" w:line="225" w:lineRule="exact"/>
        <w:rPr>
          <w:rFonts w:ascii="Arial" w:cs="Arial" w:eastAsia="Arial" w:hAnsi="Arial"/>
          <w:sz w:val="18"/>
          <w:szCs w:val="18"/>
          <w:i w:val="1"/>
          <w:iCs w:val="1"/>
          <w:color w:val="auto"/>
        </w:rPr>
      </w:pPr>
    </w:p>
    <w:p>
      <w:pPr>
        <w:ind w:left="660" w:right="400" w:firstLine="644"/>
        <w:spacing w:after="0" w:line="277" w:lineRule="auto"/>
        <w:tabs>
          <w:tab w:leader="none" w:pos="2012" w:val="left"/>
        </w:tabs>
        <w:numPr>
          <w:ilvl w:val="0"/>
          <w:numId w:val="406"/>
        </w:numPr>
        <w:rPr>
          <w:rFonts w:ascii="Arial" w:cs="Arial" w:eastAsia="Arial" w:hAnsi="Arial"/>
          <w:sz w:val="18"/>
          <w:szCs w:val="18"/>
          <w:i w:val="1"/>
          <w:iCs w:val="1"/>
          <w:color w:val="auto"/>
        </w:rPr>
      </w:pPr>
      <w:r>
        <w:rPr>
          <w:rFonts w:ascii="Arial" w:cs="Arial" w:eastAsia="Arial" w:hAnsi="Arial"/>
          <w:sz w:val="18"/>
          <w:szCs w:val="18"/>
          <w:i w:val="1"/>
          <w:iCs w:val="1"/>
          <w:color w:val="auto"/>
        </w:rPr>
        <w:t>La Compañía y sus Subsidiarias no son responsables de ninguna disminución en el valor de la Opción y/o de las Acciones adquiridas por medio del Plan.</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u w:val="single" w:color="auto"/>
          <w:color w:val="auto"/>
        </w:rPr>
        <w:t>Política Laboral y Reconocimiento</w:t>
      </w:r>
      <w:r>
        <w:rPr>
          <w:rFonts w:ascii="Arial" w:cs="Arial" w:eastAsia="Arial" w:hAnsi="Arial"/>
          <w:sz w:val="16"/>
          <w:szCs w:val="16"/>
          <w:i w:val="1"/>
          <w:iCs w:val="1"/>
          <w:color w:val="auto"/>
        </w:rPr>
        <w:t>. Al aceptar la Opción, el Participante expresamente reconoce que la Compañía, con sus oficinas registradas y ubicadas en 150 Mathilda Place, Suite 300, Sunnyvale, California 94086, EE.UU., es la única responsable por la administración del Plan y que la participación del Participante en el Plan y la adquisición de Acciones no constituyen una relación de empleo entre el Participante y la Compañía, ya que el Participante participa en el Plan en un marco totalmente comercial y su único patrón es CrowdStrike Mexico, S de RL de CV (“</w:t>
      </w:r>
      <w:r>
        <w:rPr>
          <w:rFonts w:ascii="Arial" w:cs="Arial" w:eastAsia="Arial" w:hAnsi="Arial"/>
          <w:sz w:val="16"/>
          <w:szCs w:val="16"/>
          <w:i w:val="1"/>
          <w:iCs w:val="1"/>
          <w:u w:val="single" w:color="auto"/>
          <w:color w:val="auto"/>
        </w:rPr>
        <w:t>CrowdStrike Mexico</w:t>
      </w:r>
      <w:r>
        <w:rPr>
          <w:rFonts w:ascii="Arial" w:cs="Arial" w:eastAsia="Arial" w:hAnsi="Arial"/>
          <w:sz w:val="16"/>
          <w:szCs w:val="16"/>
          <w:i w:val="1"/>
          <w:iCs w:val="1"/>
          <w:color w:val="auto"/>
        </w:rPr>
        <w:t>”), ubicado en WeWork - Paseo de la Reforma 296 Floor 40-A104, Col. Juarez, C.P. 06600 Mexico. Derivado de lo anterior, el Participante expresamente reconoce que el Plan y los beneficios que pudieran derivar al participar en el Plan no establecen derecho alguno entre el Participante y el empleador, CrowdStrike Mexico, y no forma parte de las condiciones de empleo y/o las prestaciones otorgadas por CrowdStrike Mexico, y que cualquier modificación al Plan o su terminación no constituye un cambio o desmejora de los términos y condiciones de la relación de empleo del Participante.</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Asimismo, el Participante reconoce que su participación en el Plan se ha resultado de una decisión unilateral y discrecional de la Compañía; por lo tanto, la Compañía se reserva el derecho absoluto 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8" w:name="page469"/>
    <w:bookmarkEnd w:id="468"/>
    <w:p>
      <w:pPr>
        <w:spacing w:after="0"/>
        <w:rPr>
          <w:sz w:val="20"/>
          <w:szCs w:val="20"/>
          <w:color w:val="auto"/>
        </w:rPr>
      </w:pPr>
      <w:r>
        <w:rPr>
          <w:rFonts w:ascii="Arial" w:cs="Arial" w:eastAsia="Arial" w:hAnsi="Arial"/>
          <w:sz w:val="18"/>
          <w:szCs w:val="18"/>
          <w:i w:val="1"/>
          <w:iCs w:val="1"/>
          <w:color w:val="auto"/>
        </w:rPr>
        <w:t>modificar y/o terminar la participación del Participante en cualquier momento y sin responsabilidad alguna frente el Participante.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Finalmente, el Participante por este medio declara que no se reserva ningun derecho o acción en contra de la Compañía por cualquier compensación o daños y perjuicios en relación de las disposiciones del Plan o de los beneficios derivados del Plan, y por lo tanto, el Participante otorga el más amplio finiquito que en derecho proceda a la Compañía, y sus filiales, oficinas de representación, accionistas, directores, oficiales, empleados, agentes, o representantes legales en relación con cualquier demanda que pudiera surgir.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ZEALAND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Warning: Participant is being offered an Option which allows him or her to purchase Shares in accordance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terms of the Plan and the Option Agreement. The Shares, if purchased, give Participant a stake in the ownership of the Company. Participant may receive a return if dividends are paid.</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i w:val="1"/>
          <w:iCs w:val="1"/>
          <w:color w:val="auto"/>
        </w:rPr>
        <w:t>If the Company runs into financial difficulties and is wound up, Participant will be paid only after all creditors have been paid. Participant may lose some or all of his investment. New Zealand law normally requires people who offer financial products to give information to investors before they invest. This information is designed to help investors make an informed decision.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The usual rules do not apply to this offer because it is a small offer. As a result, Participant may not be given all the information usually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Participant will also have fewer legal protections for this investment.</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Participant should ask questions, read all documents carefully and seek independent financial advice before making any decisions with respect to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ROMANIA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remits foreign currency into or out of Romania (</w:t>
      </w:r>
      <w:r>
        <w:rPr>
          <w:rFonts w:ascii="Arial" w:cs="Arial" w:eastAsia="Arial" w:hAnsi="Arial"/>
          <w:sz w:val="18"/>
          <w:szCs w:val="18"/>
          <w:i w:val="1"/>
          <w:iCs w:val="1"/>
          <w:color w:val="auto"/>
        </w:rPr>
        <w:t>e.g</w:t>
      </w:r>
      <w:r>
        <w:rPr>
          <w:rFonts w:ascii="Arial" w:cs="Arial" w:eastAsia="Arial" w:hAnsi="Arial"/>
          <w:sz w:val="18"/>
          <w:szCs w:val="18"/>
          <w:color w:val="auto"/>
        </w:rPr>
        <w:t>., the Exercise Price or the proceeds from the sale of Shares), Participant may be required to provide the Romanian bank assisting with the transaction with appropriate documentation explaining the source of the funds. Participant should consult his or her personal legal advisor or bank to determine what requirements will apply to the remittance of funds into or out of Romania in connection with the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u w:val="single" w:color="auto"/>
          <w:color w:val="auto"/>
        </w:rPr>
        <w:t>Restriction on Sale and Transferability</w:t>
      </w:r>
      <w:r>
        <w:rPr>
          <w:rFonts w:ascii="Arial" w:cs="Arial" w:eastAsia="Arial" w:hAnsi="Arial"/>
          <w:sz w:val="16"/>
          <w:szCs w:val="16"/>
          <w:color w:val="auto"/>
        </w:rPr>
        <w:t>. Participant hereby agrees that any Shares acquired under the Plan will not be offered for sale in Singapore prior to the six-month anniversary of the Date of Grant, unless such sale or offer is made pursuant to one or more exemptions under Part XIII Division</w:t>
      </w:r>
    </w:p>
    <w:p>
      <w:pPr>
        <w:ind w:left="5580" w:right="3200" w:hanging="5572"/>
        <w:spacing w:after="0" w:line="511" w:lineRule="auto"/>
        <w:tabs>
          <w:tab w:leader="none" w:pos="26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Subdivision (4) (other than section 280) of the Securities and Futures Act (Chapter 289, 2006 Ed.) (“SFA”).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9" w:name="page470"/>
    <w:bookmarkEnd w:id="469"/>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grant of the Option under the Plan is being made pursuant to the “Qualifying Person” exemption” under section 273(1)(f) of the SFA, on which basis it is exempt from the prospectus and registration requirements and is not made with a view to the underlying Shares being subsequently offered for sale to any other party. The Plan has not been lodged or registered as a prospectus with the Monetary Authority of Singapore.</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u w:val="single" w:color="auto"/>
          <w:color w:val="auto"/>
        </w:rPr>
        <w:t>Chief Executive Officer and Director Notification Requirement</w:t>
      </w:r>
      <w:r>
        <w:rPr>
          <w:rFonts w:ascii="Arial" w:cs="Arial" w:eastAsia="Arial" w:hAnsi="Arial"/>
          <w:sz w:val="18"/>
          <w:szCs w:val="18"/>
          <w:color w:val="auto"/>
        </w:rPr>
        <w:t>. If Participant is the Chief Executive Officer (“CEO”) or a director (including an alternate, substitute or shadow director) of a Singapore Subsidiary, Participant must notify the Singapore Subsidiary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Options, Shares, etc.) in the Company or any Subsidiary within two business days of (i) acquiring or disposing of such interest,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sale of Shares), or (iii) becoming the CEO or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The following provision supplements Section 11 of the Option Agreement:</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By accepting the Option, Participant consents to participation in the Plan and acknowledges that he or she has received a copy of the Plan. Participant understands that the Company has unilaterally, gratuitously and discretionally decided to grant Options under the Plan to individuals who may be employees of the Company or of a Parent or Subsidiary throughout the world. This decision is a limited decision that is entered into upon the express assumption and condition that any grant will not bind the Company or any Parent or Subsidiary other than as expressly set forth in the Option Agreement. Consequently, Participant understands that the Option is granted on the assumption and condition that the Option and any Shares issued upon exercise of the Option are not part of any employment or service contract (either with the Company or with any Parent or Subsidiary) and shall not be considered a mandatory benefit or salary for any purpose (including severance compensation) or any other right whatsoever. Further, Participant understands and agrees that, unless otherwise expressly provided for by the Company or set forth in the Plan or the Option Agreement, the Option will be cancelled without entitlement to any Shares underlying the Option if Participant’s status as an employee or service provider is terminated for any reason, including, but not limited to: resignation, retirement, disciplinary dismissal adjudged to be with cause, disciplinary dismissal adjudged or recognized to be without good cause (</w:t>
      </w:r>
      <w:r>
        <w:rPr>
          <w:rFonts w:ascii="Arial" w:cs="Arial" w:eastAsia="Arial" w:hAnsi="Arial"/>
          <w:sz w:val="16"/>
          <w:szCs w:val="16"/>
          <w:i w:val="1"/>
          <w:iCs w:val="1"/>
          <w:color w:val="auto"/>
        </w:rPr>
        <w:t>i.e.,</w:t>
      </w:r>
      <w:r>
        <w:rPr>
          <w:rFonts w:ascii="Arial" w:cs="Arial" w:eastAsia="Arial" w:hAnsi="Arial"/>
          <w:sz w:val="16"/>
          <w:szCs w:val="16"/>
          <w:color w:val="auto"/>
        </w:rPr>
        <w:t xml:space="preserve"> subject to a “</w:t>
      </w:r>
      <w:r>
        <w:rPr>
          <w:rFonts w:ascii="Arial" w:cs="Arial" w:eastAsia="Arial" w:hAnsi="Arial"/>
          <w:sz w:val="16"/>
          <w:szCs w:val="16"/>
          <w:i w:val="1"/>
          <w:iCs w:val="1"/>
          <w:color w:val="auto"/>
        </w:rPr>
        <w:t>despido improcedente</w:t>
      </w:r>
      <w:r>
        <w:rPr>
          <w:rFonts w:ascii="Arial" w:cs="Arial" w:eastAsia="Arial" w:hAnsi="Arial"/>
          <w:sz w:val="16"/>
          <w:szCs w:val="16"/>
          <w:color w:val="auto"/>
        </w:rPr>
        <w:t>”), material modification of the terms of employment under Article 41 of the Workers’ Statute, relocation under Article 40 of the Workers’ Statute, Article 50 of the Workers’ Statute, or under Article 10.3 of Royal Decree 1382/1985..</w:t>
      </w:r>
    </w:p>
    <w:p>
      <w:pPr>
        <w:spacing w:after="0" w:line="16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or right to, the Option shall be null and void.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Option described in the Option Agreement does not qualify under Spanish regulations as a security. No “offer of securities to the public,” as defined under Spanish law, has taken place or will take place in the Spanish territory in connection with the grant of the Option. The Option Agreement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or prospectus.</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Participant must declare the acquisition, ownership and disposition of Shares to the </w:t>
      </w:r>
      <w:r>
        <w:rPr>
          <w:rFonts w:ascii="Arial" w:cs="Arial" w:eastAsia="Arial" w:hAnsi="Arial"/>
          <w:sz w:val="18"/>
          <w:szCs w:val="18"/>
          <w:i w:val="1"/>
          <w:iCs w:val="1"/>
          <w:color w:val="auto"/>
        </w:rPr>
        <w:t>Dirección General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Comercio e Inversiones </w:t>
      </w:r>
      <w:r>
        <w:rPr>
          <w:rFonts w:ascii="Arial" w:cs="Arial" w:eastAsia="Arial" w:hAnsi="Arial"/>
          <w:sz w:val="18"/>
          <w:szCs w:val="18"/>
          <w:color w:val="auto"/>
        </w:rPr>
        <w:t>of the Ministry of Economy and Competitiveness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0" w:name="page471"/>
    <w:bookmarkEnd w:id="470"/>
    <w:p>
      <w:pPr>
        <w:spacing w:after="0"/>
        <w:rPr>
          <w:sz w:val="20"/>
          <w:szCs w:val="20"/>
          <w:color w:val="auto"/>
        </w:rPr>
      </w:pPr>
      <w:r>
        <w:rPr>
          <w:rFonts w:ascii="Arial" w:cs="Arial" w:eastAsia="Arial" w:hAnsi="Arial"/>
          <w:sz w:val="16"/>
          <w:szCs w:val="16"/>
          <w:color w:val="auto"/>
        </w:rPr>
        <w:t>(the “DGCI”) on a Form D-6. Generally, the declaration must be made in January for Shares owned as of December 31 of the prior year and/or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acquired or disposed of during the prior year; however, if the value of the Shares acquired or disposed of or the amount of the sale proceeds exceeds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€1,502,530 (or if Participant holds 10% or more of the share capital of the Company), the declaration must be filed within one month of the acquisition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disposition, as applicable.</w:t>
      </w:r>
    </w:p>
    <w:p>
      <w:pPr>
        <w:spacing w:after="0" w:line="21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addition, Participant may be required to electronically declare to the Bank of Spain any foreign accounts (including brokerage accounts held abroad), any foreign instruments (including Shares acquired under the Plan), and any transactions with non-Spanish residents (including any payments of Shares made pursuant to the Plan), depending on the balances in such accounts together with the value of such instruments as of December 31 of the relevant year, or the volume of transactions with non-Spanish residents during the relevant year.</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u w:val="single" w:color="auto"/>
          <w:color w:val="auto"/>
        </w:rPr>
        <w:t>Foreign Asset and Account Reporting Information</w:t>
      </w:r>
      <w:r>
        <w:rPr>
          <w:rFonts w:ascii="Arial" w:cs="Arial" w:eastAsia="Arial" w:hAnsi="Arial"/>
          <w:sz w:val="18"/>
          <w:szCs w:val="18"/>
          <w:color w:val="auto"/>
        </w:rPr>
        <w:t>. To the extent that Participant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xml:space="preserve"> cash or Shares held in a bank or brokerage account) outside of Spain with a value in excess of €50,000 per type of right or asset as of December 31 each year (or at any time during the year in which Participant sells or disposes of such rights or assets), Participant is required to report information on such rights and assets on his or her tax return for such year. After such rights or assets are initially reported, the reporting obligation will only apply for subsequent years if the value of any previously-reported rights or assets increases by more than €20,000. </w:t>
      </w:r>
      <w:r>
        <w:rPr>
          <w:rFonts w:ascii="Arial" w:cs="Arial" w:eastAsia="Arial" w:hAnsi="Arial"/>
          <w:sz w:val="18"/>
          <w:szCs w:val="18"/>
          <w:i w:val="1"/>
          <w:iCs w:val="1"/>
          <w:color w:val="auto"/>
        </w:rPr>
        <w:t>Participant should consult with his or her personal tax advisor to ensure compliance with</w:t>
      </w:r>
      <w:r>
        <w:rPr>
          <w:rFonts w:ascii="Arial" w:cs="Arial" w:eastAsia="Arial" w:hAnsi="Arial"/>
          <w:sz w:val="18"/>
          <w:szCs w:val="18"/>
          <w:color w:val="auto"/>
        </w:rPr>
        <w:t xml:space="preserve"> </w:t>
      </w:r>
      <w:r>
        <w:rPr>
          <w:rFonts w:ascii="Arial" w:cs="Arial" w:eastAsia="Arial" w:hAnsi="Arial"/>
          <w:sz w:val="18"/>
          <w:szCs w:val="18"/>
          <w:i w:val="1"/>
          <w:iCs w:val="1"/>
          <w:color w:val="auto"/>
        </w:rPr>
        <w:t>applicable reporting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offer of participation in the Plan is available only for employees of the Company and its Subsidiaries. The offer of participation in the Plan is not a public offer of securities by a Taiwanese company.</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The acquisition or conversion of foreign currency and the remittance of such amounts (including proceeds from the sale of Shares) to Taiwan may trigger certain annual or periodic exchange control reporting. If the transaction amount is TWD500,000 or more in a single transaction, Participant may be required to submit a Foreign Exchange Transaction Form and provide supporting documentation to the satisfaction of the remitting bank. </w:t>
      </w:r>
      <w:r>
        <w:rPr>
          <w:rFonts w:ascii="Arial" w:cs="Arial" w:eastAsia="Arial" w:hAnsi="Arial"/>
          <w:sz w:val="16"/>
          <w:szCs w:val="16"/>
          <w:i w:val="1"/>
          <w:iCs w:val="1"/>
          <w:color w:val="auto"/>
        </w:rPr>
        <w:t>Participant should consult his or her personal legal advisor to ensure compliance with applicable reporting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380" w:firstLine="648"/>
        <w:spacing w:after="0" w:line="311"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offer of the Option is available only for select employees of the Company and its Subsidiaries and is in the nature of providing employee incentives in the United Arab Emirates. The Plan and the Option Agreement are intended for distribution only to such employees and must not be delivered to, or relied on by any other person. Prospective purchasers of securities should conduct their own due diligence.</w:t>
      </w:r>
    </w:p>
    <w:p>
      <w:pPr>
        <w:spacing w:after="0" w:line="14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Emirates Securities and Commodities Authority has no responsibility for reviewing or verifying any documents in connection with this statement, including the Plan and the Option Agreement, or any other incidental communication materials distributions in connection with the Option. Further, neither the Ministry of Economy nor the Dubai Department of Economic Development has approved this statement nor taken steps to verify the information set out in it, and has no responsibility for it. Residents of the United Arab</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color w:val="auto"/>
        </w:rPr>
        <w:t>Emirates who have questions regarding the contents of the Plan and the Option Agreement should obtain independent professional advice.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following provision supplements Section 10(a) of the Option Agreement: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limitation to this Section 10(a), Participant hereby agrees that he or she is liable for all Tax-Related Items and hereby covenants to pay all such Tax-Related Items, as and when requested by the Company or (if different) the Employer or by Her Majesty’s Revenue &amp; Customs (“HRMC”) (or any other tax authority or any other relevant authority). Participant also hereby agrees to indemnify and keep indemnified the Company and (if different) the Employer against any Tax-Related Items that they are required to pay or withhold or have paid or will pay to HMRC (or any other tax authority or any other relevant authority) on Participant’s behalf.</w:t>
      </w:r>
    </w:p>
    <w:p>
      <w:pPr>
        <w:spacing w:after="0" w:line="18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Notwithstanding the foregoing, if Participant is a director or executive officer of the Company (within the meaning of Section 13(k) of the Exchange Act), Participant understands that the foregoing provision will not apply. Instead, any Tax-Related Items not collected or paid may constitute a benefit to Participant on which additional income tax and National Insurance Contributions (“NICs”) may be payable.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can be recovered by any means set out in the Option Agreement.</w:t>
      </w:r>
    </w:p>
    <w:p>
      <w:pPr>
        <w:spacing w:after="0" w:line="19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u w:val="single" w:color="auto"/>
          <w:color w:val="auto"/>
        </w:rPr>
        <w:t>Section 431 Election</w:t>
      </w:r>
      <w:r>
        <w:rPr>
          <w:rFonts w:ascii="Arial" w:cs="Arial" w:eastAsia="Arial" w:hAnsi="Arial"/>
          <w:sz w:val="16"/>
          <w:szCs w:val="16"/>
          <w:color w:val="auto"/>
        </w:rPr>
        <w:t>. Except as provided below, as a condition of participation in the Plan and the exercise of the Option, Participant agrees to enter into, jointly with the Employer (or the Company or its other Subsidiaries, as applicable), a joint election within Section 431 of the U.K. Income Tax (Earnings and Pensions) Act 2003 (“ITEPA 2003”) in respect of computing any tax charge on the acquisition of “restricted securities” (as defined in Sections 423 and 424 of ITEPA 2003), and that Participant will not revoke such election at any time (the “431 Election”). This election will be to treat the Shares acquired pursuant to the exercise of the Option as if such Shares were not restricted securities (for U.K. tax purposes only). If Participant is required to but does not enter into such an election prior to the exercise of the Option, Participant will not be entitled to exercise the Option and no Shares will be issued to Participant, without any liability to the Company or the Employer. Participant must enter into the 431 Election attached the Option Agreement as Exhibit E, concurrent with the execution of the Option Agreement and Exercise Notice, or at such subsequent time as may be designated by the Company.</w:t>
      </w:r>
    </w:p>
    <w:p>
      <w:pPr>
        <w:spacing w:after="0" w:line="16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Participant exercises the Option at a time when the Shares are considered to be “readily convertible assets” and are publicly traded, quoted or listed on a recognized exchange or securities market, Participant shall not be required to enter into a 431 Election as a condition of participation in the Plan and the exercise of the Option.</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u w:val="single" w:color="auto"/>
          <w:color w:val="auto"/>
        </w:rPr>
        <w:t>National Insurance Contribution Joint Election</w:t>
      </w:r>
      <w:r>
        <w:rPr>
          <w:rFonts w:ascii="Arial" w:cs="Arial" w:eastAsia="Arial" w:hAnsi="Arial"/>
          <w:sz w:val="17"/>
          <w:szCs w:val="17"/>
          <w:color w:val="auto"/>
        </w:rPr>
        <w:t>. If Participant is a tax resident in the United Kingdom, the grant of the Option is conditional upon Participant’s agreement to accept liability for any secondary Class 1 national insurance contributions which may be payable by the Employer in connection with any event giving rise to tax liability in relation to the Option (“Employer NICs”). The Employer NICs may be collected by the Company or the Employer using any of the methods described in Section 10 of the Option Agreement. Without prejudice to the foregoing, Participant agrees to execute a joint election with the Company or the Employer (a “NICs Joint Election”), the form of such NICs Joint Election being formally approved by HMRC, and any other consent or elections required to accomplish the transfer of the Employer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2" w:name="page473"/>
    <w:bookmarkEnd w:id="472"/>
    <w:p>
      <w:pPr>
        <w:spacing w:after="0" w:line="255" w:lineRule="auto"/>
        <w:rPr>
          <w:sz w:val="20"/>
          <w:szCs w:val="20"/>
          <w:color w:val="auto"/>
        </w:rPr>
      </w:pPr>
      <w:r>
        <w:rPr>
          <w:rFonts w:ascii="Arial" w:cs="Arial" w:eastAsia="Arial" w:hAnsi="Arial"/>
          <w:sz w:val="18"/>
          <w:szCs w:val="18"/>
          <w:color w:val="auto"/>
        </w:rPr>
        <w:t>NICs to Participant. Participant further agrees to execute such other elections as may be required by any successor to the Company and/or the Employer for the purpose of continuing the effectiveness of Participant’s NICs Joint Election. If Participant does not complete the Joint Election prior to exercise of Participant’s Option, or if approval of the NICs Joint Election is withdrawn by HMRC and a new NICs Joint Election is not entered into, Participant’s Option shall become null and void and may not be settled, without any liability to the Company or its Subsidiaries. Participant must enter into the NICs Joint Election attached the Option Agreement as Exhibit F, concurrent with the execution of the Option Agreement and Exercise Notice, or at such subsequent time as may be designated by the Company.</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473" w:name="page474"/>
    <w:bookmarkEnd w:id="473"/>
    <w:p>
      <w:pPr>
        <w:jc w:val="center"/>
        <w:ind w:right="-99"/>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431 JOINT ELECTION FOR U.K. PARTICIPANTS</w:t>
      </w:r>
    </w:p>
    <w:p>
      <w:pPr>
        <w:spacing w:after="0" w:line="225" w:lineRule="exact"/>
        <w:rPr>
          <w:sz w:val="20"/>
          <w:szCs w:val="20"/>
          <w:color w:val="auto"/>
        </w:rPr>
      </w:pPr>
    </w:p>
    <w:p>
      <w:pPr>
        <w:ind w:right="1120"/>
        <w:spacing w:after="0" w:line="500" w:lineRule="auto"/>
        <w:rPr>
          <w:sz w:val="20"/>
          <w:szCs w:val="20"/>
          <w:color w:val="auto"/>
        </w:rPr>
      </w:pPr>
      <w:r>
        <w:rPr>
          <w:rFonts w:ascii="Arial" w:cs="Arial" w:eastAsia="Arial" w:hAnsi="Arial"/>
          <w:sz w:val="18"/>
          <w:szCs w:val="18"/>
          <w:b w:val="1"/>
          <w:bCs w:val="1"/>
          <w:color w:val="auto"/>
        </w:rPr>
        <w:t>Joint Election under s431 ITEPA 2003 for full or partial disapplication of Chapter 2 Income Tax (Earnings and Pensions) Act 2003 One Part Election</w:t>
      </w:r>
    </w:p>
    <w:p>
      <w:pPr>
        <w:spacing w:after="0" w:line="2" w:lineRule="exact"/>
        <w:rPr>
          <w:sz w:val="20"/>
          <w:szCs w:val="20"/>
          <w:color w:val="auto"/>
        </w:rPr>
      </w:pPr>
    </w:p>
    <w:p>
      <w:pPr>
        <w:ind w:left="340" w:hanging="332"/>
        <w:spacing w:after="0"/>
        <w:tabs>
          <w:tab w:leader="none" w:pos="3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Between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whose National Insurance Number 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(who is the Employee’s employer):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Company Registration Number</w:t>
      </w:r>
    </w:p>
    <w:p>
      <w:pPr>
        <w:spacing w:after="0" w:line="221" w:lineRule="exact"/>
        <w:rPr>
          <w:sz w:val="20"/>
          <w:szCs w:val="20"/>
          <w:color w:val="auto"/>
        </w:rPr>
      </w:pPr>
    </w:p>
    <w:p>
      <w:pPr>
        <w:ind w:left="340" w:hanging="332"/>
        <w:spacing w:after="0"/>
        <w:tabs>
          <w:tab w:leader="none" w:pos="34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Election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joint election is made pursuant to section 431(1) or 431(2) Income Tax (Earnings and Pensions) Act 2003 (ITEPA) and applies where employment-related securities, which are restricted securities by reason of section 423 ITEPA, are acquired.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 of an election under section 431(1) is that, for the relevant Income Tax and NIC purposes, the employment-related securities and their market value will be treated as if they were not restricted securities and that sections 425 to 430 ITEPA do not apply. An election under section 431(2) will ignore one or more of the restrictions in computing the charge on acquisition. Additional Income Tax will be payable (with PAYE and NIC where the securities are Readily Convertible Assets).</w:t>
      </w:r>
    </w:p>
    <w:p>
      <w:pPr>
        <w:spacing w:after="0" w:line="18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p>
      <w:pPr>
        <w:spacing w:after="0" w:line="180" w:lineRule="exact"/>
        <w:rPr>
          <w:sz w:val="20"/>
          <w:szCs w:val="20"/>
          <w:color w:val="auto"/>
        </w:rPr>
      </w:pPr>
    </w:p>
    <w:p>
      <w:pPr>
        <w:ind w:left="340" w:hanging="332"/>
        <w:spacing w:after="0"/>
        <w:tabs>
          <w:tab w:leader="none" w:pos="34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joint election is made not later than 14 days after the date of acquisition of the securities by the employee and applies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474" w:name="page475"/>
    <w:bookmarkEnd w:id="474"/>
    <w:p>
      <w:pPr>
        <w:ind w:left="660"/>
        <w:spacing w:after="0"/>
        <w:rPr>
          <w:sz w:val="20"/>
          <w:szCs w:val="20"/>
          <w:color w:val="auto"/>
        </w:rPr>
      </w:pPr>
      <w:r>
        <w:rPr>
          <w:rFonts w:ascii="Arial" w:cs="Arial" w:eastAsia="Arial" w:hAnsi="Arial"/>
          <w:sz w:val="16"/>
          <w:szCs w:val="16"/>
          <w:color w:val="auto"/>
        </w:rPr>
        <w:t>Number of securities: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All securities to be acquired by Employee under the terms of the CrowdStrike Holdings, Inc. 2011 Stock Incentive Plan.</w:t>
      </w:r>
    </w:p>
    <w:p>
      <w:pPr>
        <w:spacing w:after="0" w:line="170" w:lineRule="exact"/>
        <w:rPr>
          <w:sz w:val="20"/>
          <w:szCs w:val="20"/>
          <w:color w:val="auto"/>
        </w:rPr>
      </w:pPr>
    </w:p>
    <w:p>
      <w:pPr>
        <w:sectPr>
          <w:pgSz w:w="11900" w:h="16838" w:orient="portrait"/>
          <w:cols w:equalWidth="0" w:num="2">
            <w:col w:w="2920" w:space="720"/>
            <w:col w:w="7080"/>
          </w:cols>
          <w:pgMar w:left="320" w:top="341" w:right="859" w:bottom="1440" w:gutter="0" w:footer="0" w:header="0"/>
        </w:sectPr>
      </w:pPr>
    </w:p>
    <w:p>
      <w:pPr>
        <w:ind w:left="660"/>
        <w:spacing w:after="0"/>
        <w:rPr>
          <w:sz w:val="20"/>
          <w:szCs w:val="20"/>
          <w:color w:val="auto"/>
        </w:rPr>
      </w:pPr>
      <w:r>
        <w:rPr>
          <w:rFonts w:ascii="Arial" w:cs="Arial" w:eastAsia="Arial" w:hAnsi="Arial"/>
          <w:sz w:val="16"/>
          <w:szCs w:val="16"/>
          <w:color w:val="auto"/>
        </w:rPr>
        <w:t>Description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common stock</w:t>
      </w:r>
    </w:p>
    <w:p>
      <w:pPr>
        <w:spacing w:after="0" w:line="200" w:lineRule="exact"/>
        <w:rPr>
          <w:sz w:val="20"/>
          <w:szCs w:val="20"/>
          <w:color w:val="auto"/>
        </w:rPr>
      </w:pPr>
    </w:p>
    <w:p>
      <w:pPr>
        <w:sectPr>
          <w:pgSz w:w="11900" w:h="16838" w:orient="portrait"/>
          <w:cols w:equalWidth="0" w:num="2">
            <w:col w:w="2920" w:space="720"/>
            <w:col w:w="7080"/>
          </w:cols>
          <w:pgMar w:left="320" w:top="341" w:right="8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Name of issuer of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CrowdStrike Holdings, Inc.</w:t>
      </w:r>
    </w:p>
    <w:p>
      <w:pPr>
        <w:spacing w:after="0" w:line="200" w:lineRule="exact"/>
        <w:rPr>
          <w:sz w:val="20"/>
          <w:szCs w:val="20"/>
          <w:color w:val="auto"/>
        </w:rPr>
      </w:pPr>
    </w:p>
    <w:p>
      <w:pPr>
        <w:sectPr>
          <w:pgSz w:w="11900" w:h="16838" w:orient="portrait"/>
          <w:cols w:equalWidth="0" w:num="2">
            <w:col w:w="2920" w:space="720"/>
            <w:col w:w="7080"/>
          </w:cols>
          <w:pgMar w:left="320" w:top="341" w:right="8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to be acquired by the Employee under the terms of the CrowdStrike Holdings, Inc. 2011 Stock Incentive Plan.</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Extent of Application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election disapplies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S.431(1) ITEPA: All restrictions attaching to the securities</w:t>
      </w:r>
    </w:p>
    <w:p>
      <w:pPr>
        <w:spacing w:after="0" w:line="221" w:lineRule="exact"/>
        <w:rPr>
          <w:sz w:val="20"/>
          <w:szCs w:val="20"/>
          <w:color w:val="auto"/>
        </w:rPr>
      </w:pPr>
    </w:p>
    <w:p>
      <w:pPr>
        <w:ind w:left="340" w:hanging="332"/>
        <w:spacing w:after="0"/>
        <w:tabs>
          <w:tab w:leader="none" w:pos="34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This election will become irrevocable upon the later of its signing or electronic acceptance or the acquisition (and each subsequent acquisition) of employment-related securities to which this election applies.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signing or electronically accepting this joint election, we agree to be bound by its terms as stated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Borders>
              <w:bottom w:val="single" w:sz="8" w:color="auto"/>
            </w:tcBorders>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5"/>
        </w:trPr>
        <w:tc>
          <w:tcPr>
            <w:tcW w:w="5260" w:type="dxa"/>
            <w:vAlign w:val="bottom"/>
          </w:tcPr>
          <w:p>
            <w:pPr>
              <w:spacing w:after="0"/>
              <w:rPr>
                <w:sz w:val="20"/>
                <w:szCs w:val="20"/>
                <w:color w:val="auto"/>
              </w:rPr>
            </w:pPr>
            <w:r>
              <w:rPr>
                <w:rFonts w:ascii="Arial" w:cs="Arial" w:eastAsia="Arial" w:hAnsi="Arial"/>
                <w:sz w:val="18"/>
                <w:szCs w:val="18"/>
                <w:color w:val="auto"/>
              </w:rPr>
              <w:t>Signature (Employee)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Date</w:t>
            </w:r>
          </w:p>
        </w:tc>
      </w:tr>
      <w:tr>
        <w:trPr>
          <w:trHeight w:val="648"/>
        </w:trPr>
        <w:tc>
          <w:tcPr>
            <w:tcW w:w="5260" w:type="dxa"/>
            <w:vAlign w:val="bottom"/>
            <w:tcBorders>
              <w:bottom w:val="single" w:sz="8" w:color="auto"/>
            </w:tcBorders>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5"/>
        </w:trPr>
        <w:tc>
          <w:tcPr>
            <w:tcW w:w="5260" w:type="dxa"/>
            <w:vAlign w:val="bottom"/>
          </w:tcPr>
          <w:p>
            <w:pPr>
              <w:spacing w:after="0"/>
              <w:rPr>
                <w:sz w:val="20"/>
                <w:szCs w:val="20"/>
                <w:color w:val="auto"/>
              </w:rPr>
            </w:pPr>
            <w:r>
              <w:rPr>
                <w:rFonts w:ascii="Arial" w:cs="Arial" w:eastAsia="Arial" w:hAnsi="Arial"/>
                <w:sz w:val="18"/>
                <w:szCs w:val="18"/>
                <w:b w:val="1"/>
                <w:bCs w:val="1"/>
                <w:color w:val="auto"/>
              </w:rPr>
              <w:t xml:space="preserve">III. </w:t>
            </w:r>
            <w:r>
              <w:rPr>
                <w:rFonts w:ascii="Arial" w:cs="Arial" w:eastAsia="Arial" w:hAnsi="Arial"/>
                <w:sz w:val="18"/>
                <w:szCs w:val="18"/>
                <w:color w:val="auto"/>
              </w:rPr>
              <w:t>Signature (for and on behalf of the Company)</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333438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Position in company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Note: Where the election is in respect of multiple acquisitions, prior to the date of any subsequent acquisition of a security it may be revoked by agreement between the employee and employer in respect of that and any later acquisition.</w:t>
      </w:r>
    </w:p>
    <w:p>
      <w:pPr>
        <w:spacing w:after="0" w:line="17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20"/>
          </w:cols>
          <w:pgMar w:left="320" w:top="341" w:right="859" w:bottom="1440" w:gutter="0" w:footer="0" w:header="0"/>
          <w:type w:val="continuous"/>
        </w:sectPr>
      </w:pPr>
    </w:p>
    <w:bookmarkStart w:id="475" w:name="page476"/>
    <w:bookmarkEnd w:id="475"/>
    <w:p>
      <w:pPr>
        <w:jc w:val="center"/>
        <w:ind w:right="-139"/>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NICs JOINT ELECTION FOR U.K.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Note on the Election to Transfer Employer NICs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you are liable for National Insurance contributions (“NICs”) in the UK in connection with your participation in the CrowdStrike Holdings, Inc. 2011 Stock Incentive Plan, you are required to enter into an Election to transfer to you any liability for employer’s NICs that may arise in connection with your participation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entering into the Election:</w:t>
      </w:r>
    </w:p>
    <w:p>
      <w:pPr>
        <w:spacing w:after="0" w:line="225" w:lineRule="exact"/>
        <w:rPr>
          <w:sz w:val="20"/>
          <w:szCs w:val="20"/>
          <w:color w:val="auto"/>
        </w:rPr>
      </w:pPr>
    </w:p>
    <w:p>
      <w:pPr>
        <w:ind w:left="620" w:hanging="288"/>
        <w:spacing w:after="0"/>
        <w:tabs>
          <w:tab w:leader="none" w:pos="6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you agree that any employer’s NICs liability that may arise in connection with your participation in the Plan will be transferred to you;</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2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you authorise your employer to recover an amount sufficient to cover this liability by such methods including, but not limited to, deductions from your salary or other payments due or the sale of sufficient shares acquired pursuant to your awards; and</w:t>
      </w:r>
    </w:p>
    <w:p>
      <w:pPr>
        <w:spacing w:after="0" w:line="170"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you acknowledge that the Company or your employer may require you to sign a paper copy of this Election (or a substantially similar form) if the Company determines such is necessary to give effect to the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read the Election carefully.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print and keep a copy of the Election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476" w:name="page477"/>
    <w:bookmarkEnd w:id="476"/>
    <w:p>
      <w:pPr>
        <w:jc w:val="center"/>
        <w:ind w:right="-79"/>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2011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Election To Transfer the Employer’s National Insurance Liability to the 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Election is between:</w:t>
      </w:r>
    </w:p>
    <w:p>
      <w:pPr>
        <w:spacing w:after="0" w:line="225" w:lineRule="exact"/>
        <w:rPr>
          <w:sz w:val="20"/>
          <w:szCs w:val="20"/>
          <w:color w:val="auto"/>
        </w:rPr>
      </w:pPr>
    </w:p>
    <w:p>
      <w:pPr>
        <w:jc w:val="both"/>
        <w:ind w:firstLine="8"/>
        <w:spacing w:after="0" w:line="263" w:lineRule="auto"/>
        <w:tabs>
          <w:tab w:leader="none" w:pos="66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individual who has obtained authorised access to this Election (the “Employee”), who is employed by one of the employing companies listed in the attached schedule (the “Employer”) and who is eligible to receive stock options (“Awards”) pursuant to the CrowdStrike Holdings, Inc. 2011 Stock Incentive Plan (the “Plan”), and</w:t>
      </w:r>
    </w:p>
    <w:p>
      <w:pPr>
        <w:spacing w:after="0" w:line="183" w:lineRule="exact"/>
        <w:rPr>
          <w:rFonts w:ascii="Arial" w:cs="Arial" w:eastAsia="Arial" w:hAnsi="Arial"/>
          <w:sz w:val="18"/>
          <w:szCs w:val="18"/>
          <w:color w:val="auto"/>
        </w:rPr>
      </w:pPr>
    </w:p>
    <w:p>
      <w:pPr>
        <w:ind w:firstLine="8"/>
        <w:spacing w:after="0" w:line="277" w:lineRule="auto"/>
        <w:tabs>
          <w:tab w:leader="none" w:pos="651" w:val="left"/>
        </w:tabs>
        <w:numPr>
          <w:ilvl w:val="0"/>
          <w:numId w:val="413"/>
        </w:numPr>
        <w:rPr>
          <w:rFonts w:ascii="Arial" w:cs="Arial" w:eastAsia="Arial" w:hAnsi="Arial"/>
          <w:sz w:val="18"/>
          <w:szCs w:val="18"/>
          <w:color w:val="auto"/>
        </w:rPr>
      </w:pPr>
      <w:r>
        <w:rPr>
          <w:rFonts w:ascii="Arial" w:cs="Arial" w:eastAsia="Arial" w:hAnsi="Arial"/>
          <w:sz w:val="18"/>
          <w:szCs w:val="18"/>
          <w:color w:val="auto"/>
        </w:rPr>
        <w:t>CrowdStrike Holdings, Inc., 150 Mathilda Place, Suite 300, Sunnyvale, California 94086, United States of America (the “Company”), which may grant Awards under the Plan and is entering into this Election on behalf of the Employer.</w:t>
      </w:r>
    </w:p>
    <w:p>
      <w:pPr>
        <w:spacing w:after="0" w:line="166" w:lineRule="exact"/>
        <w:rPr>
          <w:sz w:val="20"/>
          <w:szCs w:val="20"/>
          <w:color w:val="auto"/>
        </w:rPr>
      </w:pPr>
    </w:p>
    <w:p>
      <w:pPr>
        <w:ind w:left="660" w:hanging="652"/>
        <w:spacing w:after="0"/>
        <w:tabs>
          <w:tab w:leader="none" w:pos="66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This Election relates to all Awards granted to the Employee under the Plan from the date it is entered up to the termination date of the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Election the following words and phrases have the following meanings:</w:t>
      </w:r>
    </w:p>
    <w:p>
      <w:pPr>
        <w:spacing w:after="0" w:line="225" w:lineRule="exact"/>
        <w:rPr>
          <w:sz w:val="20"/>
          <w:szCs w:val="20"/>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“Chargeable Event” means, in relation to the Awards:</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acquisition of securities pursuant to Awards (within section 477(3)(a) of ITEPA);</w:t>
      </w:r>
    </w:p>
    <w:p>
      <w:pPr>
        <w:spacing w:after="0" w:line="225" w:lineRule="exact"/>
        <w:rPr>
          <w:rFonts w:ascii="Arial" w:cs="Arial" w:eastAsia="Arial" w:hAnsi="Arial"/>
          <w:sz w:val="18"/>
          <w:szCs w:val="18"/>
          <w:color w:val="auto"/>
        </w:rPr>
      </w:pPr>
    </w:p>
    <w:p>
      <w:pPr>
        <w:ind w:left="1980" w:hanging="676"/>
        <w:spacing w:after="0"/>
        <w:tabs>
          <w:tab w:leader="none" w:pos="198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assignment or release of the Awards in return for consideration (within section 477(3)(b) of ITEPA);</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2000"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the receipt of a benefit in connection with the Awards other than a benefit within (i) or (ii) above (within section 477(3)(c) of ITEPA);</w:t>
      </w:r>
    </w:p>
    <w:p>
      <w:pPr>
        <w:spacing w:after="0" w:line="170" w:lineRule="exact"/>
        <w:rPr>
          <w:rFonts w:ascii="Arial" w:cs="Arial" w:eastAsia="Arial" w:hAnsi="Arial"/>
          <w:sz w:val="18"/>
          <w:szCs w:val="18"/>
          <w:color w:val="auto"/>
        </w:rPr>
      </w:pPr>
    </w:p>
    <w:p>
      <w:pPr>
        <w:ind w:left="1960" w:right="140" w:hanging="656"/>
        <w:spacing w:after="0" w:line="277" w:lineRule="auto"/>
        <w:tabs>
          <w:tab w:leader="none" w:pos="1977" w:val="left"/>
        </w:tabs>
        <w:numPr>
          <w:ilvl w:val="1"/>
          <w:numId w:val="415"/>
        </w:numPr>
        <w:rPr>
          <w:rFonts w:ascii="Arial" w:cs="Arial" w:eastAsia="Arial" w:hAnsi="Arial"/>
          <w:sz w:val="18"/>
          <w:szCs w:val="18"/>
          <w:color w:val="auto"/>
        </w:rPr>
      </w:pPr>
      <w:r>
        <w:rPr>
          <w:rFonts w:ascii="Arial" w:cs="Arial" w:eastAsia="Arial" w:hAnsi="Arial"/>
          <w:sz w:val="18"/>
          <w:szCs w:val="18"/>
          <w:color w:val="auto"/>
        </w:rPr>
        <w:t>post-acquisition charges relating to the Awards, restricted stock and/or shares acquired pursuant to the Awards (within section 427 of ITEPA); and/or</w:t>
      </w:r>
    </w:p>
    <w:p>
      <w:pPr>
        <w:spacing w:after="0" w:line="170" w:lineRule="exact"/>
        <w:rPr>
          <w:rFonts w:ascii="Arial" w:cs="Arial" w:eastAsia="Arial" w:hAnsi="Arial"/>
          <w:sz w:val="18"/>
          <w:szCs w:val="18"/>
          <w:color w:val="auto"/>
        </w:rPr>
      </w:pPr>
    </w:p>
    <w:p>
      <w:pPr>
        <w:ind w:left="1960" w:right="160" w:hanging="656"/>
        <w:spacing w:after="0" w:line="277" w:lineRule="auto"/>
        <w:tabs>
          <w:tab w:leader="none" w:pos="1967" w:val="left"/>
        </w:tabs>
        <w:numPr>
          <w:ilvl w:val="1"/>
          <w:numId w:val="415"/>
        </w:numPr>
        <w:rPr>
          <w:rFonts w:ascii="Arial" w:cs="Arial" w:eastAsia="Arial" w:hAnsi="Arial"/>
          <w:sz w:val="18"/>
          <w:szCs w:val="18"/>
          <w:color w:val="auto"/>
        </w:rPr>
      </w:pPr>
      <w:r>
        <w:rPr>
          <w:rFonts w:ascii="Arial" w:cs="Arial" w:eastAsia="Arial" w:hAnsi="Arial"/>
          <w:sz w:val="18"/>
          <w:szCs w:val="18"/>
          <w:color w:val="auto"/>
        </w:rPr>
        <w:t>post-acquisition charges relating to the Awards, restricted stock and/or shares acquired pursuant to the Awards (within section 439 of ITEPA).</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“ITEPA” means the Income Tax (Earnings and Pensions) Act 2003.</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“SSCBA” means the Social Security Contributions and Benefits Act 1992.</w:t>
      </w:r>
    </w:p>
    <w:p>
      <w:pPr>
        <w:spacing w:after="0" w:line="225" w:lineRule="exact"/>
        <w:rPr>
          <w:sz w:val="20"/>
          <w:szCs w:val="20"/>
          <w:color w:val="auto"/>
        </w:rPr>
      </w:pPr>
    </w:p>
    <w:p>
      <w:pPr>
        <w:ind w:left="660" w:right="140" w:hanging="647"/>
        <w:spacing w:after="0" w:line="342"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“Employer’s Liability”) which may arise on the occurrence of a Chargeable Event in respect of the Awards pursuant to section 4(4)(a) and/or paragraph 3B(1A) of Schedule 1 of the SSCBA.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15327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477" w:name="page478"/>
    <w:bookmarkEnd w:id="477"/>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46"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66" w:lineRule="exact"/>
        <w:rPr>
          <w:sz w:val="20"/>
          <w:szCs w:val="20"/>
          <w:color w:val="auto"/>
        </w:rPr>
      </w:pPr>
    </w:p>
    <w:p>
      <w:pPr>
        <w:ind w:left="660" w:hanging="652"/>
        <w:spacing w:after="0"/>
        <w:tabs>
          <w:tab w:leader="none" w:pos="66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The Election</w:t>
      </w:r>
    </w:p>
    <w:p>
      <w:pPr>
        <w:spacing w:after="0" w:line="22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Employee and the Company jointly elect that the entire liability of the Employer to pay the Employer’s Liability on the Chargeable Event is hereby transferred to the Employee. The Employee understands that, by signing or electronically accepting this Election, he or she will become personally liable for the Employer’s Liability covered by this Election. This Election is made in accordance with paragraph 3B(1) of Schedule 1 to SSCBA.</w:t>
      </w:r>
    </w:p>
    <w:p>
      <w:pPr>
        <w:spacing w:after="0" w:line="145" w:lineRule="exact"/>
        <w:rPr>
          <w:sz w:val="20"/>
          <w:szCs w:val="20"/>
          <w:color w:val="auto"/>
        </w:rPr>
      </w:pPr>
    </w:p>
    <w:p>
      <w:pPr>
        <w:ind w:left="660" w:hanging="652"/>
        <w:spacing w:after="0"/>
        <w:tabs>
          <w:tab w:leader="none" w:pos="66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the Employer’s Liability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Employee hereby authorises the Company and/or the Employer to collect the Employer’s Liability from the Employee at any time after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Chargeable Event:</w:t>
      </w:r>
    </w:p>
    <w:p>
      <w:pPr>
        <w:spacing w:after="0" w:line="211" w:lineRule="exact"/>
        <w:rPr>
          <w:sz w:val="20"/>
          <w:szCs w:val="20"/>
          <w:color w:val="auto"/>
        </w:rPr>
      </w:pPr>
    </w:p>
    <w:p>
      <w:pPr>
        <w:ind w:left="680" w:hanging="672"/>
        <w:spacing w:after="0"/>
        <w:tabs>
          <w:tab w:leader="none" w:pos="68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by deduction from salary or any other payment payable to the Employee at any time on or after the date of the Chargeable Event; and/or</w:t>
      </w:r>
    </w:p>
    <w:p>
      <w:pPr>
        <w:spacing w:after="0" w:line="236" w:lineRule="exact"/>
        <w:rPr>
          <w:rFonts w:ascii="Arial" w:cs="Arial" w:eastAsia="Arial" w:hAnsi="Arial"/>
          <w:sz w:val="17"/>
          <w:szCs w:val="17"/>
          <w:color w:val="auto"/>
        </w:rPr>
      </w:pPr>
    </w:p>
    <w:p>
      <w:pPr>
        <w:ind w:left="680" w:hanging="672"/>
        <w:spacing w:after="0"/>
        <w:tabs>
          <w:tab w:leader="none" w:pos="6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directly from the Employee by payment in cash or cleared funds; and/or</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by arranging, on behalf of the Employee, for the sale of some of the securities which the Employee is entitled to receive in respect of the Awards;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and/or</w:t>
      </w:r>
    </w:p>
    <w:p>
      <w:pPr>
        <w:spacing w:after="0" w:line="210" w:lineRule="exact"/>
        <w:rPr>
          <w:rFonts w:ascii="Arial" w:cs="Arial" w:eastAsia="Arial" w:hAnsi="Arial"/>
          <w:sz w:val="16"/>
          <w:szCs w:val="16"/>
          <w:color w:val="auto"/>
        </w:rPr>
      </w:pPr>
    </w:p>
    <w:p>
      <w:pPr>
        <w:ind w:left="680" w:hanging="672"/>
        <w:spacing w:after="0"/>
        <w:tabs>
          <w:tab w:leader="none" w:pos="68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by any other means specified in the applicable award agreement.</w:t>
      </w:r>
    </w:p>
    <w:p>
      <w:pPr>
        <w:spacing w:after="0" w:line="225"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hereby reserves for itself and the Employer the right to withhold the transfer of any securities to the Employee in respect of the Awards until full payment of the Employer’s Liability is received.</w:t>
      </w:r>
    </w:p>
    <w:p>
      <w:pPr>
        <w:spacing w:after="0" w:line="170"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80" w:lineRule="exact"/>
        <w:rPr>
          <w:sz w:val="20"/>
          <w:szCs w:val="20"/>
          <w:color w:val="auto"/>
        </w:rPr>
      </w:pPr>
    </w:p>
    <w:p>
      <w:pPr>
        <w:ind w:left="660" w:hanging="652"/>
        <w:spacing w:after="0"/>
        <w:tabs>
          <w:tab w:leader="none" w:pos="66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Election</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70" w:lineRule="exact"/>
        <w:rPr>
          <w:sz w:val="20"/>
          <w:szCs w:val="20"/>
          <w:color w:val="auto"/>
        </w:rPr>
      </w:pPr>
    </w:p>
    <w:p>
      <w:pPr>
        <w:ind w:left="660" w:right="22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8" w:name="page479"/>
    <w:bookmarkEnd w:id="478"/>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This Election will continue in effect until the earliest of the following:</w:t>
      </w:r>
    </w:p>
    <w:p>
      <w:pPr>
        <w:spacing w:after="0" w:line="225" w:lineRule="exact"/>
        <w:rPr>
          <w:sz w:val="20"/>
          <w:szCs w:val="20"/>
          <w:color w:val="auto"/>
        </w:rPr>
      </w:pPr>
    </w:p>
    <w:p>
      <w:pPr>
        <w:ind w:left="680" w:hanging="672"/>
        <w:spacing w:after="0"/>
        <w:tabs>
          <w:tab w:leader="none" w:pos="6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Employee and the Company agree in writing that it should cease to have effect;</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on the date the Company serves written notice on the Employee terminating its effect;</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on the date HM Revenue &amp; Customs withdraws approval of this Election; or</w:t>
      </w:r>
    </w:p>
    <w:p>
      <w:pPr>
        <w:spacing w:after="0" w:line="225" w:lineRule="exact"/>
        <w:rPr>
          <w:rFonts w:ascii="Arial" w:cs="Arial" w:eastAsia="Arial" w:hAnsi="Arial"/>
          <w:sz w:val="18"/>
          <w:szCs w:val="18"/>
          <w:color w:val="auto"/>
        </w:rPr>
      </w:pPr>
    </w:p>
    <w:p>
      <w:pPr>
        <w:ind w:right="140" w:firstLine="8"/>
        <w:spacing w:after="0" w:line="277" w:lineRule="auto"/>
        <w:tabs>
          <w:tab w:leader="none" w:pos="66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after due payment of the Employer’s Liability in respect of the entirety of the Awards to which this Election relates or could relate, such that the Election ceases to have effect in accordance with its terms.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Employee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Employee acknowledges that, by signing or electronically accepting this Election, the Employee agrees to be bound by the terms of this Election.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14605</wp:posOffset>
            </wp:positionV>
            <wp:extent cx="336867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14605</wp:posOffset>
            </wp:positionV>
            <wp:extent cx="336867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14605</wp:posOffset>
            </wp:positionV>
            <wp:extent cx="336867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Company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acknowledges that, by signing this Election or arranging for the scanned signature of an authorised representative to appear on this Election, the Company agrees to be bound by the terms of this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for and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14605</wp:posOffset>
            </wp:positionV>
            <wp:extent cx="336867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14605</wp:posOffset>
            </wp:positionV>
            <wp:extent cx="336867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b w:val="1"/>
          <w:bCs w:val="1"/>
          <w:color w:val="auto"/>
        </w:rPr>
        <w:t>SCHEDULE OF EMPLOYER COMPANIES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employer companies to which this Election may apply: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Name of Company:</w:t>
            </w:r>
          </w:p>
        </w:tc>
        <w:tc>
          <w:tcPr>
            <w:tcW w:w="8480" w:type="dxa"/>
            <w:vAlign w:val="bottom"/>
          </w:tcPr>
          <w:p>
            <w:pPr>
              <w:ind w:left="480"/>
              <w:spacing w:after="0"/>
              <w:rPr>
                <w:sz w:val="20"/>
                <w:szCs w:val="20"/>
                <w:color w:val="auto"/>
              </w:rPr>
            </w:pPr>
            <w:r>
              <w:rPr>
                <w:rFonts w:ascii="Arial" w:cs="Arial" w:eastAsia="Arial" w:hAnsi="Arial"/>
                <w:sz w:val="18"/>
                <w:szCs w:val="18"/>
                <w:color w:val="auto"/>
              </w:rPr>
              <w:t>CrowdStrike UK Ltd. (“CSUK”)</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Registered Office:</w:t>
            </w:r>
          </w:p>
        </w:tc>
        <w:tc>
          <w:tcPr>
            <w:tcW w:w="8480" w:type="dxa"/>
            <w:vAlign w:val="bottom"/>
          </w:tcPr>
          <w:p>
            <w:pPr>
              <w:ind w:left="480"/>
              <w:spacing w:after="0"/>
              <w:rPr>
                <w:sz w:val="20"/>
                <w:szCs w:val="20"/>
                <w:color w:val="auto"/>
              </w:rPr>
            </w:pPr>
            <w:r>
              <w:rPr>
                <w:rFonts w:ascii="Arial" w:cs="Arial" w:eastAsia="Arial" w:hAnsi="Arial"/>
                <w:sz w:val="18"/>
                <w:szCs w:val="18"/>
                <w:color w:val="auto"/>
              </w:rPr>
              <w:t>6th Floor One London Wall, London, United Kingdom EC2Y 5EB</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Company Registration Number:</w:t>
            </w:r>
          </w:p>
        </w:tc>
        <w:tc>
          <w:tcPr>
            <w:tcW w:w="8480" w:type="dxa"/>
            <w:vAlign w:val="bottom"/>
          </w:tcPr>
          <w:p>
            <w:pPr>
              <w:spacing w:after="0"/>
              <w:rPr>
                <w:sz w:val="24"/>
                <w:szCs w:val="24"/>
                <w:color w:val="auto"/>
              </w:rPr>
            </w:pP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Corporation Tax District:</w:t>
            </w:r>
          </w:p>
        </w:tc>
        <w:tc>
          <w:tcPr>
            <w:tcW w:w="8480" w:type="dxa"/>
            <w:vAlign w:val="bottom"/>
          </w:tcPr>
          <w:p>
            <w:pPr>
              <w:spacing w:after="0"/>
              <w:rPr>
                <w:sz w:val="24"/>
                <w:szCs w:val="24"/>
                <w:color w:val="auto"/>
              </w:rPr>
            </w:pP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Corporation Tax Reference:</w:t>
            </w:r>
          </w:p>
        </w:tc>
        <w:tc>
          <w:tcPr>
            <w:tcW w:w="8480" w:type="dxa"/>
            <w:vAlign w:val="bottom"/>
          </w:tcPr>
          <w:p>
            <w:pPr>
              <w:spacing w:after="0"/>
              <w:rPr>
                <w:sz w:val="24"/>
                <w:szCs w:val="24"/>
                <w:color w:val="auto"/>
              </w:rPr>
            </w:pP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PAYE Reference:</w:t>
            </w:r>
          </w:p>
        </w:tc>
        <w:tc>
          <w:tcPr>
            <w:tcW w:w="8480" w:type="dxa"/>
            <w:vAlign w:val="bottom"/>
          </w:tcPr>
          <w:p>
            <w:pPr>
              <w:spacing w:after="0"/>
              <w:rPr>
                <w:sz w:val="24"/>
                <w:szCs w:val="24"/>
                <w:color w:val="auto"/>
              </w:rPr>
            </w:pPr>
          </w:p>
        </w:tc>
      </w:tr>
      <w:tr>
        <w:trPr>
          <w:trHeight w:val="348"/>
        </w:trPr>
        <w:tc>
          <w:tcPr>
            <w:tcW w:w="2800" w:type="dxa"/>
            <w:vAlign w:val="bottom"/>
            <w:tcBorders>
              <w:bottom w:val="single" w:sz="8" w:color="808080"/>
            </w:tcBorders>
          </w:tcPr>
          <w:p>
            <w:pPr>
              <w:spacing w:after="0"/>
              <w:rPr>
                <w:sz w:val="24"/>
                <w:szCs w:val="24"/>
                <w:color w:val="auto"/>
              </w:rPr>
            </w:pPr>
          </w:p>
        </w:tc>
        <w:tc>
          <w:tcPr>
            <w:tcW w:w="8480" w:type="dxa"/>
            <w:vAlign w:val="bottom"/>
            <w:tcBorders>
              <w:bottom w:val="single" w:sz="8" w:color="808080"/>
            </w:tcBorders>
          </w:tcPr>
          <w:p>
            <w:pPr>
              <w:spacing w:after="0"/>
              <w:rPr>
                <w:sz w:val="24"/>
                <w:szCs w:val="24"/>
                <w:color w:val="auto"/>
              </w:rPr>
            </w:pPr>
          </w:p>
        </w:tc>
      </w:tr>
      <w:tr>
        <w:trPr>
          <w:trHeight w:val="537"/>
        </w:trPr>
        <w:tc>
          <w:tcPr>
            <w:tcW w:w="2800" w:type="dxa"/>
            <w:vAlign w:val="bottom"/>
          </w:tcPr>
          <w:p>
            <w:pPr>
              <w:spacing w:after="0"/>
              <w:rPr>
                <w:sz w:val="24"/>
                <w:szCs w:val="24"/>
                <w:color w:val="auto"/>
              </w:rPr>
            </w:pPr>
          </w:p>
        </w:tc>
        <w:tc>
          <w:tcPr>
            <w:tcW w:w="8480" w:type="dxa"/>
            <w:vAlign w:val="bottom"/>
          </w:tcPr>
          <w:p>
            <w:pPr>
              <w:jc w:val="center"/>
              <w:ind w:right="2750"/>
              <w:spacing w:after="0"/>
              <w:rPr>
                <w:sz w:val="20"/>
                <w:szCs w:val="20"/>
                <w:color w:val="auto"/>
              </w:rPr>
            </w:pPr>
            <w:r>
              <w:rPr>
                <w:rFonts w:ascii="Arial" w:cs="Arial" w:eastAsia="Arial" w:hAnsi="Arial"/>
                <w:sz w:val="18"/>
                <w:szCs w:val="18"/>
                <w:b w:val="1"/>
                <w:bCs w:val="1"/>
                <w:color w:val="auto"/>
              </w:rPr>
              <w:t>CROWDSTRIKE HOLDINGS, INC.</w:t>
            </w:r>
          </w:p>
        </w:tc>
      </w:tr>
      <w:tr>
        <w:trPr>
          <w:trHeight w:val="432"/>
        </w:trPr>
        <w:tc>
          <w:tcPr>
            <w:tcW w:w="2800" w:type="dxa"/>
            <w:vAlign w:val="bottom"/>
          </w:tcPr>
          <w:p>
            <w:pPr>
              <w:spacing w:after="0"/>
              <w:rPr>
                <w:sz w:val="24"/>
                <w:szCs w:val="24"/>
                <w:color w:val="auto"/>
              </w:rPr>
            </w:pPr>
          </w:p>
        </w:tc>
        <w:tc>
          <w:tcPr>
            <w:tcW w:w="8480" w:type="dxa"/>
            <w:vAlign w:val="bottom"/>
          </w:tcPr>
          <w:p>
            <w:pPr>
              <w:jc w:val="center"/>
              <w:ind w:right="2730"/>
              <w:spacing w:after="0"/>
              <w:rPr>
                <w:sz w:val="20"/>
                <w:szCs w:val="20"/>
                <w:color w:val="auto"/>
              </w:rPr>
            </w:pPr>
            <w:r>
              <w:rPr>
                <w:rFonts w:ascii="Arial" w:cs="Arial" w:eastAsia="Arial" w:hAnsi="Arial"/>
                <w:sz w:val="18"/>
                <w:szCs w:val="18"/>
                <w:b w:val="1"/>
                <w:bCs w:val="1"/>
                <w:color w:val="auto"/>
                <w:w w:val="99"/>
              </w:rPr>
              <w:t>2011 STOCK INCENTIVE PLAN</w:t>
            </w:r>
          </w:p>
        </w:tc>
      </w:tr>
      <w:tr>
        <w:trPr>
          <w:trHeight w:val="432"/>
        </w:trPr>
        <w:tc>
          <w:tcPr>
            <w:tcW w:w="2800" w:type="dxa"/>
            <w:vAlign w:val="bottom"/>
          </w:tcPr>
          <w:p>
            <w:pPr>
              <w:spacing w:after="0"/>
              <w:rPr>
                <w:sz w:val="24"/>
                <w:szCs w:val="24"/>
                <w:color w:val="auto"/>
              </w:rPr>
            </w:pPr>
          </w:p>
        </w:tc>
        <w:tc>
          <w:tcPr>
            <w:tcW w:w="8480" w:type="dxa"/>
            <w:vAlign w:val="bottom"/>
          </w:tcPr>
          <w:p>
            <w:pPr>
              <w:jc w:val="center"/>
              <w:ind w:right="2730"/>
              <w:spacing w:after="0"/>
              <w:rPr>
                <w:sz w:val="20"/>
                <w:szCs w:val="20"/>
                <w:color w:val="auto"/>
              </w:rPr>
            </w:pPr>
            <w:r>
              <w:rPr>
                <w:rFonts w:ascii="Arial" w:cs="Arial" w:eastAsia="Arial" w:hAnsi="Arial"/>
                <w:sz w:val="18"/>
                <w:szCs w:val="18"/>
                <w:b w:val="1"/>
                <w:bCs w:val="1"/>
                <w:color w:val="auto"/>
              </w:rPr>
              <w:t>STOCK OPTION AGREEMENT — EARLY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-918845</wp:posOffset>
            </wp:positionV>
            <wp:extent cx="1270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-918845</wp:posOffset>
            </wp:positionV>
            <wp:extent cx="1270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Unless otherwise defined herein, the capitalized terms in this Stock Option Agreement (the “Option Agreement”) shall have the same meaning as set forth in the 2011 Stock Incentive Plan (the “Plan”).</w:t>
      </w:r>
    </w:p>
    <w:p>
      <w:pPr>
        <w:spacing w:after="0" w:line="166" w:lineRule="exact"/>
        <w:rPr>
          <w:sz w:val="20"/>
          <w:szCs w:val="20"/>
          <w:color w:val="auto"/>
        </w:rPr>
      </w:pPr>
    </w:p>
    <w:p>
      <w:pPr>
        <w:ind w:left="660" w:right="7500" w:hanging="652"/>
        <w:spacing w:after="0" w:line="500" w:lineRule="auto"/>
        <w:tabs>
          <w:tab w:leader="none" w:pos="667"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STOCK OPTION GRANT </w:t>
      </w:r>
      <w:r>
        <w:rPr>
          <w:rFonts w:ascii="Arial" w:cs="Arial" w:eastAsia="Arial" w:hAnsi="Arial"/>
          <w:sz w:val="18"/>
          <w:szCs w:val="18"/>
          <w:b w:val="1"/>
          <w:bCs w:val="1"/>
          <w:color w:val="auto"/>
        </w:rPr>
        <w:t>Name:</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undersigned Participant has been granted an Option to purchase shares of Stock of the Company (the “Shares”), subject to the terms and conditions of the Plan and this Option Agreement, as follows: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Date of Grant:</w:t>
            </w:r>
          </w:p>
        </w:tc>
        <w:tc>
          <w:tcPr>
            <w:tcW w:w="2820" w:type="dxa"/>
            <w:vAlign w:val="bottom"/>
          </w:tcPr>
          <w:p>
            <w:pPr>
              <w:spacing w:after="0"/>
              <w:rPr>
                <w:sz w:val="20"/>
                <w:szCs w:val="20"/>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Vesting Commencement Date:</w:t>
            </w:r>
          </w:p>
        </w:tc>
        <w:tc>
          <w:tcPr>
            <w:tcW w:w="2820" w:type="dxa"/>
            <w:vAlign w:val="bottom"/>
          </w:tcPr>
          <w:p>
            <w:pPr>
              <w:spacing w:after="0"/>
              <w:rPr>
                <w:sz w:val="24"/>
                <w:szCs w:val="24"/>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28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Total Number of Shares Granted:</w:t>
            </w:r>
          </w:p>
        </w:tc>
        <w:tc>
          <w:tcPr>
            <w:tcW w:w="2820" w:type="dxa"/>
            <w:vAlign w:val="bottom"/>
          </w:tcPr>
          <w:p>
            <w:pPr>
              <w:spacing w:after="0"/>
              <w:rPr>
                <w:sz w:val="24"/>
                <w:szCs w:val="24"/>
                <w:color w:val="auto"/>
              </w:rPr>
            </w:pP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Total Exercise Price:</w:t>
            </w:r>
          </w:p>
        </w:tc>
        <w:tc>
          <w:tcPr>
            <w:tcW w:w="28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Type of Option:</w:t>
            </w:r>
          </w:p>
        </w:tc>
        <w:tc>
          <w:tcPr>
            <w:tcW w:w="2820" w:type="dxa"/>
            <w:vAlign w:val="bottom"/>
          </w:tcPr>
          <w:p>
            <w:pPr>
              <w:ind w:left="740"/>
              <w:spacing w:after="0"/>
              <w:rPr>
                <w:sz w:val="20"/>
                <w:szCs w:val="20"/>
                <w:color w:val="auto"/>
              </w:rPr>
            </w:pPr>
            <w:r>
              <w:rPr>
                <w:rFonts w:ascii="Arial" w:cs="Arial" w:eastAsia="Arial" w:hAnsi="Arial"/>
                <w:sz w:val="18"/>
                <w:szCs w:val="18"/>
                <w:color w:val="auto"/>
              </w:rPr>
              <w:t>o Incentive Stock Option</w:t>
            </w:r>
          </w:p>
        </w:tc>
      </w:tr>
      <w:tr>
        <w:trPr>
          <w:trHeight w:val="432"/>
        </w:trPr>
        <w:tc>
          <w:tcPr>
            <w:tcW w:w="1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20" w:type="dxa"/>
            <w:vAlign w:val="bottom"/>
          </w:tcPr>
          <w:p>
            <w:pPr>
              <w:ind w:left="740"/>
              <w:spacing w:after="0"/>
              <w:rPr>
                <w:sz w:val="20"/>
                <w:szCs w:val="20"/>
                <w:color w:val="auto"/>
              </w:rPr>
            </w:pPr>
            <w:r>
              <w:rPr>
                <w:rFonts w:ascii="Arial" w:cs="Arial" w:eastAsia="Arial" w:hAnsi="Arial"/>
                <w:sz w:val="18"/>
                <w:szCs w:val="18"/>
                <w:color w:val="auto"/>
                <w:w w:val="91"/>
              </w:rPr>
              <w:t>o Nonstatutory Stock Option</w:t>
            </w:r>
          </w:p>
        </w:tc>
      </w:tr>
      <w:tr>
        <w:trPr>
          <w:trHeight w:val="432"/>
        </w:trPr>
        <w:tc>
          <w:tcPr>
            <w:tcW w:w="3120" w:type="dxa"/>
            <w:vAlign w:val="bottom"/>
            <w:gridSpan w:val="2"/>
          </w:tcPr>
          <w:p>
            <w:pPr>
              <w:spacing w:after="0"/>
              <w:rPr>
                <w:sz w:val="20"/>
                <w:szCs w:val="20"/>
                <w:color w:val="auto"/>
              </w:rPr>
            </w:pPr>
            <w:r>
              <w:rPr>
                <w:rFonts w:ascii="Arial" w:cs="Arial" w:eastAsia="Arial" w:hAnsi="Arial"/>
                <w:sz w:val="18"/>
                <w:szCs w:val="18"/>
                <w:color w:val="auto"/>
              </w:rPr>
              <w:t>Expiration Date:</w:t>
            </w:r>
          </w:p>
        </w:tc>
        <w:tc>
          <w:tcPr>
            <w:tcW w:w="2820" w:type="dxa"/>
            <w:vAlign w:val="bottom"/>
          </w:tcPr>
          <w:p>
            <w:pPr>
              <w:spacing w:after="0"/>
              <w:rPr>
                <w:sz w:val="24"/>
                <w:szCs w:val="24"/>
                <w:color w:val="auto"/>
              </w:rPr>
            </w:pPr>
          </w:p>
        </w:tc>
      </w:tr>
      <w:tr>
        <w:trPr>
          <w:trHeight w:val="391"/>
        </w:trPr>
        <w:tc>
          <w:tcPr>
            <w:tcW w:w="312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282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shall be exercisable, in whole or in part, according to the following vesting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[Insert Vesting Schedule]</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the event of a Change in Control, subject to Participant continuing to be employed by or rendering services to the Employer until such Change in Control, the Option will vest as to 100% of the then unvested shares subject to the Option and will become fully exercisable immediately prior to the closing of the Change in Control.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This Option shall be exercisable for ninety (90) days after Participant’s Termination with the Employer, unless such Termination is due to Participant’s death or Disability, in which case this Option shall be exercisable for twelve (12) months after Participant’s Termination with the Employer.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480" w:name="page481"/>
    <w:bookmarkEnd w:id="480"/>
    <w:p>
      <w:pPr>
        <w:ind w:right="400"/>
        <w:spacing w:after="0" w:line="277" w:lineRule="auto"/>
        <w:rPr>
          <w:sz w:val="20"/>
          <w:szCs w:val="20"/>
          <w:color w:val="auto"/>
        </w:rPr>
      </w:pPr>
      <w:r>
        <w:rPr>
          <w:rFonts w:ascii="Arial" w:cs="Arial" w:eastAsia="Arial" w:hAnsi="Arial"/>
          <w:sz w:val="18"/>
          <w:szCs w:val="18"/>
          <w:color w:val="auto"/>
        </w:rPr>
        <w:t>the foregoing sentence, in no event may this Option be exercised after the Expiration Date as provided above and this Option may be subject to earlier termination as provided in Section 12 of the Plan.</w:t>
      </w:r>
    </w:p>
    <w:p>
      <w:pPr>
        <w:spacing w:after="0" w:line="166" w:lineRule="exact"/>
        <w:rPr>
          <w:sz w:val="20"/>
          <w:szCs w:val="20"/>
          <w:color w:val="auto"/>
        </w:rPr>
      </w:pPr>
    </w:p>
    <w:p>
      <w:pPr>
        <w:ind w:left="660" w:hanging="652"/>
        <w:spacing w:after="0"/>
        <w:tabs>
          <w:tab w:leader="none" w:pos="66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ind w:right="20" w:firstLine="656"/>
        <w:spacing w:after="0" w:line="257" w:lineRule="auto"/>
        <w:tabs>
          <w:tab w:leader="none" w:pos="1296" w:val="left"/>
        </w:tabs>
        <w:numPr>
          <w:ilvl w:val="1"/>
          <w:numId w:val="422"/>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Committee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Sections 18 and 19 of the Plan, in the event of a conflict between the terms and conditions of the Plan and this Option Agreement, the terms and conditions of the Plan shall prevail.</w:t>
      </w:r>
    </w:p>
    <w:p>
      <w:pPr>
        <w:spacing w:after="0" w:line="188"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If designated in the Notice of Stock Option Grant as an Incentive Stock Option (“ISO”), this Option is intended to qualify as an Incentive Stock Option as defined in Section 422 of the Code. Nevertheless, to the extent that it exceeds the $100,000 rule of Section 422(d) of the Code, this Option shall be treated as a Nonstatutory Stock Option (“NSO”) pursuant to Section 5(i) of the Plan. For purposes of determining the extent to which this Option shall be treated as a NSO pursuant to Section 5(i) of the Plan, ISOs will be taken into account in the order in which they were granted, the Fair Market Value of Shares will be determined as of the time the Option with respect to such Shares is granted, and calculation will be performed in accordance with Section 422 of the Code. If the Participant does not remain employed by the Company or any Parent or Subsidiary of the Company at all times from the time this Option is granted until three months prior to the date of exercise thereof (or such other period as required by applicable law), this Option shall be treated as a NSO. Further, if for any reason this Option (or portion thereof) shall not qualify as an ISO, then, to the extent of such disqualification, such Option (or portion thereof) shall be regarded as a NSO granted under the Plan. Neither the Company nor the Committee shall have any liability to the Participant or any other party, (i) if this Option (or any part thereof) which is intended to qualify as an ISO fails to qualify as an ISO or (ii) for any action or omission by the Committee that causes this Option not to qualify as an ISO, including without limitation, the conversion of the ISO to a NSO or the failure of the Option to satisfy the requirements under the Code applicable to ISOs.</w:t>
      </w:r>
    </w:p>
    <w:p>
      <w:pPr>
        <w:spacing w:after="0" w:line="168" w:lineRule="exact"/>
        <w:rPr>
          <w:sz w:val="20"/>
          <w:szCs w:val="20"/>
          <w:color w:val="auto"/>
        </w:rPr>
      </w:pPr>
    </w:p>
    <w:p>
      <w:pPr>
        <w:ind w:left="1300" w:hanging="644"/>
        <w:spacing w:after="0"/>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4"/>
        <w:spacing w:after="0" w:line="255" w:lineRule="auto"/>
        <w:tabs>
          <w:tab w:leader="none" w:pos="1941" w:val="left"/>
        </w:tabs>
        <w:numPr>
          <w:ilvl w:val="1"/>
          <w:numId w:val="423"/>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xml:space="preserve">. Subject to subsections II.2(b) and II.2(c) below, this Option shall be exercisable cumulatively according to the vesting schedule set forth in the Notice of Stock Option Grant. Alternatively, at the election of Participant, this Option may be exercised in whole or in part at any time as to Shares that have not yet vested. As a condition to exercising this Option for unvested Shares, such Shares shall be subject to the Company’s repurchase right set forth in, and Participant shall concurrently with the exercise of all or a portion of the Option execute, the Restricted Stock Purchase Agreement (attached hereto as </w:t>
      </w:r>
      <w:r>
        <w:rPr>
          <w:rFonts w:ascii="Arial" w:cs="Arial" w:eastAsia="Arial" w:hAnsi="Arial"/>
          <w:sz w:val="18"/>
          <w:szCs w:val="18"/>
          <w:u w:val="single" w:color="auto"/>
          <w:color w:val="auto"/>
        </w:rPr>
        <w:t>Exhibit D-1</w:t>
      </w:r>
      <w:r>
        <w:rPr>
          <w:rFonts w:ascii="Arial" w:cs="Arial" w:eastAsia="Arial" w:hAnsi="Arial"/>
          <w:sz w:val="18"/>
          <w:szCs w:val="18"/>
          <w:color w:val="auto"/>
        </w:rPr>
        <w:t>). Vested Shares shall not be subject to the Company’s repurchase right as set forth in the Restricted Stock Purchase Agreement.</w:t>
      </w:r>
    </w:p>
    <w:p>
      <w:pPr>
        <w:spacing w:after="0" w:line="192" w:lineRule="exact"/>
        <w:rPr>
          <w:rFonts w:ascii="Arial" w:cs="Arial" w:eastAsia="Arial" w:hAnsi="Arial"/>
          <w:sz w:val="18"/>
          <w:szCs w:val="18"/>
          <w:color w:val="auto"/>
        </w:rPr>
      </w:pPr>
    </w:p>
    <w:p>
      <w:pPr>
        <w:ind w:left="1960" w:hanging="656"/>
        <w:spacing w:after="0"/>
        <w:tabs>
          <w:tab w:leader="none" w:pos="1960" w:val="left"/>
        </w:tabs>
        <w:numPr>
          <w:ilvl w:val="1"/>
          <w:numId w:val="423"/>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This Option may not be exercised for a fraction of a Share.</w:t>
      </w:r>
    </w:p>
    <w:p>
      <w:pPr>
        <w:spacing w:after="0" w:line="225" w:lineRule="exact"/>
        <w:rPr>
          <w:rFonts w:ascii="Arial" w:cs="Arial" w:eastAsia="Arial" w:hAnsi="Arial"/>
          <w:sz w:val="18"/>
          <w:szCs w:val="18"/>
          <w:color w:val="auto"/>
        </w:rPr>
      </w:pPr>
    </w:p>
    <w:p>
      <w:pPr>
        <w:ind w:right="120" w:firstLine="1304"/>
        <w:spacing w:after="0" w:line="296" w:lineRule="auto"/>
        <w:tabs>
          <w:tab w:leader="none" w:pos="1955" w:val="left"/>
        </w:tabs>
        <w:numPr>
          <w:ilvl w:val="1"/>
          <w:numId w:val="423"/>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shall be exercisable by delivery of an exercise notice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“Exercise Notice”) or in a manner and pursuant to such procedures as the Committee may determine, which shall state the election to exercise the Option, the number of Shares with respect to which the Option is being exercised (the “Exercised Shares”), and such other representations and agreements as may be required by the Company. Prior to executing the Exercise Notice, Participant should review the Company’s information statement (the “Information Statement”), which contains, among other things, a description of the terms of the Plan, information about the risks associated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1" w:name="page482"/>
    <w:bookmarkEnd w:id="481"/>
    <w:p>
      <w:pPr>
        <w:spacing w:after="0" w:line="273" w:lineRule="auto"/>
        <w:rPr>
          <w:sz w:val="20"/>
          <w:szCs w:val="20"/>
          <w:color w:val="auto"/>
        </w:rPr>
      </w:pPr>
      <w:r>
        <w:rPr>
          <w:rFonts w:ascii="Arial" w:cs="Arial" w:eastAsia="Arial" w:hAnsi="Arial"/>
          <w:sz w:val="17"/>
          <w:szCs w:val="17"/>
          <w:color w:val="auto"/>
        </w:rPr>
        <w:t>with exercising your Option to purchase the Shares, and the Company’s financial statements. The Information Statement can be accessed by logging into the Certent stock option portal accessible through Okta and looking under the tab labeled “Documents” or following alternative delivery instructions given to you in the future. (Please contact stockoptionhelp@crowdstrike.com if you have trouble accessing the Certent portal or have any other questions about accessing the Information Statement).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the requirements relating to the administration of equity-based awards under U.S. state corporate laws, U.S. federal and state securities laws, the Code, any stock exchange or quotation system on which the Stock is listed or quoted and the applicable laws of any foreign country or jurisdiction where the Option has been granted under the Plan (the “Applicable Laws”). Assuming such compliance, for income tax purposes the Shares shall be considered transferred to Participant on the date on which the Option is exercised with respect to such Shares.</w:t>
      </w:r>
    </w:p>
    <w:p>
      <w:pPr>
        <w:spacing w:after="0" w:line="188" w:lineRule="exact"/>
        <w:rPr>
          <w:sz w:val="20"/>
          <w:szCs w:val="20"/>
          <w:color w:val="auto"/>
        </w:rPr>
      </w:pPr>
    </w:p>
    <w:p>
      <w:pPr>
        <w:ind w:right="100" w:firstLine="656"/>
        <w:spacing w:after="0" w:line="301" w:lineRule="auto"/>
        <w:tabs>
          <w:tab w:leader="none" w:pos="1296" w:val="left"/>
        </w:tabs>
        <w:numPr>
          <w:ilvl w:val="0"/>
          <w:numId w:val="424"/>
        </w:numPr>
        <w:rPr>
          <w:rFonts w:ascii="Arial" w:cs="Arial" w:eastAsia="Arial" w:hAnsi="Arial"/>
          <w:sz w:val="16"/>
          <w:szCs w:val="16"/>
          <w:color w:val="auto"/>
        </w:rPr>
      </w:pPr>
      <w:r>
        <w:rPr>
          <w:rFonts w:ascii="Arial" w:cs="Arial" w:eastAsia="Arial" w:hAnsi="Arial"/>
          <w:sz w:val="16"/>
          <w:szCs w:val="16"/>
          <w:u w:val="single" w:color="auto"/>
          <w:color w:val="auto"/>
        </w:rPr>
        <w:t>Participant’s Representations</w:t>
      </w:r>
      <w:r>
        <w:rPr>
          <w:rFonts w:ascii="Arial" w:cs="Arial" w:eastAsia="Arial" w:hAnsi="Arial"/>
          <w:sz w:val="16"/>
          <w:szCs w:val="16"/>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Further, Participant shall, if required by the Company, execute a Stockholders’ Joinder Agreement in a form acceptable to the Company as a condition to exercise the Option.</w:t>
      </w:r>
    </w:p>
    <w:p>
      <w:pPr>
        <w:spacing w:after="0" w:line="157" w:lineRule="exact"/>
        <w:rPr>
          <w:rFonts w:ascii="Arial" w:cs="Arial" w:eastAsia="Arial" w:hAnsi="Arial"/>
          <w:sz w:val="16"/>
          <w:szCs w:val="16"/>
          <w:color w:val="auto"/>
        </w:rPr>
      </w:pPr>
    </w:p>
    <w:p>
      <w:pPr>
        <w:ind w:right="20" w:firstLine="656"/>
        <w:spacing w:after="0" w:line="279" w:lineRule="auto"/>
        <w:tabs>
          <w:tab w:leader="none" w:pos="1296"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Proxy and Power of Attorney</w:t>
      </w:r>
      <w:r>
        <w:rPr>
          <w:rFonts w:ascii="Arial" w:cs="Arial" w:eastAsia="Arial" w:hAnsi="Arial"/>
          <w:sz w:val="17"/>
          <w:szCs w:val="17"/>
          <w:color w:val="auto"/>
        </w:rPr>
        <w:t xml:space="preserve">. Notwithstanding anything herein to the contrary, and as a condition precedent to the receipt of the Option, Participant is required to execute and deliver to the Company an irrevocable proxy and power of attorney (the “Proxy”),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appointing as Participant’s proxy, attorney and agent, the Investors (or any designee or nominee of the Investors) as designated in </w:t>
      </w:r>
      <w:r>
        <w:rPr>
          <w:rFonts w:ascii="Arial" w:cs="Arial" w:eastAsia="Arial" w:hAnsi="Arial"/>
          <w:sz w:val="17"/>
          <w:szCs w:val="17"/>
          <w:u w:val="single" w:color="auto"/>
          <w:color w:val="auto"/>
        </w:rPr>
        <w:t>Exhibit C</w:t>
      </w:r>
      <w:r>
        <w:rPr>
          <w:rFonts w:ascii="Arial" w:cs="Arial" w:eastAsia="Arial" w:hAnsi="Arial"/>
          <w:sz w:val="17"/>
          <w:szCs w:val="17"/>
          <w:color w:val="auto"/>
        </w:rPr>
        <w:t>. Such Proxy shall terminate and be of no further force and effect upon the earlier of the IPO Date or the date of a Change in Control.</w:t>
      </w:r>
    </w:p>
    <w:p>
      <w:pPr>
        <w:spacing w:after="0" w:line="171" w:lineRule="exact"/>
        <w:rPr>
          <w:rFonts w:ascii="Arial" w:cs="Arial" w:eastAsia="Arial" w:hAnsi="Arial"/>
          <w:sz w:val="17"/>
          <w:szCs w:val="17"/>
          <w:color w:val="auto"/>
        </w:rPr>
      </w:pPr>
    </w:p>
    <w:p>
      <w:pPr>
        <w:ind w:right="40" w:firstLine="656"/>
        <w:spacing w:after="0" w:line="271" w:lineRule="auto"/>
        <w:tabs>
          <w:tab w:leader="none" w:pos="1296" w:val="left"/>
        </w:tabs>
        <w:numPr>
          <w:ilvl w:val="0"/>
          <w:numId w:val="424"/>
        </w:numPr>
        <w:rPr>
          <w:rFonts w:ascii="Arial" w:cs="Arial" w:eastAsia="Arial" w:hAnsi="Arial"/>
          <w:sz w:val="17"/>
          <w:szCs w:val="17"/>
          <w:color w:val="auto"/>
        </w:rPr>
      </w:pPr>
      <w:r>
        <w:rPr>
          <w:rFonts w:ascii="Arial" w:cs="Arial" w:eastAsia="Arial" w:hAnsi="Arial"/>
          <w:sz w:val="17"/>
          <w:szCs w:val="17"/>
          <w:u w:val="single" w:color="auto"/>
          <w:color w:val="auto"/>
        </w:rPr>
        <w:t>Lock-Up Period</w:t>
      </w:r>
      <w:r>
        <w:rPr>
          <w:rFonts w:ascii="Arial" w:cs="Arial" w:eastAsia="Arial" w:hAnsi="Arial"/>
          <w:sz w:val="17"/>
          <w:szCs w:val="17"/>
          <w:color w:val="auto"/>
        </w:rPr>
        <w:t>. Participant hereby agrees that, except as otherwise approved by the Committee or provided otherwise in Sections 10 and 11 of the Plan, Shares acquired by the Participant pursuant to the exercise of this Option may not be Transferred or otherwise disposed of until the first to occur of (x) the expiration of a one hundred eighty (180)-day period (or such other period as may be requested by the Company or the managing underwriter to accommodate regulatory restrictions on (A) the publication or other distribution of research reports and (B) analyst recommendations and opinions, including, but not limited to, the restrictions contained in FINRA Rule 2241, or any successor provisions or amendments thereto) following the IPO Date (the “</w:t>
      </w:r>
      <w:r>
        <w:rPr>
          <w:rFonts w:ascii="Arial" w:cs="Arial" w:eastAsia="Arial" w:hAnsi="Arial"/>
          <w:sz w:val="17"/>
          <w:szCs w:val="17"/>
          <w:u w:val="single" w:color="auto"/>
          <w:color w:val="auto"/>
        </w:rPr>
        <w:t>Lock-Up Period</w:t>
      </w:r>
      <w:r>
        <w:rPr>
          <w:rFonts w:ascii="Arial" w:cs="Arial" w:eastAsia="Arial" w:hAnsi="Arial"/>
          <w:sz w:val="17"/>
          <w:szCs w:val="17"/>
          <w:color w:val="auto"/>
        </w:rPr>
        <w:t>”) or (y) the occurrence of a Change in Control. If requested by the underwriters managing any public offering, the Participant shall execute a separate agreement to the foregoing effect. The Company may impose stop-transfer instructions with respect to the Shares subject to the foregoing restriction until the end of such Lock-Up Period.</w:t>
      </w:r>
    </w:p>
    <w:p>
      <w:pPr>
        <w:spacing w:after="0" w:line="178" w:lineRule="exact"/>
        <w:rPr>
          <w:rFonts w:ascii="Arial" w:cs="Arial" w:eastAsia="Arial" w:hAnsi="Arial"/>
          <w:sz w:val="17"/>
          <w:szCs w:val="17"/>
          <w:color w:val="auto"/>
        </w:rPr>
      </w:pPr>
    </w:p>
    <w:p>
      <w:pPr>
        <w:ind w:right="240" w:firstLine="656"/>
        <w:spacing w:after="0" w:line="301" w:lineRule="auto"/>
        <w:tabs>
          <w:tab w:leader="none" w:pos="1296" w:val="left"/>
        </w:tabs>
        <w:numPr>
          <w:ilvl w:val="0"/>
          <w:numId w:val="424"/>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xml:space="preserve">. The Company will issue the Shares with respect to which this Option is exercised upon payment of the Shares acquired in accordance with Section 5(d) of the Plan, which Section 5(d) is incorporated herein by reference and made a part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Participant wishes to use any method of exercise other than in immediately available funds in United States dollars, or by certified or bank cashier’s check, the Participant shall have received the prior written approval of the Committee or its designee approving such method of exercise.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82" w:name="page483"/>
    <w:bookmarkEnd w:id="482"/>
    <w:p>
      <w:pPr>
        <w:ind w:left="-20" w:right="220" w:firstLine="656"/>
        <w:spacing w:after="0" w:line="263" w:lineRule="auto"/>
        <w:tabs>
          <w:tab w:leader="none" w:pos="1276"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Restrictions on Exercise</w:t>
      </w:r>
      <w:r>
        <w:rPr>
          <w:rFonts w:ascii="Arial" w:cs="Arial" w:eastAsia="Arial" w:hAnsi="Arial"/>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83" w:lineRule="exact"/>
        <w:rPr>
          <w:rFonts w:ascii="Arial" w:cs="Arial" w:eastAsia="Arial" w:hAnsi="Arial"/>
          <w:sz w:val="18"/>
          <w:szCs w:val="18"/>
          <w:color w:val="auto"/>
        </w:rPr>
      </w:pPr>
    </w:p>
    <w:p>
      <w:pPr>
        <w:ind w:left="-20" w:firstLine="656"/>
        <w:spacing w:after="0" w:line="257" w:lineRule="auto"/>
        <w:tabs>
          <w:tab w:leader="none" w:pos="1276"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Except in connection with a Permitted Transfer of vested Options, this Option may not be transferred in any manner otherwise than by will or by the laws of descent or distribution and may be exercised during the lifetime of Participant only by Participant. Notwithstanding the foregoing, in the event of the Disability of the Participant, this Option shall be exercisable by the Participant’s duly appointed guardian or legal representative to the extent it is exercisable by the Participant. The terms of the Plan and this Option Agreement shall be binding upon the executors, administrators, heirs, successors and assigns of Participant.</w:t>
      </w:r>
    </w:p>
    <w:p>
      <w:pPr>
        <w:spacing w:after="0" w:line="187" w:lineRule="exact"/>
        <w:rPr>
          <w:rFonts w:ascii="Arial" w:cs="Arial" w:eastAsia="Arial" w:hAnsi="Arial"/>
          <w:sz w:val="18"/>
          <w:szCs w:val="18"/>
          <w:color w:val="auto"/>
        </w:rPr>
      </w:pPr>
    </w:p>
    <w:p>
      <w:pPr>
        <w:ind w:left="-20" w:right="400" w:firstLine="656"/>
        <w:spacing w:after="0" w:line="277" w:lineRule="auto"/>
        <w:tabs>
          <w:tab w:leader="none" w:pos="1276"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prior to the Expiration Date set out in the Notice of Stock Option Grant, and may be exercised only in accordance with the Plan and the terms of this Option Agreement.</w:t>
      </w:r>
    </w:p>
    <w:p>
      <w:pPr>
        <w:spacing w:after="0" w:line="170" w:lineRule="exact"/>
        <w:rPr>
          <w:rFonts w:ascii="Arial" w:cs="Arial" w:eastAsia="Arial" w:hAnsi="Arial"/>
          <w:sz w:val="18"/>
          <w:szCs w:val="18"/>
          <w:color w:val="auto"/>
        </w:rPr>
      </w:pPr>
    </w:p>
    <w:p>
      <w:pPr>
        <w:ind w:left="1280" w:hanging="644"/>
        <w:spacing w:after="0"/>
        <w:tabs>
          <w:tab w:leader="none" w:pos="1280"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1304"/>
        <w:spacing w:after="0" w:line="259" w:lineRule="auto"/>
        <w:tabs>
          <w:tab w:leader="none" w:pos="1921"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Participant agrees to make appropriate arrangements with the Employer, as set forth in Section 17 of the Plan,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86" w:lineRule="exact"/>
        <w:rPr>
          <w:rFonts w:ascii="Arial" w:cs="Arial" w:eastAsia="Arial" w:hAnsi="Arial"/>
          <w:sz w:val="18"/>
          <w:szCs w:val="18"/>
          <w:color w:val="auto"/>
        </w:rPr>
      </w:pPr>
    </w:p>
    <w:p>
      <w:pPr>
        <w:jc w:val="both"/>
        <w:ind w:left="-20" w:right="60" w:firstLine="1304"/>
        <w:spacing w:after="0" w:line="301" w:lineRule="auto"/>
        <w:tabs>
          <w:tab w:leader="none" w:pos="1931" w:val="left"/>
        </w:tabs>
        <w:numPr>
          <w:ilvl w:val="1"/>
          <w:numId w:val="425"/>
        </w:numPr>
        <w:rPr>
          <w:rFonts w:ascii="Arial" w:cs="Arial" w:eastAsia="Arial" w:hAnsi="Arial"/>
          <w:sz w:val="16"/>
          <w:szCs w:val="16"/>
          <w:color w:val="auto"/>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57" w:lineRule="exact"/>
        <w:rPr>
          <w:rFonts w:ascii="Arial" w:cs="Arial" w:eastAsia="Arial" w:hAnsi="Arial"/>
          <w:sz w:val="16"/>
          <w:szCs w:val="16"/>
          <w:color w:val="auto"/>
        </w:rPr>
      </w:pPr>
    </w:p>
    <w:p>
      <w:pPr>
        <w:ind w:left="-20" w:firstLine="1304"/>
        <w:spacing w:after="0" w:line="270" w:lineRule="auto"/>
        <w:tabs>
          <w:tab w:leader="none" w:pos="1935" w:val="left"/>
        </w:tabs>
        <w:numPr>
          <w:ilvl w:val="1"/>
          <w:numId w:val="425"/>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xml:space="preserve"> Under Section 409A of the Code,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80" w:lineRule="exact"/>
        <w:rPr>
          <w:rFonts w:ascii="Arial" w:cs="Arial" w:eastAsia="Arial" w:hAnsi="Arial"/>
          <w:sz w:val="17"/>
          <w:szCs w:val="17"/>
          <w:color w:val="auto"/>
        </w:rPr>
      </w:pPr>
    </w:p>
    <w:p>
      <w:pPr>
        <w:ind w:left="-20" w:right="260" w:firstLine="656"/>
        <w:spacing w:after="0" w:line="257" w:lineRule="auto"/>
        <w:tabs>
          <w:tab w:leader="none" w:pos="1265"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483" w:name="page484"/>
    <w:bookmarkEnd w:id="483"/>
    <w:p>
      <w:pPr>
        <w:ind w:right="80" w:firstLine="656"/>
        <w:spacing w:after="0" w:line="253" w:lineRule="auto"/>
        <w:tabs>
          <w:tab w:leader="none" w:pos="1291"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SHARES PURSUANT TO THE VESTING SCHEDULE HEREOF IS EARNED ONLY BY CONTINUING IN EMPLOYMENT OR SERVICE OF THE EMPLOYER AT THE WILL OF THE EMPLOYER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AN EMPLOYEE OR SERVICE PROVIDER OF THE EMPLOYER FOR THE VESTING PERIOD, FOR ANY PERIOD, OR AT ALL, AND SHALL NOT INTERFERE IN ANY WAY WITH PARTICIPANT’S RIGHT OR THE RIGHT OF THE EMPLOYER TO TERMINATE PARTICIPANT’S RELATIONSHIP AS AN EMPLOYEE OR SERVICE PROVIDER AT ANY TIME, WITH OR WITHOUT CAUSE.</w:t>
      </w:r>
    </w:p>
    <w:p>
      <w:pPr>
        <w:spacing w:after="0" w:line="19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Agreement in their entirety, has had an opportunity to obtain the advice of counsel prior to executing this Option Agreement and fully understands all provisions of the Option Agreement. Participant hereby agrees to accept as binding, conclusive and final all decisions or interpretations of the Committee upon any questions arising under the Plan or this Option Agreement. Participant further agrees to notify the Company upon any change in the residence address indicated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PARTICIPANT</w:t>
            </w:r>
          </w:p>
        </w:tc>
        <w:tc>
          <w:tcPr>
            <w:tcW w:w="6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CROWDSTRIKE HOLDINGS, INC.</w:t>
            </w:r>
          </w:p>
        </w:tc>
        <w:tc>
          <w:tcPr>
            <w:tcW w:w="40" w:type="dxa"/>
            <w:vAlign w:val="bottom"/>
          </w:tcPr>
          <w:p>
            <w:pPr>
              <w:spacing w:after="0"/>
              <w:rPr>
                <w:sz w:val="20"/>
                <w:szCs w:val="20"/>
                <w:color w:val="auto"/>
              </w:rPr>
            </w:pPr>
          </w:p>
        </w:tc>
      </w:tr>
      <w:tr>
        <w:trPr>
          <w:trHeight w:val="432"/>
        </w:trPr>
        <w:tc>
          <w:tcPr>
            <w:tcW w:w="53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300" w:type="dxa"/>
            <w:vAlign w:val="bottom"/>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9"/>
                <w:szCs w:val="19"/>
                <w:color w:val="auto"/>
              </w:rPr>
            </w:pPr>
          </w:p>
        </w:tc>
      </w:tr>
      <w:tr>
        <w:trPr>
          <w:trHeight w:val="418"/>
        </w:trPr>
        <w:tc>
          <w:tcPr>
            <w:tcW w:w="53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300" w:type="dxa"/>
            <w:vAlign w:val="bottom"/>
          </w:tcPr>
          <w:p>
            <w:pPr>
              <w:spacing w:after="0"/>
              <w:rPr>
                <w:sz w:val="20"/>
                <w:szCs w:val="20"/>
                <w:color w:val="auto"/>
              </w:rPr>
            </w:pPr>
            <w:r>
              <w:rPr>
                <w:rFonts w:ascii="Arial" w:cs="Arial" w:eastAsia="Arial" w:hAnsi="Arial"/>
                <w:sz w:val="18"/>
                <w:szCs w:val="18"/>
                <w:color w:val="auto"/>
              </w:rPr>
              <w:t>Print Name</w:t>
            </w:r>
          </w:p>
        </w:tc>
        <w:tc>
          <w:tcPr>
            <w:tcW w:w="6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Print Name</w:t>
            </w:r>
          </w:p>
        </w:tc>
        <w:tc>
          <w:tcPr>
            <w:tcW w:w="40" w:type="dxa"/>
            <w:vAlign w:val="bottom"/>
          </w:tcPr>
          <w:p>
            <w:pPr>
              <w:spacing w:after="0"/>
              <w:rPr>
                <w:sz w:val="19"/>
                <w:szCs w:val="19"/>
                <w:color w:val="auto"/>
              </w:rPr>
            </w:pPr>
          </w:p>
        </w:tc>
      </w:tr>
      <w:tr>
        <w:trPr>
          <w:trHeight w:val="418"/>
        </w:trPr>
        <w:tc>
          <w:tcPr>
            <w:tcW w:w="5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8"/>
                <w:szCs w:val="18"/>
                <w:color w:val="auto"/>
              </w:rPr>
              <w:t>Residence Address</w:t>
            </w:r>
          </w:p>
        </w:tc>
        <w:tc>
          <w:tcPr>
            <w:tcW w:w="6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30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3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84" w:name="page485"/>
    <w:bookmarkEnd w:id="484"/>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2011 STOCK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CrowdStrike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Mathilda Place,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 94086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420" w:type="dxa"/>
            <w:vAlign w:val="bottom"/>
            <w:gridSpan w:val="2"/>
          </w:tcPr>
          <w:p>
            <w:pPr>
              <w:spacing w:after="0"/>
              <w:rPr>
                <w:sz w:val="20"/>
                <w:szCs w:val="20"/>
                <w:color w:val="auto"/>
              </w:rPr>
            </w:pPr>
            <w:r>
              <w:rPr>
                <w:rFonts w:ascii="Arial" w:cs="Arial" w:eastAsia="Arial" w:hAnsi="Arial"/>
                <w:sz w:val="18"/>
                <w:szCs w:val="18"/>
                <w:color w:val="auto"/>
                <w:w w:val="92"/>
              </w:rPr>
              <w:t>Exercise of Option.</w:t>
            </w:r>
          </w:p>
        </w:tc>
        <w:tc>
          <w:tcPr>
            <w:tcW w:w="1980" w:type="dxa"/>
            <w:vAlign w:val="bottom"/>
          </w:tcPr>
          <w:p>
            <w:pPr>
              <w:ind w:left="80"/>
              <w:spacing w:after="0"/>
              <w:rPr>
                <w:sz w:val="20"/>
                <w:szCs w:val="20"/>
                <w:color w:val="auto"/>
              </w:rPr>
            </w:pPr>
            <w:r>
              <w:rPr>
                <w:rFonts w:ascii="Arial" w:cs="Arial" w:eastAsia="Arial" w:hAnsi="Arial"/>
                <w:sz w:val="18"/>
                <w:szCs w:val="18"/>
                <w:color w:val="auto"/>
              </w:rPr>
              <w:t>Effective as of today,</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w w:val="96"/>
              </w:rPr>
              <w:t>,   , the undersigned (“Participant”) hereby elects to exercise Participant’s option</w:t>
            </w:r>
          </w:p>
        </w:tc>
      </w:tr>
      <w:tr>
        <w:trPr>
          <w:trHeight w:val="20"/>
        </w:trPr>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80" w:type="dxa"/>
            <w:vAlign w:val="bottom"/>
            <w:gridSpan w:val="4"/>
          </w:tcPr>
          <w:p>
            <w:pPr>
              <w:spacing w:after="0" w:line="20" w:lineRule="exact"/>
              <w:rPr>
                <w:sz w:val="1"/>
                <w:szCs w:val="1"/>
                <w:color w:val="auto"/>
              </w:rPr>
            </w:pPr>
          </w:p>
        </w:tc>
      </w:tr>
      <w:tr>
        <w:trPr>
          <w:trHeight w:val="222"/>
        </w:trPr>
        <w:tc>
          <w:tcPr>
            <w:tcW w:w="2720" w:type="dxa"/>
            <w:vAlign w:val="bottom"/>
            <w:gridSpan w:val="3"/>
          </w:tcPr>
          <w:p>
            <w:pPr>
              <w:spacing w:after="0"/>
              <w:rPr>
                <w:sz w:val="20"/>
                <w:szCs w:val="20"/>
                <w:color w:val="auto"/>
              </w:rPr>
            </w:pPr>
            <w:r>
              <w:rPr>
                <w:rFonts w:ascii="Arial" w:cs="Arial" w:eastAsia="Arial" w:hAnsi="Arial"/>
                <w:sz w:val="18"/>
                <w:szCs w:val="18"/>
                <w:color w:val="auto"/>
              </w:rPr>
              <w:t>(the “Option”) to purchase</w:t>
            </w:r>
          </w:p>
        </w:tc>
        <w:tc>
          <w:tcPr>
            <w:tcW w:w="8480" w:type="dxa"/>
            <w:vAlign w:val="bottom"/>
            <w:gridSpan w:val="4"/>
          </w:tcPr>
          <w:p>
            <w:pPr>
              <w:ind w:left="20"/>
              <w:spacing w:after="0"/>
              <w:rPr>
                <w:sz w:val="20"/>
                <w:szCs w:val="20"/>
                <w:color w:val="auto"/>
              </w:rPr>
            </w:pPr>
            <w:r>
              <w:rPr>
                <w:rFonts w:ascii="Arial" w:cs="Arial" w:eastAsia="Arial" w:hAnsi="Arial"/>
                <w:sz w:val="18"/>
                <w:szCs w:val="18"/>
                <w:color w:val="auto"/>
                <w:w w:val="91"/>
              </w:rPr>
              <w:t>shares of the common stock (the “Shares”) of CrowdStrike Holdings, Inc. (the “Company”) under and pursuant to the</w:t>
            </w:r>
          </w:p>
        </w:tc>
      </w:tr>
      <w:tr>
        <w:trPr>
          <w:trHeight w:val="230"/>
        </w:trPr>
        <w:tc>
          <w:tcPr>
            <w:tcW w:w="8420" w:type="dxa"/>
            <w:vAlign w:val="bottom"/>
            <w:gridSpan w:val="5"/>
          </w:tcPr>
          <w:p>
            <w:pPr>
              <w:spacing w:after="0"/>
              <w:rPr>
                <w:sz w:val="20"/>
                <w:szCs w:val="20"/>
                <w:color w:val="auto"/>
              </w:rPr>
            </w:pPr>
            <w:r>
              <w:rPr>
                <w:rFonts w:ascii="Arial" w:cs="Arial" w:eastAsia="Arial" w:hAnsi="Arial"/>
                <w:sz w:val="18"/>
                <w:szCs w:val="18"/>
                <w:color w:val="auto"/>
                <w:w w:val="93"/>
              </w:rPr>
              <w:t>2011 Stock Incentive Plan, as amended as of the date hereof (the “Plan”) and the Stock Option Agreement dated</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40" w:type="dxa"/>
            <w:vAlign w:val="bottom"/>
          </w:tcPr>
          <w:p>
            <w:pPr>
              <w:ind w:left="160"/>
              <w:spacing w:after="0"/>
              <w:rPr>
                <w:sz w:val="20"/>
                <w:szCs w:val="20"/>
                <w:color w:val="auto"/>
              </w:rPr>
            </w:pPr>
            <w:r>
              <w:rPr>
                <w:rFonts w:ascii="Arial" w:cs="Arial" w:eastAsia="Arial" w:hAnsi="Arial"/>
                <w:sz w:val="18"/>
                <w:szCs w:val="18"/>
                <w:color w:val="auto"/>
              </w:rPr>
              <w:t>(the “Option Agreement”).</w:t>
            </w:r>
          </w:p>
        </w:tc>
      </w:tr>
    </w:tbl>
    <w:p>
      <w:pPr>
        <w:spacing w:after="0" w:line="202" w:lineRule="exact"/>
        <w:rPr>
          <w:sz w:val="20"/>
          <w:szCs w:val="20"/>
          <w:color w:val="auto"/>
        </w:rPr>
      </w:pPr>
    </w:p>
    <w:p>
      <w:pPr>
        <w:ind w:right="500" w:firstLine="656"/>
        <w:spacing w:after="0" w:line="277" w:lineRule="auto"/>
        <w:tabs>
          <w:tab w:leader="none" w:pos="1296"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Participant herewith delivers to the Company the full purchase price of the Shares, as set forth in the Option Agreement, and any and all withholding taxes due in connection with the exercise of the Option.</w:t>
      </w:r>
    </w:p>
    <w:p>
      <w:pPr>
        <w:spacing w:after="0" w:line="170" w:lineRule="exact"/>
        <w:rPr>
          <w:rFonts w:ascii="Arial" w:cs="Arial" w:eastAsia="Arial" w:hAnsi="Arial"/>
          <w:sz w:val="18"/>
          <w:szCs w:val="18"/>
          <w:color w:val="auto"/>
        </w:rPr>
      </w:pPr>
    </w:p>
    <w:p>
      <w:pPr>
        <w:ind w:right="380" w:firstLine="656"/>
        <w:spacing w:after="0" w:line="308" w:lineRule="auto"/>
        <w:tabs>
          <w:tab w:leader="none" w:pos="1296" w:val="left"/>
        </w:tabs>
        <w:numPr>
          <w:ilvl w:val="0"/>
          <w:numId w:val="427"/>
        </w:numPr>
        <w:rPr>
          <w:rFonts w:ascii="Arial" w:cs="Arial" w:eastAsia="Arial" w:hAnsi="Arial"/>
          <w:sz w:val="17"/>
          <w:szCs w:val="17"/>
          <w:color w:val="auto"/>
        </w:rPr>
      </w:pPr>
      <w:r>
        <w:rPr>
          <w:rFonts w:ascii="Arial" w:cs="Arial" w:eastAsia="Arial" w:hAnsi="Arial"/>
          <w:sz w:val="17"/>
          <w:szCs w:val="17"/>
          <w:u w:val="single" w:color="auto"/>
          <w:color w:val="auto"/>
        </w:rPr>
        <w:t>Representations of Participant</w:t>
      </w:r>
      <w:r>
        <w:rPr>
          <w:rFonts w:ascii="Arial" w:cs="Arial" w:eastAsia="Arial" w:hAnsi="Arial"/>
          <w:sz w:val="17"/>
          <w:szCs w:val="17"/>
          <w:color w:val="auto"/>
        </w:rPr>
        <w:t>. Participant acknowledges that Participant has received, read and understood the Plan and the Option Agreement and agrees to abide by and be bound by their terms and conditions. Further, Participant agrees to the following:</w:t>
      </w:r>
    </w:p>
    <w:p>
      <w:pPr>
        <w:spacing w:after="0" w:line="146" w:lineRule="exact"/>
        <w:rPr>
          <w:rFonts w:ascii="Arial" w:cs="Arial" w:eastAsia="Arial" w:hAnsi="Arial"/>
          <w:sz w:val="17"/>
          <w:szCs w:val="17"/>
          <w:color w:val="auto"/>
        </w:rPr>
      </w:pPr>
    </w:p>
    <w:p>
      <w:pPr>
        <w:ind w:right="200" w:firstLine="1304"/>
        <w:spacing w:after="0" w:line="286" w:lineRule="auto"/>
        <w:tabs>
          <w:tab w:leader="none" w:pos="1941" w:val="left"/>
        </w:tabs>
        <w:numPr>
          <w:ilvl w:val="1"/>
          <w:numId w:val="427"/>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 Statement</w:t>
      </w:r>
      <w:r>
        <w:rPr>
          <w:rFonts w:ascii="Arial" w:cs="Arial" w:eastAsia="Arial" w:hAnsi="Arial"/>
          <w:sz w:val="17"/>
          <w:szCs w:val="17"/>
          <w:color w:val="auto"/>
        </w:rPr>
        <w:t xml:space="preserve">. In the event the Shares have not been registered under the Securities Act of 1933, as amended (the “Securities Act”), at the time the Option is exercised, Participant shall, concurrently with the signing of this Exercise Notice, deliver to the Company Participant’s executed Investment Representation Statement,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Option Agreement.</w:t>
      </w:r>
    </w:p>
    <w:p>
      <w:pPr>
        <w:spacing w:after="0" w:line="165" w:lineRule="exact"/>
        <w:rPr>
          <w:rFonts w:ascii="Arial" w:cs="Arial" w:eastAsia="Arial" w:hAnsi="Arial"/>
          <w:sz w:val="17"/>
          <w:szCs w:val="17"/>
          <w:color w:val="auto"/>
        </w:rPr>
      </w:pPr>
    </w:p>
    <w:p>
      <w:pPr>
        <w:ind w:right="40" w:firstLine="1304"/>
        <w:spacing w:after="0" w:line="257" w:lineRule="auto"/>
        <w:tabs>
          <w:tab w:leader="none" w:pos="1951" w:val="left"/>
        </w:tabs>
        <w:numPr>
          <w:ilvl w:val="1"/>
          <w:numId w:val="427"/>
        </w:numPr>
        <w:rPr>
          <w:rFonts w:ascii="Arial" w:cs="Arial" w:eastAsia="Arial" w:hAnsi="Arial"/>
          <w:sz w:val="18"/>
          <w:szCs w:val="18"/>
          <w:color w:val="auto"/>
        </w:rPr>
      </w:pPr>
      <w:r>
        <w:rPr>
          <w:rFonts w:ascii="Arial" w:cs="Arial" w:eastAsia="Arial" w:hAnsi="Arial"/>
          <w:sz w:val="18"/>
          <w:szCs w:val="18"/>
          <w:u w:val="single" w:color="auto"/>
          <w:color w:val="auto"/>
        </w:rPr>
        <w:t>Proxy and Power of Attorney</w:t>
      </w:r>
      <w:r>
        <w:rPr>
          <w:rFonts w:ascii="Arial" w:cs="Arial" w:eastAsia="Arial" w:hAnsi="Arial"/>
          <w:sz w:val="18"/>
          <w:szCs w:val="18"/>
          <w:color w:val="auto"/>
        </w:rPr>
        <w:t xml:space="preserve">. Participant hereby acknowledges and agrees that until the earlier of the IPO Date or the date of a Change in Control, the Shares acquired by Participant upon the exercise of the Option shall be voted by an irrevocable proxy and power of attorney (the “Proxy”),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Option Agreement. Participant shall, concurrently with the signing of this Exercise Notice, deliver to the Company Participant’s executed Proxy. Such Proxy shall terminate and be of no further force and effect upon the earlier of the IPO Date or the date of a Change in Control.</w:t>
      </w:r>
    </w:p>
    <w:p>
      <w:pPr>
        <w:spacing w:after="0" w:line="187" w:lineRule="exact"/>
        <w:rPr>
          <w:rFonts w:ascii="Arial" w:cs="Arial" w:eastAsia="Arial" w:hAnsi="Arial"/>
          <w:sz w:val="18"/>
          <w:szCs w:val="18"/>
          <w:color w:val="auto"/>
        </w:rPr>
      </w:pPr>
    </w:p>
    <w:p>
      <w:pPr>
        <w:ind w:right="80" w:firstLine="1304"/>
        <w:spacing w:after="0" w:line="259" w:lineRule="auto"/>
        <w:tabs>
          <w:tab w:leader="none" w:pos="1955" w:val="left"/>
        </w:tabs>
        <w:numPr>
          <w:ilvl w:val="1"/>
          <w:numId w:val="427"/>
        </w:numPr>
        <w:rPr>
          <w:rFonts w:ascii="Arial" w:cs="Arial" w:eastAsia="Arial" w:hAnsi="Arial"/>
          <w:sz w:val="18"/>
          <w:szCs w:val="18"/>
          <w:color w:val="auto"/>
        </w:rPr>
      </w:pP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xml:space="preserve">. If Participant is exercising the Option for unvested Shares, such Shares shall be subject to the Company’s repurchase right set forth in the Restricted Stock Purchase Agreement, attached as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to the Option Agreement. Participant shall, concurrently with the signing of this Exercise Notice, deliver to the Company Participant’s executed Restricted Stock Purchase Agreement, attached as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to the Option Agreement,</w:t>
      </w:r>
    </w:p>
    <w:p>
      <w:pPr>
        <w:spacing w:after="0" w:line="186" w:lineRule="exact"/>
        <w:rPr>
          <w:rFonts w:ascii="Arial" w:cs="Arial" w:eastAsia="Arial" w:hAnsi="Arial"/>
          <w:sz w:val="18"/>
          <w:szCs w:val="18"/>
          <w:color w:val="auto"/>
        </w:rPr>
      </w:pPr>
    </w:p>
    <w:p>
      <w:pPr>
        <w:ind w:right="60" w:firstLine="1304"/>
        <w:spacing w:after="0" w:line="263" w:lineRule="auto"/>
        <w:tabs>
          <w:tab w:leader="none" w:pos="1951" w:val="left"/>
        </w:tabs>
        <w:numPr>
          <w:ilvl w:val="1"/>
          <w:numId w:val="427"/>
        </w:numPr>
        <w:rPr>
          <w:rFonts w:ascii="Arial" w:cs="Arial" w:eastAsia="Arial" w:hAnsi="Arial"/>
          <w:sz w:val="18"/>
          <w:szCs w:val="18"/>
          <w:color w:val="auto"/>
        </w:rPr>
      </w:pPr>
      <w:r>
        <w:rPr>
          <w:rFonts w:ascii="Arial" w:cs="Arial" w:eastAsia="Arial" w:hAnsi="Arial"/>
          <w:sz w:val="18"/>
          <w:szCs w:val="18"/>
          <w:u w:val="single" w:color="auto"/>
          <w:color w:val="auto"/>
        </w:rPr>
        <w:t>Stockholders’ Joinder Agreement</w:t>
      </w:r>
      <w:r>
        <w:rPr>
          <w:rFonts w:ascii="Arial" w:cs="Arial" w:eastAsia="Arial" w:hAnsi="Arial"/>
          <w:sz w:val="18"/>
          <w:szCs w:val="18"/>
          <w:color w:val="auto"/>
        </w:rPr>
        <w:t>. If required by the Company, Participant hereby agrees to enter into a Stockholders’ Joinder Agreement in a form acceptable to the Company as a condition to exercise the Option. Such form of Stockholders’ Joinder Agreement will be provided to Participant upon request,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85" w:name="page486"/>
    <w:bookmarkEnd w:id="485"/>
    <w:p>
      <w:pPr>
        <w:ind w:left="-40" w:right="580" w:firstLine="1304"/>
        <w:spacing w:after="0" w:line="263" w:lineRule="auto"/>
        <w:tabs>
          <w:tab w:leader="none" w:pos="1915" w:val="left"/>
        </w:tabs>
        <w:numPr>
          <w:ilvl w:val="1"/>
          <w:numId w:val="428"/>
        </w:numPr>
        <w:rPr>
          <w:rFonts w:ascii="Arial" w:cs="Arial" w:eastAsia="Arial" w:hAnsi="Arial"/>
          <w:sz w:val="18"/>
          <w:szCs w:val="18"/>
          <w:color w:val="auto"/>
        </w:rPr>
      </w:pPr>
      <w:r>
        <w:rPr>
          <w:rFonts w:ascii="Arial" w:cs="Arial" w:eastAsia="Arial" w:hAnsi="Arial"/>
          <w:sz w:val="18"/>
          <w:szCs w:val="18"/>
          <w:u w:val="single" w:color="auto"/>
          <w:color w:val="auto"/>
        </w:rPr>
        <w:t>Information Statement</w:t>
      </w:r>
      <w:r>
        <w:rPr>
          <w:rFonts w:ascii="Arial" w:cs="Arial" w:eastAsia="Arial" w:hAnsi="Arial"/>
          <w:sz w:val="18"/>
          <w:szCs w:val="18"/>
          <w:color w:val="auto"/>
        </w:rPr>
        <w:t>. If Participant is exercising an Option with a Date of Grant on or after June 30, 2017, Participant acknowledges receipt of the Information Statement as well as Participant’s agreement to keep the contents of the Information Statement strictly confidential.</w:t>
      </w:r>
    </w:p>
    <w:p>
      <w:pPr>
        <w:spacing w:after="0" w:line="183" w:lineRule="exact"/>
        <w:rPr>
          <w:rFonts w:ascii="Arial" w:cs="Arial" w:eastAsia="Arial" w:hAnsi="Arial"/>
          <w:sz w:val="18"/>
          <w:szCs w:val="18"/>
          <w:color w:val="auto"/>
        </w:rPr>
      </w:pPr>
    </w:p>
    <w:p>
      <w:pPr>
        <w:ind w:left="-40" w:firstLine="656"/>
        <w:spacing w:after="0" w:line="257" w:lineRule="auto"/>
        <w:tabs>
          <w:tab w:leader="none" w:pos="125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12 of the Plan.</w:t>
      </w:r>
    </w:p>
    <w:p>
      <w:pPr>
        <w:spacing w:after="0" w:line="187" w:lineRule="exact"/>
        <w:rPr>
          <w:rFonts w:ascii="Arial" w:cs="Arial" w:eastAsia="Arial" w:hAnsi="Arial"/>
          <w:sz w:val="18"/>
          <w:szCs w:val="18"/>
          <w:color w:val="auto"/>
        </w:rPr>
      </w:pPr>
    </w:p>
    <w:p>
      <w:pPr>
        <w:ind w:left="-40" w:firstLine="656"/>
        <w:spacing w:after="0" w:line="277" w:lineRule="auto"/>
        <w:tabs>
          <w:tab w:leader="none" w:pos="125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Company’s Repurchase Right</w:t>
      </w:r>
      <w:r>
        <w:rPr>
          <w:rFonts w:ascii="Arial" w:cs="Arial" w:eastAsia="Arial" w:hAnsi="Arial"/>
          <w:sz w:val="18"/>
          <w:szCs w:val="18"/>
          <w:color w:val="auto"/>
        </w:rPr>
        <w:t>. The Shares will be subject to the Company’s Repurchase Right until the Repurchase Right Lapse Date, as set forth in Section 11 of the Plan.</w:t>
      </w:r>
    </w:p>
    <w:p>
      <w:pPr>
        <w:spacing w:after="0" w:line="170" w:lineRule="exact"/>
        <w:rPr>
          <w:rFonts w:ascii="Arial" w:cs="Arial" w:eastAsia="Arial" w:hAnsi="Arial"/>
          <w:sz w:val="18"/>
          <w:szCs w:val="18"/>
          <w:color w:val="auto"/>
        </w:rPr>
      </w:pPr>
    </w:p>
    <w:p>
      <w:pPr>
        <w:ind w:left="-40" w:firstLine="656"/>
        <w:spacing w:after="0" w:line="290" w:lineRule="auto"/>
        <w:tabs>
          <w:tab w:leader="none" w:pos="1256" w:val="left"/>
        </w:tabs>
        <w:numPr>
          <w:ilvl w:val="0"/>
          <w:numId w:val="429"/>
        </w:numPr>
        <w:rPr>
          <w:rFonts w:ascii="Arial" w:cs="Arial" w:eastAsia="Arial" w:hAnsi="Arial"/>
          <w:sz w:val="16"/>
          <w:szCs w:val="16"/>
          <w:color w:val="auto"/>
        </w:rPr>
      </w:pPr>
      <w:r>
        <w:rPr>
          <w:rFonts w:ascii="Arial" w:cs="Arial" w:eastAsia="Arial" w:hAnsi="Arial"/>
          <w:sz w:val="16"/>
          <w:szCs w:val="16"/>
          <w:u w:val="single" w:color="auto"/>
          <w:color w:val="auto"/>
        </w:rPr>
        <w:t>Prohibition on Transfers</w:t>
      </w:r>
      <w:r>
        <w:rPr>
          <w:rFonts w:ascii="Arial" w:cs="Arial" w:eastAsia="Arial" w:hAnsi="Arial"/>
          <w:sz w:val="16"/>
          <w:szCs w:val="16"/>
          <w:color w:val="auto"/>
        </w:rPr>
        <w:t>. The Shares will be subject to the prohibition on Transfers set forth in Section 10(a) of the Plan until the first to occur of (x) the expiration of a one hundred eighty (180)-day period (or such other period as may be requested by the Company or the managing underwriter to accommodate regulatory restrictions on (A) the publication or other distribution of research reports and (B) analyst recommendations and opinions, including, but not limited to, the restrictions contained in FINRA Rule 2241, or any successor provisions or amendments thereto) following the IPO Date or (y) the occurrence of a Change in Control. Shares may be Transferred in connection with a Permitted Transfer pursuant to Section 10(c) of the Plan, provided that the Transferee agrees to be bound by the terms of the Plan and the Option Agreement as though no such Transfer had taken place, and provided that the Participant has complied with all Applicable Laws in connection with such Transfer. The Participant and the Transferee shall execute any documents reasonably required by the Committee to effectuate such Permitted Transfer.</w:t>
      </w:r>
    </w:p>
    <w:p>
      <w:pPr>
        <w:spacing w:after="0" w:line="165" w:lineRule="exact"/>
        <w:rPr>
          <w:rFonts w:ascii="Arial" w:cs="Arial" w:eastAsia="Arial" w:hAnsi="Arial"/>
          <w:sz w:val="16"/>
          <w:szCs w:val="16"/>
          <w:color w:val="auto"/>
        </w:rPr>
      </w:pPr>
    </w:p>
    <w:p>
      <w:pPr>
        <w:ind w:left="-40" w:right="500" w:firstLine="656"/>
        <w:spacing w:after="0" w:line="277" w:lineRule="auto"/>
        <w:tabs>
          <w:tab w:leader="none" w:pos="125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Drag-Along Right</w:t>
      </w:r>
      <w:r>
        <w:rPr>
          <w:rFonts w:ascii="Arial" w:cs="Arial" w:eastAsia="Arial" w:hAnsi="Arial"/>
          <w:sz w:val="18"/>
          <w:szCs w:val="18"/>
          <w:color w:val="auto"/>
        </w:rPr>
        <w:t>. Until the IPO Date, the Shares will be subject to the Drag-Along Right of the Majority Holders, as set forth in Section 10(b) of the Plan.</w:t>
      </w:r>
    </w:p>
    <w:p>
      <w:pPr>
        <w:spacing w:after="0" w:line="170" w:lineRule="exact"/>
        <w:rPr>
          <w:rFonts w:ascii="Arial" w:cs="Arial" w:eastAsia="Arial" w:hAnsi="Arial"/>
          <w:sz w:val="18"/>
          <w:szCs w:val="18"/>
          <w:color w:val="auto"/>
        </w:rPr>
      </w:pPr>
    </w:p>
    <w:p>
      <w:pPr>
        <w:ind w:left="-40" w:right="80" w:firstLine="656"/>
        <w:spacing w:after="0" w:line="263" w:lineRule="auto"/>
        <w:tabs>
          <w:tab w:leader="none" w:pos="125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83" w:lineRule="exact"/>
        <w:rPr>
          <w:rFonts w:ascii="Arial" w:cs="Arial" w:eastAsia="Arial" w:hAnsi="Arial"/>
          <w:sz w:val="18"/>
          <w:szCs w:val="18"/>
          <w:color w:val="auto"/>
        </w:rPr>
      </w:pPr>
    </w:p>
    <w:p>
      <w:pPr>
        <w:ind w:left="1260" w:hanging="644"/>
        <w:spacing w:after="0"/>
        <w:tabs>
          <w:tab w:leader="none" w:pos="1260"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40" w:firstLine="1304"/>
        <w:spacing w:after="0" w:line="263" w:lineRule="auto"/>
        <w:tabs>
          <w:tab w:leader="none" w:pos="1901" w:val="left"/>
        </w:tabs>
        <w:numPr>
          <w:ilvl w:val="1"/>
          <w:numId w:val="429"/>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4" w:lineRule="exact"/>
        <w:rPr>
          <w:sz w:val="20"/>
          <w:szCs w:val="20"/>
          <w:color w:val="auto"/>
        </w:rPr>
      </w:pPr>
    </w:p>
    <w:p>
      <w:pPr>
        <w:ind w:left="1260" w:right="180" w:hanging="15"/>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88" w:lineRule="exact"/>
        <w:rPr>
          <w:sz w:val="20"/>
          <w:szCs w:val="20"/>
          <w:color w:val="auto"/>
        </w:rPr>
      </w:pPr>
    </w:p>
    <w:p>
      <w:pPr>
        <w:ind w:left="1260" w:right="140" w:hanging="15"/>
        <w:spacing w:after="0" w:line="308" w:lineRule="auto"/>
        <w:rPr>
          <w:sz w:val="20"/>
          <w:szCs w:val="20"/>
          <w:color w:val="auto"/>
        </w:rPr>
      </w:pPr>
      <w:r>
        <w:rPr>
          <w:rFonts w:ascii="Arial" w:cs="Arial" w:eastAsia="Arial" w:hAnsi="Arial"/>
          <w:sz w:val="17"/>
          <w:szCs w:val="17"/>
          <w:color w:val="auto"/>
        </w:rPr>
        <w:t>THE SHARES REPRESENTED BY THIS CERTIFICATE ARE SUBJECT TO CERTAIN RESTRICTIONS ON TRANSFER AND A REPURCHASE RIGHT HELD BY THE ISSUER OF THESE SHARES OR ITS ASSIGNEE(S) AS SET FORTH IN THE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15327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60" w:top="341" w:right="379" w:bottom="1440" w:gutter="0" w:footer="0" w:header="0"/>
        </w:sectPr>
      </w:pPr>
    </w:p>
    <w:bookmarkStart w:id="486" w:name="page487"/>
    <w:bookmarkEnd w:id="486"/>
    <w:p>
      <w:pPr>
        <w:ind w:left="1260" w:right="60" w:hanging="15"/>
        <w:spacing w:after="0" w:line="263" w:lineRule="auto"/>
        <w:rPr>
          <w:sz w:val="20"/>
          <w:szCs w:val="20"/>
          <w:color w:val="auto"/>
        </w:rPr>
      </w:pPr>
      <w:r>
        <w:rPr>
          <w:rFonts w:ascii="Arial" w:cs="Arial" w:eastAsia="Arial" w:hAnsi="Arial"/>
          <w:sz w:val="18"/>
          <w:szCs w:val="18"/>
          <w:color w:val="auto"/>
        </w:rPr>
        <w:t>EXERCISE NOTICE BETWEEN THE ISSUER OF THESE SHARES AND THE ORIGINAL HOLDER OF THESE SHARES, A COPY OF WHICH MAY BE OBTAINED AT THE PRINCIPAL OFFICE OF THE ISSUER OF THESE SHARES. SUCH TRANSFER RESTRICTIONS AND REPURCHASE RIGHT ARE BINDING ON TRANSFEREES OF THESE SHARES.</w:t>
      </w:r>
    </w:p>
    <w:p>
      <w:pPr>
        <w:spacing w:after="0" w:line="184" w:lineRule="exact"/>
        <w:rPr>
          <w:sz w:val="20"/>
          <w:szCs w:val="20"/>
          <w:color w:val="auto"/>
        </w:rPr>
      </w:pPr>
    </w:p>
    <w:p>
      <w:pPr>
        <w:ind w:left="1260" w:hanging="15"/>
        <w:spacing w:after="0" w:line="257" w:lineRule="auto"/>
        <w:rPr>
          <w:sz w:val="20"/>
          <w:szCs w:val="20"/>
          <w:color w:val="auto"/>
        </w:rPr>
      </w:pPr>
      <w:r>
        <w:rPr>
          <w:rFonts w:ascii="Arial" w:cs="Arial" w:eastAsia="Arial" w:hAnsi="Arial"/>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8" w:lineRule="exact"/>
        <w:rPr>
          <w:sz w:val="20"/>
          <w:szCs w:val="20"/>
          <w:color w:val="auto"/>
        </w:rPr>
      </w:pPr>
    </w:p>
    <w:p>
      <w:pPr>
        <w:ind w:left="-40" w:right="140" w:firstLine="1304"/>
        <w:spacing w:after="0" w:line="263" w:lineRule="auto"/>
        <w:tabs>
          <w:tab w:leader="none" w:pos="1911" w:val="left"/>
        </w:tabs>
        <w:numPr>
          <w:ilvl w:val="1"/>
          <w:numId w:val="430"/>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ind w:left="-40" w:right="300" w:firstLine="1304"/>
        <w:spacing w:after="0" w:line="263" w:lineRule="auto"/>
        <w:tabs>
          <w:tab w:leader="none" w:pos="1915" w:val="left"/>
        </w:tabs>
        <w:numPr>
          <w:ilvl w:val="1"/>
          <w:numId w:val="430"/>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ind w:left="-40" w:firstLine="656"/>
        <w:spacing w:after="0" w:line="286" w:lineRule="auto"/>
        <w:tabs>
          <w:tab w:leader="none" w:pos="1251" w:val="left"/>
        </w:tabs>
        <w:numPr>
          <w:ilvl w:val="0"/>
          <w:numId w:val="431"/>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65" w:lineRule="exact"/>
        <w:rPr>
          <w:rFonts w:ascii="Arial" w:cs="Arial" w:eastAsia="Arial" w:hAnsi="Arial"/>
          <w:sz w:val="17"/>
          <w:szCs w:val="17"/>
          <w:color w:val="auto"/>
        </w:rPr>
      </w:pPr>
    </w:p>
    <w:p>
      <w:pPr>
        <w:ind w:left="-40" w:right="160" w:firstLine="656"/>
        <w:spacing w:after="0" w:line="263" w:lineRule="auto"/>
        <w:tabs>
          <w:tab w:leader="none" w:pos="1245"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Participant or by the Company forthwith to the Committee, which shall review such dispute at its next regular meeting. The resolution of such a dispute by the Committee shall be final and binding on all parties.</w:t>
      </w:r>
    </w:p>
    <w:p>
      <w:pPr>
        <w:spacing w:after="0" w:line="183" w:lineRule="exact"/>
        <w:rPr>
          <w:rFonts w:ascii="Arial" w:cs="Arial" w:eastAsia="Arial" w:hAnsi="Arial"/>
          <w:sz w:val="18"/>
          <w:szCs w:val="18"/>
          <w:color w:val="auto"/>
        </w:rPr>
      </w:pPr>
    </w:p>
    <w:p>
      <w:pPr>
        <w:jc w:val="both"/>
        <w:ind w:left="-40" w:right="440" w:firstLine="656"/>
        <w:spacing w:after="0" w:line="263" w:lineRule="auto"/>
        <w:tabs>
          <w:tab w:leader="none" w:pos="1251"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83" w:lineRule="exact"/>
        <w:rPr>
          <w:rFonts w:ascii="Arial" w:cs="Arial" w:eastAsia="Arial" w:hAnsi="Arial"/>
          <w:sz w:val="18"/>
          <w:szCs w:val="18"/>
          <w:color w:val="auto"/>
        </w:rPr>
      </w:pPr>
    </w:p>
    <w:p>
      <w:pPr>
        <w:ind w:left="-40" w:right="80" w:firstLine="656"/>
        <w:spacing w:after="0" w:line="257" w:lineRule="auto"/>
        <w:tabs>
          <w:tab w:leader="none" w:pos="1251" w:val="left"/>
        </w:tabs>
        <w:numPr>
          <w:ilvl w:val="0"/>
          <w:numId w:val="43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This Exercise Notice, the Plan, the Restricted Stock Purchase Agreement, the Option Agreement, the Investment Representation Statement, the Information Statement (if applicable) and the Proxy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15327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60" w:top="341" w:right="379" w:bottom="1440" w:gutter="0" w:footer="0" w:header="0"/>
        </w:sectPr>
      </w:pPr>
    </w:p>
    <w:bookmarkStart w:id="487" w:name="page488"/>
    <w:bookmarkEnd w:id="487"/>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Submitted by:</w:t>
            </w:r>
          </w:p>
        </w:tc>
        <w:tc>
          <w:tcPr>
            <w:tcW w:w="6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Accepted by:</w:t>
            </w:r>
          </w:p>
        </w:tc>
        <w:tc>
          <w:tcPr>
            <w:tcW w:w="4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PARTICIPANT</w:t>
            </w:r>
          </w:p>
        </w:tc>
        <w:tc>
          <w:tcPr>
            <w:tcW w:w="66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CROWDSTRIKE HOLDINGS, INC.</w:t>
            </w:r>
          </w:p>
        </w:tc>
        <w:tc>
          <w:tcPr>
            <w:tcW w:w="40" w:type="dxa"/>
            <w:vAlign w:val="bottom"/>
          </w:tcPr>
          <w:p>
            <w:pPr>
              <w:spacing w:after="0"/>
              <w:rPr>
                <w:sz w:val="20"/>
                <w:szCs w:val="20"/>
                <w:color w:val="auto"/>
              </w:rPr>
            </w:pPr>
          </w:p>
        </w:tc>
      </w:tr>
      <w:tr>
        <w:trPr>
          <w:trHeight w:val="432"/>
        </w:trPr>
        <w:tc>
          <w:tcPr>
            <w:tcW w:w="51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9"/>
                <w:szCs w:val="19"/>
                <w:color w:val="auto"/>
              </w:rPr>
            </w:pPr>
          </w:p>
        </w:tc>
      </w:tr>
      <w:tr>
        <w:trPr>
          <w:trHeight w:val="418"/>
        </w:trPr>
        <w:tc>
          <w:tcPr>
            <w:tcW w:w="51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Print Name</w:t>
            </w:r>
          </w:p>
        </w:tc>
        <w:tc>
          <w:tcPr>
            <w:tcW w:w="6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Print Name</w:t>
            </w:r>
          </w:p>
        </w:tc>
        <w:tc>
          <w:tcPr>
            <w:tcW w:w="40" w:type="dxa"/>
            <w:vAlign w:val="bottom"/>
          </w:tcPr>
          <w:p>
            <w:pPr>
              <w:spacing w:after="0"/>
              <w:rPr>
                <w:sz w:val="19"/>
                <w:szCs w:val="19"/>
                <w:color w:val="auto"/>
              </w:rPr>
            </w:pPr>
          </w:p>
        </w:tc>
      </w:tr>
      <w:tr>
        <w:trPr>
          <w:trHeight w:val="418"/>
        </w:trPr>
        <w:tc>
          <w:tcPr>
            <w:tcW w:w="5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Address:</w:t>
            </w:r>
          </w:p>
        </w:tc>
        <w:tc>
          <w:tcPr>
            <w:tcW w:w="66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Address:</w:t>
            </w:r>
          </w:p>
        </w:tc>
        <w:tc>
          <w:tcPr>
            <w:tcW w:w="40" w:type="dxa"/>
            <w:vAlign w:val="bottom"/>
          </w:tcPr>
          <w:p>
            <w:pPr>
              <w:spacing w:after="0"/>
              <w:rPr>
                <w:sz w:val="24"/>
                <w:szCs w:val="24"/>
                <w:color w:val="auto"/>
              </w:rPr>
            </w:pPr>
          </w:p>
        </w:tc>
      </w:tr>
      <w:tr>
        <w:trPr>
          <w:trHeight w:val="432"/>
        </w:trPr>
        <w:tc>
          <w:tcPr>
            <w:tcW w:w="5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150 Mathilda Place, Suite 300</w:t>
            </w:r>
          </w:p>
        </w:tc>
        <w:tc>
          <w:tcPr>
            <w:tcW w:w="40" w:type="dxa"/>
            <w:vAlign w:val="bottom"/>
          </w:tcPr>
          <w:p>
            <w:pPr>
              <w:spacing w:after="0"/>
              <w:rPr>
                <w:sz w:val="24"/>
                <w:szCs w:val="24"/>
                <w:color w:val="auto"/>
              </w:rPr>
            </w:pPr>
          </w:p>
        </w:tc>
      </w:tr>
      <w:tr>
        <w:trPr>
          <w:trHeight w:val="432"/>
        </w:trPr>
        <w:tc>
          <w:tcPr>
            <w:tcW w:w="5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Sunnyvale, CA 94086</w:t>
            </w:r>
          </w:p>
        </w:tc>
        <w:tc>
          <w:tcPr>
            <w:tcW w:w="40" w:type="dxa"/>
            <w:vAlign w:val="bottom"/>
          </w:tcPr>
          <w:p>
            <w:pPr>
              <w:spacing w:after="0"/>
              <w:rPr>
                <w:sz w:val="24"/>
                <w:szCs w:val="24"/>
                <w:color w:val="auto"/>
              </w:rPr>
            </w:pPr>
          </w:p>
        </w:tc>
      </w:tr>
      <w:tr>
        <w:trPr>
          <w:trHeight w:val="432"/>
        </w:trPr>
        <w:tc>
          <w:tcPr>
            <w:tcW w:w="5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Date Received</w:t>
            </w:r>
          </w:p>
        </w:tc>
        <w:tc>
          <w:tcPr>
            <w:tcW w:w="40" w:type="dxa"/>
            <w:vAlign w:val="bottom"/>
          </w:tcPr>
          <w:p>
            <w:pPr>
              <w:spacing w:after="0"/>
              <w:rPr>
                <w:sz w:val="24"/>
                <w:szCs w:val="24"/>
                <w:color w:val="auto"/>
              </w:rPr>
            </w:pPr>
          </w:p>
        </w:tc>
      </w:tr>
      <w:tr>
        <w:trPr>
          <w:trHeight w:val="432"/>
        </w:trPr>
        <w:tc>
          <w:tcPr>
            <w:tcW w:w="516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1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4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488" w:name="page489"/>
    <w:bookmarkEnd w:id="488"/>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8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EXHIBIT B</w:t>
            </w:r>
          </w:p>
        </w:tc>
      </w:tr>
      <w:tr>
        <w:trPr>
          <w:trHeight w:val="20"/>
        </w:trPr>
        <w:tc>
          <w:tcPr>
            <w:tcW w:w="1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53"/>
        </w:trPr>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4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PARTICIPANT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COMPANY</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360"/>
              <w:spacing w:after="0"/>
              <w:rPr>
                <w:sz w:val="20"/>
                <w:szCs w:val="20"/>
                <w:color w:val="auto"/>
              </w:rPr>
            </w:pPr>
            <w:r>
              <w:rPr>
                <w:rFonts w:ascii="Arial" w:cs="Arial" w:eastAsia="Arial" w:hAnsi="Arial"/>
                <w:sz w:val="18"/>
                <w:szCs w:val="18"/>
                <w:color w:val="auto"/>
              </w:rPr>
              <w:t>CROWDSTRIKE HOLDINGS, INC.</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SECURITY</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840" w:type="dxa"/>
            <w:vAlign w:val="bottom"/>
            <w:gridSpan w:val="3"/>
          </w:tcPr>
          <w:p>
            <w:pPr>
              <w:ind w:left="360"/>
              <w:spacing w:after="0"/>
              <w:rPr>
                <w:sz w:val="20"/>
                <w:szCs w:val="20"/>
                <w:color w:val="auto"/>
              </w:rPr>
            </w:pPr>
            <w:r>
              <w:rPr>
                <w:rFonts w:ascii="Arial" w:cs="Arial" w:eastAsia="Arial" w:hAnsi="Arial"/>
                <w:sz w:val="18"/>
                <w:szCs w:val="18"/>
                <w:color w:val="auto"/>
              </w:rPr>
              <w:t>COMMON STOCK</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AMOUNT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DATE</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purchase of the above-listed Securities, the undersigned Participant represents to the Company the following:</w:t>
      </w:r>
    </w:p>
    <w:p>
      <w:pPr>
        <w:spacing w:after="0" w:line="225" w:lineRule="exact"/>
        <w:rPr>
          <w:sz w:val="20"/>
          <w:szCs w:val="20"/>
          <w:color w:val="auto"/>
        </w:rPr>
      </w:pPr>
    </w:p>
    <w:p>
      <w:pPr>
        <w:ind w:firstLine="656"/>
        <w:spacing w:after="0" w:line="259" w:lineRule="auto"/>
        <w:tabs>
          <w:tab w:leader="none" w:pos="129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86" w:lineRule="exact"/>
        <w:rPr>
          <w:rFonts w:ascii="Arial" w:cs="Arial" w:eastAsia="Arial" w:hAnsi="Arial"/>
          <w:sz w:val="18"/>
          <w:szCs w:val="18"/>
          <w:color w:val="auto"/>
        </w:rPr>
      </w:pPr>
    </w:p>
    <w:p>
      <w:pPr>
        <w:ind w:firstLine="656"/>
        <w:spacing w:after="0" w:line="289" w:lineRule="auto"/>
        <w:tabs>
          <w:tab w:leader="none" w:pos="1303" w:val="left"/>
        </w:tabs>
        <w:numPr>
          <w:ilvl w:val="0"/>
          <w:numId w:val="432"/>
        </w:numPr>
        <w:rPr>
          <w:rFonts w:ascii="Arial" w:cs="Arial" w:eastAsia="Arial" w:hAnsi="Arial"/>
          <w:sz w:val="16"/>
          <w:szCs w:val="16"/>
          <w:color w:val="auto"/>
        </w:rPr>
      </w:pPr>
      <w:r>
        <w:rPr>
          <w:rFonts w:ascii="Arial" w:cs="Arial" w:eastAsia="Arial" w:hAnsi="Arial"/>
          <w:sz w:val="16"/>
          <w:szCs w:val="16"/>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federal or state securities laws.</w:t>
      </w:r>
    </w:p>
    <w:p>
      <w:pPr>
        <w:spacing w:after="0" w:line="166" w:lineRule="exact"/>
        <w:rPr>
          <w:rFonts w:ascii="Arial" w:cs="Arial" w:eastAsia="Arial" w:hAnsi="Arial"/>
          <w:sz w:val="16"/>
          <w:szCs w:val="16"/>
          <w:color w:val="auto"/>
        </w:rPr>
      </w:pPr>
    </w:p>
    <w:p>
      <w:pPr>
        <w:ind w:right="40" w:firstLine="656"/>
        <w:spacing w:after="0" w:line="271" w:lineRule="auto"/>
        <w:tabs>
          <w:tab w:leader="none" w:pos="1307" w:val="left"/>
        </w:tabs>
        <w:numPr>
          <w:ilvl w:val="0"/>
          <w:numId w:val="432"/>
        </w:numPr>
        <w:rPr>
          <w:rFonts w:ascii="Arial" w:cs="Arial" w:eastAsia="Arial" w:hAnsi="Arial"/>
          <w:sz w:val="17"/>
          <w:szCs w:val="17"/>
          <w:color w:val="auto"/>
        </w:rPr>
      </w:pPr>
      <w:r>
        <w:rPr>
          <w:rFonts w:ascii="Arial" w:cs="Arial" w:eastAsia="Arial" w:hAnsi="Arial"/>
          <w:sz w:val="17"/>
          <w:szCs w:val="17"/>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as amended (the “Exchange Act”)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5327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89" w:name="page490"/>
    <w:bookmarkEnd w:id="489"/>
    <w:p>
      <w:pPr>
        <w:ind w:right="40"/>
        <w:spacing w:after="0" w:line="277" w:lineRule="auto"/>
        <w:rPr>
          <w:sz w:val="20"/>
          <w:szCs w:val="20"/>
          <w:color w:val="auto"/>
        </w:rPr>
      </w:pPr>
      <w:r>
        <w:rPr>
          <w:rFonts w:ascii="Arial" w:cs="Arial" w:eastAsia="Arial" w:hAnsi="Arial"/>
          <w:sz w:val="18"/>
          <w:szCs w:val="18"/>
          <w:color w:val="auto"/>
        </w:rPr>
        <w:t>“broker’s transaction”, transactions directly with a “market maker” or “riskless principal transactions” (as those terms are defined under the Exchange Act) and (4) the timely filing of a Form 144, if applicable.</w:t>
      </w:r>
    </w:p>
    <w:p>
      <w:pPr>
        <w:spacing w:after="0" w:line="170"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w:t>
      </w:r>
    </w:p>
    <w:p>
      <w:pPr>
        <w:ind w:right="120" w:firstLine="8"/>
        <w:spacing w:after="0" w:line="323" w:lineRule="auto"/>
        <w:tabs>
          <w:tab w:leader="none" w:pos="265" w:val="left"/>
        </w:tabs>
        <w:numPr>
          <w:ilvl w:val="0"/>
          <w:numId w:val="433"/>
        </w:numPr>
        <w:rPr>
          <w:rFonts w:ascii="Arial" w:cs="Arial" w:eastAsia="Arial" w:hAnsi="Arial"/>
          <w:sz w:val="16"/>
          <w:szCs w:val="16"/>
          <w:color w:val="auto"/>
        </w:rPr>
      </w:pPr>
      <w:r>
        <w:rPr>
          <w:rFonts w:ascii="Arial" w:cs="Arial" w:eastAsia="Arial" w:hAnsi="Arial"/>
          <w:sz w:val="16"/>
          <w:szCs w:val="16"/>
          <w:color w:val="auto"/>
        </w:rPr>
        <w:t>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38" w:lineRule="exact"/>
        <w:rPr>
          <w:rFonts w:ascii="Arial" w:cs="Arial" w:eastAsia="Arial" w:hAnsi="Arial"/>
          <w:sz w:val="16"/>
          <w:szCs w:val="16"/>
          <w:color w:val="auto"/>
        </w:rPr>
      </w:pPr>
    </w:p>
    <w:p>
      <w:pPr>
        <w:ind w:right="20" w:firstLine="656"/>
        <w:spacing w:after="0" w:line="293" w:lineRule="auto"/>
        <w:tabs>
          <w:tab w:leader="none" w:pos="1303" w:val="left"/>
        </w:tabs>
        <w:numPr>
          <w:ilvl w:val="1"/>
          <w:numId w:val="433"/>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Rules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IRREVOCABLE PROXY AND POWER OF ATTORNEY</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undersigned, as owner or the beneficial owner or the future owner of securities of CrowdStrike Holdings, Inc. (the “Company”) described below, hereby irrevocably appoints the Investors (as this term is defined in the Company’s 2011 Stock Incentive Plan, as amended as of the date hereof (the “Plan”)), as the undersigned’s proxy and attorney-in-fact, with respect to any and all aspects of the undersigned’s shareholdings in the Company.</w:t>
      </w:r>
    </w:p>
    <w:p>
      <w:pPr>
        <w:spacing w:after="0" w:line="14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Without derogating from the generality of the aforesaid, the Investors shall be entitled to (i) vote or act by written consent with respect to the shares of stock of the Company (whether or not vested) now or hereafter owned by the undersigned (or any Transferee, as this term is defined in the Plan), including the right to sign the undersigned’s name, as a stockholder, to any consent, certificate, or other document relating to the Company that applicable law may require, in connection with any and all matters (other than any amendment to the Plan that would require stockholder approval), including, without limitation, the election of directors, and (ii) take any and all action necessary to sell or otherwise Transfer (as this term is defined in the Plan) any subject shares as contemplated by Section 10 of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Irrevocable Proxy and Power of Attorney is made pursuant to the Plan and the Option Agreement signed between the undersigned and the</w:t>
      </w:r>
    </w:p>
    <w:p>
      <w:pPr>
        <w:spacing w:after="0" w:line="4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Company on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This Irrevocable Proxy and Power of Attorney is irrevocable as it may affect rights of third parties. The proxy holder will have the full power of substitution and revocation. All authority herein conferred shall survive the death or incapacity of the undersigned and any obligation of the undersigned hereunder shall be binding upon the heirs, personal representatives, successors and assigns of the undersigned.</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This Irrevocable Proxy and Power of Attorney shall expire automatically and be of no further force and effect immediately upon the earlier of the IPO Date or the date of a Change in Control (as these terms are defined in the Plan).</w:t>
      </w:r>
    </w:p>
    <w:p>
      <w:pPr>
        <w:spacing w:after="0" w:line="170" w:lineRule="exact"/>
        <w:rPr>
          <w:sz w:val="20"/>
          <w:szCs w:val="20"/>
          <w:color w:val="auto"/>
        </w:rPr>
      </w:pPr>
    </w:p>
    <w:p>
      <w:pPr>
        <w:ind w:left="660"/>
        <w:spacing w:after="0"/>
        <w:tabs>
          <w:tab w:leader="none" w:pos="8580" w:val="left"/>
          <w:tab w:leader="none" w:pos="9660" w:val="left"/>
          <w:tab w:leader="none" w:pos="9980" w:val="left"/>
        </w:tabs>
        <w:rPr>
          <w:sz w:val="20"/>
          <w:szCs w:val="20"/>
          <w:color w:val="auto"/>
        </w:rPr>
      </w:pPr>
      <w:r>
        <w:rPr>
          <w:rFonts w:ascii="Arial" w:cs="Arial" w:eastAsia="Arial" w:hAnsi="Arial"/>
          <w:sz w:val="17"/>
          <w:szCs w:val="17"/>
          <w:color w:val="auto"/>
        </w:rPr>
        <w:t>IN WITNESS WHEREOF, the undersigned has executed this Irrevocable Proxy and Power of Attorney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132" w:gutter="0" w:footer="0" w:header="0"/>
        </w:sectPr>
      </w:pPr>
    </w:p>
    <w:bookmarkStart w:id="490" w:name="page491"/>
    <w:bookmarkEnd w:id="490"/>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88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rPr>
              <w:t>EXHIBIT D-1</w:t>
            </w:r>
          </w:p>
        </w:tc>
        <w:tc>
          <w:tcPr>
            <w:tcW w:w="282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53"/>
        </w:trPr>
        <w:tc>
          <w:tcPr>
            <w:tcW w:w="7960" w:type="dxa"/>
            <w:vAlign w:val="bottom"/>
            <w:gridSpan w:val="4"/>
          </w:tcPr>
          <w:p>
            <w:pPr>
              <w:jc w:val="center"/>
              <w:ind w:left="3190"/>
              <w:spacing w:after="0"/>
              <w:rPr>
                <w:sz w:val="20"/>
                <w:szCs w:val="20"/>
                <w:color w:val="auto"/>
              </w:rPr>
            </w:pPr>
            <w:r>
              <w:rPr>
                <w:rFonts w:ascii="Arial" w:cs="Arial" w:eastAsia="Arial" w:hAnsi="Arial"/>
                <w:sz w:val="18"/>
                <w:szCs w:val="18"/>
                <w:b w:val="1"/>
                <w:bCs w:val="1"/>
                <w:color w:val="auto"/>
              </w:rPr>
              <w:t>CROWDSTRIKE HOLDINGS, INC.</w:t>
            </w:r>
          </w:p>
        </w:tc>
        <w:tc>
          <w:tcPr>
            <w:tcW w:w="2820" w:type="dxa"/>
            <w:vAlign w:val="bottom"/>
          </w:tcPr>
          <w:p>
            <w:pPr>
              <w:spacing w:after="0"/>
              <w:rPr>
                <w:sz w:val="24"/>
                <w:szCs w:val="24"/>
                <w:color w:val="auto"/>
              </w:rPr>
            </w:pPr>
          </w:p>
        </w:tc>
      </w:tr>
      <w:tr>
        <w:trPr>
          <w:trHeight w:val="432"/>
        </w:trPr>
        <w:tc>
          <w:tcPr>
            <w:tcW w:w="7960" w:type="dxa"/>
            <w:vAlign w:val="bottom"/>
            <w:gridSpan w:val="4"/>
          </w:tcPr>
          <w:p>
            <w:pPr>
              <w:jc w:val="center"/>
              <w:ind w:left="3210"/>
              <w:spacing w:after="0"/>
              <w:rPr>
                <w:sz w:val="20"/>
                <w:szCs w:val="20"/>
                <w:color w:val="auto"/>
              </w:rPr>
            </w:pPr>
            <w:r>
              <w:rPr>
                <w:rFonts w:ascii="Arial" w:cs="Arial" w:eastAsia="Arial" w:hAnsi="Arial"/>
                <w:sz w:val="18"/>
                <w:szCs w:val="18"/>
                <w:b w:val="1"/>
                <w:bCs w:val="1"/>
                <w:color w:val="auto"/>
                <w:w w:val="99"/>
              </w:rPr>
              <w:t>2011 STOCK INCENTIVE PLAN</w:t>
            </w:r>
          </w:p>
        </w:tc>
        <w:tc>
          <w:tcPr>
            <w:tcW w:w="2820" w:type="dxa"/>
            <w:vAlign w:val="bottom"/>
          </w:tcPr>
          <w:p>
            <w:pPr>
              <w:spacing w:after="0"/>
              <w:rPr>
                <w:sz w:val="24"/>
                <w:szCs w:val="24"/>
                <w:color w:val="auto"/>
              </w:rPr>
            </w:pPr>
          </w:p>
        </w:tc>
      </w:tr>
      <w:tr>
        <w:trPr>
          <w:trHeight w:val="432"/>
        </w:trPr>
        <w:tc>
          <w:tcPr>
            <w:tcW w:w="7960" w:type="dxa"/>
            <w:vAlign w:val="bottom"/>
            <w:gridSpan w:val="4"/>
          </w:tcPr>
          <w:p>
            <w:pPr>
              <w:jc w:val="center"/>
              <w:ind w:left="3210"/>
              <w:spacing w:after="0"/>
              <w:rPr>
                <w:sz w:val="20"/>
                <w:szCs w:val="20"/>
                <w:color w:val="auto"/>
              </w:rPr>
            </w:pPr>
            <w:r>
              <w:rPr>
                <w:rFonts w:ascii="Arial" w:cs="Arial" w:eastAsia="Arial" w:hAnsi="Arial"/>
                <w:sz w:val="18"/>
                <w:szCs w:val="18"/>
                <w:b w:val="1"/>
                <w:bCs w:val="1"/>
                <w:color w:val="auto"/>
              </w:rPr>
              <w:t>RESTRICTED STOCK PURCHASE AGREEMENT</w:t>
            </w:r>
          </w:p>
        </w:tc>
        <w:tc>
          <w:tcPr>
            <w:tcW w:w="2820" w:type="dxa"/>
            <w:vAlign w:val="bottom"/>
          </w:tcPr>
          <w:p>
            <w:pPr>
              <w:spacing w:after="0"/>
              <w:rPr>
                <w:sz w:val="24"/>
                <w:szCs w:val="24"/>
                <w:color w:val="auto"/>
              </w:rPr>
            </w:pPr>
          </w:p>
        </w:tc>
      </w:tr>
      <w:tr>
        <w:trPr>
          <w:trHeight w:val="418"/>
        </w:trPr>
        <w:tc>
          <w:tcPr>
            <w:tcW w:w="7960" w:type="dxa"/>
            <w:vAlign w:val="bottom"/>
            <w:gridSpan w:val="4"/>
          </w:tcPr>
          <w:p>
            <w:pPr>
              <w:jc w:val="right"/>
              <w:ind w:right="320"/>
              <w:spacing w:after="0"/>
              <w:rPr>
                <w:sz w:val="20"/>
                <w:szCs w:val="20"/>
                <w:color w:val="auto"/>
              </w:rPr>
            </w:pPr>
            <w:r>
              <w:rPr>
                <w:rFonts w:ascii="Arial" w:cs="Arial" w:eastAsia="Arial" w:hAnsi="Arial"/>
                <w:sz w:val="18"/>
                <w:szCs w:val="18"/>
                <w:color w:val="auto"/>
              </w:rPr>
              <w:t>THIS RESTRICTED STOCK PURCHASE AGREEMENT (this “Agreement”) is made between</w:t>
            </w:r>
          </w:p>
        </w:tc>
        <w:tc>
          <w:tcPr>
            <w:tcW w:w="2820" w:type="dxa"/>
            <w:vAlign w:val="bottom"/>
          </w:tcPr>
          <w:p>
            <w:pPr>
              <w:ind w:left="300"/>
              <w:spacing w:after="0"/>
              <w:rPr>
                <w:sz w:val="20"/>
                <w:szCs w:val="20"/>
                <w:color w:val="auto"/>
              </w:rPr>
            </w:pPr>
            <w:r>
              <w:rPr>
                <w:rFonts w:ascii="Arial" w:cs="Arial" w:eastAsia="Arial" w:hAnsi="Arial"/>
                <w:sz w:val="18"/>
                <w:szCs w:val="18"/>
                <w:color w:val="auto"/>
                <w:w w:val="91"/>
              </w:rPr>
              <w:t>(the “Purchaser”) and CrowdStrike</w:t>
            </w: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w w:val="98"/>
              </w:rPr>
              <w:t>Holdings, Inc. (the “Company”) or its assignees of rights hereunder as of</w:t>
            </w:r>
          </w:p>
        </w:tc>
        <w:tc>
          <w:tcPr>
            <w:tcW w:w="2280" w:type="dxa"/>
            <w:vAlign w:val="bottom"/>
            <w:gridSpan w:val="2"/>
          </w:tcPr>
          <w:p>
            <w:pPr>
              <w:jc w:val="right"/>
              <w:ind w:right="1540"/>
              <w:spacing w:after="0"/>
              <w:rPr>
                <w:sz w:val="20"/>
                <w:szCs w:val="20"/>
                <w:color w:val="auto"/>
              </w:rPr>
            </w:pPr>
            <w:r>
              <w:rPr>
                <w:rFonts w:ascii="Arial" w:cs="Arial" w:eastAsia="Arial" w:hAnsi="Arial"/>
                <w:sz w:val="18"/>
                <w:szCs w:val="18"/>
                <w:color w:val="auto"/>
              </w:rPr>
              <w:t>,   .</w:t>
            </w:r>
          </w:p>
        </w:tc>
        <w:tc>
          <w:tcPr>
            <w:tcW w:w="2820" w:type="dxa"/>
            <w:vAlign w:val="bottom"/>
          </w:tcPr>
          <w:p>
            <w:pPr>
              <w:spacing w:after="0"/>
              <w:rPr>
                <w:sz w:val="20"/>
                <w:szCs w:val="20"/>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otherwise defined herein, the capitalized terms in this Stock Option Agreement (the “Option Agreement”) shall have the same meaning as set forth in the 2011 Stock Incentive Plan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RECITALS</w:t>
      </w:r>
    </w:p>
    <w:p>
      <w:pPr>
        <w:spacing w:after="0" w:line="57" w:lineRule="exact"/>
        <w:rPr>
          <w:sz w:val="20"/>
          <w:szCs w:val="20"/>
          <w:color w:val="auto"/>
        </w:rPr>
      </w:pPr>
    </w:p>
    <w:p>
      <w:pPr>
        <w:ind w:left="1320" w:hanging="664"/>
        <w:spacing w:after="0"/>
        <w:tabs>
          <w:tab w:leader="none" w:pos="132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Pursuant to the exercise of the option granted to Purchaser under the Plan and pursuant to the Stock Option Agreement (the “Option</w:t>
      </w:r>
    </w:p>
    <w:p>
      <w:pPr>
        <w:spacing w:after="0" w:line="20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Agreement”) dated by and between the Company and Purchaser with respect to such grant (the “Option”), which Plan and Option Agreement are hereby incorporated by reference, Purchaser has elected to purchase of those shares of Stock which have not become vested under the vesting</w:t>
      </w:r>
    </w:p>
    <w:p>
      <w:pPr>
        <w:ind w:right="20"/>
        <w:spacing w:after="0" w:line="260" w:lineRule="auto"/>
        <w:rPr>
          <w:sz w:val="20"/>
          <w:szCs w:val="20"/>
          <w:color w:val="auto"/>
        </w:rPr>
      </w:pPr>
      <w:r>
        <w:rPr>
          <w:rFonts w:ascii="Arial" w:cs="Arial" w:eastAsia="Arial" w:hAnsi="Arial"/>
          <w:sz w:val="18"/>
          <w:szCs w:val="18"/>
          <w:color w:val="auto"/>
        </w:rPr>
        <w:t>schedule set forth in the Option Agreement (“Unvested Shares”). The Unvested Shares and the shares subject to the Option which have become vested are sometimes collectively referred to herein as the “Shares.”</w:t>
      </w:r>
    </w:p>
    <w:p>
      <w:pPr>
        <w:spacing w:after="0" w:line="185" w:lineRule="exact"/>
        <w:rPr>
          <w:sz w:val="20"/>
          <w:szCs w:val="20"/>
          <w:color w:val="auto"/>
        </w:rPr>
      </w:pPr>
    </w:p>
    <w:p>
      <w:pPr>
        <w:ind w:right="160" w:firstLine="656"/>
        <w:spacing w:after="0" w:line="263" w:lineRule="auto"/>
        <w:tabs>
          <w:tab w:leader="none" w:pos="1299"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As required by the Option Agreement and Exercise Notice, as a condition to Purchaser’s election to exercise the Option with respect to Unvested Shares, Purchaser must execute this Agreement, which sets forth the rights and obligations of the parties with respect to Shares acquired upon exercise of the Option.</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Unvested Shares shall be Restricted Stock for purposes of the Plan.</w:t>
      </w:r>
    </w:p>
    <w:p>
      <w:pPr>
        <w:spacing w:after="0" w:line="225" w:lineRule="exact"/>
        <w:rPr>
          <w:sz w:val="20"/>
          <w:szCs w:val="20"/>
          <w:color w:val="auto"/>
        </w:rPr>
      </w:pPr>
    </w:p>
    <w:p>
      <w:pPr>
        <w:ind w:firstLine="656"/>
        <w:spacing w:after="0" w:line="275" w:lineRule="auto"/>
        <w:tabs>
          <w:tab w:leader="none" w:pos="1296" w:val="left"/>
        </w:tabs>
        <w:numPr>
          <w:ilvl w:val="0"/>
          <w:numId w:val="43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Section 6(d) of the Plan regarding Termination is incorporated herein by reference and made a part hereof, except that the repurchase price shall be equal to the lesser of (i) the original purchase price paid for such Unvested Shares, and (ii) the Fair Market Value of the Shares on the date of repurchase, as set forth in Section 5(e) of the Plan (the “Repurchase Option”). The Repurchase Option shall terminate in accordance with the vesting schedule contained in Purchaser’s Option Agreement. Following any such Termination, the provisions of Section 11 of the Plan shall apply to all shares of Restricted Stock that have vested on or prior to such Termination.</w:t>
      </w:r>
    </w:p>
    <w:p>
      <w:pPr>
        <w:spacing w:after="0" w:line="176" w:lineRule="exact"/>
        <w:rPr>
          <w:rFonts w:ascii="Arial" w:cs="Arial" w:eastAsia="Arial" w:hAnsi="Arial"/>
          <w:sz w:val="17"/>
          <w:szCs w:val="17"/>
          <w:color w:val="auto"/>
        </w:rPr>
      </w:pPr>
    </w:p>
    <w:p>
      <w:pPr>
        <w:ind w:right="80" w:firstLine="656"/>
        <w:spacing w:after="0" w:line="279" w:lineRule="auto"/>
        <w:tabs>
          <w:tab w:leader="none" w:pos="1296" w:val="left"/>
        </w:tabs>
        <w:numPr>
          <w:ilvl w:val="0"/>
          <w:numId w:val="436"/>
        </w:numPr>
        <w:rPr>
          <w:rFonts w:ascii="Arial" w:cs="Arial" w:eastAsia="Arial" w:hAnsi="Arial"/>
          <w:sz w:val="17"/>
          <w:szCs w:val="17"/>
          <w:color w:val="auto"/>
        </w:rPr>
      </w:pPr>
      <w:r>
        <w:rPr>
          <w:rFonts w:ascii="Arial" w:cs="Arial" w:eastAsia="Arial" w:hAnsi="Arial"/>
          <w:sz w:val="17"/>
          <w:szCs w:val="17"/>
          <w:u w:val="single" w:color="auto"/>
          <w:color w:val="auto"/>
        </w:rPr>
        <w:t>Payment of Repurchase Price</w:t>
      </w:r>
      <w:r>
        <w:rPr>
          <w:rFonts w:ascii="Arial" w:cs="Arial" w:eastAsia="Arial" w:hAnsi="Arial"/>
          <w:sz w:val="17"/>
          <w:szCs w:val="17"/>
          <w:color w:val="auto"/>
        </w:rPr>
        <w:t>. In addition to the methods to pay the aggregate Repurchase Price provided under the Plan, the aggregate Repurchase Price may be paid by canceling by the Company of an amount of the Purchaser’s indebtedness to the Company equal to the aggregate Repurchase Price, or by a combination of the methods provided in the Plan and the cancellation of indebtedness such that the combined payment pursuant to the methods provided in the Plan and cancellation of indebtedness equals the aggregate Repurchase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91" w:name="page492"/>
    <w:bookmarkEnd w:id="491"/>
    <w:p>
      <w:pPr>
        <w:ind w:left="-40" w:right="280" w:firstLine="656"/>
        <w:spacing w:after="0" w:line="277" w:lineRule="auto"/>
        <w:tabs>
          <w:tab w:leader="none" w:pos="1256"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Transfer restrictions described in Sections 6(b) and 10 of the Plan are incorporated herein by reference and made a part hereof.</w:t>
      </w:r>
    </w:p>
    <w:p>
      <w:pPr>
        <w:spacing w:after="0" w:line="170" w:lineRule="exact"/>
        <w:rPr>
          <w:rFonts w:ascii="Arial" w:cs="Arial" w:eastAsia="Arial" w:hAnsi="Arial"/>
          <w:sz w:val="18"/>
          <w:szCs w:val="18"/>
          <w:color w:val="auto"/>
        </w:rPr>
      </w:pPr>
    </w:p>
    <w:p>
      <w:pPr>
        <w:ind w:left="-40" w:right="20" w:firstLine="656"/>
        <w:spacing w:after="0" w:line="253" w:lineRule="auto"/>
        <w:tabs>
          <w:tab w:leader="none" w:pos="1256"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Ownership, Voting Rights, Duties</w:t>
      </w:r>
      <w:r>
        <w:rPr>
          <w:rFonts w:ascii="Arial" w:cs="Arial" w:eastAsia="Arial" w:hAnsi="Arial"/>
          <w:sz w:val="18"/>
          <w:szCs w:val="18"/>
          <w:color w:val="auto"/>
        </w:rPr>
        <w:t>. This Agreement shall not affect in any way the ownership, voting rights or other rights or duties of Purchaser, except as specifically provided herein; provided, however, that the Company will retain custody of all dividends and distributions, if any (the “Retained Distributions”), made or declared on the Unvested Shares (and such Retained Distributions shall be subject to forfeiture and the same restrictions, terms and vesting and other conditions as are applicable to the Unvested Shares) until such time, if ever, as the Unvested Shares with respect to which such Retained Distributions shall have been made, paid or declared shall have become vested, and such Retained Distributions shall not bear interest or be segregated in a separate account. As soon as practicable following each applicable vesting date, any applicable Retained Distributions shall be delivered to the Participant. Notwithstanding the foregoing, under no event will Retained Distributions be delivered to the Participant after March 15 following the calendar year in which the Unvested Shares with respect to which such Retained Distributions have been made, paid or declared become vested.</w:t>
      </w:r>
    </w:p>
    <w:p>
      <w:pPr>
        <w:spacing w:after="0" w:line="196" w:lineRule="exact"/>
        <w:rPr>
          <w:rFonts w:ascii="Arial" w:cs="Arial" w:eastAsia="Arial" w:hAnsi="Arial"/>
          <w:sz w:val="18"/>
          <w:szCs w:val="18"/>
          <w:color w:val="auto"/>
        </w:rPr>
      </w:pPr>
    </w:p>
    <w:p>
      <w:pPr>
        <w:ind w:left="-40" w:right="260" w:firstLine="656"/>
        <w:spacing w:after="0" w:line="277" w:lineRule="auto"/>
        <w:tabs>
          <w:tab w:leader="none" w:pos="1256"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The share certificate evidencing the Shares issued hereunder shall be endorsed with the following legend (in addition to any legend required under applicable federal and state securities laws):</w:t>
      </w:r>
    </w:p>
    <w:p>
      <w:pPr>
        <w:spacing w:after="0" w:line="170" w:lineRule="exact"/>
        <w:rPr>
          <w:sz w:val="20"/>
          <w:szCs w:val="20"/>
          <w:color w:val="auto"/>
        </w:rPr>
      </w:pPr>
    </w:p>
    <w:p>
      <w:pPr>
        <w:jc w:val="both"/>
        <w:ind w:left="1260" w:right="100"/>
        <w:spacing w:after="0" w:line="286" w:lineRule="auto"/>
        <w:rPr>
          <w:sz w:val="20"/>
          <w:szCs w:val="20"/>
          <w:color w:val="auto"/>
        </w:rPr>
      </w:pPr>
      <w:r>
        <w:rPr>
          <w:rFonts w:ascii="Arial" w:cs="Arial" w:eastAsia="Arial" w:hAnsi="Arial"/>
          <w:sz w:val="17"/>
          <w:szCs w:val="17"/>
          <w:color w:val="auto"/>
        </w:rPr>
        <w:t>THE SHARES REPRESENTED BY THIS CERTIFICATE ARE SUBJECT TO CERTAIN RESTRICTIONS UPON TRANSFER AND RIGHTS OF REPURCHASE AS SET FORTH IN AN AGREEMENT BETWEEN THE COMPANY AND THE STOCKHOLDER, A COPY OF WHICH MAY BE OBTAINED AT THE PRINCIPAL OFFICE OF THEISSUER OF THESE SHARES.</w:t>
      </w:r>
    </w:p>
    <w:p>
      <w:pPr>
        <w:spacing w:after="0" w:line="165" w:lineRule="exact"/>
        <w:rPr>
          <w:sz w:val="20"/>
          <w:szCs w:val="20"/>
          <w:color w:val="auto"/>
        </w:rPr>
      </w:pPr>
    </w:p>
    <w:p>
      <w:pPr>
        <w:ind w:left="-40" w:right="120" w:firstLine="656"/>
        <w:spacing w:after="0" w:line="263" w:lineRule="auto"/>
        <w:tabs>
          <w:tab w:leader="none" w:pos="125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Adjustment for Stock Split</w:t>
      </w:r>
      <w:r>
        <w:rPr>
          <w:rFonts w:ascii="Arial" w:cs="Arial" w:eastAsia="Arial" w:hAnsi="Arial"/>
          <w:sz w:val="18"/>
          <w:szCs w:val="18"/>
          <w:color w:val="auto"/>
        </w:rPr>
        <w:t>. All references to the number of Shares and the purchase price of the Shares in this Agreement shall be appropriately adjusted to reflect any stock split, stock dividend or other change in the Shares, which may be made by the Company pursuant to Section 12 of the Plan after the date of this Agreement.</w:t>
      </w:r>
    </w:p>
    <w:p>
      <w:pPr>
        <w:spacing w:after="0" w:line="183" w:lineRule="exact"/>
        <w:rPr>
          <w:rFonts w:ascii="Arial" w:cs="Arial" w:eastAsia="Arial" w:hAnsi="Arial"/>
          <w:sz w:val="18"/>
          <w:szCs w:val="18"/>
          <w:color w:val="auto"/>
        </w:rPr>
      </w:pPr>
    </w:p>
    <w:p>
      <w:pPr>
        <w:ind w:left="-40" w:right="20" w:firstLine="656"/>
        <w:spacing w:after="0" w:line="277" w:lineRule="auto"/>
        <w:tabs>
          <w:tab w:leader="none" w:pos="125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hereunder shall be given in person or by registered mail to the address of Purchaser indicated below, and to the Company at its principal executive offices.</w:t>
      </w:r>
    </w:p>
    <w:p>
      <w:pPr>
        <w:spacing w:after="0" w:line="170" w:lineRule="exact"/>
        <w:rPr>
          <w:rFonts w:ascii="Arial" w:cs="Arial" w:eastAsia="Arial" w:hAnsi="Arial"/>
          <w:sz w:val="18"/>
          <w:szCs w:val="18"/>
          <w:color w:val="auto"/>
        </w:rPr>
      </w:pPr>
    </w:p>
    <w:p>
      <w:pPr>
        <w:ind w:left="-40" w:right="340" w:firstLine="656"/>
        <w:spacing w:after="0" w:line="277" w:lineRule="auto"/>
        <w:tabs>
          <w:tab w:leader="none" w:pos="125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Survival of Terms</w:t>
      </w:r>
      <w:r>
        <w:rPr>
          <w:rFonts w:ascii="Arial" w:cs="Arial" w:eastAsia="Arial" w:hAnsi="Arial"/>
          <w:sz w:val="18"/>
          <w:szCs w:val="18"/>
          <w:color w:val="auto"/>
        </w:rPr>
        <w:t>. This Agreement shall apply to and bind Purchaser and the Company and their respective permitted assignees and transferees, heirs, legatees, executors, administrators and legal successors.</w:t>
      </w:r>
    </w:p>
    <w:p>
      <w:pPr>
        <w:spacing w:after="0" w:line="170" w:lineRule="exact"/>
        <w:rPr>
          <w:rFonts w:ascii="Arial" w:cs="Arial" w:eastAsia="Arial" w:hAnsi="Arial"/>
          <w:sz w:val="18"/>
          <w:szCs w:val="18"/>
          <w:color w:val="auto"/>
        </w:rPr>
      </w:pPr>
    </w:p>
    <w:p>
      <w:pPr>
        <w:ind w:left="-40" w:firstLine="656"/>
        <w:spacing w:after="0" w:line="289" w:lineRule="auto"/>
        <w:tabs>
          <w:tab w:leader="none" w:pos="1256"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Purchaser hereby acknowledges that he or she has been informed that, with respect to the exercise of an Option for Unvested Shares, an election (the “Election”) may be filed by Purchaser with the Internal Revenue Service, within thirty (30) days of the purchase of the exercised Shares, electing pursuant to Section 83(b) of the Code to be taxed currently on any difference between the purchase price of the exercised Shares and their Fair Market Value on the date of purchase. In the case of a Nonstatutory Stock Option, this will result in the recognition of taxable income to Purchaser on the date of exercise, measured by the excess, if any, of the Fair Market Value of the exercised Shares, at the time the Option is exercised over the purchase price for the exercised Shares. Absent such an Election, taxable income will be measured and recognized by Purchaser at the time or times on which the Company’s Repurchase Option lapses. In the case of an Incentive Stock Option, such an Election will result in a recognition of income to Purchaser for alternative minimum tax purposes on the date of exercise, measured by the excess, if any, of the Fair Market Value of the exercised Shares, at the time the Option is exercised, over the purchase price for the exercised Shares. Absent such an Election, alternative minimum taxable income will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153275"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60" w:top="341" w:right="359" w:bottom="1440" w:gutter="0" w:footer="0" w:header="0"/>
        </w:sectPr>
      </w:pPr>
    </w:p>
    <w:bookmarkStart w:id="492" w:name="page493"/>
    <w:bookmarkEnd w:id="492"/>
    <w:p>
      <w:pPr>
        <w:spacing w:after="0"/>
        <w:rPr>
          <w:sz w:val="20"/>
          <w:szCs w:val="20"/>
          <w:color w:val="auto"/>
        </w:rPr>
      </w:pPr>
      <w:r>
        <w:rPr>
          <w:rFonts w:ascii="Arial" w:cs="Arial" w:eastAsia="Arial" w:hAnsi="Arial"/>
          <w:sz w:val="18"/>
          <w:szCs w:val="18"/>
          <w:color w:val="auto"/>
        </w:rPr>
        <w:t>measured and recognized by Purchaser at the time or times on which the Company’s Repurchase Option lapses.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This discussion is intended only as a summary of the general United States income tax laws that apply to exercising Options as to Shares that have not yet vested and is accurate only as of the date this form Agreement was approved by the Board. The federal, state and local tax consequences to any particular taxpayer will depend upon his or her individual circumstances. Purchaser is strongly encouraged to seek the advice of his or her own tax consultants in connection with the purchase of the Shares and the advisability of filing the Election under Section 83(b) of the Code. A form of Election under Section 83(b) is attached to the Option Agreement as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for reference.</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PURCHASER ACKNOWLEDGES THAT IT IS PURCHASER’S SOLE RESPONSIBILITY AND NOT THE COMPANY’S TO FILE TIMELY THE ELECTION UNDER SECTION 83(b) OF THE CODE, EVEN IF PURCHASER REQUESTS THE COMPANY OR ITS REPRESENTATIVE TO MAKE THIS FILING ON PURCHASER’S BEHALF.</w:t>
      </w:r>
    </w:p>
    <w:p>
      <w:pPr>
        <w:spacing w:after="0" w:line="184" w:lineRule="exact"/>
        <w:rPr>
          <w:sz w:val="20"/>
          <w:szCs w:val="20"/>
          <w:color w:val="auto"/>
        </w:rPr>
      </w:pPr>
    </w:p>
    <w:p>
      <w:pPr>
        <w:ind w:right="100" w:firstLine="656"/>
        <w:spacing w:after="0" w:line="279" w:lineRule="auto"/>
        <w:tabs>
          <w:tab w:leader="none" w:pos="1291"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Representations</w:t>
      </w:r>
      <w:r>
        <w:rPr>
          <w:rFonts w:ascii="Arial" w:cs="Arial" w:eastAsia="Arial" w:hAnsi="Arial"/>
          <w:sz w:val="17"/>
          <w:szCs w:val="17"/>
          <w:color w:val="auto"/>
        </w:rPr>
        <w:t>. Purchaser has reviewed with his or her own tax advisors the federal, state, local and foreign tax consequences of this investment and the transactions contemplated by this Agreement. Purchaser is relying solely on such advisors and not on any statements or representations of the Company or any of its agents. Purchaser understands that he or she (and not the Company) shall be responsible for his or her own tax liability that may arise as a result of this investment or the transactions contemplated by this Agreement.</w:t>
      </w:r>
    </w:p>
    <w:p>
      <w:pPr>
        <w:spacing w:after="0" w:line="171" w:lineRule="exact"/>
        <w:rPr>
          <w:rFonts w:ascii="Arial" w:cs="Arial" w:eastAsia="Arial" w:hAnsi="Arial"/>
          <w:sz w:val="17"/>
          <w:szCs w:val="17"/>
          <w:color w:val="auto"/>
        </w:rPr>
      </w:pPr>
    </w:p>
    <w:p>
      <w:pPr>
        <w:ind w:right="40" w:firstLine="656"/>
        <w:spacing w:after="0" w:line="275" w:lineRule="auto"/>
        <w:tabs>
          <w:tab w:leader="none" w:pos="1285" w:val="left"/>
        </w:tabs>
        <w:numPr>
          <w:ilvl w:val="0"/>
          <w:numId w:val="439"/>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Plan and Option Agreement are incorporated herein by reference. The Plan, the Option Agreement, the Exercise Notice, this Agreement, the Investment Representation Statement, and the Proxy constitute the entire agreement of the parties with respect to the subject matter hereof and supersede in their entirety all prior undertakings and agreements of the Company and Purchaser with respect to the subject matter hereof, and may not be modified adversely to Purchaser’s interest except by means of a writing signed by the Company and Purchaser. This Agreement is governed by the internal substantive laws, but not the choice of law rules, of Delaware.</w:t>
      </w:r>
    </w:p>
    <w:p>
      <w:pPr>
        <w:spacing w:after="0" w:line="176"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Purchaser represents that he or she has read this Agreement and is familiar with its terms and provisions. Purchaser hereby agrees to accept as binding, conclusive and final all decisions or interpretations of the Board upon any questions arising under the Plan or this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deemed made as of the date first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PARTICIPANT</w:t>
            </w:r>
          </w:p>
        </w:tc>
        <w:tc>
          <w:tcPr>
            <w:tcW w:w="3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CROWDSTRIKE HOLDINGS, INC.</w:t>
            </w:r>
          </w:p>
        </w:tc>
        <w:tc>
          <w:tcPr>
            <w:tcW w:w="40" w:type="dxa"/>
            <w:vAlign w:val="bottom"/>
          </w:tcPr>
          <w:p>
            <w:pPr>
              <w:spacing w:after="0"/>
              <w:rPr>
                <w:sz w:val="20"/>
                <w:szCs w:val="20"/>
                <w:color w:val="auto"/>
              </w:rPr>
            </w:pPr>
          </w:p>
        </w:tc>
      </w:tr>
      <w:tr>
        <w:trPr>
          <w:trHeight w:val="432"/>
        </w:trPr>
        <w:tc>
          <w:tcPr>
            <w:tcW w:w="19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940" w:type="dxa"/>
            <w:vAlign w:val="bottom"/>
          </w:tcPr>
          <w:p>
            <w:pPr>
              <w:spacing w:after="0"/>
              <w:rPr>
                <w:sz w:val="20"/>
                <w:szCs w:val="20"/>
                <w:color w:val="auto"/>
              </w:rPr>
            </w:pPr>
            <w:r>
              <w:rPr>
                <w:rFonts w:ascii="Arial" w:cs="Arial" w:eastAsia="Arial" w:hAnsi="Arial"/>
                <w:sz w:val="18"/>
                <w:szCs w:val="18"/>
                <w:color w:val="auto"/>
              </w:rPr>
              <w:t>Signature</w:t>
            </w:r>
          </w:p>
        </w:tc>
        <w:tc>
          <w:tcPr>
            <w:tcW w:w="3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9"/>
                <w:szCs w:val="19"/>
                <w:color w:val="auto"/>
              </w:rPr>
            </w:pPr>
          </w:p>
        </w:tc>
      </w:tr>
      <w:tr>
        <w:trPr>
          <w:trHeight w:val="418"/>
        </w:trPr>
        <w:tc>
          <w:tcPr>
            <w:tcW w:w="19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940" w:type="dxa"/>
            <w:vAlign w:val="bottom"/>
          </w:tcPr>
          <w:p>
            <w:pPr>
              <w:spacing w:after="0"/>
              <w:rPr>
                <w:sz w:val="20"/>
                <w:szCs w:val="20"/>
                <w:color w:val="auto"/>
              </w:rPr>
            </w:pPr>
            <w:r>
              <w:rPr>
                <w:rFonts w:ascii="Arial" w:cs="Arial" w:eastAsia="Arial" w:hAnsi="Arial"/>
                <w:sz w:val="18"/>
                <w:szCs w:val="18"/>
                <w:color w:val="auto"/>
              </w:rPr>
              <w:t>Print Name</w:t>
            </w:r>
          </w:p>
        </w:tc>
        <w:tc>
          <w:tcPr>
            <w:tcW w:w="3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Print Name</w:t>
            </w:r>
          </w:p>
        </w:tc>
        <w:tc>
          <w:tcPr>
            <w:tcW w:w="40" w:type="dxa"/>
            <w:vAlign w:val="bottom"/>
          </w:tcPr>
          <w:p>
            <w:pPr>
              <w:spacing w:after="0"/>
              <w:rPr>
                <w:sz w:val="19"/>
                <w:szCs w:val="19"/>
                <w:color w:val="auto"/>
              </w:rPr>
            </w:pPr>
          </w:p>
        </w:tc>
      </w:tr>
      <w:tr>
        <w:trPr>
          <w:trHeight w:val="418"/>
        </w:trPr>
        <w:tc>
          <w:tcPr>
            <w:tcW w:w="19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9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r>
      <w:tr>
        <w:trPr>
          <w:trHeight w:val="418"/>
        </w:trPr>
        <w:tc>
          <w:tcPr>
            <w:tcW w:w="1940" w:type="dxa"/>
            <w:vAlign w:val="bottom"/>
          </w:tcPr>
          <w:p>
            <w:pPr>
              <w:spacing w:after="0"/>
              <w:rPr>
                <w:sz w:val="20"/>
                <w:szCs w:val="20"/>
                <w:color w:val="auto"/>
              </w:rPr>
            </w:pPr>
            <w:r>
              <w:rPr>
                <w:rFonts w:ascii="Arial" w:cs="Arial" w:eastAsia="Arial" w:hAnsi="Arial"/>
                <w:sz w:val="18"/>
                <w:szCs w:val="18"/>
                <w:color w:val="auto"/>
              </w:rPr>
              <w:t>Residence Address</w:t>
            </w:r>
          </w:p>
        </w:tc>
        <w:tc>
          <w:tcPr>
            <w:tcW w:w="3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Dated:</w:t>
            </w:r>
          </w:p>
        </w:tc>
        <w:tc>
          <w:tcPr>
            <w:tcW w:w="3360" w:type="dxa"/>
            <w:vAlign w:val="bottom"/>
          </w:tcPr>
          <w:p>
            <w:pPr>
              <w:jc w:val="right"/>
              <w:ind w:right="265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940" w:type="dxa"/>
            <w:vAlign w:val="bottom"/>
          </w:tcPr>
          <w:p>
            <w:pPr>
              <w:spacing w:after="0"/>
              <w:rPr>
                <w:sz w:val="24"/>
                <w:szCs w:val="24"/>
                <w:color w:val="auto"/>
              </w:rPr>
            </w:pPr>
          </w:p>
        </w:tc>
        <w:tc>
          <w:tcPr>
            <w:tcW w:w="40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40" w:type="dxa"/>
            <w:vAlign w:val="bottom"/>
            <w:tcBorders>
              <w:bottom w:val="single" w:sz="8" w:color="808080"/>
            </w:tcBorders>
          </w:tcPr>
          <w:p>
            <w:pPr>
              <w:spacing w:after="0"/>
              <w:rPr>
                <w:sz w:val="11"/>
                <w:szCs w:val="11"/>
                <w:color w:val="auto"/>
              </w:rPr>
            </w:pPr>
          </w:p>
        </w:tc>
        <w:tc>
          <w:tcPr>
            <w:tcW w:w="33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493" w:name="page494"/>
    <w:bookmarkEnd w:id="493"/>
    <w:p>
      <w:pPr>
        <w:jc w:val="center"/>
        <w:ind w:right="-19"/>
        <w:spacing w:after="0"/>
        <w:rPr>
          <w:sz w:val="20"/>
          <w:szCs w:val="20"/>
          <w:color w:val="auto"/>
        </w:rPr>
      </w:pPr>
      <w:r>
        <w:rPr>
          <w:rFonts w:ascii="Arial" w:cs="Arial" w:eastAsia="Arial" w:hAnsi="Arial"/>
          <w:sz w:val="18"/>
          <w:szCs w:val="18"/>
          <w:b w:val="1"/>
          <w:bCs w:val="1"/>
          <w:u w:val="single" w:color="auto"/>
          <w:color w:val="auto"/>
        </w:rPr>
        <w:t>EXHIBIT D-2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UNDER SECTIONS 55 AND 83(b)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INTERNAL REVENUE CODE OF 1986</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undersigned taxpayer hereby elects, pursuant to Sections 55 and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184" w:lineRule="exact"/>
        <w:rPr>
          <w:sz w:val="20"/>
          <w:szCs w:val="20"/>
          <w:color w:val="auto"/>
        </w:rPr>
      </w:pPr>
    </w:p>
    <w:p>
      <w:pPr>
        <w:ind w:left="660" w:hanging="652"/>
        <w:spacing w:after="0"/>
        <w:tabs>
          <w:tab w:leader="none" w:pos="6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TAXPAYER</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SPOUSE</w:t>
            </w:r>
          </w:p>
        </w:tc>
        <w:tc>
          <w:tcPr>
            <w:tcW w:w="60" w:type="dxa"/>
            <w:vAlign w:val="bottom"/>
          </w:tcPr>
          <w:p>
            <w:pPr>
              <w:spacing w:after="0"/>
              <w:rPr>
                <w:sz w:val="14"/>
                <w:szCs w:val="14"/>
                <w:color w:val="auto"/>
              </w:rPr>
            </w:pPr>
          </w:p>
        </w:tc>
      </w:tr>
      <w:tr>
        <w:trPr>
          <w:trHeight w:val="426"/>
        </w:trPr>
        <w:tc>
          <w:tcPr>
            <w:tcW w:w="400" w:type="dxa"/>
            <w:vAlign w:val="bottom"/>
          </w:tcPr>
          <w:p>
            <w:pPr>
              <w:spacing w:after="0"/>
              <w:rPr>
                <w:sz w:val="24"/>
                <w:szCs w:val="24"/>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NAME:</w:t>
            </w: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ADDRESS:</w:t>
            </w: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TAX ID NO.:</w:t>
            </w: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TAXABLE YEAR:</w:t>
            </w: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6260" w:type="dxa"/>
            <w:vAlign w:val="bottom"/>
            <w:gridSpan w:val="3"/>
          </w:tcPr>
          <w:p>
            <w:pPr>
              <w:ind w:left="260"/>
              <w:spacing w:after="0"/>
              <w:rPr>
                <w:sz w:val="20"/>
                <w:szCs w:val="20"/>
                <w:color w:val="auto"/>
              </w:rPr>
            </w:pPr>
            <w:r>
              <w:rPr>
                <w:rFonts w:ascii="Arial" w:cs="Arial" w:eastAsia="Arial" w:hAnsi="Arial"/>
                <w:sz w:val="18"/>
                <w:szCs w:val="18"/>
                <w:color w:val="auto"/>
                <w:w w:val="95"/>
              </w:rPr>
              <w:t>The property with respect to which the election is made is described as follows:</w:t>
            </w:r>
          </w:p>
        </w:tc>
        <w:tc>
          <w:tcPr>
            <w:tcW w:w="4500" w:type="dxa"/>
            <w:vAlign w:val="bottom"/>
            <w:gridSpan w:val="4"/>
          </w:tcPr>
          <w:p>
            <w:pPr>
              <w:ind w:left="260"/>
              <w:spacing w:after="0"/>
              <w:rPr>
                <w:sz w:val="20"/>
                <w:szCs w:val="20"/>
                <w:color w:val="auto"/>
              </w:rPr>
            </w:pPr>
            <w:r>
              <w:rPr>
                <w:rFonts w:ascii="Arial" w:cs="Arial" w:eastAsia="Arial" w:hAnsi="Arial"/>
                <w:sz w:val="18"/>
                <w:szCs w:val="18"/>
                <w:color w:val="auto"/>
                <w:w w:val="90"/>
              </w:rPr>
              <w:t>shares (the “Shares”) of the common stock of CrowdStrike</w:t>
            </w:r>
          </w:p>
        </w:tc>
      </w:tr>
      <w:tr>
        <w:trPr>
          <w:trHeight w:val="230"/>
        </w:trPr>
        <w:tc>
          <w:tcPr>
            <w:tcW w:w="400" w:type="dxa"/>
            <w:vAlign w:val="bottom"/>
          </w:tcPr>
          <w:p>
            <w:pPr>
              <w:spacing w:after="0"/>
              <w:rPr>
                <w:sz w:val="20"/>
                <w:szCs w:val="20"/>
                <w:color w:val="auto"/>
              </w:rPr>
            </w:pP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Holdings, Inc. (the “Company”).</w:t>
            </w:r>
          </w:p>
        </w:tc>
        <w:tc>
          <w:tcPr>
            <w:tcW w:w="1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3.</w:t>
            </w:r>
          </w:p>
        </w:tc>
        <w:tc>
          <w:tcPr>
            <w:tcW w:w="4300" w:type="dxa"/>
            <w:vAlign w:val="bottom"/>
            <w:gridSpan w:val="2"/>
          </w:tcPr>
          <w:p>
            <w:pPr>
              <w:ind w:left="260"/>
              <w:spacing w:after="0"/>
              <w:rPr>
                <w:sz w:val="20"/>
                <w:szCs w:val="20"/>
                <w:color w:val="auto"/>
              </w:rPr>
            </w:pPr>
            <w:r>
              <w:rPr>
                <w:rFonts w:ascii="Arial" w:cs="Arial" w:eastAsia="Arial" w:hAnsi="Arial"/>
                <w:sz w:val="18"/>
                <w:szCs w:val="18"/>
                <w:color w:val="auto"/>
              </w:rPr>
              <w:t>The date on which the property was transferred is:</w:t>
            </w:r>
          </w:p>
        </w:tc>
        <w:tc>
          <w:tcPr>
            <w:tcW w:w="1960" w:type="dxa"/>
            <w:vAlign w:val="bottom"/>
          </w:tcPr>
          <w:p>
            <w:pPr>
              <w:jc w:val="right"/>
              <w:ind w:right="959"/>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left="660" w:hanging="652"/>
        <w:spacing w:after="0"/>
        <w:tabs>
          <w:tab w:leader="none" w:pos="6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225" w:lineRule="exact"/>
        <w:rPr>
          <w:rFonts w:ascii="Arial" w:cs="Arial" w:eastAsia="Arial" w:hAnsi="Arial"/>
          <w:sz w:val="18"/>
          <w:szCs w:val="18"/>
          <w:color w:val="auto"/>
        </w:rPr>
      </w:pPr>
    </w:p>
    <w:p>
      <w:pPr>
        <w:ind w:left="660" w:right="260"/>
        <w:spacing w:after="0" w:line="277" w:lineRule="auto"/>
        <w:rPr>
          <w:rFonts w:ascii="Arial" w:cs="Arial" w:eastAsia="Arial" w:hAnsi="Arial"/>
          <w:sz w:val="18"/>
          <w:szCs w:val="18"/>
          <w:color w:val="auto"/>
        </w:rPr>
      </w:pPr>
      <w:r>
        <w:rPr>
          <w:rFonts w:ascii="Arial" w:cs="Arial" w:eastAsia="Arial" w:hAnsi="Arial"/>
          <w:sz w:val="18"/>
          <w:szCs w:val="18"/>
          <w:color w:val="auto"/>
        </w:rPr>
        <w:t>The Shares may not be transferred and are subject to forfeiture under the terms of an agreement between the taxpayer and the Company. These restrictions lapse upon the satisfaction of certain conditions contained in such agreement.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The Fair Market Value at the time of transfer, determined without regard to any restriction other than a restriction which by its terms shall never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2680" w:type="dxa"/>
            <w:vAlign w:val="bottom"/>
          </w:tcPr>
          <w:p>
            <w:pPr>
              <w:ind w:left="260"/>
              <w:spacing w:after="0"/>
              <w:rPr>
                <w:sz w:val="20"/>
                <w:szCs w:val="20"/>
                <w:color w:val="auto"/>
              </w:rPr>
            </w:pPr>
            <w:r>
              <w:rPr>
                <w:rFonts w:ascii="Arial" w:cs="Arial" w:eastAsia="Arial" w:hAnsi="Arial"/>
                <w:sz w:val="18"/>
                <w:szCs w:val="18"/>
                <w:color w:val="auto"/>
              </w:rPr>
              <w:t>lapse, of such property is: $</w:t>
            </w:r>
          </w:p>
        </w:tc>
        <w:tc>
          <w:tcPr>
            <w:tcW w:w="144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r>
      <w:tr>
        <w:trPr>
          <w:trHeight w:val="418"/>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6.</w:t>
            </w: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The amount (if any) paid for such property is: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Taxpayer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spouse of taxpayer joins in this election.</w:t>
      </w:r>
    </w:p>
    <w:p>
      <w:pPr>
        <w:spacing w:after="0" w:line="22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Spouse of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STOCK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RESTRICTED STOCK UNIT AWARD AGREEMENT</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Unless otherwise defined herein, the capitalized terms in this Global Restricted Stock Unit Award Agreement (the “Award Agreement”) shall have the same meaning as set forth in the Amended and Restated 2011 Stock Incentive Plan (the “Plan”).</w:t>
      </w:r>
    </w:p>
    <w:p>
      <w:pPr>
        <w:spacing w:after="0" w:line="166" w:lineRule="exact"/>
        <w:rPr>
          <w:sz w:val="20"/>
          <w:szCs w:val="20"/>
          <w:color w:val="auto"/>
        </w:rPr>
      </w:pPr>
    </w:p>
    <w:p>
      <w:pPr>
        <w:ind w:left="660" w:right="6100" w:hanging="652"/>
        <w:spacing w:after="0" w:line="500" w:lineRule="auto"/>
        <w:tabs>
          <w:tab w:leader="none" w:pos="667"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GRANT OF RESTRICTED STOCK UNITS </w:t>
      </w:r>
      <w:r>
        <w:rPr>
          <w:rFonts w:ascii="Arial" w:cs="Arial" w:eastAsia="Arial" w:hAnsi="Arial"/>
          <w:sz w:val="18"/>
          <w:szCs w:val="18"/>
          <w:b w:val="1"/>
          <w:bCs w:val="1"/>
          <w:color w:val="auto"/>
        </w:rPr>
        <w:t>Name:</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undersigned individual (the “Participant”) has been granted the right to receive an Award of Restricted Stock Units (“RSUs”), subject to the terms and conditions of the Plan and this Award Agreement (including any exhibit or appendix hereto),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Grant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Vesting Commencement Date</w:t>
      </w:r>
    </w:p>
    <w:p>
      <w:pPr>
        <w:sectPr>
          <w:pgSz w:w="11900" w:h="16838" w:orient="portrait"/>
          <w:cols w:equalWidth="0" w:num="1">
            <w:col w:w="11240"/>
          </w:cols>
          <w:pgMar w:left="320" w:top="337" w:right="339" w:bottom="0" w:gutter="0" w:footer="0" w:header="0"/>
        </w:sectPr>
      </w:pPr>
    </w:p>
    <w:bookmarkStart w:id="494" w:name="page495"/>
    <w:bookmarkEnd w:id="494"/>
    <w:p>
      <w:pPr>
        <w:ind w:left="652"/>
        <w:spacing w:after="0"/>
        <w:rPr>
          <w:sz w:val="20"/>
          <w:szCs w:val="20"/>
          <w:color w:val="auto"/>
        </w:rPr>
      </w:pPr>
      <w:r>
        <w:rPr>
          <w:rFonts w:ascii="Arial" w:cs="Arial" w:eastAsia="Arial" w:hAnsi="Arial"/>
          <w:sz w:val="18"/>
          <w:szCs w:val="18"/>
          <w:color w:val="auto"/>
        </w:rPr>
        <w:t>Number of RSUs</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7"/>
          <w:szCs w:val="17"/>
          <w:color w:val="auto"/>
        </w:rPr>
        <w:t>Subject to any acceleration provisions contained in the Plan or set forth below, the RSUs will vest in accordance with the following schedule:</w:t>
      </w:r>
    </w:p>
    <w:p>
      <w:pPr>
        <w:spacing w:after="0" w:line="23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[Insert Vesting Schedule]</w:t>
      </w:r>
    </w:p>
    <w:p>
      <w:pPr>
        <w:spacing w:after="0" w:line="221" w:lineRule="exact"/>
        <w:rPr>
          <w:sz w:val="20"/>
          <w:szCs w:val="20"/>
          <w:color w:val="auto"/>
        </w:rPr>
      </w:pPr>
    </w:p>
    <w:p>
      <w:pPr>
        <w:ind w:left="652" w:hanging="652"/>
        <w:spacing w:after="0"/>
        <w:tabs>
          <w:tab w:leader="none" w:pos="652"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ind w:left="-8" w:right="80" w:firstLine="656"/>
        <w:spacing w:after="0" w:line="279" w:lineRule="auto"/>
        <w:tabs>
          <w:tab w:leader="none" w:pos="1288" w:val="left"/>
        </w:tabs>
        <w:numPr>
          <w:ilvl w:val="1"/>
          <w:numId w:val="443"/>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The Committee hereby grants to Participant named in the Notice of Grant of Restricted Stock Units in Part I of this Award Agreement under the Plan an Award of Restricted Stock Units (“RSUs”), subject to all of the terms and conditions in this Award Agreement and the Plan, which is incorporated herein by reference. Subject to Sections 18 and 19 of the Plan, in the event of a conflict between the terms and conditions of the Plan and this Award Agreement, the terms and conditions of the Plan shall prevail.</w:t>
      </w:r>
    </w:p>
    <w:p>
      <w:pPr>
        <w:spacing w:after="0" w:line="171" w:lineRule="exact"/>
        <w:rPr>
          <w:rFonts w:ascii="Arial" w:cs="Arial" w:eastAsia="Arial" w:hAnsi="Arial"/>
          <w:sz w:val="17"/>
          <w:szCs w:val="17"/>
          <w:color w:val="auto"/>
        </w:rPr>
      </w:pPr>
    </w:p>
    <w:p>
      <w:pPr>
        <w:ind w:left="-8" w:firstLine="656"/>
        <w:spacing w:after="0" w:line="286" w:lineRule="auto"/>
        <w:tabs>
          <w:tab w:leader="none" w:pos="1288" w:val="left"/>
        </w:tabs>
        <w:numPr>
          <w:ilvl w:val="1"/>
          <w:numId w:val="443"/>
        </w:numPr>
        <w:rPr>
          <w:rFonts w:ascii="Arial" w:cs="Arial" w:eastAsia="Arial" w:hAnsi="Arial"/>
          <w:sz w:val="17"/>
          <w:szCs w:val="17"/>
          <w:color w:val="auto"/>
        </w:rPr>
      </w:pPr>
      <w:r>
        <w:rPr>
          <w:rFonts w:ascii="Arial" w:cs="Arial" w:eastAsia="Arial" w:hAnsi="Arial"/>
          <w:sz w:val="17"/>
          <w:szCs w:val="17"/>
          <w:u w:val="single" w:color="auto"/>
          <w:color w:val="auto"/>
        </w:rPr>
        <w:t>Company’s Obligation to Pay</w:t>
      </w:r>
      <w:r>
        <w:rPr>
          <w:rFonts w:ascii="Arial" w:cs="Arial" w:eastAsia="Arial" w:hAnsi="Arial"/>
          <w:sz w:val="17"/>
          <w:szCs w:val="17"/>
          <w:color w:val="auto"/>
        </w:rPr>
        <w:t>. Each RSU represents the right to receive a Share on the date it vests. Unless and until the RSUs will have vested in the manner set forth in Section 4, Participant will have no right to payment of any such RSUs. Prior to actual payment of any vested RSUs, such RSU will represent an unsecured obligation of the Company, payable (if at all) only from the general assets of the Company.</w:t>
      </w:r>
    </w:p>
    <w:p>
      <w:pPr>
        <w:spacing w:after="0" w:line="165" w:lineRule="exact"/>
        <w:rPr>
          <w:rFonts w:ascii="Arial" w:cs="Arial" w:eastAsia="Arial" w:hAnsi="Arial"/>
          <w:sz w:val="17"/>
          <w:szCs w:val="17"/>
          <w:color w:val="auto"/>
        </w:rPr>
      </w:pPr>
    </w:p>
    <w:p>
      <w:pPr>
        <w:ind w:left="-8" w:right="280" w:firstLine="656"/>
        <w:spacing w:after="0" w:line="342" w:lineRule="auto"/>
        <w:tabs>
          <w:tab w:leader="none" w:pos="1288" w:val="left"/>
        </w:tabs>
        <w:numPr>
          <w:ilvl w:val="1"/>
          <w:numId w:val="443"/>
        </w:numPr>
        <w:rPr>
          <w:rFonts w:ascii="Arial" w:cs="Arial" w:eastAsia="Arial" w:hAnsi="Arial"/>
          <w:sz w:val="16"/>
          <w:szCs w:val="16"/>
          <w:color w:val="auto"/>
        </w:rPr>
      </w:pPr>
      <w:r>
        <w:rPr>
          <w:rFonts w:ascii="Arial" w:cs="Arial" w:eastAsia="Arial" w:hAnsi="Arial"/>
          <w:sz w:val="16"/>
          <w:szCs w:val="16"/>
          <w:u w:val="single" w:color="auto"/>
          <w:color w:val="auto"/>
        </w:rPr>
        <w:t>Participant’s Representations</w:t>
      </w:r>
      <w:r>
        <w:rPr>
          <w:rFonts w:ascii="Arial" w:cs="Arial" w:eastAsia="Arial" w:hAnsi="Arial"/>
          <w:sz w:val="16"/>
          <w:szCs w:val="16"/>
          <w:color w:val="auto"/>
        </w:rPr>
        <w:t>. In the event the Shares have not been registered under the U.S. Securities Act of 1933, as amended (the “Securities Act”) at the time the RSUs are paid to Participant, Participant shall, if required by the Company, concurrently with the receipt of all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154305</wp:posOffset>
            </wp:positionV>
            <wp:extent cx="7153275"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495" w:name="page496"/>
    <w:bookmarkEnd w:id="495"/>
    <w:p>
      <w:pPr>
        <w:spacing w:after="0"/>
        <w:rPr>
          <w:sz w:val="20"/>
          <w:szCs w:val="20"/>
          <w:color w:val="auto"/>
        </w:rPr>
      </w:pPr>
      <w:r>
        <w:rPr>
          <w:rFonts w:ascii="Arial" w:cs="Arial" w:eastAsia="Arial" w:hAnsi="Arial"/>
          <w:sz w:val="18"/>
          <w:szCs w:val="18"/>
          <w:color w:val="auto"/>
        </w:rPr>
        <w:t xml:space="preserve">portion of this RSU Award, deliver to the Company his or her Investment Representation Statement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300" w:firstLine="656"/>
        <w:spacing w:after="0" w:line="263" w:lineRule="auto"/>
        <w:tabs>
          <w:tab w:leader="none" w:pos="1296"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8, and subject to Section 9, the RSUs awarded by this Award Agreement will vest in accordance with the vesting schedule set forth in the Notice of Grant, subject to Participant continuing to be employed by or rendering services to the Employer or any other member the Company Group through each applicable vesting date.</w:t>
      </w:r>
    </w:p>
    <w:p>
      <w:pPr>
        <w:spacing w:after="0" w:line="183" w:lineRule="exact"/>
        <w:rPr>
          <w:rFonts w:ascii="Arial" w:cs="Arial" w:eastAsia="Arial" w:hAnsi="Arial"/>
          <w:sz w:val="18"/>
          <w:szCs w:val="18"/>
          <w:color w:val="auto"/>
        </w:rPr>
      </w:pPr>
    </w:p>
    <w:p>
      <w:pPr>
        <w:ind w:right="40" w:firstLine="656"/>
        <w:spacing w:after="0" w:line="277" w:lineRule="auto"/>
        <w:tabs>
          <w:tab w:leader="none" w:pos="1296"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Company’s Repurchase Right</w:t>
      </w:r>
      <w:r>
        <w:rPr>
          <w:rFonts w:ascii="Arial" w:cs="Arial" w:eastAsia="Arial" w:hAnsi="Arial"/>
          <w:sz w:val="18"/>
          <w:szCs w:val="18"/>
          <w:color w:val="auto"/>
        </w:rPr>
        <w:t>. The Shares will be subject to the Company’s Repurchase Right until the Repurchase Right Lapse Date, as set forth in Section 11 of the Plan.</w:t>
      </w:r>
    </w:p>
    <w:p>
      <w:pPr>
        <w:spacing w:after="0" w:line="170" w:lineRule="exact"/>
        <w:rPr>
          <w:rFonts w:ascii="Arial" w:cs="Arial" w:eastAsia="Arial" w:hAnsi="Arial"/>
          <w:sz w:val="18"/>
          <w:szCs w:val="18"/>
          <w:color w:val="auto"/>
        </w:rPr>
      </w:pPr>
    </w:p>
    <w:p>
      <w:pPr>
        <w:ind w:right="20" w:firstLine="656"/>
        <w:spacing w:after="0" w:line="286" w:lineRule="auto"/>
        <w:tabs>
          <w:tab w:leader="none" w:pos="1296" w:val="left"/>
        </w:tabs>
        <w:numPr>
          <w:ilvl w:val="1"/>
          <w:numId w:val="444"/>
        </w:numPr>
        <w:rPr>
          <w:rFonts w:ascii="Arial" w:cs="Arial" w:eastAsia="Arial" w:hAnsi="Arial"/>
          <w:sz w:val="16"/>
          <w:szCs w:val="16"/>
          <w:color w:val="auto"/>
        </w:rPr>
      </w:pPr>
      <w:r>
        <w:rPr>
          <w:rFonts w:ascii="Arial" w:cs="Arial" w:eastAsia="Arial" w:hAnsi="Arial"/>
          <w:sz w:val="16"/>
          <w:szCs w:val="16"/>
          <w:u w:val="single" w:color="auto"/>
          <w:color w:val="auto"/>
        </w:rPr>
        <w:t>Prohibition of Transfers</w:t>
      </w:r>
      <w:r>
        <w:rPr>
          <w:rFonts w:ascii="Arial" w:cs="Arial" w:eastAsia="Arial" w:hAnsi="Arial"/>
          <w:sz w:val="16"/>
          <w:szCs w:val="16"/>
          <w:color w:val="auto"/>
        </w:rPr>
        <w:t>. Participant hereby agrees that, except as otherwise approved by the Committee or provided otherwise in Sections 10 and 11 of the Plan, the Shares acquired by Participant pursuant to this Award of RSUs will be subject to the prohibition on Transfers set forth in Section 10(a) of the Plan until the first to occur of (x) the expiration of a one hundred eighty (180)-day period (or such other period as may be requested by the Company or the managing underwriter to accommodate regulatory restrictions on (A) the publication or other distribution of research reports and</w:t>
      </w:r>
    </w:p>
    <w:p>
      <w:pPr>
        <w:spacing w:after="0" w:line="1" w:lineRule="exact"/>
        <w:rPr>
          <w:rFonts w:ascii="Arial" w:cs="Arial" w:eastAsia="Arial" w:hAnsi="Arial"/>
          <w:sz w:val="16"/>
          <w:szCs w:val="16"/>
          <w:color w:val="auto"/>
        </w:rPr>
      </w:pPr>
    </w:p>
    <w:p>
      <w:pPr>
        <w:ind w:right="140" w:firstLine="8"/>
        <w:spacing w:after="0" w:line="271" w:lineRule="auto"/>
        <w:tabs>
          <w:tab w:leader="none" w:pos="285" w:val="left"/>
        </w:tabs>
        <w:numPr>
          <w:ilvl w:val="0"/>
          <w:numId w:val="445"/>
        </w:numPr>
        <w:rPr>
          <w:rFonts w:ascii="Arial" w:cs="Arial" w:eastAsia="Arial" w:hAnsi="Arial"/>
          <w:sz w:val="17"/>
          <w:szCs w:val="17"/>
          <w:color w:val="auto"/>
        </w:rPr>
      </w:pPr>
      <w:r>
        <w:rPr>
          <w:rFonts w:ascii="Arial" w:cs="Arial" w:eastAsia="Arial" w:hAnsi="Arial"/>
          <w:sz w:val="17"/>
          <w:szCs w:val="17"/>
          <w:color w:val="auto"/>
        </w:rPr>
        <w:t>analyst recommendations and opinions, including, but not limited to, the restrictions contained in FINRA Rule 2241, or any successor provisions or amendments thereto) following the IPO Date or (y) the occurrence of a Change in Control. Shares may be Transferred in connection with a Permitted Transfer pursuant to Section 10(c) of the Plan, provided that the Transferee agrees to be bound by the terms of the Plan and the Award Agreement as though no such Transfer had taken place, and provided that Participant has complied with all applicable laws in connection with such Transfer. Participant and the Transferee shall execute any documents reasonably required by the Committee to effectuate such Permitted Transfer.</w:t>
      </w:r>
    </w:p>
    <w:p>
      <w:pPr>
        <w:spacing w:after="0" w:line="17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6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Stock (or other securities) subject to the foregoing restriction until the end of said one hundred and eighty (180) day (or other) period. Participant agrees that any transferee of the Award of Restricted Stock Units or Shares acquired pursuant to the Award of Restricted Stock Units shall be bound by this Section 6.</w:t>
      </w:r>
    </w:p>
    <w:p>
      <w:pPr>
        <w:spacing w:after="0" w:line="185" w:lineRule="exact"/>
        <w:rPr>
          <w:sz w:val="20"/>
          <w:szCs w:val="20"/>
          <w:color w:val="auto"/>
        </w:rPr>
      </w:pPr>
    </w:p>
    <w:p>
      <w:pPr>
        <w:ind w:right="580" w:firstLine="656"/>
        <w:spacing w:after="0" w:line="277" w:lineRule="auto"/>
        <w:tabs>
          <w:tab w:leader="none" w:pos="1296"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Drag-Along Right</w:t>
      </w:r>
      <w:r>
        <w:rPr>
          <w:rFonts w:ascii="Arial" w:cs="Arial" w:eastAsia="Arial" w:hAnsi="Arial"/>
          <w:sz w:val="18"/>
          <w:szCs w:val="18"/>
          <w:color w:val="auto"/>
        </w:rPr>
        <w:t>. Until the IPO Date, the Shares will be subject to the Drag-Along Right of the Majority Holders, as set forth in Section 10(b) of the Plan.</w:t>
      </w:r>
    </w:p>
    <w:p>
      <w:pPr>
        <w:spacing w:after="0" w:line="170" w:lineRule="exact"/>
        <w:rPr>
          <w:rFonts w:ascii="Arial" w:cs="Arial" w:eastAsia="Arial" w:hAnsi="Arial"/>
          <w:sz w:val="18"/>
          <w:szCs w:val="18"/>
          <w:color w:val="auto"/>
        </w:rPr>
      </w:pPr>
    </w:p>
    <w:p>
      <w:pPr>
        <w:ind w:firstLine="656"/>
        <w:spacing w:after="0"/>
        <w:tabs>
          <w:tab w:leader="none" w:pos="1296" w:val="left"/>
        </w:tabs>
        <w:numPr>
          <w:ilvl w:val="0"/>
          <w:numId w:val="446"/>
        </w:numPr>
        <w:rPr>
          <w:rFonts w:ascii="Arial" w:cs="Arial" w:eastAsia="Arial" w:hAnsi="Arial"/>
          <w:sz w:val="17"/>
          <w:szCs w:val="17"/>
          <w:color w:val="auto"/>
        </w:rPr>
      </w:pPr>
      <w:r>
        <w:rPr>
          <w:rFonts w:ascii="Arial" w:cs="Arial" w:eastAsia="Arial" w:hAnsi="Arial"/>
          <w:sz w:val="17"/>
          <w:szCs w:val="17"/>
          <w:u w:val="single" w:color="auto"/>
          <w:color w:val="auto"/>
        </w:rPr>
        <w:t>Payment after Vesting</w:t>
      </w:r>
      <w:r>
        <w:rPr>
          <w:rFonts w:ascii="Arial" w:cs="Arial" w:eastAsia="Arial" w:hAnsi="Arial"/>
          <w:sz w:val="17"/>
          <w:szCs w:val="17"/>
          <w:color w:val="auto"/>
        </w:rPr>
        <w:t>. Subject to Section 9, any RSUs that vest will be paid to Participant (or in the event of Participant’s death, to his or her properly designated beneficiary or estate) in whole Shares. Subject to the provisions of the next paragraph, such vested RSUs shall be paid in whole Shares as soon as practicable after vesting, but in each such case within the period ending no later than the fifteenth (15</w:t>
      </w:r>
      <w:r>
        <w:rPr>
          <w:rFonts w:ascii="Arial" w:cs="Arial" w:eastAsia="Arial" w:hAnsi="Arial"/>
          <w:sz w:val="22"/>
          <w:szCs w:val="22"/>
          <w:color w:val="auto"/>
          <w:vertAlign w:val="superscript"/>
        </w:rPr>
        <w:t>th</w:t>
      </w:r>
      <w:r>
        <w:rPr>
          <w:rFonts w:ascii="Arial" w:cs="Arial" w:eastAsia="Arial" w:hAnsi="Arial"/>
          <w:sz w:val="17"/>
          <w:szCs w:val="17"/>
          <w:color w:val="auto"/>
        </w:rPr>
        <w:t>) day of the third (3</w:t>
      </w:r>
      <w:r>
        <w:rPr>
          <w:rFonts w:ascii="Arial" w:cs="Arial" w:eastAsia="Arial" w:hAnsi="Arial"/>
          <w:sz w:val="22"/>
          <w:szCs w:val="22"/>
          <w:color w:val="auto"/>
          <w:vertAlign w:val="superscript"/>
        </w:rPr>
        <w:t>rd</w:t>
      </w:r>
      <w:r>
        <w:rPr>
          <w:rFonts w:ascii="Arial" w:cs="Arial" w:eastAsia="Arial" w:hAnsi="Arial"/>
          <w:sz w:val="17"/>
          <w:szCs w:val="17"/>
          <w:color w:val="auto"/>
        </w:rPr>
        <w:t>) month following the end of the calendar year, or if later, the end of the Company’s tax year, in either case that includes the vesting date. In no event will Participant be permitted, directly or indirectly, to specify the taxable year of payment of any RSUs payable under this Award Agreement.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6" w:name="page497"/>
    <w:bookmarkEnd w:id="496"/>
    <w:p>
      <w:pPr>
        <w:ind w:left="660"/>
        <w:spacing w:after="0"/>
        <w:rPr>
          <w:sz w:val="20"/>
          <w:szCs w:val="20"/>
          <w:color w:val="auto"/>
        </w:rPr>
      </w:pPr>
      <w:r>
        <w:rPr>
          <w:rFonts w:ascii="Arial" w:cs="Arial" w:eastAsia="Arial" w:hAnsi="Arial"/>
          <w:sz w:val="16"/>
          <w:szCs w:val="16"/>
          <w:color w:val="auto"/>
        </w:rPr>
        <w:t>Notwithstanding anything in the Plan or this Award Agreement to the contrary, if the vesting of the balance, or some lesser portion of the balance,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RSUs is accelerated in connection with Participant’s Termination (provided that such Termination is a “separation from service” within the meaning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Section 409A, as determined by the Company), other than due to death</w:t>
      </w:r>
      <w:r>
        <w:rPr>
          <w:rFonts w:ascii="Arial" w:cs="Arial" w:eastAsia="Arial" w:hAnsi="Arial"/>
          <w:sz w:val="17"/>
          <w:szCs w:val="17"/>
          <w:b w:val="1"/>
          <w:bCs w:val="1"/>
          <w:color w:val="auto"/>
        </w:rPr>
        <w:t>,</w:t>
      </w:r>
      <w:r>
        <w:rPr>
          <w:rFonts w:ascii="Arial" w:cs="Arial" w:eastAsia="Arial" w:hAnsi="Arial"/>
          <w:sz w:val="17"/>
          <w:szCs w:val="17"/>
          <w:color w:val="auto"/>
        </w:rPr>
        <w:t xml:space="preserve"> and if (x) Participant is a “specified employee”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409A at the time of such Termination and (y) the payment of such accelerated RSUs will result in the imposition of additional tax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409A if paid to Participant on or within the six (6) month period following Participant’s Termination, then the payment of such accelerated RSUs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not be made until the date six (6) months and one (1) day following the date of Participant’s Termination, unless Participant dies following his or 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in which case, the RSUs will be paid in Shares to Participant’s estate as soon as practicable following his or her death. It is the intent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Agreement to comply with the requirements of Section 409A so that none of the RSUs provided under this Award Agreement or Shares issuable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thereunder will be subject to the additional tax imposed under Section 409A, and any ambiguities herein will be interpreted to so comply. For purposes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Award Agreement, “Section 409A” means Section 409A of the Code, and any proposed, temporary or final Treasury Regulations and Internal Revenue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 guidance thereunder, as each may be amended from time to time.</w:t>
      </w:r>
    </w:p>
    <w:p>
      <w:pPr>
        <w:spacing w:after="0" w:line="211" w:lineRule="exact"/>
        <w:rPr>
          <w:sz w:val="20"/>
          <w:szCs w:val="20"/>
          <w:color w:val="auto"/>
        </w:rPr>
      </w:pPr>
    </w:p>
    <w:p>
      <w:pPr>
        <w:ind w:right="20" w:firstLine="656"/>
        <w:spacing w:after="0" w:line="263" w:lineRule="auto"/>
        <w:tabs>
          <w:tab w:leader="none" w:pos="1296"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w:t>
      </w:r>
      <w:r>
        <w:rPr>
          <w:rFonts w:ascii="Arial" w:cs="Arial" w:eastAsia="Arial" w:hAnsi="Arial"/>
          <w:sz w:val="18"/>
          <w:szCs w:val="18"/>
          <w:color w:val="auto"/>
        </w:rPr>
        <w:t>. Notwithstanding any contrary provision of this Award Agreement, if Participant ceases to be employed by, or render services to, the Employer for any or no reason, the then-unvested RSUs awarded by this Award Agreement will thereupon be forfeited at no cost to the Company and Participant will have no further rights thereunder.</w:t>
      </w:r>
    </w:p>
    <w:p>
      <w:pPr>
        <w:spacing w:after="0" w:line="183" w:lineRule="exact"/>
        <w:rPr>
          <w:rFonts w:ascii="Arial" w:cs="Arial" w:eastAsia="Arial" w:hAnsi="Arial"/>
          <w:sz w:val="18"/>
          <w:szCs w:val="18"/>
          <w:color w:val="auto"/>
        </w:rPr>
      </w:pPr>
    </w:p>
    <w:p>
      <w:pPr>
        <w:ind w:firstLine="656"/>
        <w:spacing w:after="0" w:line="275" w:lineRule="auto"/>
        <w:tabs>
          <w:tab w:leader="none" w:pos="1291" w:val="left"/>
        </w:tabs>
        <w:numPr>
          <w:ilvl w:val="0"/>
          <w:numId w:val="447"/>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Participant has reviewed with its own tax advisors the applicable tax consequences of this investment and the transactions contemplated by this Award Agreement, including any U.S. federal, state and local tax consequences as well as any non-U.S. tax consequences.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76" w:lineRule="exact"/>
        <w:rPr>
          <w:rFonts w:ascii="Arial" w:cs="Arial" w:eastAsia="Arial" w:hAnsi="Arial"/>
          <w:sz w:val="17"/>
          <w:szCs w:val="17"/>
          <w:color w:val="auto"/>
        </w:rPr>
      </w:pPr>
    </w:p>
    <w:p>
      <w:pPr>
        <w:ind w:right="200" w:firstLine="656"/>
        <w:spacing w:after="0" w:line="259" w:lineRule="auto"/>
        <w:tabs>
          <w:tab w:leader="none" w:pos="1285"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 or his or her acquisition or sale of the underlying Shares. Participant understands and agrees that he or she will consult with his or her own personal tax, legal and financial advisors regarding his or her participation in the Plan before taking any action related to the Plan.</w:t>
      </w:r>
    </w:p>
    <w:p>
      <w:pPr>
        <w:spacing w:after="0" w:line="186" w:lineRule="exact"/>
        <w:rPr>
          <w:rFonts w:ascii="Arial" w:cs="Arial" w:eastAsia="Arial" w:hAnsi="Arial"/>
          <w:sz w:val="18"/>
          <w:szCs w:val="18"/>
          <w:color w:val="auto"/>
        </w:rPr>
      </w:pPr>
    </w:p>
    <w:p>
      <w:pPr>
        <w:ind w:firstLine="656"/>
        <w:spacing w:after="0" w:line="296" w:lineRule="auto"/>
        <w:tabs>
          <w:tab w:leader="none" w:pos="1291" w:val="left"/>
        </w:tabs>
        <w:numPr>
          <w:ilvl w:val="0"/>
          <w:numId w:val="447"/>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Any distribution or delivery to be made to Participant under this Award Agreement will, if Participant is then deceased, be made to Participant’s designated beneficiary (to the extent such designation is permitted by the Company and the Company has determined it to be valid under applicable law), or if no beneficiary has been validly designated or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61" w:lineRule="exact"/>
        <w:rPr>
          <w:rFonts w:ascii="Arial" w:cs="Arial" w:eastAsia="Arial" w:hAnsi="Arial"/>
          <w:sz w:val="16"/>
          <w:szCs w:val="16"/>
          <w:color w:val="auto"/>
        </w:rPr>
      </w:pPr>
    </w:p>
    <w:p>
      <w:pPr>
        <w:ind w:right="280" w:firstLine="656"/>
        <w:spacing w:after="0" w:line="257" w:lineRule="auto"/>
        <w:tabs>
          <w:tab w:leader="none" w:pos="1291"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Pursuant to such procedures as the Committee may specify from time to time in accordance with Section 17 of the Plan, the Company shall withhold any applicable U.S. federal, state and local income, employment and other taxes as well as any applicable non-U.S. income tax, social insurance, payroll tax, fringe benefits tax, payment on account or other tax-related items related to participation in the Plan which the Company determines must be withheld (the “Withholding Taxes”). If Participant is subject to taxation in more than one jurisdiction, Participant acknowledges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7" w:name="page498"/>
    <w:bookmarkEnd w:id="497"/>
    <w:p>
      <w:pPr>
        <w:spacing w:after="0" w:line="267" w:lineRule="auto"/>
        <w:rPr>
          <w:sz w:val="20"/>
          <w:szCs w:val="20"/>
          <w:color w:val="auto"/>
        </w:rPr>
      </w:pPr>
      <w:r>
        <w:rPr>
          <w:rFonts w:ascii="Arial" w:cs="Arial" w:eastAsia="Arial" w:hAnsi="Arial"/>
          <w:sz w:val="17"/>
          <w:szCs w:val="17"/>
          <w:color w:val="auto"/>
        </w:rPr>
        <w:t>the Withholding Taxes may apply in more than one jurisdiction. The Committee, in its sole discretion and pursuant to such procedures as it may specify from time to time, may permit Participant to satisfy such Withholding Taxes, in whole or in part (without limitation) by (a) paying cash, (b) electing to have the Company withhold otherwise deliverable Shares having a Fair Market Value equal to the amount of such Withholding Taxes, (c) withholding the amount of such Withholding Taxes from wages or other cash compensation or amounts that are owed to Participant by the Company or any Parent or Subsidiary of the Company, or (d) selling a sufficient number of Shares otherwise deliverable to Participant through such means as the Company may determine in its sole discretion (whether through a broker or otherwise) equal to the amount of Withholding Taxes (on Participant’s behalf pursuant to this authorization) without further consent provided that in each case the Company may consider applicable minimum statutory withholding rates, including (to the extent permitted under the Plan) up to the maximum applicable rate in Participant’s jurisdiction. Participant acknowledges that Participant may receive a refund of any over-withheld amount in case (either from the Company or a Parent or Subsidiary of the Company or from the relevant tax authorities) but that Participant will have no entitlement to the equivalent amount in Shares. Participant further acknowledges that the responsibility for any tax-related items related to participation in the Plan is Participant’s and may exceed the amount actually withheld, if any. To the extent determined appropriate by the Company in its discretion, it shall have the right (but not the obligation) to satisfy any Withholding Taxes by withholding otherwise deliverable Shares, as described in (b) above. If the Withholding Taxes are satisfied by such method, for tax purposes, Participant will be deemed to have been issued the full number of Shares subject to the vested RSUs, notwithstanding that some Shares are held back solely for the purpose of satisfying the Withholding Taxes. If Participant fails to make satisfactory arrangements for the payment of such Withholding Taxes hereunder at the time of any applicable taxable event related to the RSUs, Participant will permanently forfeit such RSUs and any right to receive Shares thereunder and the RSUs will be returned to the Company at no cost to the Company. Participant acknowledges and agrees that the Company may refuse to deliver the Shares if such Withholding Taxes are not delivered at the time they are due.</w:t>
      </w:r>
    </w:p>
    <w:p>
      <w:pPr>
        <w:spacing w:after="0" w:line="190" w:lineRule="exact"/>
        <w:rPr>
          <w:sz w:val="20"/>
          <w:szCs w:val="20"/>
          <w:color w:val="auto"/>
        </w:rPr>
      </w:pPr>
    </w:p>
    <w:p>
      <w:pPr>
        <w:ind w:firstLine="656"/>
        <w:spacing w:after="0" w:line="257" w:lineRule="auto"/>
        <w:tabs>
          <w:tab w:leader="none" w:pos="1291"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7" w:lineRule="exact"/>
        <w:rPr>
          <w:rFonts w:ascii="Arial" w:cs="Arial" w:eastAsia="Arial" w:hAnsi="Arial"/>
          <w:sz w:val="18"/>
          <w:szCs w:val="18"/>
          <w:color w:val="auto"/>
        </w:rPr>
      </w:pPr>
    </w:p>
    <w:p>
      <w:pPr>
        <w:ind w:right="80" w:firstLine="656"/>
        <w:spacing w:after="0" w:line="270" w:lineRule="auto"/>
        <w:tabs>
          <w:tab w:leader="none" w:pos="1291" w:val="left"/>
        </w:tabs>
        <w:numPr>
          <w:ilvl w:val="0"/>
          <w:numId w:val="448"/>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THE RESTRICTED STOCK UNITS PURSUANT TO THE VESTING SCHEDULE HEREOF IS EARNED ONLY BY CONTINUING IN EMPLOYMENT OR SERVICE OF THE EMPLOYER AT THE WILL OF THE EMPLOYER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AN EMPLOYEE OR SERVICE PROVIDER OF THE EMPLOYER FOR THE VESTING PERIOD, FOR ANY PERIOD, OR AT ALL, AND SHALL NOT INTERFERE IN ANY WAY WITH PARTICIPANT’S RIGHT OR THE RIGHT OF THE EMPLOYER TO TERMINATE PARTICIPANT’S RELATIONSHIP AS AN EMPLOYEE OR SERVICE PROVIDER WITH THE EMPLOYER AT ANY TIME, WITH OR WITHOUT CAUSE.</w:t>
      </w:r>
    </w:p>
    <w:p>
      <w:pPr>
        <w:spacing w:after="0" w:line="180" w:lineRule="exact"/>
        <w:rPr>
          <w:rFonts w:ascii="Arial" w:cs="Arial" w:eastAsia="Arial" w:hAnsi="Arial"/>
          <w:sz w:val="17"/>
          <w:szCs w:val="17"/>
          <w:color w:val="auto"/>
        </w:rPr>
      </w:pPr>
    </w:p>
    <w:p>
      <w:pPr>
        <w:ind w:right="160" w:firstLine="656"/>
        <w:spacing w:after="0" w:line="277" w:lineRule="auto"/>
        <w:tabs>
          <w:tab w:leader="none" w:pos="1291"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12, this grant and the rights and privileges conferred hereby will not be transferred, assigned, pledged or hypothecated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8" w:name="page499"/>
    <w:bookmarkEnd w:id="498"/>
    <w:p>
      <w:pPr>
        <w:ind w:right="120"/>
        <w:spacing w:after="0" w:line="311" w:lineRule="auto"/>
        <w:rPr>
          <w:sz w:val="20"/>
          <w:szCs w:val="20"/>
          <w:color w:val="auto"/>
        </w:rPr>
      </w:pPr>
      <w:r>
        <w:rPr>
          <w:rFonts w:ascii="Arial" w:cs="Arial" w:eastAsia="Arial" w:hAnsi="Arial"/>
          <w:sz w:val="16"/>
          <w:szCs w:val="16"/>
          <w:color w:val="auto"/>
        </w:rPr>
        <w:t>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49" w:lineRule="exact"/>
        <w:rPr>
          <w:sz w:val="20"/>
          <w:szCs w:val="20"/>
          <w:color w:val="auto"/>
        </w:rPr>
      </w:pPr>
    </w:p>
    <w:p>
      <w:pPr>
        <w:ind w:right="20" w:firstLine="656"/>
        <w:spacing w:after="0" w:line="286" w:lineRule="auto"/>
        <w:tabs>
          <w:tab w:leader="none" w:pos="1291" w:val="left"/>
        </w:tabs>
        <w:numPr>
          <w:ilvl w:val="1"/>
          <w:numId w:val="449"/>
        </w:numPr>
        <w:rPr>
          <w:rFonts w:ascii="Arial" w:cs="Arial" w:eastAsia="Arial" w:hAnsi="Arial"/>
          <w:sz w:val="17"/>
          <w:szCs w:val="17"/>
          <w:color w:val="auto"/>
        </w:rPr>
      </w:pPr>
      <w:r>
        <w:rPr>
          <w:rFonts w:ascii="Arial" w:cs="Arial" w:eastAsia="Arial" w:hAnsi="Arial"/>
          <w:sz w:val="17"/>
          <w:szCs w:val="17"/>
          <w:u w:val="single" w:color="auto"/>
          <w:color w:val="auto"/>
        </w:rPr>
        <w:t>Company’s Right of First Refusal</w:t>
      </w:r>
      <w:r>
        <w:rPr>
          <w:rFonts w:ascii="Arial" w:cs="Arial" w:eastAsia="Arial" w:hAnsi="Arial"/>
          <w:sz w:val="17"/>
          <w:szCs w:val="17"/>
          <w:color w:val="auto"/>
        </w:rPr>
        <w:t>. Subject to Section 16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17 (the “Right of First Refusal”).</w:t>
      </w:r>
    </w:p>
    <w:p>
      <w:pPr>
        <w:spacing w:after="0" w:line="165" w:lineRule="exact"/>
        <w:rPr>
          <w:rFonts w:ascii="Arial" w:cs="Arial" w:eastAsia="Arial" w:hAnsi="Arial"/>
          <w:sz w:val="17"/>
          <w:szCs w:val="17"/>
          <w:color w:val="auto"/>
        </w:rPr>
      </w:pPr>
    </w:p>
    <w:p>
      <w:pPr>
        <w:ind w:left="1940" w:hanging="636"/>
        <w:spacing w:after="0"/>
        <w:tabs>
          <w:tab w:leader="none" w:pos="1940" w:val="left"/>
        </w:tabs>
        <w:numPr>
          <w:ilvl w:val="2"/>
          <w:numId w:val="449"/>
        </w:numPr>
        <w:rPr>
          <w:rFonts w:ascii="Arial" w:cs="Arial" w:eastAsia="Arial" w:hAnsi="Arial"/>
          <w:sz w:val="17"/>
          <w:szCs w:val="17"/>
          <w:color w:val="auto"/>
        </w:rPr>
      </w:pPr>
      <w:r>
        <w:rPr>
          <w:rFonts w:ascii="Arial" w:cs="Arial" w:eastAsia="Arial" w:hAnsi="Arial"/>
          <w:sz w:val="17"/>
          <w:szCs w:val="17"/>
          <w:u w:val="single" w:color="auto"/>
          <w:color w:val="auto"/>
        </w:rPr>
        <w:t>Notice of Proposed Transfer</w:t>
      </w:r>
      <w:r>
        <w:rPr>
          <w:rFonts w:ascii="Arial" w:cs="Arial" w:eastAsia="Arial" w:hAnsi="Arial"/>
          <w:sz w:val="17"/>
          <w:szCs w:val="17"/>
          <w:color w:val="auto"/>
        </w:rPr>
        <w:t>. The Holder of the Shares shall deliver to the Company a written notice (the “Notice”) stating:</w:t>
      </w:r>
    </w:p>
    <w:p>
      <w:pPr>
        <w:spacing w:after="0" w:line="34" w:lineRule="exact"/>
        <w:rPr>
          <w:rFonts w:ascii="Arial" w:cs="Arial" w:eastAsia="Arial" w:hAnsi="Arial"/>
          <w:sz w:val="17"/>
          <w:szCs w:val="17"/>
          <w:color w:val="auto"/>
        </w:rPr>
      </w:pPr>
    </w:p>
    <w:p>
      <w:pPr>
        <w:ind w:right="180" w:firstLine="8"/>
        <w:spacing w:after="0" w:line="302" w:lineRule="auto"/>
        <w:tabs>
          <w:tab w:leader="none" w:pos="215"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Holder’s bona fide intention to sell or otherwise transfer such Shares; (ii) the name of each proposed purchaser or other transferee (“Proposed Recipient”); (iii) the number of Shares to be transferred to each Proposed Recipient; and (iv) the bona fide cash price or other consideration for which the Holder proposes to transfer the Shares (the “Offered Price”), and the Holder shall offer the Shares at the Offered Price to the Company or its assignee(s).</w:t>
      </w:r>
    </w:p>
    <w:p>
      <w:pPr>
        <w:spacing w:after="0" w:line="155" w:lineRule="exact"/>
        <w:rPr>
          <w:rFonts w:ascii="Arial" w:cs="Arial" w:eastAsia="Arial" w:hAnsi="Arial"/>
          <w:sz w:val="16"/>
          <w:szCs w:val="16"/>
          <w:color w:val="auto"/>
        </w:rPr>
      </w:pPr>
    </w:p>
    <w:p>
      <w:pPr>
        <w:ind w:right="320" w:firstLine="1304"/>
        <w:spacing w:after="0" w:line="263" w:lineRule="auto"/>
        <w:tabs>
          <w:tab w:leader="none" w:pos="1951" w:val="left"/>
        </w:tabs>
        <w:numPr>
          <w:ilvl w:val="2"/>
          <w:numId w:val="450"/>
        </w:numPr>
        <w:rPr>
          <w:rFonts w:ascii="Arial" w:cs="Arial" w:eastAsia="Arial" w:hAnsi="Arial"/>
          <w:sz w:val="18"/>
          <w:szCs w:val="18"/>
          <w:color w:val="auto"/>
        </w:rPr>
      </w:pPr>
      <w:r>
        <w:rPr>
          <w:rFonts w:ascii="Arial" w:cs="Arial" w:eastAsia="Arial" w:hAnsi="Arial"/>
          <w:sz w:val="18"/>
          <w:szCs w:val="18"/>
          <w:u w:val="single" w:color="auto"/>
          <w:color w:val="auto"/>
        </w:rPr>
        <w:t>Exercise of Right of First Refusal</w:t>
      </w:r>
      <w:r>
        <w:rPr>
          <w:rFonts w:ascii="Arial" w:cs="Arial" w:eastAsia="Arial" w:hAnsi="Arial"/>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Recipient, at the purchase price determined in accordance with subsection (c) below.</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2"/>
          <w:numId w:val="450"/>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(“Right of First Refusal Price”) for the Shares purchased by the Company or its</w:t>
      </w:r>
    </w:p>
    <w:p>
      <w:pPr>
        <w:spacing w:after="0" w:line="2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assignee(s) under this Section 17 shall be the Offered Price. If the Offered Price includes consideration other than cash, the cash equivalent value of the non-cash consideration shall be determined by the Board in good faith.</w:t>
      </w:r>
    </w:p>
    <w:p>
      <w:pPr>
        <w:spacing w:after="0" w:line="185" w:lineRule="exact"/>
        <w:rPr>
          <w:sz w:val="20"/>
          <w:szCs w:val="20"/>
          <w:color w:val="auto"/>
        </w:rPr>
      </w:pPr>
    </w:p>
    <w:p>
      <w:pPr>
        <w:jc w:val="both"/>
        <w:ind w:firstLine="1304"/>
        <w:spacing w:after="0" w:line="311" w:lineRule="auto"/>
        <w:tabs>
          <w:tab w:leader="none" w:pos="1951"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Payment of the Right of First Refusal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48" w:lineRule="exact"/>
        <w:rPr>
          <w:rFonts w:ascii="Arial" w:cs="Arial" w:eastAsia="Arial" w:hAnsi="Arial"/>
          <w:sz w:val="16"/>
          <w:szCs w:val="16"/>
          <w:color w:val="auto"/>
        </w:rPr>
      </w:pPr>
    </w:p>
    <w:p>
      <w:pPr>
        <w:ind w:right="20" w:firstLine="1304"/>
        <w:spacing w:after="0" w:line="291" w:lineRule="auto"/>
        <w:tabs>
          <w:tab w:leader="none" w:pos="1955" w:val="left"/>
        </w:tabs>
        <w:numPr>
          <w:ilvl w:val="0"/>
          <w:numId w:val="451"/>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Recipient are not purchased by the Company and/or its assignee(s) as provided in this Section 17, then the Holder may sell or otherwise transfer such Shares to that Proposed Recipient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 (120) days after the date of the Notice, that any such sale or other transfer is effected in accordance with any applicable securities laws and that the Proposed Recipient agrees in writing that the provisions of this Section 17 shall continue to apply to the Shares in the hands of such Proposed Recipient. If the Shares described in the Notice are not transferred to the Proposed Recipient within such period, a new Notice shall be given to the Company, and the Company and/or its assignees shall again be offered the Right of First Refusal before any Shares held by the Holder may be sold or otherwise transferred.</w:t>
      </w:r>
    </w:p>
    <w:p>
      <w:pPr>
        <w:spacing w:after="0" w:line="166" w:lineRule="exact"/>
        <w:rPr>
          <w:rFonts w:ascii="Arial" w:cs="Arial" w:eastAsia="Arial" w:hAnsi="Arial"/>
          <w:sz w:val="16"/>
          <w:szCs w:val="16"/>
          <w:color w:val="auto"/>
        </w:rPr>
      </w:pPr>
    </w:p>
    <w:p>
      <w:pPr>
        <w:ind w:right="80" w:firstLine="1304"/>
        <w:spacing w:after="0" w:line="263" w:lineRule="auto"/>
        <w:tabs>
          <w:tab w:leader="none" w:pos="1948" w:val="left"/>
        </w:tabs>
        <w:numPr>
          <w:ilvl w:val="0"/>
          <w:numId w:val="451"/>
        </w:numPr>
        <w:rPr>
          <w:rFonts w:ascii="Arial" w:cs="Arial" w:eastAsia="Arial" w:hAnsi="Arial"/>
          <w:sz w:val="18"/>
          <w:szCs w:val="18"/>
          <w:color w:val="auto"/>
        </w:rPr>
      </w:pPr>
      <w:r>
        <w:rPr>
          <w:rFonts w:ascii="Arial" w:cs="Arial" w:eastAsia="Arial" w:hAnsi="Arial"/>
          <w:sz w:val="18"/>
          <w:szCs w:val="18"/>
          <w:u w:val="single" w:color="auto"/>
          <w:color w:val="auto"/>
        </w:rPr>
        <w:t>Exception for Certain Family Transfers</w:t>
      </w:r>
      <w:r>
        <w:rPr>
          <w:rFonts w:ascii="Arial" w:cs="Arial" w:eastAsia="Arial" w:hAnsi="Arial"/>
          <w:sz w:val="18"/>
          <w:szCs w:val="18"/>
          <w:color w:val="auto"/>
        </w:rPr>
        <w:t>. Anything to the contrary contained in this Section 17 notwithstanding, the transfer of any or all of the Shares during Participant’s lifetime or on Participant’s death by will or intestacy to Participant’s immediate family or a trust for the benefit of Participant’s immediate family shall be exempt from the provisions of this Section 17. “Immediate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9" w:name="page500"/>
    <w:bookmarkEnd w:id="499"/>
    <w:p>
      <w:pPr>
        <w:jc w:val="both"/>
        <w:ind w:right="200"/>
        <w:spacing w:after="0" w:line="263" w:lineRule="auto"/>
        <w:rPr>
          <w:sz w:val="20"/>
          <w:szCs w:val="20"/>
          <w:color w:val="auto"/>
        </w:rPr>
      </w:pPr>
      <w:r>
        <w:rPr>
          <w:rFonts w:ascii="Arial" w:cs="Arial" w:eastAsia="Arial" w:hAnsi="Arial"/>
          <w:sz w:val="18"/>
          <w:szCs w:val="18"/>
          <w:color w:val="auto"/>
        </w:rPr>
        <w:t>Family” as used herein shall mean spouse, lineal descendant or antecedent, father, mother, brother or sister. In such case, the transferee or other recipient shall receive and hold the Shares so transferred subject to the provisions of this Award Agreement, including but not limited to this Section 17, and there shall be no further transfer of such Shares except in accordance with the terms of this Section 17.</w:t>
      </w:r>
    </w:p>
    <w:p>
      <w:pPr>
        <w:spacing w:after="0" w:line="184" w:lineRule="exact"/>
        <w:rPr>
          <w:sz w:val="20"/>
          <w:szCs w:val="20"/>
          <w:color w:val="auto"/>
        </w:rPr>
      </w:pPr>
    </w:p>
    <w:p>
      <w:pPr>
        <w:ind w:right="60" w:firstLine="1304"/>
        <w:spacing w:after="0" w:line="263" w:lineRule="auto"/>
        <w:tabs>
          <w:tab w:leader="none" w:pos="1965" w:val="left"/>
        </w:tabs>
        <w:numPr>
          <w:ilvl w:val="1"/>
          <w:numId w:val="452"/>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shall terminate as to any Shares upon the earlier of (i) the first sale of Stock of the Company to the general public, or (ii) a Change in Control in which the successor corporation has equity securities that are publicly traded.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453"/>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By accepting the grant, Participant acknowledges, understands and agrees that:</w:t>
      </w:r>
    </w:p>
    <w:p>
      <w:pPr>
        <w:spacing w:after="0" w:line="225" w:lineRule="exact"/>
        <w:rPr>
          <w:rFonts w:ascii="Arial" w:cs="Arial" w:eastAsia="Arial" w:hAnsi="Arial"/>
          <w:sz w:val="18"/>
          <w:szCs w:val="18"/>
          <w:color w:val="auto"/>
        </w:rPr>
      </w:pPr>
    </w:p>
    <w:p>
      <w:pPr>
        <w:ind w:right="160" w:firstLine="1304"/>
        <w:spacing w:after="0" w:line="277" w:lineRule="auto"/>
        <w:tabs>
          <w:tab w:leader="none" w:pos="1941"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70" w:lineRule="exact"/>
        <w:rPr>
          <w:rFonts w:ascii="Arial" w:cs="Arial" w:eastAsia="Arial" w:hAnsi="Arial"/>
          <w:sz w:val="18"/>
          <w:szCs w:val="18"/>
          <w:color w:val="auto"/>
        </w:rPr>
      </w:pPr>
    </w:p>
    <w:p>
      <w:pPr>
        <w:ind w:right="200" w:firstLine="1304"/>
        <w:spacing w:after="0" w:line="277" w:lineRule="auto"/>
        <w:tabs>
          <w:tab w:leader="none" w:pos="1951"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the grant of RSUs is exceptional, voluntary and occasional and does not create any contractual right to receive future grants of RSUs, or benefits in lieu of RSUs, even if RSUs have been granted in the past;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all decisions with respect to future RSUs or other grants, if any, will be at the sole discretion of the Company;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the RSUs and any Shares acquired under the Plan are not intended to replace any pension rights or compensation;</w:t>
      </w:r>
    </w:p>
    <w:p>
      <w:pPr>
        <w:spacing w:after="0" w:line="225" w:lineRule="exact"/>
        <w:rPr>
          <w:rFonts w:ascii="Arial" w:cs="Arial" w:eastAsia="Arial" w:hAnsi="Arial"/>
          <w:sz w:val="18"/>
          <w:szCs w:val="18"/>
          <w:color w:val="auto"/>
        </w:rPr>
      </w:pPr>
    </w:p>
    <w:p>
      <w:pPr>
        <w:ind w:right="240" w:firstLine="1304"/>
        <w:spacing w:after="0" w:line="286" w:lineRule="auto"/>
        <w:tabs>
          <w:tab w:leader="none" w:pos="1948" w:val="left"/>
        </w:tabs>
        <w:numPr>
          <w:ilvl w:val="1"/>
          <w:numId w:val="453"/>
        </w:numPr>
        <w:rPr>
          <w:rFonts w:ascii="Arial" w:cs="Arial" w:eastAsia="Arial" w:hAnsi="Arial"/>
          <w:sz w:val="17"/>
          <w:szCs w:val="17"/>
          <w:color w:val="auto"/>
        </w:rPr>
      </w:pPr>
      <w:r>
        <w:rPr>
          <w:rFonts w:ascii="Arial" w:cs="Arial" w:eastAsia="Arial" w:hAnsi="Arial"/>
          <w:sz w:val="17"/>
          <w:szCs w:val="17"/>
          <w:color w:val="auto"/>
        </w:rPr>
        <w:t>the RSUs and any Shares acquired under the Plan, and the income from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65" w:lineRule="exact"/>
        <w:rPr>
          <w:rFonts w:ascii="Arial" w:cs="Arial" w:eastAsia="Arial" w:hAnsi="Arial"/>
          <w:sz w:val="17"/>
          <w:szCs w:val="17"/>
          <w:color w:val="auto"/>
        </w:rPr>
      </w:pPr>
    </w:p>
    <w:p>
      <w:pPr>
        <w:ind w:left="1980" w:hanging="676"/>
        <w:spacing w:after="0"/>
        <w:tabs>
          <w:tab w:leader="none" w:pos="198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the future value of the Shares underlying the RSUs is unknown, indeterminable and cannot be predicted with certainty;</w:t>
      </w:r>
    </w:p>
    <w:p>
      <w:pPr>
        <w:spacing w:after="0" w:line="236" w:lineRule="exact"/>
        <w:rPr>
          <w:rFonts w:ascii="Arial" w:cs="Arial" w:eastAsia="Arial" w:hAnsi="Arial"/>
          <w:sz w:val="17"/>
          <w:szCs w:val="17"/>
          <w:color w:val="auto"/>
        </w:rPr>
      </w:pPr>
    </w:p>
    <w:p>
      <w:pPr>
        <w:ind w:firstLine="1304"/>
        <w:spacing w:after="0" w:line="263" w:lineRule="auto"/>
        <w:tabs>
          <w:tab w:leader="none" w:pos="1951" w:val="left"/>
        </w:tabs>
        <w:numPr>
          <w:ilvl w:val="1"/>
          <w:numId w:val="453"/>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RSUs resulting from the termination of Participant’s employment or other service relationship (for any reason whatsoever, whether or not later found to be invalid or in breach of employment laws in the jurisdiction where Participant is employed or the terms of his or her employment agreement, if any);</w:t>
      </w:r>
    </w:p>
    <w:p>
      <w:pPr>
        <w:spacing w:after="0" w:line="183" w:lineRule="exact"/>
        <w:rPr>
          <w:rFonts w:ascii="Arial" w:cs="Arial" w:eastAsia="Arial" w:hAnsi="Arial"/>
          <w:sz w:val="18"/>
          <w:szCs w:val="18"/>
          <w:color w:val="auto"/>
        </w:rPr>
      </w:pPr>
    </w:p>
    <w:p>
      <w:pPr>
        <w:ind w:right="140" w:firstLine="1304"/>
        <w:spacing w:after="0" w:line="291" w:lineRule="auto"/>
        <w:tabs>
          <w:tab w:leader="none" w:pos="1965" w:val="left"/>
        </w:tabs>
        <w:numPr>
          <w:ilvl w:val="1"/>
          <w:numId w:val="453"/>
        </w:numPr>
        <w:rPr>
          <w:rFonts w:ascii="Arial" w:cs="Arial" w:eastAsia="Arial" w:hAnsi="Arial"/>
          <w:sz w:val="16"/>
          <w:szCs w:val="16"/>
          <w:color w:val="auto"/>
        </w:rPr>
      </w:pPr>
      <w:r>
        <w:rPr>
          <w:rFonts w:ascii="Arial" w:cs="Arial" w:eastAsia="Arial" w:hAnsi="Arial"/>
          <w:sz w:val="16"/>
          <w:szCs w:val="16"/>
          <w:color w:val="auto"/>
        </w:rPr>
        <w:t>for purposes of the RSUs, Participant’s employment or service relationship will be considered terminated as of the date he or she is no longer actively providing services to the Company, the Employer or any other Subsidiary of the Company (regardless of the reason for such termination and whether or not later found to be invalid or in breach of employment laws in the jurisdiction where Participant is employed or the terms of his or her employment agreement, if any), and unless otherwise expressly provided in this Award Agreement or determined by the Company, Participant’s right to vest in the RSUs under the Plan, if any, will terminate as of such date and will not be extended by any notice period (</w:t>
      </w:r>
      <w:r>
        <w:rPr>
          <w:rFonts w:ascii="Arial" w:cs="Arial" w:eastAsia="Arial" w:hAnsi="Arial"/>
          <w:sz w:val="16"/>
          <w:szCs w:val="16"/>
          <w:i w:val="1"/>
          <w:iCs w:val="1"/>
          <w:color w:val="auto"/>
        </w:rPr>
        <w:t>e.g.</w:t>
      </w:r>
      <w:r>
        <w:rPr>
          <w:rFonts w:ascii="Arial" w:cs="Arial" w:eastAsia="Arial" w:hAnsi="Arial"/>
          <w:sz w:val="16"/>
          <w:szCs w:val="16"/>
          <w:color w:val="auto"/>
        </w:rPr>
        <w:t>, Participant’s period of service would not include any contractual notice period or any period of “garden leave” or similar period mandated under employment laws in the jurisdiction where Participant is employed or the terms of his or her employment agreement, if any); the Committee shall have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0" w:name="page501"/>
    <w:bookmarkEnd w:id="500"/>
    <w:p>
      <w:pPr>
        <w:ind w:right="620"/>
        <w:spacing w:after="0" w:line="277" w:lineRule="auto"/>
        <w:rPr>
          <w:sz w:val="20"/>
          <w:szCs w:val="20"/>
          <w:color w:val="auto"/>
        </w:rPr>
      </w:pPr>
      <w:r>
        <w:rPr>
          <w:rFonts w:ascii="Arial" w:cs="Arial" w:eastAsia="Arial" w:hAnsi="Arial"/>
          <w:sz w:val="18"/>
          <w:szCs w:val="18"/>
          <w:color w:val="auto"/>
        </w:rPr>
        <w:t>exclusive discretion to determine when Participant is no longer actively providing services for purposes of his or her RSU grant (including whether Participant may still be considered to be providing services while on a leave of absence);</w:t>
      </w:r>
    </w:p>
    <w:p>
      <w:pPr>
        <w:spacing w:after="0" w:line="170" w:lineRule="exact"/>
        <w:rPr>
          <w:sz w:val="20"/>
          <w:szCs w:val="20"/>
          <w:color w:val="auto"/>
        </w:rPr>
      </w:pPr>
    </w:p>
    <w:p>
      <w:pPr>
        <w:ind w:right="120" w:firstLine="1304"/>
        <w:spacing w:after="0" w:line="342" w:lineRule="auto"/>
        <w:tabs>
          <w:tab w:leader="none" w:pos="1952" w:val="left"/>
        </w:tabs>
        <w:numPr>
          <w:ilvl w:val="2"/>
          <w:numId w:val="454"/>
        </w:numPr>
        <w:rPr>
          <w:rFonts w:ascii="Arial" w:cs="Arial" w:eastAsia="Arial" w:hAnsi="Arial"/>
          <w:sz w:val="16"/>
          <w:szCs w:val="16"/>
          <w:color w:val="auto"/>
        </w:rPr>
      </w:pPr>
      <w:r>
        <w:rPr>
          <w:rFonts w:ascii="Arial" w:cs="Arial" w:eastAsia="Arial" w:hAnsi="Arial"/>
          <w:sz w:val="16"/>
          <w:szCs w:val="16"/>
          <w:color w:val="auto"/>
        </w:rPr>
        <w:t>unless otherwise agreed with the Company, the RSUs and Shares subject to the RSUs, and the income from and value of same, are not granted as consideration for, or in connection with, the service Participant may provide as a director of a Subsidiary of the Company; and</w:t>
      </w:r>
    </w:p>
    <w:p>
      <w:pPr>
        <w:spacing w:after="0" w:line="123" w:lineRule="exact"/>
        <w:rPr>
          <w:rFonts w:ascii="Arial" w:cs="Arial" w:eastAsia="Arial" w:hAnsi="Arial"/>
          <w:sz w:val="16"/>
          <w:szCs w:val="16"/>
          <w:color w:val="auto"/>
        </w:rPr>
      </w:pPr>
    </w:p>
    <w:p>
      <w:pPr>
        <w:ind w:firstLine="1304"/>
        <w:spacing w:after="0" w:line="263" w:lineRule="auto"/>
        <w:tabs>
          <w:tab w:leader="none" w:pos="1951" w:val="left"/>
        </w:tabs>
        <w:numPr>
          <w:ilvl w:val="2"/>
          <w:numId w:val="454"/>
        </w:numPr>
        <w:rPr>
          <w:rFonts w:ascii="Arial" w:cs="Arial" w:eastAsia="Arial" w:hAnsi="Arial"/>
          <w:sz w:val="18"/>
          <w:szCs w:val="18"/>
          <w:color w:val="auto"/>
        </w:rPr>
      </w:pPr>
      <w:r>
        <w:rPr>
          <w:rFonts w:ascii="Arial" w:cs="Arial" w:eastAsia="Arial" w:hAnsi="Arial"/>
          <w:sz w:val="18"/>
          <w:szCs w:val="18"/>
          <w:color w:val="auto"/>
        </w:rPr>
        <w:t>neither the Company, the Employer nor any Subsidiary of the Company shall be liable for any foreign exchange rate fluctuation between Participant’s local currency and the United States Dollar that may affect the value of the RSUs or of any amounts due to Participant pursuant to the settlement of the RSUs or subsequent sale of Shares acquired upon settlement.</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455"/>
        </w:numPr>
        <w:rPr>
          <w:rFonts w:ascii="Arial" w:cs="Arial" w:eastAsia="Arial" w:hAnsi="Arial"/>
          <w:sz w:val="18"/>
          <w:szCs w:val="18"/>
          <w:color w:val="auto"/>
        </w:rPr>
      </w:pPr>
      <w:r>
        <w:rPr>
          <w:rFonts w:ascii="Arial" w:cs="Arial" w:eastAsia="Arial" w:hAnsi="Arial"/>
          <w:sz w:val="18"/>
          <w:szCs w:val="18"/>
          <w:b w:val="1"/>
          <w:bCs w:val="1"/>
          <w:i w:val="1"/>
          <w:iCs w:val="1"/>
          <w:color w:val="auto"/>
        </w:rPr>
        <w:t>Data Privacy.</w:t>
      </w:r>
    </w:p>
    <w:p>
      <w:pPr>
        <w:spacing w:after="0" w:line="225" w:lineRule="exact"/>
        <w:rPr>
          <w:rFonts w:ascii="Arial" w:cs="Arial" w:eastAsia="Arial" w:hAnsi="Arial"/>
          <w:sz w:val="18"/>
          <w:szCs w:val="18"/>
          <w:color w:val="auto"/>
        </w:rPr>
      </w:pPr>
    </w:p>
    <w:p>
      <w:pPr>
        <w:ind w:right="20" w:firstLine="786"/>
        <w:spacing w:after="0" w:line="255" w:lineRule="auto"/>
        <w:tabs>
          <w:tab w:leader="none" w:pos="1077" w:val="left"/>
        </w:tabs>
        <w:numPr>
          <w:ilvl w:val="1"/>
          <w:numId w:val="4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Collection and Usage</w:t>
      </w:r>
      <w:r>
        <w:rPr>
          <w:rFonts w:ascii="Arial" w:cs="Arial" w:eastAsia="Arial" w:hAnsi="Arial"/>
          <w:sz w:val="18"/>
          <w:szCs w:val="18"/>
          <w:b w:val="1"/>
          <w:bCs w:val="1"/>
          <w:i w:val="1"/>
          <w:iCs w:val="1"/>
          <w:color w:val="auto"/>
        </w:rPr>
        <w:t>. The Company collects, processes and uses personal data about Participant, including but not limited to, Participant’s name, home address, email address and telephone number, date of birth, social insurance number, passport or other identification number, salary, nationality, job title, any Shares or directorships held in the Company, details of all RSUs or any other entitlement to Shares awarded, canceled, vested, unvested or outstanding in Participant’s favor, which the Company receives from Participant or the Employer. In order to participate in the Plan, the Company will collect Participant’s personal data for purposes of allocating Shares and implementing, administering and managing the Plan.</w:t>
      </w:r>
    </w:p>
    <w:p>
      <w:pPr>
        <w:spacing w:after="0" w:line="19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If Participant is based in the European Union (“EU”) or European Economic Area (“EEA”) the Company’s legal basis for the processing of Participant’s personal data is based on the necessity for Company’s performance of its obligations under the Plan and pursuant to the Company’s legitimate business interests.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Participant is based in any other jurisdiction, the Company’s legal basis for the processing of Participant’s personal data is Participant’s consent, as further described below.</w:t>
      </w:r>
    </w:p>
    <w:p>
      <w:pPr>
        <w:spacing w:after="0" w:line="170" w:lineRule="exact"/>
        <w:rPr>
          <w:sz w:val="20"/>
          <w:szCs w:val="20"/>
          <w:color w:val="auto"/>
        </w:rPr>
      </w:pPr>
    </w:p>
    <w:p>
      <w:pPr>
        <w:ind w:right="140" w:firstLine="786"/>
        <w:spacing w:after="0" w:line="279" w:lineRule="auto"/>
        <w:tabs>
          <w:tab w:leader="none" w:pos="1077" w:val="left"/>
        </w:tabs>
        <w:numPr>
          <w:ilvl w:val="0"/>
          <w:numId w:val="45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Stock Plan Administration and Service Providers</w:t>
      </w:r>
      <w:r>
        <w:rPr>
          <w:rFonts w:ascii="Arial" w:cs="Arial" w:eastAsia="Arial" w:hAnsi="Arial"/>
          <w:sz w:val="17"/>
          <w:szCs w:val="17"/>
          <w:b w:val="1"/>
          <w:bCs w:val="1"/>
          <w:i w:val="1"/>
          <w:iCs w:val="1"/>
          <w:color w:val="auto"/>
        </w:rPr>
        <w:t>. The Company may transfer Participant’s data to one or more third party stock plan service providers based in the United States (“U.S.”), which may assist the Company with the implementation, administration and management of the Plan. Such service provider(s) may open an account for Participant to receive and trade Shares. Participant may be asked to acknowledge, or agree to, separate terms and data processing practices with the service provider(s).</w:t>
      </w:r>
    </w:p>
    <w:p>
      <w:pPr>
        <w:spacing w:after="0" w:line="171" w:lineRule="exact"/>
        <w:rPr>
          <w:rFonts w:ascii="Arial" w:cs="Arial" w:eastAsia="Arial" w:hAnsi="Arial"/>
          <w:sz w:val="17"/>
          <w:szCs w:val="17"/>
          <w:b w:val="1"/>
          <w:bCs w:val="1"/>
          <w:i w:val="1"/>
          <w:iCs w:val="1"/>
          <w:color w:val="auto"/>
        </w:rPr>
      </w:pPr>
    </w:p>
    <w:p>
      <w:pPr>
        <w:ind w:right="100" w:firstLine="786"/>
        <w:spacing w:after="0" w:line="277" w:lineRule="auto"/>
        <w:tabs>
          <w:tab w:leader="none" w:pos="1067" w:val="left"/>
        </w:tabs>
        <w:numPr>
          <w:ilvl w:val="0"/>
          <w:numId w:val="4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Participant’s personal data will be transferred from Participant’s country to the U.S., where the Company and its service providers are based.</w:t>
      </w:r>
    </w:p>
    <w:p>
      <w:pPr>
        <w:spacing w:after="0" w:line="170" w:lineRule="exact"/>
        <w:rPr>
          <w:sz w:val="20"/>
          <w:szCs w:val="20"/>
          <w:color w:val="auto"/>
        </w:rPr>
      </w:pPr>
    </w:p>
    <w:p>
      <w:pPr>
        <w:ind w:right="700"/>
        <w:spacing w:after="0" w:line="381" w:lineRule="auto"/>
        <w:rPr>
          <w:sz w:val="20"/>
          <w:szCs w:val="20"/>
          <w:color w:val="auto"/>
        </w:rPr>
      </w:pPr>
      <w:r>
        <w:rPr>
          <w:rFonts w:ascii="Arial" w:cs="Arial" w:eastAsia="Arial" w:hAnsi="Arial"/>
          <w:sz w:val="15"/>
          <w:szCs w:val="15"/>
          <w:b w:val="1"/>
          <w:bCs w:val="1"/>
          <w:i w:val="1"/>
          <w:iCs w:val="1"/>
          <w:color w:val="auto"/>
        </w:rPr>
        <w:t>If Participant is based in the EU/EEA, the Company’s legal basis for the transfer of Participant’s data to the U.S. is that it is authorized by the Company’s participation in the EU-U.S. Privacy Shield and its use of the standard data protection clauses adopted by the EU Commission.</w:t>
      </w:r>
    </w:p>
    <w:p>
      <w:pPr>
        <w:spacing w:after="0" w:line="1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Participant is based in any other jurisdiction, the Company’s legal basis for the transfer of Participant’s personal data to the U.S. is Participant’s consent, as further described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1" w:name="page502"/>
    <w:bookmarkEnd w:id="501"/>
    <w:p>
      <w:pPr>
        <w:ind w:left="-20" w:right="20" w:firstLine="786"/>
        <w:spacing w:after="0" w:line="296" w:lineRule="auto"/>
        <w:tabs>
          <w:tab w:leader="none" w:pos="1057" w:val="left"/>
        </w:tabs>
        <w:numPr>
          <w:ilvl w:val="1"/>
          <w:numId w:val="45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The Company will use Participant’s personal data only as long as necessary to implement, administer and manage his or her participation in the Plan or as required to comply with legal or regulatory obligations, including under tax and securities laws. When the Company no longer needs Participant’s personal data, which will generally be seven (7) years after he or she participates in the Plan, the Company will remove it from its systems. If the Company keeps the data longer, it would be to satisfy legal or regulatory obligations and the Company’s legal basis would be relevant laws or regulations (if Participant is in the EU/EEA) and/or Participant’s consent (if Participant is outside the EU/EEA).</w:t>
      </w:r>
    </w:p>
    <w:p>
      <w:pPr>
        <w:spacing w:after="0" w:line="161" w:lineRule="exact"/>
        <w:rPr>
          <w:rFonts w:ascii="Arial" w:cs="Arial" w:eastAsia="Arial" w:hAnsi="Arial"/>
          <w:sz w:val="16"/>
          <w:szCs w:val="16"/>
          <w:b w:val="1"/>
          <w:bCs w:val="1"/>
          <w:i w:val="1"/>
          <w:iCs w:val="1"/>
          <w:color w:val="auto"/>
        </w:rPr>
      </w:pPr>
    </w:p>
    <w:p>
      <w:pPr>
        <w:ind w:left="-20" w:right="40" w:firstLine="786"/>
        <w:spacing w:after="0" w:line="255" w:lineRule="auto"/>
        <w:tabs>
          <w:tab w:leader="none" w:pos="1047" w:val="left"/>
        </w:tabs>
        <w:numPr>
          <w:ilvl w:val="1"/>
          <w:numId w:val="4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Participant understands that he or she may have a number of rights under data privacy laws in Participant’s jurisdiction. Depending on where Participant is based, such rights may include the right to (i) request access or copies of personal data processed by the Company, (ii) rectification of incorrect data, (iii) deletion of data, (iv) restrictions on processing of data, (v) portability of data, (vi) lodge complaints with competent authorities in Participant’s jurisdiction, and/or (vii) receive a list with the names and addresses of any potential recipients of Participant’s personal data. To receive clarification regarding these rights or to exercise these rights, Participant can contact the Company’s data privacy officer.</w:t>
      </w:r>
    </w:p>
    <w:p>
      <w:pPr>
        <w:spacing w:after="0" w:line="192" w:lineRule="exact"/>
        <w:rPr>
          <w:rFonts w:ascii="Arial" w:cs="Arial" w:eastAsia="Arial" w:hAnsi="Arial"/>
          <w:sz w:val="18"/>
          <w:szCs w:val="18"/>
          <w:b w:val="1"/>
          <w:bCs w:val="1"/>
          <w:i w:val="1"/>
          <w:iCs w:val="1"/>
          <w:color w:val="auto"/>
        </w:rPr>
      </w:pPr>
    </w:p>
    <w:p>
      <w:pPr>
        <w:ind w:left="-20" w:firstLine="786"/>
        <w:spacing w:after="0" w:line="289" w:lineRule="auto"/>
        <w:tabs>
          <w:tab w:leader="none" w:pos="1027" w:val="left"/>
        </w:tabs>
        <w:numPr>
          <w:ilvl w:val="1"/>
          <w:numId w:val="45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Data Privacy Consent</w:t>
      </w:r>
      <w:r>
        <w:rPr>
          <w:rFonts w:ascii="Arial" w:cs="Arial" w:eastAsia="Arial" w:hAnsi="Arial"/>
          <w:sz w:val="16"/>
          <w:szCs w:val="16"/>
          <w:b w:val="1"/>
          <w:bCs w:val="1"/>
          <w:i w:val="1"/>
          <w:iCs w:val="1"/>
          <w:color w:val="auto"/>
        </w:rPr>
        <w:t>. If Participant is located in a jurisdiction outside the EU/EEA, Participant hereby unambiguously consents to the collection, use and transfer, in electronic or other form, of his or her personal data, as described above and in any other grant materials, by and among, as applicable, the Employer, the Company and any affiliate for the exclusive purpose of implementing, administering and managing Participant’s participation in the Plan. Participant understands that he or she may, at any time, refuse or withdraw the consents herein, in any case without cost, by contacting in writing his or her human resources representative. If Participant does not consent or later seeks to revoke his or her consent, Participant’s employment status or service with the Employer will not be affected; the only consequence of refusing or withdrawing consent is that the Company would not be able to grant RSUs or other equity awards to Participant or administer or maintain such awards. Therefore, Participant understands that refusing or withdrawing consent may affect his or her ability to participate in the Plan. For more information on the consequences of refusal to consent or withdrawal of consent, Participant should contact his or her local human resources representative.</w:t>
      </w:r>
    </w:p>
    <w:p>
      <w:pPr>
        <w:spacing w:after="0" w:line="166" w:lineRule="exact"/>
        <w:rPr>
          <w:rFonts w:ascii="Arial" w:cs="Arial" w:eastAsia="Arial" w:hAnsi="Arial"/>
          <w:sz w:val="16"/>
          <w:szCs w:val="16"/>
          <w:b w:val="1"/>
          <w:bCs w:val="1"/>
          <w:i w:val="1"/>
          <w:iCs w:val="1"/>
          <w:color w:val="auto"/>
        </w:rPr>
      </w:pPr>
    </w:p>
    <w:p>
      <w:pPr>
        <w:ind w:left="1280" w:hanging="644"/>
        <w:spacing w:after="0"/>
        <w:tabs>
          <w:tab w:leader="none" w:pos="1280"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p>
    <w:p>
      <w:pPr>
        <w:spacing w:after="0" w:line="225" w:lineRule="exact"/>
        <w:rPr>
          <w:rFonts w:ascii="Arial" w:cs="Arial" w:eastAsia="Arial" w:hAnsi="Arial"/>
          <w:sz w:val="18"/>
          <w:szCs w:val="18"/>
          <w:color w:val="auto"/>
        </w:rPr>
      </w:pPr>
    </w:p>
    <w:p>
      <w:pPr>
        <w:ind w:left="-20" w:right="180" w:firstLine="1304"/>
        <w:spacing w:after="0" w:line="263" w:lineRule="auto"/>
        <w:tabs>
          <w:tab w:leader="none" w:pos="1921" w:val="left"/>
        </w:tabs>
        <w:numPr>
          <w:ilvl w:val="2"/>
          <w:numId w:val="458"/>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184" w:lineRule="exact"/>
        <w:rPr>
          <w:sz w:val="20"/>
          <w:szCs w:val="20"/>
          <w:color w:val="auto"/>
        </w:rPr>
      </w:pPr>
    </w:p>
    <w:p>
      <w:pPr>
        <w:ind w:left="1280" w:right="40"/>
        <w:spacing w:after="0" w:line="279" w:lineRule="auto"/>
        <w:rPr>
          <w:sz w:val="20"/>
          <w:szCs w:val="20"/>
          <w:color w:val="auto"/>
        </w:rPr>
      </w:pPr>
      <w:r>
        <w:rPr>
          <w:rFonts w:ascii="Arial" w:cs="Arial" w:eastAsia="Arial" w:hAnsi="Arial"/>
          <w:sz w:val="17"/>
          <w:szCs w:val="17"/>
          <w:color w:val="auto"/>
        </w:rPr>
        <w:t>THE SECURITIES REPRESENTED HEREBY HAVE NOT BEEN REGISTERED UNDER THE SECURITIES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SHARES REPRESENTED BY THIS CERTIFICATE ARE SUBJECT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502" w:name="page503"/>
    <w:bookmarkEnd w:id="502"/>
    <w:p>
      <w:pPr>
        <w:ind w:left="1280" w:right="60"/>
        <w:spacing w:after="0" w:line="257" w:lineRule="auto"/>
        <w:rPr>
          <w:sz w:val="20"/>
          <w:szCs w:val="20"/>
          <w:color w:val="auto"/>
        </w:rPr>
      </w:pPr>
      <w:r>
        <w:rPr>
          <w:rFonts w:ascii="Arial" w:cs="Arial" w:eastAsia="Arial" w:hAnsi="Arial"/>
          <w:sz w:val="18"/>
          <w:szCs w:val="18"/>
          <w:color w:val="auto"/>
        </w:rPr>
        <w:t>CERTAIN RESTRICTIONS ON TRANSFER AND A RIGHT OF FIRST REFUSAL IN FAVOR OF THE ISSUER OR ITS ASSIGNEE(S) AS SET FORTH IN THE RESTRICTED STOCK UNIT AWARD AGREEMENT BETWEEN THE ISSUER AND THE ORIGINAL HOLDER OF THESE SHARES, A COPY OF WHICH MAY BE OBTAINED AT THE PRINCIPAL OFFICE OF THE ISSUER. SUCH TRANSFER RESTRICTIONS AND RIGHT OF FIRST REFUSAL IN FAVOR OF THE ISSUER OR ITS ASSIGNEE(S) ARE BINDING ON TRANSFEREES OF THESE SHARES</w:t>
      </w:r>
      <w:r>
        <w:rPr>
          <w:rFonts w:ascii="Arial" w:cs="Arial" w:eastAsia="Arial" w:hAnsi="Arial"/>
          <w:sz w:val="17"/>
          <w:szCs w:val="17"/>
          <w:color w:val="auto"/>
        </w:rPr>
        <w:t>.</w:t>
      </w:r>
    </w:p>
    <w:p>
      <w:pPr>
        <w:spacing w:after="0" w:line="188" w:lineRule="exact"/>
        <w:rPr>
          <w:sz w:val="20"/>
          <w:szCs w:val="20"/>
          <w:color w:val="auto"/>
        </w:rPr>
      </w:pPr>
    </w:p>
    <w:p>
      <w:pPr>
        <w:ind w:left="1280" w:right="20"/>
        <w:spacing w:after="0" w:line="257" w:lineRule="auto"/>
        <w:rPr>
          <w:sz w:val="20"/>
          <w:szCs w:val="20"/>
          <w:color w:val="auto"/>
        </w:rPr>
      </w:pPr>
      <w:r>
        <w:rPr>
          <w:rFonts w:ascii="Arial" w:cs="Arial" w:eastAsia="Arial" w:hAnsi="Arial"/>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8" w:lineRule="exact"/>
        <w:rPr>
          <w:sz w:val="20"/>
          <w:szCs w:val="20"/>
          <w:color w:val="auto"/>
        </w:rPr>
      </w:pPr>
    </w:p>
    <w:p>
      <w:pPr>
        <w:ind w:left="-20" w:right="180" w:firstLine="1304"/>
        <w:spacing w:after="0" w:line="263" w:lineRule="auto"/>
        <w:tabs>
          <w:tab w:leader="none" w:pos="1931" w:val="left"/>
        </w:tabs>
        <w:numPr>
          <w:ilvl w:val="1"/>
          <w:numId w:val="459"/>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ind w:left="-20" w:right="80" w:firstLine="1304"/>
        <w:spacing w:after="0" w:line="263" w:lineRule="auto"/>
        <w:tabs>
          <w:tab w:leader="none" w:pos="1935" w:val="left"/>
        </w:tabs>
        <w:numPr>
          <w:ilvl w:val="1"/>
          <w:numId w:val="459"/>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Award Agreement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ind w:left="-20" w:firstLine="656"/>
        <w:spacing w:after="0" w:line="263" w:lineRule="auto"/>
        <w:tabs>
          <w:tab w:leader="none" w:pos="1271"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at CrowdStrike Holdings, Inc. 15440 Laguna Canyon Rd, Ste. 250, Irvine, CA 92618-2142, or at such other address as the Company may hereafter designate in writing.</w:t>
      </w:r>
    </w:p>
    <w:p>
      <w:pPr>
        <w:spacing w:after="0" w:line="183" w:lineRule="exact"/>
        <w:rPr>
          <w:rFonts w:ascii="Arial" w:cs="Arial" w:eastAsia="Arial" w:hAnsi="Arial"/>
          <w:sz w:val="18"/>
          <w:szCs w:val="18"/>
          <w:color w:val="auto"/>
        </w:rPr>
      </w:pPr>
    </w:p>
    <w:p>
      <w:pPr>
        <w:ind w:left="-20" w:right="20" w:firstLine="656"/>
        <w:spacing w:after="0" w:line="279" w:lineRule="auto"/>
        <w:tabs>
          <w:tab w:leader="none" w:pos="1271" w:val="left"/>
        </w:tabs>
        <w:numPr>
          <w:ilvl w:val="0"/>
          <w:numId w:val="460"/>
        </w:numPr>
        <w:rPr>
          <w:rFonts w:ascii="Arial" w:cs="Arial" w:eastAsia="Arial" w:hAnsi="Arial"/>
          <w:sz w:val="17"/>
          <w:szCs w:val="17"/>
          <w:color w:val="auto"/>
        </w:rPr>
      </w:pPr>
      <w:r>
        <w:rPr>
          <w:rFonts w:ascii="Arial" w:cs="Arial" w:eastAsia="Arial" w:hAnsi="Arial"/>
          <w:sz w:val="17"/>
          <w:szCs w:val="17"/>
          <w:u w:val="single" w:color="auto"/>
          <w:color w:val="auto"/>
        </w:rPr>
        <w:t>Electronic Delivery and Acceptance</w:t>
      </w:r>
      <w:r>
        <w:rPr>
          <w:rFonts w:ascii="Arial" w:cs="Arial" w:eastAsia="Arial" w:hAnsi="Arial"/>
          <w:sz w:val="17"/>
          <w:szCs w:val="17"/>
          <w:color w:val="auto"/>
        </w:rPr>
        <w:t>. The Company may, in its sole discretion, decide to deliver any documents related to the RSUs awarded under the Plan or future RSUs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71" w:lineRule="exact"/>
        <w:rPr>
          <w:rFonts w:ascii="Arial" w:cs="Arial" w:eastAsia="Arial" w:hAnsi="Arial"/>
          <w:sz w:val="17"/>
          <w:szCs w:val="17"/>
          <w:color w:val="auto"/>
        </w:rPr>
      </w:pPr>
    </w:p>
    <w:p>
      <w:pPr>
        <w:ind w:left="-20" w:right="40" w:firstLine="656"/>
        <w:spacing w:after="0" w:line="308" w:lineRule="auto"/>
        <w:tabs>
          <w:tab w:leader="none" w:pos="1271" w:val="left"/>
        </w:tabs>
        <w:numPr>
          <w:ilvl w:val="0"/>
          <w:numId w:val="460"/>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RSUs and/or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7"/>
          <w:szCs w:val="17"/>
          <w:color w:val="auto"/>
        </w:rPr>
      </w:pPr>
    </w:p>
    <w:p>
      <w:pPr>
        <w:ind w:left="-20" w:right="300" w:firstLine="656"/>
        <w:spacing w:after="0" w:line="277" w:lineRule="auto"/>
        <w:tabs>
          <w:tab w:leader="none" w:pos="1271"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Award Agreement are severable and if any one or more provisions are determined to be illegal or otherwise 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jc w:val="both"/>
        <w:ind w:left="-20" w:right="100" w:firstLine="656"/>
        <w:spacing w:after="0" w:line="263" w:lineRule="auto"/>
        <w:tabs>
          <w:tab w:leader="none" w:pos="1271"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Country-Specific Provisions</w:t>
      </w:r>
      <w:r>
        <w:rPr>
          <w:rFonts w:ascii="Arial" w:cs="Arial" w:eastAsia="Arial" w:hAnsi="Arial"/>
          <w:sz w:val="18"/>
          <w:szCs w:val="18"/>
          <w:color w:val="auto"/>
        </w:rPr>
        <w:t>. The RSUs shall be subject to special terms and conditions set forth in Exhibit B to this Award Agreement. Moreover, if Participant relocates to one of the countries included in Exhibit B, the special terms and conditions for such country will apply to Participant, to the extent the Company determines that the application of such terms and conditions is necessary or advisable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53275"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40" w:top="341" w:right="359" w:bottom="1440" w:gutter="0" w:footer="0" w:header="0"/>
        </w:sectPr>
      </w:pPr>
    </w:p>
    <w:bookmarkStart w:id="503" w:name="page504"/>
    <w:bookmarkEnd w:id="503"/>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 legal or administrative reasons.</w:t>
      </w:r>
    </w:p>
    <w:p>
      <w:pPr>
        <w:spacing w:after="0" w:line="225" w:lineRule="exact"/>
        <w:rPr>
          <w:sz w:val="20"/>
          <w:szCs w:val="20"/>
          <w:color w:val="auto"/>
        </w:rPr>
      </w:pPr>
    </w:p>
    <w:p>
      <w:pPr>
        <w:jc w:val="both"/>
        <w:ind w:right="100" w:firstLine="656"/>
        <w:spacing w:after="0" w:line="259" w:lineRule="auto"/>
        <w:tabs>
          <w:tab w:leader="none" w:pos="1291"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291" w:val="left"/>
        </w:tabs>
        <w:numPr>
          <w:ilvl w:val="0"/>
          <w:numId w:val="461"/>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71" w:lineRule="exact"/>
        <w:rPr>
          <w:rFonts w:ascii="Arial" w:cs="Arial" w:eastAsia="Arial" w:hAnsi="Arial"/>
          <w:sz w:val="17"/>
          <w:szCs w:val="17"/>
          <w:color w:val="auto"/>
        </w:rPr>
      </w:pPr>
    </w:p>
    <w:p>
      <w:pPr>
        <w:ind w:firstLine="656"/>
        <w:spacing w:after="0" w:line="311" w:lineRule="auto"/>
        <w:tabs>
          <w:tab w:leader="none" w:pos="1291"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48" w:lineRule="exact"/>
        <w:rPr>
          <w:rFonts w:ascii="Arial" w:cs="Arial" w:eastAsia="Arial" w:hAnsi="Arial"/>
          <w:sz w:val="16"/>
          <w:szCs w:val="16"/>
          <w:color w:val="auto"/>
        </w:rPr>
      </w:pPr>
    </w:p>
    <w:p>
      <w:pPr>
        <w:ind w:right="20" w:firstLine="656"/>
        <w:spacing w:after="0" w:line="271" w:lineRule="auto"/>
        <w:tabs>
          <w:tab w:leader="none" w:pos="1291" w:val="left"/>
        </w:tabs>
        <w:numPr>
          <w:ilvl w:val="0"/>
          <w:numId w:val="461"/>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or qualification of the Shares upon any securities exchange or under any state,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or foreign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federal or foreign law or securities exchange and to obtain any such consent or approval of any such governmental authority.</w:t>
      </w:r>
    </w:p>
    <w:p>
      <w:pPr>
        <w:spacing w:after="0" w:line="178" w:lineRule="exact"/>
        <w:rPr>
          <w:rFonts w:ascii="Arial" w:cs="Arial" w:eastAsia="Arial" w:hAnsi="Arial"/>
          <w:sz w:val="17"/>
          <w:szCs w:val="17"/>
          <w:color w:val="auto"/>
        </w:rPr>
      </w:pPr>
    </w:p>
    <w:p>
      <w:pPr>
        <w:ind w:right="80" w:firstLine="656"/>
        <w:spacing w:after="0" w:line="254" w:lineRule="auto"/>
        <w:tabs>
          <w:tab w:leader="none" w:pos="1291"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r>
        <w:rPr>
          <w:rFonts w:ascii="Arial" w:cs="Arial" w:eastAsia="Arial" w:hAnsi="Arial"/>
          <w:sz w:val="18"/>
          <w:szCs w:val="18"/>
          <w:color w:val="auto"/>
        </w:rPr>
        <w:t>. Participant may be subject to insider trading restrictions and/or market abuse laws in applicable jurisdictions including, but not limited to the United States and Participant’s country of residence, which may affect his or her ability to accept, acquire, sell or otherwise dispose of Shares or rights to Shares or rights linked to the value of Shares during such times as Participant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speak to his or her personal advisor on this matter.</w:t>
      </w:r>
    </w:p>
    <w:p>
      <w:pPr>
        <w:spacing w:after="0" w:line="194" w:lineRule="exact"/>
        <w:rPr>
          <w:rFonts w:ascii="Arial" w:cs="Arial" w:eastAsia="Arial" w:hAnsi="Arial"/>
          <w:sz w:val="18"/>
          <w:szCs w:val="18"/>
          <w:color w:val="auto"/>
        </w:rPr>
      </w:pPr>
    </w:p>
    <w:p>
      <w:pPr>
        <w:ind w:right="180" w:firstLine="656"/>
        <w:spacing w:after="0" w:line="275" w:lineRule="auto"/>
        <w:tabs>
          <w:tab w:leader="none" w:pos="1291" w:val="left"/>
        </w:tabs>
        <w:numPr>
          <w:ilvl w:val="0"/>
          <w:numId w:val="461"/>
        </w:numPr>
        <w:rPr>
          <w:rFonts w:ascii="Arial" w:cs="Arial" w:eastAsia="Arial" w:hAnsi="Arial"/>
          <w:sz w:val="17"/>
          <w:szCs w:val="17"/>
          <w:color w:val="auto"/>
        </w:rPr>
      </w:pPr>
      <w:r>
        <w:rPr>
          <w:rFonts w:ascii="Arial" w:cs="Arial" w:eastAsia="Arial" w:hAnsi="Arial"/>
          <w:sz w:val="17"/>
          <w:szCs w:val="17"/>
          <w:u w:val="single" w:color="auto"/>
          <w:color w:val="auto"/>
        </w:rPr>
        <w:t>Foreign Asset/Account and Exchange Control Requirements</w:t>
      </w:r>
      <w:r>
        <w:rPr>
          <w:rFonts w:ascii="Arial" w:cs="Arial" w:eastAsia="Arial" w:hAnsi="Arial"/>
          <w:sz w:val="17"/>
          <w:szCs w:val="17"/>
          <w:color w:val="auto"/>
        </w:rPr>
        <w:t>. Participant acknowledges that there may be certain foreign asset and/or account reporting requirements or exchange control restrictions which may affect Participant’s ability to acquire or hold Shares or cash received from participating in the Plan (including the proceeds from the sale of Shares and any dividends paid on Shares) in a brokerage or bank account outside Participant’s country. Participant may be required to report such accounts, assets or related transactions to the tax, exchange control or other authorities in his or her country. Participant also may be required to repatriate sale proceeds or other funds received as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result of participating in the Plan to Participant’s country within a certain time after receipt.</w:t>
      </w:r>
    </w:p>
    <w:p>
      <w:pPr>
        <w:spacing w:after="0" w:line="225" w:lineRule="exact"/>
        <w:rPr>
          <w:sz w:val="20"/>
          <w:szCs w:val="20"/>
          <w:color w:val="auto"/>
        </w:rPr>
      </w:pPr>
    </w:p>
    <w:p>
      <w:pPr>
        <w:ind w:firstLine="656"/>
        <w:spacing w:after="0" w:line="296" w:lineRule="auto"/>
        <w:tabs>
          <w:tab w:leader="none" w:pos="1291" w:val="left"/>
        </w:tabs>
        <w:numPr>
          <w:ilvl w:val="0"/>
          <w:numId w:val="462"/>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RSUs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61" w:lineRule="exact"/>
        <w:rPr>
          <w:rFonts w:ascii="Arial" w:cs="Arial" w:eastAsia="Arial" w:hAnsi="Arial"/>
          <w:sz w:val="16"/>
          <w:szCs w:val="16"/>
          <w:color w:val="auto"/>
        </w:rPr>
      </w:pPr>
    </w:p>
    <w:p>
      <w:pPr>
        <w:ind w:right="100" w:firstLine="656"/>
        <w:spacing w:after="0" w:line="293" w:lineRule="auto"/>
        <w:tabs>
          <w:tab w:leader="none" w:pos="1291" w:val="left"/>
        </w:tabs>
        <w:numPr>
          <w:ilvl w:val="0"/>
          <w:numId w:val="462"/>
        </w:numPr>
        <w:rPr>
          <w:rFonts w:ascii="Arial" w:cs="Arial" w:eastAsia="Arial" w:hAnsi="Arial"/>
          <w:sz w:val="16"/>
          <w:szCs w:val="16"/>
          <w:color w:val="auto"/>
        </w:rPr>
      </w:pPr>
      <w:r>
        <w:rPr>
          <w:rFonts w:ascii="Arial" w:cs="Arial" w:eastAsia="Arial" w:hAnsi="Arial"/>
          <w:sz w:val="16"/>
          <w:szCs w:val="16"/>
          <w:u w:val="single" w:color="auto"/>
          <w:color w:val="auto"/>
        </w:rPr>
        <w:t>Modifications to the Award Agreement</w:t>
      </w:r>
      <w:r>
        <w:rPr>
          <w:rFonts w:ascii="Arial" w:cs="Arial" w:eastAsia="Arial" w:hAnsi="Arial"/>
          <w:sz w:val="16"/>
          <w:szCs w:val="16"/>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64" w:lineRule="exact"/>
        <w:rPr>
          <w:rFonts w:ascii="Arial" w:cs="Arial" w:eastAsia="Arial" w:hAnsi="Arial"/>
          <w:sz w:val="16"/>
          <w:szCs w:val="16"/>
          <w:color w:val="auto"/>
        </w:rPr>
      </w:pPr>
    </w:p>
    <w:p>
      <w:pPr>
        <w:ind w:right="40" w:firstLine="656"/>
        <w:spacing w:after="0" w:line="271" w:lineRule="auto"/>
        <w:tabs>
          <w:tab w:leader="none" w:pos="1291" w:val="left"/>
        </w:tabs>
        <w:numPr>
          <w:ilvl w:val="0"/>
          <w:numId w:val="462"/>
        </w:numPr>
        <w:rPr>
          <w:rFonts w:ascii="Arial" w:cs="Arial" w:eastAsia="Arial" w:hAnsi="Arial"/>
          <w:sz w:val="17"/>
          <w:szCs w:val="17"/>
          <w:color w:val="auto"/>
        </w:rPr>
      </w:pPr>
      <w:r>
        <w:rPr>
          <w:rFonts w:ascii="Arial" w:cs="Arial" w:eastAsia="Arial" w:hAnsi="Arial"/>
          <w:sz w:val="17"/>
          <w:szCs w:val="17"/>
          <w:u w:val="single" w:color="auto"/>
          <w:color w:val="auto"/>
        </w:rPr>
        <w:t>Governing Law and Venue</w:t>
      </w:r>
      <w:r>
        <w:rPr>
          <w:rFonts w:ascii="Arial" w:cs="Arial" w:eastAsia="Arial" w:hAnsi="Arial"/>
          <w:sz w:val="17"/>
          <w:szCs w:val="17"/>
          <w:color w:val="auto"/>
        </w:rPr>
        <w:t>. This Award Agreement is governed by the internal substantive laws, but not the choice of law rules, of Delaware. Any and all disputes relating to, concerning or arising from this Award Agreement, or relating to, concerning or arising from the relationship between the parties evidenced by the RSUs or this Award Agreement, shall be brought and heard exclusively in the United States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78" w:lineRule="exact"/>
        <w:rPr>
          <w:rFonts w:ascii="Arial" w:cs="Arial" w:eastAsia="Arial" w:hAnsi="Arial"/>
          <w:sz w:val="17"/>
          <w:szCs w:val="17"/>
          <w:color w:val="auto"/>
        </w:rPr>
      </w:pPr>
    </w:p>
    <w:p>
      <w:pPr>
        <w:ind w:right="80" w:firstLine="656"/>
        <w:spacing w:after="0" w:line="259" w:lineRule="auto"/>
        <w:tabs>
          <w:tab w:leader="none" w:pos="1291"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is incorporated herein by reference. The Plan and this Award Agreement (including the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18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Participant acknowledges receipt of a copy of the Plan and represents that he or she is familiar with the terms and provisions thereof, and hereby accepts this Award Agreement subject to all of the terms and provisions thereof.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Committee upon any questions</w:t>
      </w:r>
    </w:p>
    <w:p>
      <w:pPr>
        <w:sectPr>
          <w:pgSz w:w="11900" w:h="16841" w:orient="portrait"/>
          <w:cols w:equalWidth="0" w:num="1">
            <w:col w:w="11240"/>
          </w:cols>
          <w:pgMar w:left="320" w:top="341" w:right="339" w:bottom="0" w:gutter="0" w:footer="0" w:header="0"/>
        </w:sectPr>
      </w:pPr>
    </w:p>
    <w:bookmarkStart w:id="504" w:name="page505"/>
    <w:bookmarkEnd w:id="504"/>
    <w:p>
      <w:pPr>
        <w:spacing w:after="0" w:line="277" w:lineRule="auto"/>
        <w:rPr>
          <w:sz w:val="20"/>
          <w:szCs w:val="20"/>
          <w:color w:val="auto"/>
        </w:rPr>
      </w:pPr>
      <w:r>
        <w:rPr>
          <w:rFonts w:ascii="Arial" w:cs="Arial" w:eastAsia="Arial" w:hAnsi="Arial"/>
          <w:sz w:val="18"/>
          <w:szCs w:val="18"/>
          <w:color w:val="auto"/>
        </w:rPr>
        <w:t>arising under the Plan or this Award Agreement. Participant further agrees to notify the Company upon any change in the residence address indicated below.</w:t>
      </w:r>
    </w:p>
    <w:p>
      <w:pPr>
        <w:spacing w:after="0" w:line="1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00"/>
          </w:cols>
          <w:pgMar w:left="320" w:top="125" w:right="779" w:bottom="1440" w:gutter="0" w:footer="0" w:header="0"/>
        </w:sectPr>
      </w:pPr>
    </w:p>
    <w:bookmarkStart w:id="505" w:name="page506"/>
    <w:bookmarkEnd w:id="505"/>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PARTICIPANT:</w:t>
            </w:r>
          </w:p>
        </w:tc>
        <w:tc>
          <w:tcPr>
            <w:tcW w:w="46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CROWDSTRIKE HOLDINGS, INC.</w:t>
            </w:r>
          </w:p>
        </w:tc>
        <w:tc>
          <w:tcPr>
            <w:tcW w:w="40" w:type="dxa"/>
            <w:vAlign w:val="bottom"/>
          </w:tcPr>
          <w:p>
            <w:pPr>
              <w:spacing w:after="0"/>
              <w:rPr>
                <w:sz w:val="20"/>
                <w:szCs w:val="20"/>
                <w:color w:val="auto"/>
              </w:rPr>
            </w:pPr>
          </w:p>
        </w:tc>
      </w:tr>
      <w:tr>
        <w:trPr>
          <w:trHeight w:val="432"/>
        </w:trPr>
        <w:tc>
          <w:tcPr>
            <w:tcW w:w="13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40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4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19"/>
                <w:szCs w:val="19"/>
                <w:color w:val="auto"/>
              </w:rPr>
            </w:pPr>
          </w:p>
        </w:tc>
      </w:tr>
      <w:tr>
        <w:trPr>
          <w:trHeight w:val="418"/>
        </w:trPr>
        <w:tc>
          <w:tcPr>
            <w:tcW w:w="13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540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46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9"/>
                <w:szCs w:val="19"/>
                <w:color w:val="auto"/>
              </w:rPr>
            </w:pPr>
          </w:p>
        </w:tc>
      </w:tr>
      <w:tr>
        <w:trPr>
          <w:trHeight w:val="377"/>
        </w:trPr>
        <w:tc>
          <w:tcPr>
            <w:tcW w:w="5400" w:type="dxa"/>
            <w:vAlign w:val="bottom"/>
            <w:gridSpan w:val="2"/>
          </w:tcPr>
          <w:p>
            <w:pPr>
              <w:spacing w:after="0"/>
              <w:rPr>
                <w:sz w:val="20"/>
                <w:szCs w:val="20"/>
                <w:color w:val="auto"/>
              </w:rPr>
            </w:pPr>
            <w:r>
              <w:rPr>
                <w:rFonts w:ascii="Arial" w:cs="Arial" w:eastAsia="Arial" w:hAnsi="Arial"/>
                <w:sz w:val="18"/>
                <w:szCs w:val="18"/>
                <w:color w:val="auto"/>
              </w:rPr>
              <w:t>Residence Address:</w:t>
            </w: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84"/>
        </w:trPr>
        <w:tc>
          <w:tcPr>
            <w:tcW w:w="138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80" w:type="dxa"/>
            <w:vAlign w:val="bottom"/>
            <w:tcBorders>
              <w:bottom w:val="single" w:sz="8" w:color="808080"/>
            </w:tcBorders>
          </w:tcPr>
          <w:p>
            <w:pPr>
              <w:spacing w:after="0"/>
              <w:rPr>
                <w:sz w:val="11"/>
                <w:szCs w:val="11"/>
                <w:color w:val="auto"/>
              </w:rPr>
            </w:pPr>
          </w:p>
        </w:tc>
        <w:tc>
          <w:tcPr>
            <w:tcW w:w="40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506" w:name="page507"/>
    <w:bookmarkEnd w:id="506"/>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48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EXHIBIT A</w:t>
            </w:r>
          </w:p>
        </w:tc>
      </w:tr>
      <w:tr>
        <w:trPr>
          <w:trHeight w:val="20"/>
        </w:trPr>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53"/>
        </w:trPr>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2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PARTICIPANT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COMPANY</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gridSpan w:val="3"/>
          </w:tcPr>
          <w:p>
            <w:pPr>
              <w:ind w:left="320"/>
              <w:spacing w:after="0"/>
              <w:rPr>
                <w:sz w:val="20"/>
                <w:szCs w:val="20"/>
                <w:color w:val="auto"/>
              </w:rPr>
            </w:pPr>
            <w:r>
              <w:rPr>
                <w:rFonts w:ascii="Arial" w:cs="Arial" w:eastAsia="Arial" w:hAnsi="Arial"/>
                <w:sz w:val="18"/>
                <w:szCs w:val="18"/>
                <w:color w:val="auto"/>
              </w:rPr>
              <w:t>CROWDSTRIKE HOLDINGS, INC.</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SECURITY</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20" w:type="dxa"/>
            <w:vAlign w:val="bottom"/>
            <w:gridSpan w:val="3"/>
          </w:tcPr>
          <w:p>
            <w:pPr>
              <w:ind w:left="320"/>
              <w:spacing w:after="0"/>
              <w:rPr>
                <w:sz w:val="20"/>
                <w:szCs w:val="20"/>
                <w:color w:val="auto"/>
              </w:rPr>
            </w:pPr>
            <w:r>
              <w:rPr>
                <w:rFonts w:ascii="Arial" w:cs="Arial" w:eastAsia="Arial" w:hAnsi="Arial"/>
                <w:sz w:val="18"/>
                <w:szCs w:val="18"/>
                <w:color w:val="auto"/>
              </w:rPr>
              <w:t>COMMON STOCK</w:t>
            </w: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AMOUNT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receipt of the above-listed Securities, the undersigned Participant represents to the Company the following:</w:t>
      </w:r>
    </w:p>
    <w:p>
      <w:pPr>
        <w:spacing w:after="0" w:line="225" w:lineRule="exact"/>
        <w:rPr>
          <w:sz w:val="20"/>
          <w:szCs w:val="20"/>
          <w:color w:val="auto"/>
        </w:rPr>
      </w:pPr>
    </w:p>
    <w:p>
      <w:pPr>
        <w:ind w:right="60" w:firstLine="1304"/>
        <w:spacing w:after="0" w:line="259" w:lineRule="auto"/>
        <w:tabs>
          <w:tab w:leader="none" w:pos="1941"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U.S. Securities Act of 1933, as amended (the “Securities Act”).</w:t>
      </w:r>
    </w:p>
    <w:p>
      <w:pPr>
        <w:spacing w:after="0" w:line="186" w:lineRule="exact"/>
        <w:rPr>
          <w:rFonts w:ascii="Arial" w:cs="Arial" w:eastAsia="Arial" w:hAnsi="Arial"/>
          <w:sz w:val="18"/>
          <w:szCs w:val="18"/>
          <w:color w:val="auto"/>
        </w:rPr>
      </w:pPr>
    </w:p>
    <w:p>
      <w:pPr>
        <w:ind w:firstLine="1304"/>
        <w:spacing w:after="0" w:line="289" w:lineRule="auto"/>
        <w:tabs>
          <w:tab w:leader="none" w:pos="1951" w:val="left"/>
        </w:tabs>
        <w:numPr>
          <w:ilvl w:val="0"/>
          <w:numId w:val="463"/>
        </w:numPr>
        <w:rPr>
          <w:rFonts w:ascii="Arial" w:cs="Arial" w:eastAsia="Arial" w:hAnsi="Arial"/>
          <w:sz w:val="16"/>
          <w:szCs w:val="16"/>
          <w:color w:val="auto"/>
        </w:rPr>
      </w:pPr>
      <w:r>
        <w:rPr>
          <w:rFonts w:ascii="Arial" w:cs="Arial" w:eastAsia="Arial" w:hAnsi="Arial"/>
          <w:sz w:val="16"/>
          <w:szCs w:val="16"/>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66" w:lineRule="exact"/>
        <w:rPr>
          <w:rFonts w:ascii="Arial" w:cs="Arial" w:eastAsia="Arial" w:hAnsi="Arial"/>
          <w:sz w:val="16"/>
          <w:szCs w:val="16"/>
          <w:color w:val="auto"/>
        </w:rPr>
      </w:pPr>
    </w:p>
    <w:p>
      <w:pPr>
        <w:ind w:right="40" w:firstLine="1304"/>
        <w:spacing w:after="0" w:line="253" w:lineRule="auto"/>
        <w:tabs>
          <w:tab w:leader="none" w:pos="195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Restricted Stock Award to Participant, the exercise shall be exempt from registration under the Securities Act. In the event the Company becomes subject to the reporting requirements of Section 13 or 15(d) of the U.S. Securities Exchange Act of 1934, as amended (the “Exchange Act”),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153275"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07" w:name="page508"/>
    <w:bookmarkEnd w:id="507"/>
    <w:p>
      <w:pPr>
        <w:ind w:right="360"/>
        <w:spacing w:after="0" w:line="277" w:lineRule="auto"/>
        <w:rPr>
          <w:sz w:val="20"/>
          <w:szCs w:val="20"/>
          <w:color w:val="auto"/>
        </w:rPr>
      </w:pPr>
      <w:r>
        <w:rPr>
          <w:rFonts w:ascii="Arial" w:cs="Arial" w:eastAsia="Arial" w:hAnsi="Arial"/>
          <w:sz w:val="18"/>
          <w:szCs w:val="18"/>
          <w:color w:val="auto"/>
        </w:rPr>
        <w:t>transactions directly with a “market maker” or “riskless principal transactions” (as those terms are defined under the Exchange Act) and (4) the timely filing of a Form 144, if applicable.</w:t>
      </w:r>
    </w:p>
    <w:p>
      <w:pPr>
        <w:spacing w:after="0" w:line="170" w:lineRule="exact"/>
        <w:rPr>
          <w:sz w:val="20"/>
          <w:szCs w:val="20"/>
          <w:color w:val="auto"/>
        </w:rPr>
      </w:pPr>
    </w:p>
    <w:p>
      <w:pPr>
        <w:ind w:right="40" w:firstLine="1296"/>
        <w:spacing w:after="0" w:line="287" w:lineRule="auto"/>
        <w:rPr>
          <w:sz w:val="20"/>
          <w:szCs w:val="20"/>
          <w:color w:val="auto"/>
        </w:rPr>
      </w:pPr>
      <w:r>
        <w:rPr>
          <w:rFonts w:ascii="Arial" w:cs="Arial" w:eastAsia="Arial" w:hAnsi="Arial"/>
          <w:sz w:val="16"/>
          <w:szCs w:val="16"/>
          <w:color w:val="auto"/>
        </w:rPr>
        <w:t>In the event that the Company does not qualify under Rule 701 at the time of grant of the RSU Award,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w:t>
      </w:r>
    </w:p>
    <w:p>
      <w:pPr>
        <w:spacing w:after="0" w:line="2" w:lineRule="exact"/>
        <w:rPr>
          <w:sz w:val="20"/>
          <w:szCs w:val="20"/>
          <w:color w:val="auto"/>
        </w:rPr>
      </w:pPr>
    </w:p>
    <w:p>
      <w:pPr>
        <w:ind w:right="160" w:firstLine="8"/>
        <w:spacing w:after="0" w:line="260" w:lineRule="auto"/>
        <w:tabs>
          <w:tab w:leader="none" w:pos="31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in the case of the sale of Securities by an affiliate, the satisfaction of the conditions set forth in sections (2), (3) and (4) of the paragraph immediately above.</w:t>
      </w:r>
    </w:p>
    <w:p>
      <w:pPr>
        <w:spacing w:after="0" w:line="185" w:lineRule="exact"/>
        <w:rPr>
          <w:rFonts w:ascii="Arial" w:cs="Arial" w:eastAsia="Arial" w:hAnsi="Arial"/>
          <w:sz w:val="18"/>
          <w:szCs w:val="18"/>
          <w:color w:val="auto"/>
        </w:rPr>
      </w:pPr>
    </w:p>
    <w:p>
      <w:pPr>
        <w:ind w:firstLine="1304"/>
        <w:spacing w:after="0" w:line="254" w:lineRule="auto"/>
        <w:tabs>
          <w:tab w:leader="none" w:pos="1951" w:val="left"/>
        </w:tabs>
        <w:numPr>
          <w:ilvl w:val="1"/>
          <w:numId w:val="464"/>
        </w:numPr>
        <w:rPr>
          <w:rFonts w:ascii="Arial" w:cs="Arial" w:eastAsia="Arial" w:hAnsi="Arial"/>
          <w:sz w:val="18"/>
          <w:szCs w:val="18"/>
          <w:color w:val="auto"/>
        </w:rPr>
      </w:pPr>
      <w:r>
        <w:rPr>
          <w:rFonts w:ascii="Arial" w:cs="Arial" w:eastAsia="Arial" w:hAnsi="Arial"/>
          <w:sz w:val="18"/>
          <w:szCs w:val="18"/>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08" w:name="page509"/>
    <w:bookmarkEnd w:id="508"/>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RESTRICTED STOCK UNIT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COUNTRY-SPECIFIC PROVISIONS FOR PARTICIPANTS OUTSIDE THE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These Country-Specific Terms and Conditions (“Country-Specific Terms”) include additional terms and conditions that govern the RSUs granted to Participant under the Plan if he or she is in one of the countries listed below. If Participant is a citizen or resident (or is considered as such for local law purposes) of a country other than the country in which Participant is currently residing and/or working, or if Participant relocates to another country after the grant of the RSUs, the Company shall, in its discretion, determine to what extent the Country-Specific Terms contained herein shall be applicable to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These Country-Specific Terms may also include information regarding exchange controls and certain other issues of which Participant should be aware with respect to participation in the Plan. The information is based on the securities, exchange control, and other laws in effect in the respective countries as of September 2018. Such laws are often complex and change frequently. As a result, the Company strongly recommends that Participant not rely on the information in these Country-Specific Terms as the only source of information relating to the consequences of his or her participation in the Plan because the information may be out of date at the time Participant vests in the RSUs or sells Shares acquired under the Plan.</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Participant’s situation.</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Finally, if Participant is a citizen or resident (or is considered as such for local law purposes) of a country other than the country in which Participant is currently residing and/or working, or if Participant relocates to another country after the grant of the RSUs, the notifications contained herein may not be applicable to Participant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9" w:name="page510"/>
    <w:bookmarkEnd w:id="509"/>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u w:val="single" w:color="auto"/>
          <w:color w:val="auto"/>
        </w:rPr>
        <w:t>Tax Information</w:t>
      </w:r>
      <w:r>
        <w:rPr>
          <w:rFonts w:ascii="Arial" w:cs="Arial" w:eastAsia="Arial" w:hAnsi="Arial"/>
          <w:sz w:val="18"/>
          <w:szCs w:val="18"/>
          <w:color w:val="auto"/>
        </w:rPr>
        <w:t>. The Plan is a plan to which Subdivision 83A-C of the Income Tax Assessment Act 1997 (Cth) applies (subject to the conditions in the Act).</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There are legal consequences associated with participating in the Plan. Participant should ensure that Participant understands these consequences before participating in the Plan. Any information given by or on behalf of the Company is general information only. </w:t>
      </w:r>
      <w:r>
        <w:rPr>
          <w:rFonts w:ascii="Arial" w:cs="Arial" w:eastAsia="Arial" w:hAnsi="Arial"/>
          <w:sz w:val="18"/>
          <w:szCs w:val="18"/>
          <w:i w:val="1"/>
          <w:iCs w:val="1"/>
          <w:color w:val="auto"/>
        </w:rPr>
        <w:t>Participant should obtain his or her own financial product advice from an independent person who is licensed by the Australian Securities and Investments Commission (“ASIC”) to give advice about participating in the Plan.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grant of RSUs under the terms of the Plan and the Award Agreement does not require disclosure under </w:t>
      </w:r>
      <w:r>
        <w:rPr>
          <w:rFonts w:ascii="Arial" w:cs="Arial" w:eastAsia="Arial" w:hAnsi="Arial"/>
          <w:sz w:val="16"/>
          <w:szCs w:val="16"/>
          <w:i w:val="1"/>
          <w:iCs w:val="1"/>
          <w:color w:val="auto"/>
        </w:rPr>
        <w:t>Corporations Act 2001</w:t>
      </w:r>
      <w:r>
        <w:rPr>
          <w:rFonts w:ascii="Arial" w:cs="Arial" w:eastAsia="Arial" w:hAnsi="Arial"/>
          <w:sz w:val="16"/>
          <w:szCs w:val="16"/>
          <w:color w:val="auto"/>
        </w:rPr>
        <w:t xml:space="preserve"> (Cth) (the “Corporations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Act”). No document provided to Participant in connection with his or her participation in the Plan (including the Award Agreement and this Exhibit B):</w:t>
      </w:r>
    </w:p>
    <w:p>
      <w:pPr>
        <w:spacing w:after="0" w:line="222" w:lineRule="exact"/>
        <w:rPr>
          <w:sz w:val="20"/>
          <w:szCs w:val="20"/>
          <w:color w:val="auto"/>
        </w:rPr>
      </w:pPr>
    </w:p>
    <w:p>
      <w:pPr>
        <w:ind w:left="620" w:hanging="288"/>
        <w:spacing w:after="0"/>
        <w:tabs>
          <w:tab w:leader="none" w:pos="6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is a prospectus for purposes of the Corporations Act; or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has been filed or reviewed by a regulatory in Australia (including ASIC).</w:t>
      </w:r>
    </w:p>
    <w:p>
      <w:pPr>
        <w:spacing w:after="0" w:line="22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Participant should not rely on any oral statements made in connection with his or her participation in the Plan. Participant should rely only upon the statements contained in the Award Agreement, including this Exhibit B, when considering whether to participate in the Plan.</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event that Shares are issued to Participant under the Plan, the value of any Shares will be affected by the Australian / United States Dollar exchange rate, in addition to fluctuations in values caused by the fortunes of the Company.</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If Participants offers any Shares for sale to any person or entity resident in Australia, the offer may be subject to disclosure requirements under Australian law. </w:t>
      </w:r>
      <w:r>
        <w:rPr>
          <w:rFonts w:ascii="Arial" w:cs="Arial" w:eastAsia="Arial" w:hAnsi="Arial"/>
          <w:sz w:val="18"/>
          <w:szCs w:val="18"/>
          <w:i w:val="1"/>
          <w:iCs w:val="1"/>
          <w:color w:val="auto"/>
        </w:rPr>
        <w:t>Participant should consult with his or her personal legal advisor prior to making any such offer to ensure compliance with the applicable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The following provision supplements Section 2 and 8 of the Award Agreement: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Notwithstanding any discretion contained in the Plan and the Award Agreement, the RSUs will not be settled in cash or a combination of cash and Shares. The RSUs will be settled only in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The following provision replaces Section 18(i) of the Award Agreement: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purposes of the RSUs, Participant’s employment or service will be considered terminated as of the date that is the earlier of (i) the date of Participant’s termination, (ii) the date Participant receives notice of termination, or (iii) the date Participant is no longer actively providing services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active service would not include any contractual notice period or any period of “garden leave” or similar period mandated under Canadian laws or the terms of Participant’s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0" w:name="page511"/>
    <w:bookmarkEnd w:id="510"/>
    <w:p>
      <w:pPr>
        <w:ind w:right="60"/>
        <w:spacing w:after="0" w:line="293" w:lineRule="auto"/>
        <w:rPr>
          <w:sz w:val="20"/>
          <w:szCs w:val="20"/>
          <w:color w:val="auto"/>
        </w:rPr>
      </w:pPr>
      <w:r>
        <w:rPr>
          <w:rFonts w:ascii="Arial" w:cs="Arial" w:eastAsia="Arial" w:hAnsi="Arial"/>
          <w:sz w:val="16"/>
          <w:szCs w:val="16"/>
          <w:color w:val="auto"/>
        </w:rPr>
        <w:t>employment agreement, if any), regardless of the reason for such termination and whether or not later found to be invalid or in breach of employment laws in the jurisdiction where Participant is employed or the terms of his or her employment agreement, if any; unless otherwise expressly provided in this Award Agreement or determined by the Company, Participant’s right to vest in the RSUs under the Plan, if any, will terminate as of such date; in the event that the date the Participant is no longer actively providing services cannot be reasonably determined under the terms of this Award Agreement and the Plan, the Committee shall have the exclusive discretion to determine when Participant is no longer actively providing services for purposes of his or her RSU grant (including whether Participant may still be considered to be providing services while on a leave of absence);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following provisions apply to residents of Quebec:</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u w:val="single" w:color="auto"/>
          <w:color w:val="auto"/>
        </w:rPr>
        <w:t>Language Consent</w:t>
      </w:r>
      <w:r>
        <w:rPr>
          <w:rFonts w:ascii="Arial" w:cs="Arial" w:eastAsia="Arial" w:hAnsi="Arial"/>
          <w:sz w:val="17"/>
          <w:szCs w:val="17"/>
          <w:color w:val="auto"/>
        </w:rPr>
        <w:t>. The parties acknowledge that it is their express wish that the Award Agreement, as well as all documents, notices and legal proceedings entered into, given or instituted pursuant hereto or relating directly or indirectly hereto, be drawn up in English.</w:t>
      </w:r>
    </w:p>
    <w:p>
      <w:pPr>
        <w:spacing w:after="0" w:line="14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u w:val="single" w:color="auto"/>
          <w:color w:val="auto"/>
        </w:rPr>
        <w:t>Consentement à la Langue Utilisée</w:t>
      </w:r>
      <w:r>
        <w:rPr>
          <w:rFonts w:ascii="Arial" w:cs="Arial" w:eastAsia="Arial" w:hAnsi="Arial"/>
          <w:sz w:val="18"/>
          <w:szCs w:val="18"/>
          <w:i w:val="1"/>
          <w:iCs w:val="1"/>
          <w:color w:val="auto"/>
        </w:rPr>
        <w:t>. Les parties reconnaissent avoir expressément souhaité que la convention, ainsi que tous les documents, avis et procédures judiciaires, exécutés, donnés ou intentés en vertu de, ou liés, directement ou indirectement à la présente convention, soient rédigés en langue anglaise.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The following provision supplements Section 19 of the Award Agreement: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Participant authorizes the Company and the Company’s representatives to discuss with and obtain all relevant information from all personnel, professional or non-professional, involved with the administration of the Plan. Participant further authorizes the Company, any Parent or Subsidiary of the Company, the Employer, or any stock plan service provider as may be selected by the Company from time to time to assist with the Plan, to disclose and discuss the Plan with their advisors. Participant also authorizes the Company and the Employer to record such information and to keep such information in Participant’s employee file.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sale of Shares acquired under the Plan may not take place in Canada.</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u w:val="single" w:color="auto"/>
          <w:color w:val="auto"/>
        </w:rPr>
        <w:t>Foreign Asset and Account Reporting Information</w:t>
      </w:r>
      <w:r>
        <w:rPr>
          <w:rFonts w:ascii="Arial" w:cs="Arial" w:eastAsia="Arial" w:hAnsi="Arial"/>
          <w:sz w:val="17"/>
          <w:szCs w:val="17"/>
          <w:color w:val="auto"/>
        </w:rPr>
        <w:t>. Canadian residents are required to report their foreign specified property (</w:t>
      </w:r>
      <w:r>
        <w:rPr>
          <w:rFonts w:ascii="Arial" w:cs="Arial" w:eastAsia="Arial" w:hAnsi="Arial"/>
          <w:sz w:val="17"/>
          <w:szCs w:val="17"/>
          <w:i w:val="1"/>
          <w:iCs w:val="1"/>
          <w:color w:val="auto"/>
        </w:rPr>
        <w:t>e.g.</w:t>
      </w:r>
      <w:r>
        <w:rPr>
          <w:rFonts w:ascii="Arial" w:cs="Arial" w:eastAsia="Arial" w:hAnsi="Arial"/>
          <w:sz w:val="17"/>
          <w:szCs w:val="17"/>
          <w:color w:val="auto"/>
        </w:rPr>
        <w:t>, Shares) on form T1135 (Foreign Income Verification Statement) if the total cost of the foreign specified property exceeds C$100,000 at any time in the year. The RSUs must be reported - generally at a nil cost - if the C$100,000 threshold is exceeded because of other foreign specific property held by Participant. The Shares acquired under the Plan must be reported and their cost generally is the adjusted cost base (“ACB”) of the Shares. The ACB ordinarily would equal the fair market value of the Shares at the time of acquisition, but if such Canadian resident owns other Shares, this ACB may have to be averaged with the ACB of the other shares. The form T1135 generally must be filed by April 30 of the following year. Canadian residents should consult with a personal advisor to ensure compliance with the applicable reporting requirements.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1" w:name="page512"/>
    <w:bookmarkEnd w:id="511"/>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u w:val="single" w:color="auto"/>
          <w:color w:val="auto"/>
        </w:rPr>
        <w:t>Language Consent</w:t>
      </w:r>
      <w:r>
        <w:rPr>
          <w:rFonts w:ascii="Arial" w:cs="Arial" w:eastAsia="Arial" w:hAnsi="Arial"/>
          <w:sz w:val="17"/>
          <w:szCs w:val="17"/>
          <w:color w:val="auto"/>
        </w:rPr>
        <w:t>. By accepting the RSUs, Participant confirms having read and understood the Plan and Award Agreement, including all terms and conditions included therein, which were provided in the English language. Participant accepts the terms of those documents accordingly.</w:t>
      </w:r>
    </w:p>
    <w:p>
      <w:pPr>
        <w:spacing w:after="0" w:line="14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i w:val="1"/>
          <w:iCs w:val="1"/>
          <w:u w:val="single" w:color="auto"/>
          <w:color w:val="auto"/>
        </w:rPr>
        <w:t>Consentement à la Langue Utilisée</w:t>
      </w:r>
      <w:r>
        <w:rPr>
          <w:rFonts w:ascii="Arial" w:cs="Arial" w:eastAsia="Arial" w:hAnsi="Arial"/>
          <w:sz w:val="16"/>
          <w:szCs w:val="16"/>
          <w:i w:val="1"/>
          <w:iCs w:val="1"/>
          <w:color w:val="auto"/>
        </w:rPr>
        <w:t>. En acceptant l’ attribution, le Participant confirme avoir lu et compris le Plan et le Contrat y relatifs, inclutant tous leurs termes et conditions, qui ont été transmis en langue anglaise. Le Participant accepte les termes de ces documents en conséquence.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Non-Tax-Qualified RSUs</w:t>
      </w:r>
      <w:r>
        <w:rPr>
          <w:rFonts w:ascii="Arial" w:cs="Arial" w:eastAsia="Arial" w:hAnsi="Arial"/>
          <w:sz w:val="18"/>
          <w:szCs w:val="18"/>
          <w:color w:val="auto"/>
        </w:rPr>
        <w:t>. The RSUs granted under the Award Agreement are not intended to be French tax-qualified RSUs.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u w:val="single" w:color="auto"/>
          <w:color w:val="auto"/>
        </w:rPr>
        <w:t>Foreign Asset and Account Reporting Information</w:t>
      </w:r>
      <w:r>
        <w:rPr>
          <w:rFonts w:ascii="Arial" w:cs="Arial" w:eastAsia="Arial" w:hAnsi="Arial"/>
          <w:sz w:val="18"/>
          <w:szCs w:val="18"/>
          <w:color w:val="auto"/>
        </w:rPr>
        <w:t>. French residents are required to report all foreign accounts (whether open, current or closed) to the French tax authorities when filing their annual tax returns. Participant should consult his or her personal advisor to ensure compliance with applicable reporting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German residents must report cross-border payments in excess of €12,500 on a monthly basis to the German Federal Bank (</w:t>
      </w:r>
      <w:r>
        <w:rPr>
          <w:rFonts w:ascii="Arial" w:cs="Arial" w:eastAsia="Arial" w:hAnsi="Arial"/>
          <w:sz w:val="16"/>
          <w:szCs w:val="16"/>
          <w:i w:val="1"/>
          <w:iCs w:val="1"/>
          <w:color w:val="auto"/>
        </w:rPr>
        <w:t>Bundesbank</w:t>
      </w:r>
      <w:r>
        <w:rPr>
          <w:rFonts w:ascii="Arial" w:cs="Arial" w:eastAsia="Arial" w:hAnsi="Arial"/>
          <w:sz w:val="16"/>
          <w:szCs w:val="16"/>
          <w:color w:val="auto"/>
        </w:rPr>
        <w:t>). In case of payments in connection with securities (including proceeds realized upon the sale of Shares), the report must be filed electronically by the 5th day of the month following the month in which the payment was received. The form of report (“</w:t>
      </w:r>
      <w:r>
        <w:rPr>
          <w:rFonts w:ascii="Arial" w:cs="Arial" w:eastAsia="Arial" w:hAnsi="Arial"/>
          <w:sz w:val="16"/>
          <w:szCs w:val="16"/>
          <w:i w:val="1"/>
          <w:iCs w:val="1"/>
          <w:color w:val="auto"/>
        </w:rPr>
        <w:t>Allgemeine Meldeportal</w:t>
      </w:r>
      <w:r>
        <w:rPr>
          <w:rFonts w:ascii="Arial" w:cs="Arial" w:eastAsia="Arial" w:hAnsi="Arial"/>
          <w:sz w:val="16"/>
          <w:szCs w:val="16"/>
          <w:color w:val="auto"/>
        </w:rPr>
        <w:t xml:space="preserve"> </w:t>
      </w:r>
      <w:r>
        <w:rPr>
          <w:rFonts w:ascii="Arial" w:cs="Arial" w:eastAsia="Arial" w:hAnsi="Arial"/>
          <w:sz w:val="16"/>
          <w:szCs w:val="16"/>
          <w:i w:val="1"/>
          <w:iCs w:val="1"/>
          <w:color w:val="auto"/>
        </w:rPr>
        <w:t>Statistik</w:t>
      </w:r>
      <w:r>
        <w:rPr>
          <w:rFonts w:ascii="Arial" w:cs="Arial" w:eastAsia="Arial" w:hAnsi="Arial"/>
          <w:sz w:val="16"/>
          <w:szCs w:val="16"/>
          <w:color w:val="auto"/>
        </w:rPr>
        <w:t>”) can be accessed via the Bundesbank’s website (www.bundesbank.de) and is available in both German and English.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Indian residents are required to repatriate any funds realized under the Plan to India within prescribed periods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e.g.</w:t>
      </w:r>
      <w:r>
        <w:rPr>
          <w:rFonts w:ascii="Arial" w:cs="Arial" w:eastAsia="Arial" w:hAnsi="Arial"/>
          <w:sz w:val="16"/>
          <w:szCs w:val="16"/>
          <w:color w:val="auto"/>
        </w:rPr>
        <w:t>, within ninety (90) days of the receipt of proceeds from the sale of Shares, or such other period as may apply under applicable exchange control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may be amended from time to time). Participant should maintain any foreign inward remittance certificate (received from the bank where the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is deposited) in the event that the Reserve Bank of India or the Employer requests proof of repatriation.</w:t>
      </w:r>
    </w:p>
    <w:p>
      <w:pPr>
        <w:spacing w:after="0" w:line="21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u w:val="single" w:color="auto"/>
          <w:color w:val="auto"/>
        </w:rPr>
        <w:t>Foreign Asset and Account Reporting Information</w:t>
      </w:r>
      <w:r>
        <w:rPr>
          <w:rFonts w:ascii="Arial" w:cs="Arial" w:eastAsia="Arial" w:hAnsi="Arial"/>
          <w:sz w:val="18"/>
          <w:szCs w:val="18"/>
          <w:color w:val="auto"/>
        </w:rPr>
        <w:t>. Foreign bank accounts and any foreign financial assets (including Shares held outside India) must be declared by Indian residents in their annual tax return. Participant is responsible for complying with this reporting obligation to the extent it applies to Participant and should confer with Participant’s personal legal advisor in this regard.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u w:val="single" w:color="auto"/>
          <w:color w:val="auto"/>
        </w:rPr>
        <w:t>Director Notification Requirement</w:t>
      </w:r>
      <w:r>
        <w:rPr>
          <w:rFonts w:ascii="Arial" w:cs="Arial" w:eastAsia="Arial" w:hAnsi="Arial"/>
          <w:sz w:val="18"/>
          <w:szCs w:val="18"/>
          <w:color w:val="auto"/>
        </w:rPr>
        <w:t>. If Participant is a director, shadow director or secretary of an Irish Subsidiary and has a 1% or more shareholding interest in the Company, he or she must notify the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512" w:name="page513"/>
    <w:bookmarkEnd w:id="512"/>
    <w:p>
      <w:pPr>
        <w:ind w:right="20"/>
        <w:spacing w:after="0" w:line="259" w:lineRule="auto"/>
        <w:rPr>
          <w:sz w:val="20"/>
          <w:szCs w:val="20"/>
          <w:color w:val="auto"/>
        </w:rPr>
      </w:pPr>
      <w:r>
        <w:rPr>
          <w:rFonts w:ascii="Arial" w:cs="Arial" w:eastAsia="Arial" w:hAnsi="Arial"/>
          <w:sz w:val="18"/>
          <w:szCs w:val="18"/>
          <w:color w:val="auto"/>
        </w:rPr>
        <w:t>Irish Subsidiary in writing upon receiving or disposing of an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RSUs, Shares) or upon becoming aware of the event giving rise to the notification requirement, or upon becoming a director, shadow director or secretary if such an interest exists at that time. This notification requirement also applies with respect to the interests of a spouse or minor child (whose interests will be attributed to the director, shadow director or secretary).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u w:val="single" w:color="auto"/>
          <w:color w:val="auto"/>
        </w:rPr>
        <w:t>Plan Document Acknowledgment</w:t>
      </w:r>
      <w:r>
        <w:rPr>
          <w:rFonts w:ascii="Arial" w:cs="Arial" w:eastAsia="Arial" w:hAnsi="Arial"/>
          <w:sz w:val="16"/>
          <w:szCs w:val="16"/>
          <w:color w:val="auto"/>
        </w:rPr>
        <w:t>. By accepting the RSUs, Participant acknowledges that he or she has received a copy of the Plan, the Award Agreement and this Exhibit B and has reviewed the Plan, the Award Agreement and this Exhibit B in their entirety and fully accepts all provisions thereof. Participant further acknowledges that he or she has read and specifically and expressly approves the following provisions of the Award Agreement:</w:t>
      </w:r>
    </w:p>
    <w:p>
      <w:pPr>
        <w:spacing w:after="0" w:line="2" w:lineRule="exact"/>
        <w:rPr>
          <w:sz w:val="20"/>
          <w:szCs w:val="20"/>
          <w:color w:val="auto"/>
        </w:rPr>
      </w:pPr>
    </w:p>
    <w:p>
      <w:pPr>
        <w:ind w:left="220" w:hanging="212"/>
        <w:spacing w:after="0"/>
        <w:tabs>
          <w:tab w:leader="none" w:pos="220" w:val="left"/>
        </w:tabs>
        <w:numPr>
          <w:ilvl w:val="0"/>
          <w:numId w:val="466"/>
        </w:numPr>
        <w:rPr>
          <w:rFonts w:ascii="Arial" w:cs="Arial" w:eastAsia="Arial" w:hAnsi="Arial"/>
          <w:sz w:val="17"/>
          <w:szCs w:val="17"/>
          <w:color w:val="auto"/>
        </w:rPr>
      </w:pPr>
      <w:r>
        <w:rPr>
          <w:rFonts w:ascii="Arial" w:cs="Arial" w:eastAsia="Arial" w:hAnsi="Arial"/>
          <w:sz w:val="17"/>
          <w:szCs w:val="17"/>
          <w:color w:val="auto"/>
        </w:rPr>
        <w:t>Responsibility for Taxes; (ii) Grant is Not Transferable; (iii) Language; (iv) Imposition of Other Requirements; (v) Governing Law and Venue; and</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u w:val="single" w:color="auto"/>
          <w:color w:val="auto"/>
        </w:rPr>
        <w:t>Foreign Asset and Account Reporting Information</w:t>
      </w:r>
      <w:r>
        <w:rPr>
          <w:rFonts w:ascii="Arial" w:cs="Arial" w:eastAsia="Arial" w:hAnsi="Arial"/>
          <w:sz w:val="18"/>
          <w:szCs w:val="18"/>
          <w:color w:val="auto"/>
        </w:rPr>
        <w:t>. Italian residents who, at any time during the fiscal year, hold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or RSUs) which may generate income taxable in Italy are required to report such assets on their annual tax returns or on a special form if no tax return is due. The same reporting duties apply to Italian residents who are beneficial owners of the foreign financial assets pursuant to Italian money laundering provisions, even if they do not directly hold the foreign asset abroad. Participant should consult a personal legal advisor to ensure compliance with applicable reporting requirements.</w:t>
      </w:r>
    </w:p>
    <w:p>
      <w:pPr>
        <w:spacing w:after="0" w:line="188"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u w:val="single" w:color="auto"/>
          <w:color w:val="auto"/>
        </w:rPr>
        <w:t>Foreign Asset Tax Information</w:t>
      </w:r>
      <w:r>
        <w:rPr>
          <w:rFonts w:ascii="Arial" w:cs="Arial" w:eastAsia="Arial" w:hAnsi="Arial"/>
          <w:sz w:val="17"/>
          <w:szCs w:val="17"/>
          <w:color w:val="auto"/>
        </w:rPr>
        <w:t>. The value of financial assets held outside of Italy (including Shares) by Italian residents is subject to a foreign asset tax. The taxable amount will be the fair market value of the financial assets (</w:t>
      </w:r>
      <w:r>
        <w:rPr>
          <w:rFonts w:ascii="Arial" w:cs="Arial" w:eastAsia="Arial" w:hAnsi="Arial"/>
          <w:sz w:val="17"/>
          <w:szCs w:val="17"/>
          <w:i w:val="1"/>
          <w:iCs w:val="1"/>
          <w:color w:val="auto"/>
        </w:rPr>
        <w:t>e.g.,</w:t>
      </w:r>
      <w:r>
        <w:rPr>
          <w:rFonts w:ascii="Arial" w:cs="Arial" w:eastAsia="Arial" w:hAnsi="Arial"/>
          <w:sz w:val="17"/>
          <w:szCs w:val="17"/>
          <w:color w:val="auto"/>
        </w:rPr>
        <w:t xml:space="preserve"> Shares) assessed at the end of the calendar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u w:val="single" w:color="auto"/>
          <w:color w:val="auto"/>
        </w:rPr>
        <w:t>Foreign Asset and Account Reporting Information</w:t>
      </w:r>
      <w:r>
        <w:rPr>
          <w:rFonts w:ascii="Arial" w:cs="Arial" w:eastAsia="Arial" w:hAnsi="Arial"/>
          <w:sz w:val="16"/>
          <w:szCs w:val="16"/>
          <w:color w:val="auto"/>
        </w:rPr>
        <w:t>. Details of any assets held outside Japan on an annual basis as of December 31 (including Shares acquired under the Plan) must be reported to the tax authorities, to the extent such assets have a total net fair market value exceeding ¥50,000,000. Such report is due by March 15 each year. Participant should consult with his or her personal tax advisor to determine if the reporting obligation applies to Participant and whether Participant will be required to include details of Participant’s outstanding RSUs, as well as Shares, in the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u w:val="single" w:color="auto"/>
          <w:color w:val="auto"/>
        </w:rPr>
        <w:t>Plan Document Acknowledgement</w:t>
      </w:r>
      <w:r>
        <w:rPr>
          <w:rFonts w:ascii="Arial" w:cs="Arial" w:eastAsia="Arial" w:hAnsi="Arial"/>
          <w:sz w:val="17"/>
          <w:szCs w:val="17"/>
          <w:color w:val="auto"/>
        </w:rPr>
        <w:t>. By accepting the RSUs, Participant acknowledges that he or she has received a copy of the Plan and the Award Agreement, including this Exhibit B, which Participant has reviewed. Participant acknowledges further that he or she accepts all the provisions of the Plan and the Award Agreement, including this Exhibit B. Participant also acknowledges that he or she has read</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13" w:name="page514"/>
    <w:bookmarkEnd w:id="513"/>
    <w:p>
      <w:pPr>
        <w:ind w:right="580"/>
        <w:spacing w:after="0" w:line="277" w:lineRule="auto"/>
        <w:rPr>
          <w:sz w:val="20"/>
          <w:szCs w:val="20"/>
          <w:color w:val="auto"/>
        </w:rPr>
      </w:pPr>
      <w:r>
        <w:rPr>
          <w:rFonts w:ascii="Arial" w:cs="Arial" w:eastAsia="Arial" w:hAnsi="Arial"/>
          <w:sz w:val="18"/>
          <w:szCs w:val="18"/>
          <w:color w:val="auto"/>
        </w:rPr>
        <w:t>and specifically and expressly approves the terms and conditions set forth in Section 18 (“Nature of Grant”) in the Award Agreement, which clearly provides as follows:</w:t>
      </w:r>
    </w:p>
    <w:p>
      <w:pPr>
        <w:spacing w:after="0" w:line="170" w:lineRule="exact"/>
        <w:rPr>
          <w:sz w:val="20"/>
          <w:szCs w:val="20"/>
          <w:color w:val="auto"/>
        </w:rPr>
      </w:pPr>
    </w:p>
    <w:p>
      <w:pPr>
        <w:ind w:left="1320" w:hanging="664"/>
        <w:spacing w:after="0"/>
        <w:tabs>
          <w:tab w:leader="none" w:pos="13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Participant’s participation in the Plan does not constitute an acquired right;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Plan and Participant’s participation in it are offered by the Company on a wholly discretionary basis;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Participant’s participation in the Plan is voluntary;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The Company and its Subsidiaries are not responsible for any decrease in the value of any Shares acquired at vesting and settlement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RSUs.</w:t>
      </w:r>
    </w:p>
    <w:p>
      <w:pPr>
        <w:spacing w:after="0" w:line="211"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u w:val="single" w:color="auto"/>
          <w:color w:val="auto"/>
        </w:rPr>
        <w:t>Labor Law Policy and Acknowledgment</w:t>
      </w:r>
      <w:r>
        <w:rPr>
          <w:rFonts w:ascii="Arial" w:cs="Arial" w:eastAsia="Arial" w:hAnsi="Arial"/>
          <w:sz w:val="16"/>
          <w:szCs w:val="16"/>
          <w:color w:val="auto"/>
        </w:rPr>
        <w:t>. By accepting the RSUs, Participant expressly recognizes that the Company, with registered offices at 150 Mathilda Place, Suite 300, Sunnyvale, California 94086, U.S.A., is solely responsible for the administration of the Plan and that Participant’s participation in the Plan and acquisition of Shares do not constitute an employment relationship between Participant and the Company since Participant is participating in the Plan on a wholly commercial basis and his or her sole employer is CrowdStrike Mexico, S de RL de CV (“</w:t>
      </w:r>
      <w:r>
        <w:rPr>
          <w:rFonts w:ascii="Arial" w:cs="Arial" w:eastAsia="Arial" w:hAnsi="Arial"/>
          <w:sz w:val="16"/>
          <w:szCs w:val="16"/>
          <w:u w:val="single" w:color="auto"/>
          <w:color w:val="auto"/>
        </w:rPr>
        <w:t>CrowdStrike Mexico</w:t>
      </w:r>
      <w:r>
        <w:rPr>
          <w:rFonts w:ascii="Arial" w:cs="Arial" w:eastAsia="Arial" w:hAnsi="Arial"/>
          <w:sz w:val="16"/>
          <w:szCs w:val="16"/>
          <w:color w:val="auto"/>
        </w:rPr>
        <w:t>”), located at WeWork - Paseo de la Reforma 296 Floor 40-A104, Col. Juarez, C.P. 06600 Mexico. Based on the foregoing, Participant expressly recognizes that the Plan and the benefits that he or she may derive from participating in the Plan do not establish any rights between Participant and the employer, CrowdStrike Mexico, and do not form part of the employment conditions and/or benefits provided by CrowdStrike Mexico, and any modification of the Plan or its termination shall not constitute a change or impairment of the terms and conditions of Participant’s employment.</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Participant further understands that his or her participation in the Plan is as a result of a unilateral and discretionary decision of the Company; therefore, the Company reserves the absolute right to amend and/or discontinue Participant’s participation at any time without any liability to Participant.</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Finally, Participant hereby declares that he or she does not reserve to him- or herself any action or right to bring any claim against the Company for any compensation or damages regarding any provision of the Plan or the benefits derived under the Plan, and Participant therefore grants a full and broad release to the Company, and its subsidiaries, branches, representative offices, shareholders, directors, officers, employees, agents, or legal representatives with respect to any claim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Spanish Translation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u w:val="single" w:color="auto"/>
          <w:color w:val="auto"/>
        </w:rPr>
        <w:t>Reconocimiento del Documento del Plan</w:t>
      </w:r>
      <w:r>
        <w:rPr>
          <w:rFonts w:ascii="Arial" w:cs="Arial" w:eastAsia="Arial" w:hAnsi="Arial"/>
          <w:sz w:val="18"/>
          <w:szCs w:val="18"/>
          <w:i w:val="1"/>
          <w:iCs w:val="1"/>
          <w:color w:val="auto"/>
        </w:rPr>
        <w:t>. Al aceptar las Unidades de Acciones Restringidas (RSUs, por sus siglas en inglés), el Participante reconoce que ha recibido una copia del Plan y del Acuerdo, incluyendo este Anexo B, los cuales que el Participante ha revisado. El Participante reconoce, además, que acepta todas las disposiciones del Plan y del Acuerdo, incluyendo este Anexo B. El Participante también reconoce que ha leído y que concretamente aprueba de forma expresa los términos y condiciones establecidos en la Sección 17 (“Naturaleza de la Subvención”) del Acuerdo, que claramente dispone lo siguiente:</w:t>
      </w:r>
    </w:p>
    <w:p>
      <w:pPr>
        <w:spacing w:after="0" w:line="188" w:lineRule="exact"/>
        <w:rPr>
          <w:sz w:val="20"/>
          <w:szCs w:val="20"/>
          <w:color w:val="auto"/>
        </w:rPr>
      </w:pPr>
    </w:p>
    <w:p>
      <w:pPr>
        <w:ind w:left="1320" w:hanging="664"/>
        <w:spacing w:after="0"/>
        <w:tabs>
          <w:tab w:leader="none" w:pos="1320" w:val="left"/>
        </w:tabs>
        <w:numPr>
          <w:ilvl w:val="0"/>
          <w:numId w:val="469"/>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Participante en el Plan no constituye un derecho adquirido;</w:t>
      </w:r>
    </w:p>
    <w:p>
      <w:pPr>
        <w:spacing w:after="0" w:line="225" w:lineRule="exact"/>
        <w:rPr>
          <w:rFonts w:ascii="Arial" w:cs="Arial" w:eastAsia="Arial" w:hAnsi="Arial"/>
          <w:sz w:val="18"/>
          <w:szCs w:val="18"/>
          <w:i w:val="1"/>
          <w:iCs w:val="1"/>
          <w:color w:val="auto"/>
        </w:rPr>
      </w:pPr>
    </w:p>
    <w:p>
      <w:pPr>
        <w:ind w:left="5580" w:right="1900" w:hanging="4924"/>
        <w:spacing w:after="0" w:line="527" w:lineRule="auto"/>
        <w:tabs>
          <w:tab w:leader="none" w:pos="1312" w:val="left"/>
        </w:tabs>
        <w:numPr>
          <w:ilvl w:val="0"/>
          <w:numId w:val="46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El Plan y la participación del Participante en el Plan se ofrecen por la Compañía en su discrecionalidad total; </w:t>
      </w:r>
      <w:r>
        <w:rPr>
          <w:rFonts w:ascii="Arial" w:cs="Arial" w:eastAsia="Arial" w:hAnsi="Arial"/>
          <w:sz w:val="18"/>
          <w:szCs w:val="18"/>
          <w:color w:val="auto"/>
        </w:rPr>
        <w:t>6</w:t>
      </w:r>
    </w:p>
    <w:p>
      <w:pPr>
        <w:spacing w:after="0" w:line="200" w:lineRule="exact"/>
        <w:rPr>
          <w:rFonts w:ascii="Arial" w:cs="Arial" w:eastAsia="Arial" w:hAnsi="Arial"/>
          <w:sz w:val="18"/>
          <w:szCs w:val="18"/>
          <w:i w:val="1"/>
          <w:iCs w:val="1"/>
          <w:color w:val="auto"/>
        </w:rPr>
      </w:pPr>
    </w:p>
    <w:p>
      <w:pPr>
        <w:spacing w:after="0" w:line="227" w:lineRule="exact"/>
        <w:rPr>
          <w:rFonts w:ascii="Arial" w:cs="Arial" w:eastAsia="Arial" w:hAnsi="Arial"/>
          <w:sz w:val="18"/>
          <w:szCs w:val="18"/>
          <w:i w:val="1"/>
          <w:iCs w:val="1"/>
          <w:color w:val="auto"/>
        </w:rPr>
      </w:pPr>
    </w:p>
    <w:p>
      <w:pPr>
        <w:ind w:left="1320" w:hanging="664"/>
        <w:spacing w:after="0"/>
        <w:tabs>
          <w:tab w:leader="none" w:pos="1320" w:val="left"/>
        </w:tabs>
        <w:numPr>
          <w:ilvl w:val="0"/>
          <w:numId w:val="469"/>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Participante en el Plan es voluntaria; y</w:t>
      </w:r>
    </w:p>
    <w:p>
      <w:pPr>
        <w:spacing w:after="0" w:line="225" w:lineRule="exact"/>
        <w:rPr>
          <w:rFonts w:ascii="Arial" w:cs="Arial" w:eastAsia="Arial" w:hAnsi="Arial"/>
          <w:sz w:val="18"/>
          <w:szCs w:val="18"/>
          <w:i w:val="1"/>
          <w:iCs w:val="1"/>
          <w:color w:val="auto"/>
        </w:rPr>
      </w:pPr>
    </w:p>
    <w:p>
      <w:pPr>
        <w:ind w:left="1320" w:hanging="664"/>
        <w:spacing w:after="0"/>
        <w:tabs>
          <w:tab w:leader="none" w:pos="1320" w:val="left"/>
        </w:tabs>
        <w:numPr>
          <w:ilvl w:val="0"/>
          <w:numId w:val="469"/>
        </w:numPr>
        <w:rPr>
          <w:rFonts w:ascii="Arial" w:cs="Arial" w:eastAsia="Arial" w:hAnsi="Arial"/>
          <w:sz w:val="17"/>
          <w:szCs w:val="17"/>
          <w:i w:val="1"/>
          <w:iCs w:val="1"/>
          <w:color w:val="auto"/>
        </w:rPr>
      </w:pPr>
      <w:r>
        <w:rPr>
          <w:rFonts w:ascii="Arial" w:cs="Arial" w:eastAsia="Arial" w:hAnsi="Arial"/>
          <w:sz w:val="17"/>
          <w:szCs w:val="17"/>
          <w:i w:val="1"/>
          <w:iCs w:val="1"/>
          <w:color w:val="auto"/>
        </w:rPr>
        <w:t>La Compañía y sus Subsidiarias no son responsables de ninguna disminución en el valor de las acciones adquiridas al conferir las</w:t>
      </w:r>
    </w:p>
    <w:p>
      <w:pPr>
        <w:spacing w:after="0" w:line="34" w:lineRule="exact"/>
        <w:rPr>
          <w:rFonts w:ascii="Arial" w:cs="Arial" w:eastAsia="Arial" w:hAnsi="Arial"/>
          <w:sz w:val="17"/>
          <w:szCs w:val="17"/>
          <w:i w:val="1"/>
          <w:iCs w:val="1"/>
          <w:color w:val="auto"/>
        </w:rPr>
      </w:pPr>
    </w:p>
    <w:p>
      <w:pPr>
        <w:ind w:left="660"/>
        <w:spacing w:after="0"/>
        <w:rPr>
          <w:rFonts w:ascii="Arial" w:cs="Arial" w:eastAsia="Arial" w:hAnsi="Arial"/>
          <w:sz w:val="17"/>
          <w:szCs w:val="17"/>
          <w:i w:val="1"/>
          <w:iCs w:val="1"/>
          <w:color w:val="auto"/>
        </w:rPr>
      </w:pPr>
      <w:r>
        <w:rPr>
          <w:rFonts w:ascii="Arial" w:cs="Arial" w:eastAsia="Arial" w:hAnsi="Arial"/>
          <w:sz w:val="18"/>
          <w:szCs w:val="18"/>
          <w:i w:val="1"/>
          <w:i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-913130</wp:posOffset>
            </wp:positionV>
            <wp:extent cx="7153275"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1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Política Laboral y Reconocimiento</w:t>
      </w:r>
      <w:r>
        <w:rPr>
          <w:rFonts w:ascii="Arial" w:cs="Arial" w:eastAsia="Arial" w:hAnsi="Arial"/>
          <w:sz w:val="16"/>
          <w:szCs w:val="16"/>
          <w:i w:val="1"/>
          <w:iCs w:val="1"/>
          <w:color w:val="auto"/>
        </w:rPr>
        <w:t>. Al aceptar las RSUs, el Participante expresamente reconoce que la Compañía, con sus oficinas registradas y ubicadas en 150 Mathilda Place, Suite 300, Sunnyvale, California 94086, es la única responsable por la administración del Plan y que la participación del Participante en el Plan y la adquisición de Acciones no constituyen una relación de empleo entre el Participante y la Compañía, ya que el Participante participa en el Plan en un marco totalmente comercial y su único patrón es CrowdStrike Mexico, S de RL de CV (“</w:t>
      </w:r>
      <w:r>
        <w:rPr>
          <w:rFonts w:ascii="Arial" w:cs="Arial" w:eastAsia="Arial" w:hAnsi="Arial"/>
          <w:sz w:val="16"/>
          <w:szCs w:val="16"/>
          <w:i w:val="1"/>
          <w:iCs w:val="1"/>
          <w:u w:val="single" w:color="auto"/>
          <w:color w:val="auto"/>
        </w:rPr>
        <w:t>CrowdStrike Mexico</w:t>
      </w:r>
      <w:r>
        <w:rPr>
          <w:rFonts w:ascii="Arial" w:cs="Arial" w:eastAsia="Arial" w:hAnsi="Arial"/>
          <w:sz w:val="16"/>
          <w:szCs w:val="16"/>
          <w:i w:val="1"/>
          <w:iCs w:val="1"/>
          <w:color w:val="auto"/>
        </w:rPr>
        <w:t>”), ubicado en WeWork - Paseo de la Reforma 296 Floor 40-A104, Col. Juarez, C.P. 06600 Mexico. Derivado de lo anterior, el Participante expresamente reconoce que el Plan y los beneficios que pudieran derivar al participar en el Plan no establecen derecho alguno entre el Participante y el empleador, CrowdStrike Mexico, y no forma parte de las condiciones de empleo y/o las prestaciones otorgadas por CrowdStrike Mexico, y que cualquier modificación al Plan o su terminación no constituye un cambio o desmejora de los términos y condiciones de la relación de empleo del Participante.</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Asimismo, el Participante reconoce que su participación en el Plan se ha resultado de una decisión unilateral y discrecional de la Compañía; por lo tanto, la Compañía se reserva el derecho absoluto de modificar y/o terminar la participación del Participante en cualquier momento y sin responsabilidad alguna frente el Participante.</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Finalmente, el Participante por este medio declara que no se reserva ningun derecho o acción en contra de la Compañía por cualquier compensación o daños y perjuicios en relación de las disposiciones del Plan o de los beneficios derivados del Plan, y por lo tanto, el Participante otorga el más amplio finiquito que en derecho proceda a la Compañía, y sus filiales, oficinas de representación, accionistas, directores, oficiales, empleados, agentes, o representantes legales en relación con cualquier demanda que pudiera surgir.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ZEALAND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ectPr>
          <w:pgSz w:w="11900" w:h="16838" w:orient="portrait"/>
          <w:cols w:equalWidth="0" w:num="1">
            <w:col w:w="11220"/>
          </w:cols>
          <w:pgMar w:left="320" w:top="341" w:right="359" w:bottom="0" w:gutter="0" w:footer="0" w:header="0"/>
        </w:sectPr>
      </w:pPr>
    </w:p>
    <w:bookmarkStart w:id="514" w:name="page515"/>
    <w:bookmarkEnd w:id="514"/>
    <w:p>
      <w:pPr>
        <w:ind w:firstLine="652"/>
        <w:spacing w:after="0" w:line="263"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Warning: Participant is being offered RSUs which, upon vesting and settlement allows him or her to acquire Shares</w:t>
      </w:r>
      <w:r>
        <w:rPr>
          <w:rFonts w:ascii="Arial" w:cs="Arial" w:eastAsia="Arial" w:hAnsi="Arial"/>
          <w:sz w:val="18"/>
          <w:szCs w:val="18"/>
          <w:color w:val="auto"/>
        </w:rPr>
        <w:t xml:space="preserve"> </w:t>
      </w:r>
      <w:r>
        <w:rPr>
          <w:rFonts w:ascii="Arial" w:cs="Arial" w:eastAsia="Arial" w:hAnsi="Arial"/>
          <w:sz w:val="18"/>
          <w:szCs w:val="18"/>
          <w:i w:val="1"/>
          <w:iCs w:val="1"/>
          <w:color w:val="auto"/>
        </w:rPr>
        <w:t>in accordance with the terms of the Plan and the Award Agreement. The Shares, if acquired, give Participant a stake in the ownership of the Company. Participant may receive a return if dividends are paid.</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If the Company runs into financial difficulties and is wound up, Participant will be paid only after all creditors have been paid. New Zealand law normally requires people who offer financial products to give information to investors before they invest. This information is designed to help investors make an informed decision.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515" w:name="page516"/>
    <w:bookmarkEnd w:id="515"/>
    <w:p>
      <w:pPr>
        <w:ind w:left="660"/>
        <w:spacing w:after="0"/>
        <w:rPr>
          <w:sz w:val="20"/>
          <w:szCs w:val="20"/>
          <w:color w:val="auto"/>
        </w:rPr>
      </w:pPr>
      <w:r>
        <w:rPr>
          <w:rFonts w:ascii="Arial" w:cs="Arial" w:eastAsia="Arial" w:hAnsi="Arial"/>
          <w:sz w:val="16"/>
          <w:szCs w:val="16"/>
          <w:i w:val="1"/>
          <w:iCs w:val="1"/>
          <w:color w:val="auto"/>
        </w:rPr>
        <w:t>The usual rules do not apply to this offer because it is a small offer. As a result, Participant may not be given all the information usually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Participant will also have fewer legal protections for this investment.</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Participant should ask questions, read all documents carefully and seek independent financial advice before making any decisions with respect to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ROMANIA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By accepting the grant of RSUs, Participant acknowledges that he or she is proficient in reading and understanding English and fully understands the terms of the documents related to the grant (the Award Agreement and the Plan), which were provided in the English language. Participant accepts the terms of those documents accordingly.</w:t>
      </w:r>
    </w:p>
    <w:p>
      <w:pPr>
        <w:spacing w:after="0" w:line="18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u w:val="single" w:color="auto"/>
          <w:color w:val="auto"/>
        </w:rPr>
        <w:t>Consimtamant cu Privire la Limba</w:t>
      </w:r>
      <w:r>
        <w:rPr>
          <w:rFonts w:ascii="Arial" w:cs="Arial" w:eastAsia="Arial" w:hAnsi="Arial"/>
          <w:sz w:val="17"/>
          <w:szCs w:val="17"/>
          <w:i w:val="1"/>
          <w:iCs w:val="1"/>
          <w:color w:val="auto"/>
        </w:rPr>
        <w:t>. Prin acceptarea acordarii de RSU-uri, Participantul confirma ca acesta sau aceasta are un nivel adecvat de cunoastere in ce priveste cititirea si intelegerea limbii engleze, a citit si confirma ca a inteles pe deplin termenii documentelor referitoare la acordare (Acordul si Planul), care au fost furnizate in limba engleza. Participantul accepta termenii acestor documente in consecinta.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If Participant deposits the proceeds from the sale of Shares acquired under the Plan in a bank account in Romania, Participant may be required to provide the Romanian bank with appropriate documentation explaining the source of the funds. </w:t>
      </w:r>
      <w:r>
        <w:rPr>
          <w:rFonts w:ascii="Arial" w:cs="Arial" w:eastAsia="Arial" w:hAnsi="Arial"/>
          <w:sz w:val="18"/>
          <w:szCs w:val="18"/>
          <w:i w:val="1"/>
          <w:iCs w:val="1"/>
          <w:color w:val="auto"/>
        </w:rPr>
        <w:t>Participant should consult</w:t>
      </w:r>
      <w:r>
        <w:rPr>
          <w:rFonts w:ascii="Arial" w:cs="Arial" w:eastAsia="Arial" w:hAnsi="Arial"/>
          <w:sz w:val="18"/>
          <w:szCs w:val="18"/>
          <w:color w:val="auto"/>
        </w:rPr>
        <w:t xml:space="preserve"> </w:t>
      </w:r>
      <w:r>
        <w:rPr>
          <w:rFonts w:ascii="Arial" w:cs="Arial" w:eastAsia="Arial" w:hAnsi="Arial"/>
          <w:sz w:val="18"/>
          <w:szCs w:val="18"/>
          <w:i w:val="1"/>
          <w:iCs w:val="1"/>
          <w:color w:val="auto"/>
        </w:rPr>
        <w:t>with his or her personal legal advisor to ensure compliance with applicable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u w:val="single" w:color="auto"/>
          <w:color w:val="auto"/>
        </w:rPr>
        <w:t>Restriction on Sale and Transferability</w:t>
      </w:r>
      <w:r>
        <w:rPr>
          <w:rFonts w:ascii="Arial" w:cs="Arial" w:eastAsia="Arial" w:hAnsi="Arial"/>
          <w:sz w:val="17"/>
          <w:szCs w:val="17"/>
          <w:color w:val="auto"/>
        </w:rPr>
        <w:t>. Participant hereby agrees that any Shares acquired under the Plan will not be offered for sale in Singapore prior to the six-month anniversary of the Date of Grant, unless such sale or offer is made pursuant to one or more exemptions under Part XIII Division (1) Subdivision (4) (other than section 280) of the Securities and Futures Act (Chapter 289, 2006 Ed.) (“SFA”).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grant of RSUs under the Plan is being made pursuant to the “Qualifying Person” exemption” under section 273(1)(f) of the SFA, on which basis it is exempt from the prospectus and registration requirements and is not made with a view to the underlying Shares being subsequently offered for sale to any other party. The Plan has not been lodged or registered as a prospectus with the Monetary Authority of Singapore.</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u w:val="single" w:color="auto"/>
          <w:color w:val="auto"/>
        </w:rPr>
        <w:t>Chief Executive Officer and Director Notification Requirement</w:t>
      </w:r>
      <w:r>
        <w:rPr>
          <w:rFonts w:ascii="Arial" w:cs="Arial" w:eastAsia="Arial" w:hAnsi="Arial"/>
          <w:sz w:val="18"/>
          <w:szCs w:val="18"/>
          <w:color w:val="auto"/>
        </w:rPr>
        <w:t>. If Participant is the Chief Executive Officer (“CEO”) or a director (including an alternate, substitute or shadow director) of a Singapore Subsidiary, Participant must notify the Singapore Subsidiary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RSUs, Shares, etc.) in the Company or any Subsidiary within two business days of (i) acquiring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6" w:name="page517"/>
    <w:bookmarkEnd w:id="516"/>
    <w:p>
      <w:pPr>
        <w:spacing w:after="0"/>
        <w:rPr>
          <w:sz w:val="20"/>
          <w:szCs w:val="20"/>
          <w:color w:val="auto"/>
        </w:rPr>
      </w:pPr>
      <w:r>
        <w:rPr>
          <w:rFonts w:ascii="Arial" w:cs="Arial" w:eastAsia="Arial" w:hAnsi="Arial"/>
          <w:sz w:val="18"/>
          <w:szCs w:val="18"/>
          <w:color w:val="auto"/>
        </w:rPr>
        <w:t>disposing of such interest,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sale of Shares), or (iii) becoming the CEO or a director.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The following provision supplements Section 18 of the Award Agreement: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By accepting the RSUs, Participant consents to participation in the Plan and acknowledges that he or she has received a copy of the Plan. Participant understands that the Company has unilaterally, gratuitously and discretionally decided to grant RSUs under the Plan to individuals who may be employees of the Company or of a Parent or Subsidiary throughout the world. This decision is a limited decision that is entered into upon the express assumption and condition that any grant will not bind the Company or any Parent or Subsidiary other than as expressly set forth in the Award Agreement. Consequently, Participant understands that the RSUs are granted on the assumption and condition that the RSUs and any Shares acquired under the Plan are not part of any employment or service contract (either with the Company or with any Parent or Subsidiary) and shall not be considered a mandatory benefit or salary for any purpose (including severance compensation) or any other right whatsoever. Further, Participant understands and agrees that, unless otherwise expressly provided for by the Company or set forth in the Plan or the Award Agreement, the RSUs will be cancelled without entitlement to any Shares underlying the RSUs if Participant’s status as an employee or service provider is terminated for any reason, including, but not limited to: resignation, retirement, disciplinary dismissal adjudged to be with cause, disciplinary dismissal adjudged or recognized to be without good cause (</w:t>
      </w:r>
      <w:r>
        <w:rPr>
          <w:rFonts w:ascii="Arial" w:cs="Arial" w:eastAsia="Arial" w:hAnsi="Arial"/>
          <w:sz w:val="16"/>
          <w:szCs w:val="16"/>
          <w:i w:val="1"/>
          <w:iCs w:val="1"/>
          <w:color w:val="auto"/>
        </w:rPr>
        <w:t>i.e.,</w:t>
      </w:r>
      <w:r>
        <w:rPr>
          <w:rFonts w:ascii="Arial" w:cs="Arial" w:eastAsia="Arial" w:hAnsi="Arial"/>
          <w:sz w:val="16"/>
          <w:szCs w:val="16"/>
          <w:color w:val="auto"/>
        </w:rPr>
        <w:t xml:space="preserve"> subject to a “</w:t>
      </w:r>
      <w:r>
        <w:rPr>
          <w:rFonts w:ascii="Arial" w:cs="Arial" w:eastAsia="Arial" w:hAnsi="Arial"/>
          <w:sz w:val="16"/>
          <w:szCs w:val="16"/>
          <w:i w:val="1"/>
          <w:iCs w:val="1"/>
          <w:color w:val="auto"/>
        </w:rPr>
        <w:t>despido improcedente</w:t>
      </w:r>
      <w:r>
        <w:rPr>
          <w:rFonts w:ascii="Arial" w:cs="Arial" w:eastAsia="Arial" w:hAnsi="Arial"/>
          <w:sz w:val="16"/>
          <w:szCs w:val="16"/>
          <w:color w:val="auto"/>
        </w:rPr>
        <w:t>”), material modification of the terms of employment under Article 41 of the Workers’ Statute, relocation under Article 40 of the Workers’ Statute, Article 50 of the Workers’ Statute, or under Article 10.3 of Royal Decree 1382/1985.</w:t>
      </w:r>
    </w:p>
    <w:p>
      <w:pPr>
        <w:spacing w:after="0" w:line="16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or right to, the RSUs shall be null and void.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grant of RSUs described in the Award Agreement does not qualify under Spanish regulations as a security. No “offer of securities to the public,” as defined under Spanish law, has taken place or will take place in the Spanish territory in connection with the grant of the RSUs. The Award Agreement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or prospectus.</w:t>
      </w:r>
    </w:p>
    <w:p>
      <w:pPr>
        <w:spacing w:after="0" w:line="187" w:lineRule="exact"/>
        <w:rPr>
          <w:sz w:val="20"/>
          <w:szCs w:val="20"/>
          <w:color w:val="auto"/>
        </w:rPr>
      </w:pPr>
    </w:p>
    <w:p>
      <w:pPr>
        <w:ind w:right="340" w:firstLine="648"/>
        <w:spacing w:after="0" w:line="275"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xml:space="preserve">. Participant must declare the acquisition, ownership and disposition of Shares to the </w:t>
      </w:r>
      <w:r>
        <w:rPr>
          <w:rFonts w:ascii="Arial" w:cs="Arial" w:eastAsia="Arial" w:hAnsi="Arial"/>
          <w:sz w:val="17"/>
          <w:szCs w:val="17"/>
          <w:i w:val="1"/>
          <w:iCs w:val="1"/>
          <w:color w:val="auto"/>
        </w:rPr>
        <w:t>Dirección General 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Comercio e Inversiones </w:t>
      </w:r>
      <w:r>
        <w:rPr>
          <w:rFonts w:ascii="Arial" w:cs="Arial" w:eastAsia="Arial" w:hAnsi="Arial"/>
          <w:sz w:val="17"/>
          <w:szCs w:val="17"/>
          <w:color w:val="auto"/>
        </w:rPr>
        <w:t>of the Ministry of Economy and Competitiveness (the “DGCI”) on a Form D-6. Generally, the declaration must be made in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for Shares owned as of December 31 of the prior year and/or Shares acquired or disposed of during the prior year; however, if the value of the Shares acquired or disposed of or the amount of the sale proceeds exceeds €1,502,530 (or if Participant holds 10% or more of the share capital of the Company), the declaration must be filed within one month of the acquisition or disposition, as applicable.</w:t>
      </w:r>
    </w:p>
    <w:p>
      <w:pPr>
        <w:spacing w:after="0" w:line="17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Participant may be required to electronically declare to the Bank of Spain any foreign accounts (including brokerage accounts held abroad), any foreign instruments (including Shares acquired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7" w:name="page518"/>
    <w:bookmarkEnd w:id="517"/>
    <w:p>
      <w:pPr>
        <w:ind w:right="40"/>
        <w:spacing w:after="0" w:line="263" w:lineRule="auto"/>
        <w:rPr>
          <w:sz w:val="20"/>
          <w:szCs w:val="20"/>
          <w:color w:val="auto"/>
        </w:rPr>
      </w:pPr>
      <w:r>
        <w:rPr>
          <w:rFonts w:ascii="Arial" w:cs="Arial" w:eastAsia="Arial" w:hAnsi="Arial"/>
          <w:sz w:val="18"/>
          <w:szCs w:val="18"/>
          <w:color w:val="auto"/>
        </w:rPr>
        <w:t>under the Plan), and any transactions with non-Spanish residents (including any payments of Shares made pursuant to the Plan), depending on the balances in such accounts together with the value of such instruments as of December 31 of the relevant year, or the volume of transactions with non-Spanish residents during the relevant year.</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u w:val="single" w:color="auto"/>
          <w:color w:val="auto"/>
        </w:rPr>
        <w:t>Foreign Asset and Account Reporting Information</w:t>
      </w:r>
      <w:r>
        <w:rPr>
          <w:rFonts w:ascii="Arial" w:cs="Arial" w:eastAsia="Arial" w:hAnsi="Arial"/>
          <w:sz w:val="18"/>
          <w:szCs w:val="18"/>
          <w:color w:val="auto"/>
        </w:rPr>
        <w:t>. To the extent that Participant holds rights or assets (</w:t>
      </w:r>
      <w:r>
        <w:rPr>
          <w:rFonts w:ascii="Arial" w:cs="Arial" w:eastAsia="Arial" w:hAnsi="Arial"/>
          <w:sz w:val="18"/>
          <w:szCs w:val="18"/>
          <w:i w:val="1"/>
          <w:iCs w:val="1"/>
          <w:color w:val="auto"/>
        </w:rPr>
        <w:t>e.g.,</w:t>
      </w:r>
      <w:r>
        <w:rPr>
          <w:rFonts w:ascii="Arial" w:cs="Arial" w:eastAsia="Arial" w:hAnsi="Arial"/>
          <w:sz w:val="18"/>
          <w:szCs w:val="18"/>
          <w:color w:val="auto"/>
        </w:rPr>
        <w:t xml:space="preserve"> cash or Shares held in a bank or brokerage account) outside of Spain with a value in excess of €50,000 per type of right or asset as of December 31 each year (or at any time during the year in which Participant sells or disposes of such rights or assets), Participant is required to report information on such rights and assets on his or her tax return for such year. After such rights or assets are initially reported, the reporting obligation will only apply for subsequent years if the value of any previously-reported rights or assets increases by more than €20,000. </w:t>
      </w:r>
      <w:r>
        <w:rPr>
          <w:rFonts w:ascii="Arial" w:cs="Arial" w:eastAsia="Arial" w:hAnsi="Arial"/>
          <w:sz w:val="18"/>
          <w:szCs w:val="18"/>
          <w:i w:val="1"/>
          <w:iCs w:val="1"/>
          <w:color w:val="auto"/>
        </w:rPr>
        <w:t>Participant should consult with his or her personal tax advisor to ensure compliance with</w:t>
      </w:r>
      <w:r>
        <w:rPr>
          <w:rFonts w:ascii="Arial" w:cs="Arial" w:eastAsia="Arial" w:hAnsi="Arial"/>
          <w:sz w:val="18"/>
          <w:szCs w:val="18"/>
          <w:color w:val="auto"/>
        </w:rPr>
        <w:t xml:space="preserve"> </w:t>
      </w:r>
      <w:r>
        <w:rPr>
          <w:rFonts w:ascii="Arial" w:cs="Arial" w:eastAsia="Arial" w:hAnsi="Arial"/>
          <w:sz w:val="18"/>
          <w:szCs w:val="18"/>
          <w:i w:val="1"/>
          <w:iCs w:val="1"/>
          <w:color w:val="auto"/>
        </w:rPr>
        <w:t>applicable reporting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offer of participation in the Plan is available only for employees of the Company and its Subsidiaries. The offer of participation in the Plan is not a public offer of securities by a Taiwanese company.</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The acquisition or conversion of foreign currency and the remittance of such amounts (including proceeds from the sale of Shares) to Taiwan may trigger certain annual or periodic exchange control reporting. If the transaction amount is TWD500,000 or more in a single transaction, Participant may be required to submit a Foreign Exchange Transaction Form and provide supporting documentation to the satisfaction of the remitting bank. </w:t>
      </w:r>
      <w:r>
        <w:rPr>
          <w:rFonts w:ascii="Arial" w:cs="Arial" w:eastAsia="Arial" w:hAnsi="Arial"/>
          <w:sz w:val="16"/>
          <w:szCs w:val="16"/>
          <w:i w:val="1"/>
          <w:iCs w:val="1"/>
          <w:color w:val="auto"/>
        </w:rPr>
        <w:t>Participant should consult his or her personal legal advisor to ensure compliance with applicable exchange control laws in Taiwan.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This provision supplements Section 18 of the Award Agreement:</w:t>
      </w:r>
    </w:p>
    <w:p>
      <w:pPr>
        <w:spacing w:after="0" w:line="225"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Participant acknowledges that the RSUs and related benefits do not constitute a component of Participant’s “wages” for any legal purpose. Therefore, the RSUs and related benefits will not be included and/or considered for purposes of calculating any and all labor benefits, such as social insurance contributions and/or any other labor-related amounts which may be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offer of RSUs is available only for select employees of the Company and its Subsidiaries and is in the nature of providing employee incentives in the United Arab Emirates. The Plan and the Award Agreement are intended for distribution only to such employees and must not be delivered to, or relied on by any other person. Prospective purchasers of securities should conduct their own due diligence.</w:t>
      </w:r>
    </w:p>
    <w:p>
      <w:pPr>
        <w:spacing w:after="0" w:line="149"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The Emirates Securities and Commodities Authority has no responsibility for reviewing or verifying any documents in connection with this statement, including the Plan and the Award Agreement, or any other incidental communication materials distributions in connection with the RSUs. Further,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8" w:name="page519"/>
    <w:bookmarkEnd w:id="518"/>
    <w:p>
      <w:pPr>
        <w:ind w:right="100"/>
        <w:spacing w:after="0" w:line="263" w:lineRule="auto"/>
        <w:rPr>
          <w:sz w:val="20"/>
          <w:szCs w:val="20"/>
          <w:color w:val="auto"/>
        </w:rPr>
      </w:pPr>
      <w:r>
        <w:rPr>
          <w:rFonts w:ascii="Arial" w:cs="Arial" w:eastAsia="Arial" w:hAnsi="Arial"/>
          <w:sz w:val="18"/>
          <w:szCs w:val="18"/>
          <w:color w:val="auto"/>
        </w:rPr>
        <w:t>neither the Ministry of Economy nor the Dubai Department of Economic Development has approved this statement nor taken steps to verify the information set out in it, and has no responsibility for it. Residents of the United Arab Emirates who have questions regarding the contents of the Plan and the Award Agreement should obtain independent professional advice.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The following provision supplements Section 2 and 8 of the Award Agreement: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Notwithstanding any discretion contained in the Plan or the Award Agreement, the RSUs will not be settled in cash or a combination of cash and Shares. The RSUs will be settled only in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following provision supplements Section 13 of the Award Agreement: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Without limitation to this Section 13, Participant hereby agrees that he or she is liable for all applicable income tax, social insurance, payroll tax, fringe benefits tax, payment on account or other tax-related items related to Participant’s Participation in the Plan (“Tax-Related Items”) and hereby covenants to pay all such Tax-Related Items, as and when requested by the Company or (if different) the Employer or by Her Majesty’s Revenue &amp; Customs (“HMRC”) (or any other tax authority or any other relevant authority). Participant also hereby agrees to indemnify and keep indemnified the Company and (if different) the Employer against any Tax-Related Items that they are required to pay or withhold or have paid or will pay to HMRC (or any other tax authority or any other relevant authority) on Participant’s behalf.</w:t>
      </w:r>
    </w:p>
    <w:p>
      <w:pPr>
        <w:spacing w:after="0" w:line="19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Notwithstanding the foregoing, if Participant is a director or executive officer of the Company (within the meaning of Section 13(k) of the Exchange Act), Participant understands that the foregoing provision will not apply. Instead, any Tax-Related Items not collected or paid may constitute a benefit to Participant on which additional income tax and National Insurance Contributions (“NICs”) may be payable.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can be recovered by any means set out in the Award Agreement.</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u w:val="single" w:color="auto"/>
          <w:color w:val="auto"/>
        </w:rPr>
        <w:t>Section 431 Election</w:t>
      </w:r>
      <w:r>
        <w:rPr>
          <w:rFonts w:ascii="Arial" w:cs="Arial" w:eastAsia="Arial" w:hAnsi="Arial"/>
          <w:sz w:val="17"/>
          <w:szCs w:val="17"/>
          <w:color w:val="auto"/>
        </w:rPr>
        <w:t>. Except as provided below, as a condition of participation in the Plan and the vesting of RSUs, Participant agrees to enter into, jointly with the Employer (or the Company or its other Subsidiaries, as applicable), a joint election within Section 431 of the U.K. Income Tax (Earnings and Pensions) Act 2003 (“ITEPA 2003”) in respect of computing any tax charge on the acquisition of “restricted securities” (as defined in Sections 423 and 424 of ITEPA 2003), and that Participant will not revoke such election at any time (the “431 Election”). This election will be to treat the Shares acquired under the Plan as if such Shares were not restricted securities (for U.K. tax purposes only). If Participant is required to but does not enter into such an election prior to the vesting of the RSUs, Participant will not be entitled to vest in the RSUs and no Shares will be issued to Participant, without any liability to the Company or the Employer. Participant must enter into the 431 Election attached the Award Agreement as Exhibit C , concurrent with the execution of the Award Agreement, or at such subsequent time as may be designated by the Company.</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u w:val="single" w:color="auto"/>
          <w:color w:val="auto"/>
        </w:rPr>
        <w:t>National Insurance Contribution Joint Election</w:t>
      </w:r>
      <w:r>
        <w:rPr>
          <w:rFonts w:ascii="Arial" w:cs="Arial" w:eastAsia="Arial" w:hAnsi="Arial"/>
          <w:sz w:val="18"/>
          <w:szCs w:val="18"/>
          <w:color w:val="auto"/>
        </w:rPr>
        <w:t>. If Participant is a tax resident in the United Kingdom, the grant of the RSUs is conditional upon Participant’s agreement to accept liability for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9" w:name="page520"/>
    <w:bookmarkEnd w:id="519"/>
    <w:p>
      <w:pPr>
        <w:spacing w:after="0" w:line="269" w:lineRule="auto"/>
        <w:rPr>
          <w:sz w:val="20"/>
          <w:szCs w:val="20"/>
          <w:color w:val="auto"/>
        </w:rPr>
      </w:pPr>
      <w:r>
        <w:rPr>
          <w:rFonts w:ascii="Arial" w:cs="Arial" w:eastAsia="Arial" w:hAnsi="Arial"/>
          <w:sz w:val="17"/>
          <w:szCs w:val="17"/>
          <w:color w:val="auto"/>
        </w:rPr>
        <w:t>secondary Class 1 national insurance contributions which may be payable by the Employer in connection with any event giving rise to tax liability in relation to the RSUs (“Employer NICs”). The Employer NICs may be collected by the Company or the Employer using any of the methods described in Section 13 of the Award Agreement. Without prejudice to the foregoing, Participant agrees to execute a joint election with the Company or the Employer (a “NICs Joint Election”), the form of such NICs Joint Election being formally approved by HMRC, and any other consent or elections required to accomplish the transfer of the Employer NICs to Participant. Participant further agrees to execute such other elections as may be required by any successor to the Company and/or the Employer for the purpose of continuing the effectiveness of Participant’s NICs Joint Election. If Participant does not complete the Joint Election prior to the RSUs vesting, or if approval of the NICs Joint Election is withdrawn by HMRC and a new NICs Joint Election is not entered into, Participant’s RSUs shall become null and void and may not be settled, without any liability to the Company or its Subsidiaries. Participant must enter into the NICs Joint Election attached the Award Agreement as Exhibit D, concurrent with the execution of the Award Agreement or at such subsequent time as may be designated by the Company.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20" w:name="page521"/>
    <w:bookmarkEnd w:id="520"/>
    <w:p>
      <w:pPr>
        <w:jc w:val="center"/>
        <w:ind w:right="-9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431 JOINT ELECTION FOR U.K. PARTICIPANTS</w:t>
      </w:r>
    </w:p>
    <w:p>
      <w:pPr>
        <w:spacing w:after="0" w:line="225" w:lineRule="exact"/>
        <w:rPr>
          <w:sz w:val="20"/>
          <w:szCs w:val="20"/>
          <w:color w:val="auto"/>
        </w:rPr>
      </w:pPr>
    </w:p>
    <w:p>
      <w:pPr>
        <w:ind w:right="1120"/>
        <w:spacing w:after="0" w:line="500" w:lineRule="auto"/>
        <w:rPr>
          <w:sz w:val="20"/>
          <w:szCs w:val="20"/>
          <w:color w:val="auto"/>
        </w:rPr>
      </w:pPr>
      <w:r>
        <w:rPr>
          <w:rFonts w:ascii="Arial" w:cs="Arial" w:eastAsia="Arial" w:hAnsi="Arial"/>
          <w:sz w:val="18"/>
          <w:szCs w:val="18"/>
          <w:b w:val="1"/>
          <w:bCs w:val="1"/>
          <w:color w:val="auto"/>
        </w:rPr>
        <w:t>Joint Election under s431 ITEPA 2003 for full or partial disapplication of Chapter 2 Income Tax (Earnings and Pensions) Act 2003 One Part Election</w:t>
      </w:r>
    </w:p>
    <w:p>
      <w:pPr>
        <w:spacing w:after="0" w:line="2" w:lineRule="exact"/>
        <w:rPr>
          <w:sz w:val="20"/>
          <w:szCs w:val="20"/>
          <w:color w:val="auto"/>
        </w:rPr>
      </w:pPr>
    </w:p>
    <w:p>
      <w:pPr>
        <w:ind w:left="340" w:hanging="332"/>
        <w:spacing w:after="0"/>
        <w:tabs>
          <w:tab w:leader="none" w:pos="34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Between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whose National Insurance Number 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(who is the Employee’s employer):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Company Registration Number</w:t>
      </w:r>
    </w:p>
    <w:p>
      <w:pPr>
        <w:spacing w:after="0" w:line="221" w:lineRule="exact"/>
        <w:rPr>
          <w:sz w:val="20"/>
          <w:szCs w:val="20"/>
          <w:color w:val="auto"/>
        </w:rPr>
      </w:pPr>
    </w:p>
    <w:p>
      <w:pPr>
        <w:ind w:left="340" w:hanging="332"/>
        <w:spacing w:after="0"/>
        <w:tabs>
          <w:tab w:leader="none" w:pos="34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Election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joint election is made pursuant to section 431(1) or 431(2) Income Tax (Earnings and Pensions) Act 2003 (ITEPA) and applies where employment-related securities, which are restricted securities by reason of section 423 ITEPA, are acquired.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 of an election under section 431(1) is that, for the relevant Income Tax and NIC purposes, the employment-related securities and their market value will be treated as if they were not restricted securities and that sections 425 to 430 ITEPA do not apply. An election under section 431(2) will ignore one or more of the restrictions in computing the charge on acquisition. Additional Income Tax will be payable (with PAYE and NIC where the securities are Readily Convertible Assets).</w:t>
      </w:r>
    </w:p>
    <w:p>
      <w:pPr>
        <w:spacing w:after="0" w:line="18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521" w:name="page522"/>
    <w:bookmarkEnd w:id="521"/>
    <w:p>
      <w:pPr>
        <w:ind w:left="340" w:hanging="332"/>
        <w:spacing w:after="0"/>
        <w:tabs>
          <w:tab w:leader="none" w:pos="34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joint election is made not later than 14 days after the date of acquisition of the securities by the employee and applies to:</w:t>
      </w:r>
    </w:p>
    <w:p>
      <w:pPr>
        <w:spacing w:after="0" w:line="225" w:lineRule="exact"/>
        <w:rPr>
          <w:sz w:val="20"/>
          <w:szCs w:val="20"/>
          <w:color w:val="auto"/>
        </w:rPr>
      </w:pPr>
    </w:p>
    <w:p>
      <w:pPr>
        <w:ind w:left="660"/>
        <w:spacing w:after="0"/>
        <w:tabs>
          <w:tab w:leader="none" w:pos="3940" w:val="left"/>
        </w:tabs>
        <w:rPr>
          <w:sz w:val="20"/>
          <w:szCs w:val="20"/>
          <w:color w:val="auto"/>
        </w:rPr>
      </w:pPr>
      <w:r>
        <w:rPr>
          <w:rFonts w:ascii="Arial" w:cs="Arial" w:eastAsia="Arial" w:hAnsi="Arial"/>
          <w:sz w:val="18"/>
          <w:szCs w:val="18"/>
          <w:color w:val="auto"/>
        </w:rPr>
        <w:t>Number of securities:</w:t>
      </w:r>
      <w:r>
        <w:rPr>
          <w:sz w:val="20"/>
          <w:szCs w:val="20"/>
          <w:color w:val="auto"/>
        </w:rPr>
        <w:tab/>
      </w:r>
      <w:r>
        <w:rPr>
          <w:rFonts w:ascii="Arial" w:cs="Arial" w:eastAsia="Arial" w:hAnsi="Arial"/>
          <w:sz w:val="16"/>
          <w:szCs w:val="16"/>
          <w:color w:val="auto"/>
        </w:rPr>
        <w:t>All securities to be acquired by Employee under the terms of the CrowdStrike Holdings, Inc. 2011</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Stock Incentive Plan.</w:t>
      </w:r>
    </w:p>
    <w:p>
      <w:pPr>
        <w:spacing w:after="0" w:line="211" w:lineRule="exact"/>
        <w:rPr>
          <w:sz w:val="20"/>
          <w:szCs w:val="20"/>
          <w:color w:val="auto"/>
        </w:rPr>
      </w:pPr>
    </w:p>
    <w:p>
      <w:pPr>
        <w:ind w:left="660"/>
        <w:spacing w:after="0"/>
        <w:tabs>
          <w:tab w:leader="none" w:pos="3940" w:val="left"/>
        </w:tabs>
        <w:rPr>
          <w:sz w:val="20"/>
          <w:szCs w:val="20"/>
          <w:color w:val="auto"/>
        </w:rPr>
      </w:pPr>
      <w:r>
        <w:rPr>
          <w:rFonts w:ascii="Arial" w:cs="Arial" w:eastAsia="Arial" w:hAnsi="Arial"/>
          <w:sz w:val="18"/>
          <w:szCs w:val="18"/>
          <w:color w:val="auto"/>
        </w:rPr>
        <w:t>Description of securities:</w:t>
      </w:r>
      <w:r>
        <w:rPr>
          <w:sz w:val="20"/>
          <w:szCs w:val="20"/>
          <w:color w:val="auto"/>
        </w:rPr>
        <w:tab/>
      </w:r>
      <w:r>
        <w:rPr>
          <w:rFonts w:ascii="Arial" w:cs="Arial" w:eastAsia="Arial" w:hAnsi="Arial"/>
          <w:sz w:val="15"/>
          <w:szCs w:val="15"/>
          <w:color w:val="auto"/>
        </w:rPr>
        <w:t>Shares of common stock</w:t>
      </w:r>
    </w:p>
    <w:p>
      <w:pPr>
        <w:spacing w:after="0" w:line="225" w:lineRule="exact"/>
        <w:rPr>
          <w:sz w:val="20"/>
          <w:szCs w:val="20"/>
          <w:color w:val="auto"/>
        </w:rPr>
      </w:pPr>
    </w:p>
    <w:p>
      <w:pPr>
        <w:ind w:left="660"/>
        <w:spacing w:after="0"/>
        <w:tabs>
          <w:tab w:leader="none" w:pos="3940" w:val="left"/>
        </w:tabs>
        <w:rPr>
          <w:sz w:val="20"/>
          <w:szCs w:val="20"/>
          <w:color w:val="auto"/>
        </w:rPr>
      </w:pPr>
      <w:r>
        <w:rPr>
          <w:rFonts w:ascii="Arial" w:cs="Arial" w:eastAsia="Arial" w:hAnsi="Arial"/>
          <w:sz w:val="18"/>
          <w:szCs w:val="18"/>
          <w:color w:val="auto"/>
        </w:rPr>
        <w:t>Name of issuer of securities:</w:t>
      </w:r>
      <w:r>
        <w:rPr>
          <w:sz w:val="20"/>
          <w:szCs w:val="20"/>
          <w:color w:val="auto"/>
        </w:rPr>
        <w:tab/>
      </w:r>
      <w:r>
        <w:rPr>
          <w:rFonts w:ascii="Arial" w:cs="Arial" w:eastAsia="Arial" w:hAnsi="Arial"/>
          <w:sz w:val="16"/>
          <w:szCs w:val="16"/>
          <w:color w:val="auto"/>
        </w:rPr>
        <w:t>CrowdStrike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acquired by the Employee under the terms of the CrowdStrike Holdings, Inc. 2011 Stock Incentive Plan.</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b w:val="1"/>
          <w:bCs w:val="1"/>
          <w:color w:val="auto"/>
        </w:rPr>
        <w:t>Extent of Application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election disapplies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S.431(1) ITEPA: All restrictions attaching to the securities</w:t>
      </w:r>
    </w:p>
    <w:p>
      <w:pPr>
        <w:spacing w:after="0" w:line="221" w:lineRule="exact"/>
        <w:rPr>
          <w:sz w:val="20"/>
          <w:szCs w:val="20"/>
          <w:color w:val="auto"/>
        </w:rPr>
      </w:pPr>
    </w:p>
    <w:p>
      <w:pPr>
        <w:ind w:left="340" w:hanging="332"/>
        <w:spacing w:after="0"/>
        <w:tabs>
          <w:tab w:leader="none" w:pos="340"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election will become irrevocable upon the later of its signing or electronic acceptance or the acquisition (and each subsequent acquisition) of employment-related securities to which this election applies.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signing or electronically accepting this joint election, we agree to be bound by its terms as stated above.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Borders>
              <w:bottom w:val="single" w:sz="8" w:color="auto"/>
            </w:tcBorders>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Signature (Employee)</w:t>
            </w:r>
          </w:p>
        </w:tc>
        <w:tc>
          <w:tcPr>
            <w:tcW w:w="880" w:type="dxa"/>
            <w:vAlign w:val="bottom"/>
          </w:tcPr>
          <w:p>
            <w:pPr>
              <w:jc w:val="right"/>
              <w:spacing w:after="0"/>
              <w:rPr>
                <w:sz w:val="20"/>
                <w:szCs w:val="20"/>
                <w:color w:val="auto"/>
              </w:rPr>
            </w:pPr>
            <w:r>
              <w:rPr>
                <w:rFonts w:ascii="Arial" w:cs="Arial" w:eastAsia="Arial" w:hAnsi="Arial"/>
                <w:sz w:val="18"/>
                <w:szCs w:val="18"/>
                <w:color w:val="auto"/>
              </w:rPr>
              <w:t>Date</w:t>
            </w:r>
          </w:p>
        </w:tc>
        <w:tc>
          <w:tcPr>
            <w:tcW w:w="120" w:type="dxa"/>
            <w:vAlign w:val="bottom"/>
          </w:tcPr>
          <w:p>
            <w:pPr>
              <w:spacing w:after="0"/>
              <w:rPr>
                <w:sz w:val="19"/>
                <w:szCs w:val="19"/>
                <w:color w:val="auto"/>
              </w:rPr>
            </w:pPr>
          </w:p>
        </w:tc>
      </w:tr>
      <w:tr>
        <w:trPr>
          <w:trHeight w:val="634"/>
        </w:trPr>
        <w:tc>
          <w:tcPr>
            <w:tcW w:w="5400" w:type="dxa"/>
            <w:vAlign w:val="bottom"/>
            <w:tcBorders>
              <w:bottom w:val="single" w:sz="8" w:color="auto"/>
            </w:tcBorders>
          </w:tcPr>
          <w:p>
            <w:pPr>
              <w:spacing w:after="0"/>
              <w:rPr>
                <w:sz w:val="24"/>
                <w:szCs w:val="24"/>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5400" w:type="dxa"/>
            <w:vAlign w:val="bottom"/>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Signature (for and on behalf of the Company)</w:t>
            </w:r>
          </w:p>
        </w:tc>
        <w:tc>
          <w:tcPr>
            <w:tcW w:w="880" w:type="dxa"/>
            <w:vAlign w:val="bottom"/>
          </w:tcPr>
          <w:p>
            <w:pPr>
              <w:jc w:val="right"/>
              <w:spacing w:after="0"/>
              <w:rPr>
                <w:sz w:val="20"/>
                <w:szCs w:val="20"/>
                <w:color w:val="auto"/>
              </w:rPr>
            </w:pPr>
            <w:r>
              <w:rPr>
                <w:rFonts w:ascii="Arial" w:cs="Arial" w:eastAsia="Arial" w:hAnsi="Arial"/>
                <w:sz w:val="18"/>
                <w:szCs w:val="18"/>
                <w:color w:val="auto"/>
              </w:rPr>
              <w:t>Date</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Position in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2900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Note: Where the election is in respect of multiple acquisitions, prior to the date of any subsequent acquisition of a security it may be revoked by agreement between the employee and employer in respect of that and any later acquisition.</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40"/>
          </w:cols>
          <w:pgMar w:left="320" w:top="337" w:right="1039" w:bottom="1440" w:gutter="0" w:footer="0" w:header="0"/>
        </w:sectPr>
      </w:pPr>
    </w:p>
    <w:bookmarkStart w:id="523" w:name="page524"/>
    <w:bookmarkEnd w:id="523"/>
    <w:p>
      <w:pPr>
        <w:jc w:val="center"/>
        <w:ind w:right="-19"/>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NICs JOINT ELECTION FOR U.K.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Note on the Election to Transfer Employer NICs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you are liable for National Insurance contributions (“NICs”) in the UK in connection with your participation in the CrowdStrike Holdings, Inc. 2011 Stock Incentive Plan, you are required to enter into an Election to transfer to you any liability for employer’s NICs that may arise in connection with your participation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entering into the Election:</w:t>
      </w:r>
    </w:p>
    <w:p>
      <w:pPr>
        <w:spacing w:after="0" w:line="225" w:lineRule="exact"/>
        <w:rPr>
          <w:sz w:val="20"/>
          <w:szCs w:val="20"/>
          <w:color w:val="auto"/>
        </w:rPr>
      </w:pPr>
    </w:p>
    <w:p>
      <w:pPr>
        <w:ind w:left="620" w:hanging="288"/>
        <w:spacing w:after="0"/>
        <w:tabs>
          <w:tab w:leader="none" w:pos="62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you agree that any employer’s NICs liability that may arise in connection with your participation in the Plan will be transferred to you;</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2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you authorise your employer to recover an amount sufficient to cover this liability by such methods including, but not limited to, deductions from your salary or other payments due or the sale of sufficient shares acquired pursuant to your awards;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24" w:val="left"/>
        </w:tabs>
        <w:numPr>
          <w:ilvl w:val="0"/>
          <w:numId w:val="474"/>
        </w:numPr>
        <w:rPr>
          <w:rFonts w:ascii="Arial" w:cs="Arial" w:eastAsia="Arial" w:hAnsi="Arial"/>
          <w:sz w:val="18"/>
          <w:szCs w:val="18"/>
          <w:color w:val="auto"/>
        </w:rPr>
      </w:pPr>
      <w:r>
        <w:rPr>
          <w:rFonts w:ascii="Arial" w:cs="Arial" w:eastAsia="Arial" w:hAnsi="Arial"/>
          <w:sz w:val="18"/>
          <w:szCs w:val="18"/>
          <w:color w:val="auto"/>
        </w:rPr>
        <w:t>you acknowledge that the Company or your employer may require you to sign a paper copy of this Election (or a substantially similar form) if the Company determines such is necessary to give effect to the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read the Election carefully.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print and keep a copy of the Election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2011 STOCK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Election To Transfer the Employer’s National Insurance Liability to the 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Election is between:</w:t>
      </w:r>
    </w:p>
    <w:p>
      <w:pPr>
        <w:spacing w:after="0" w:line="225" w:lineRule="exact"/>
        <w:rPr>
          <w:sz w:val="20"/>
          <w:szCs w:val="20"/>
          <w:color w:val="auto"/>
        </w:rPr>
      </w:pPr>
    </w:p>
    <w:p>
      <w:pPr>
        <w:jc w:val="both"/>
        <w:ind w:right="80" w:firstLine="8"/>
        <w:spacing w:after="0" w:line="263" w:lineRule="auto"/>
        <w:tabs>
          <w:tab w:leader="none" w:pos="63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individual who has obtained authorised access to this Election (the “Employee”), who is employed by one of the employing companies listed in the attached schedule (the “Employer”) and who is eligible to receive restricted stock units (“Awards”) pursuant to the CrowdStrike Holdings, Inc. 2011 Stock Incentive Plan (the “Plan”), and</w:t>
      </w:r>
    </w:p>
    <w:p>
      <w:pPr>
        <w:spacing w:after="0" w:line="183" w:lineRule="exact"/>
        <w:rPr>
          <w:rFonts w:ascii="Arial" w:cs="Arial" w:eastAsia="Arial" w:hAnsi="Arial"/>
          <w:sz w:val="18"/>
          <w:szCs w:val="18"/>
          <w:color w:val="auto"/>
        </w:rPr>
      </w:pPr>
    </w:p>
    <w:p>
      <w:pPr>
        <w:ind w:right="80" w:firstLine="8"/>
        <w:spacing w:after="0" w:line="277" w:lineRule="auto"/>
        <w:tabs>
          <w:tab w:leader="none" w:pos="624" w:val="left"/>
        </w:tabs>
        <w:numPr>
          <w:ilvl w:val="0"/>
          <w:numId w:val="475"/>
        </w:numPr>
        <w:rPr>
          <w:rFonts w:ascii="Arial" w:cs="Arial" w:eastAsia="Arial" w:hAnsi="Arial"/>
          <w:sz w:val="18"/>
          <w:szCs w:val="18"/>
          <w:color w:val="auto"/>
        </w:rPr>
      </w:pPr>
      <w:r>
        <w:rPr>
          <w:rFonts w:ascii="Arial" w:cs="Arial" w:eastAsia="Arial" w:hAnsi="Arial"/>
          <w:sz w:val="18"/>
          <w:szCs w:val="18"/>
          <w:color w:val="auto"/>
        </w:rPr>
        <w:t>CrowdStrike Holdings, Inc., 150 Mathilda Place, Suite 300, Sunnyvale, California 94086, United States of America (the “Company”), which may grant Awards under the Plan and is entering into this Election on behalf of the Employer.</w:t>
      </w:r>
    </w:p>
    <w:p>
      <w:pPr>
        <w:spacing w:after="0" w:line="166" w:lineRule="exact"/>
        <w:rPr>
          <w:sz w:val="20"/>
          <w:szCs w:val="20"/>
          <w:color w:val="auto"/>
        </w:rPr>
      </w:pPr>
    </w:p>
    <w:p>
      <w:pPr>
        <w:ind w:left="640" w:hanging="632"/>
        <w:spacing w:after="0"/>
        <w:tabs>
          <w:tab w:leader="none" w:pos="64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This Election relates to all Awards granted to the Employee under the Plan from the date it is entered up to the termination date of the Plan.</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Election the following words and phrases have the following meanings:</w:t>
      </w:r>
    </w:p>
    <w:p>
      <w:pPr>
        <w:spacing w:after="0" w:line="225" w:lineRule="exact"/>
        <w:rPr>
          <w:sz w:val="20"/>
          <w:szCs w:val="20"/>
          <w:color w:val="auto"/>
        </w:rPr>
      </w:pPr>
    </w:p>
    <w:p>
      <w:pPr>
        <w:ind w:left="1280" w:hanging="624"/>
        <w:spacing w:after="0"/>
        <w:tabs>
          <w:tab w:leader="none" w:pos="12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“Chargeable Event” means, any event giving rise to Relevant Employment Income.</w:t>
      </w:r>
    </w:p>
    <w:p>
      <w:pPr>
        <w:spacing w:after="0" w:line="225" w:lineRule="exact"/>
        <w:rPr>
          <w:rFonts w:ascii="Arial" w:cs="Arial" w:eastAsia="Arial" w:hAnsi="Arial"/>
          <w:sz w:val="18"/>
          <w:szCs w:val="18"/>
          <w:color w:val="auto"/>
        </w:rPr>
      </w:pPr>
    </w:p>
    <w:p>
      <w:pPr>
        <w:spacing w:after="0"/>
        <w:tabs>
          <w:tab w:leader="none" w:pos="0" w:val="left"/>
        </w:tabs>
        <w:numPr>
          <w:ilvl w:val="1"/>
          <w:numId w:val="477"/>
        </w:numPr>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“ITEPA” means the Income Tax (Earnings and Pensions) Act 2003.</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“Relevant Employment Income” from Awards on which employer’s National Insurance Contributions becomes due is defined as:</w:t>
      </w:r>
    </w:p>
    <w:p>
      <w:pPr>
        <w:spacing w:after="0" w:line="236" w:lineRule="exact"/>
        <w:rPr>
          <w:rFonts w:ascii="Arial" w:cs="Arial" w:eastAsia="Arial" w:hAnsi="Arial"/>
          <w:sz w:val="17"/>
          <w:szCs w:val="17"/>
          <w:color w:val="auto"/>
        </w:rPr>
      </w:pPr>
    </w:p>
    <w:p>
      <w:pPr>
        <w:ind w:left="1960" w:right="340" w:hanging="656"/>
        <w:spacing w:after="0" w:line="277" w:lineRule="auto"/>
        <w:tabs>
          <w:tab w:leader="none" w:pos="1941"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 amount that counts as employment income of the earner under section 426 ITEPA (restricted securities: charge on certain post-acquisition events);</w:t>
      </w:r>
    </w:p>
    <w:p>
      <w:pPr>
        <w:spacing w:after="0" w:line="170" w:lineRule="exact"/>
        <w:rPr>
          <w:rFonts w:ascii="Arial" w:cs="Arial" w:eastAsia="Arial" w:hAnsi="Arial"/>
          <w:sz w:val="18"/>
          <w:szCs w:val="18"/>
          <w:color w:val="auto"/>
        </w:rPr>
      </w:pPr>
    </w:p>
    <w:p>
      <w:pPr>
        <w:ind w:left="1960" w:hanging="656"/>
        <w:spacing w:after="0" w:line="277" w:lineRule="auto"/>
        <w:tabs>
          <w:tab w:leader="none" w:pos="1952"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 amount that counts as employment income of the earner under section 438 of ITEPA (convertible securities: charge on certain post-acquisition events); or</w:t>
      </w:r>
    </w:p>
    <w:p>
      <w:pPr>
        <w:spacing w:after="0" w:line="170" w:lineRule="exact"/>
        <w:rPr>
          <w:rFonts w:ascii="Arial" w:cs="Arial" w:eastAsia="Arial" w:hAnsi="Arial"/>
          <w:sz w:val="18"/>
          <w:szCs w:val="18"/>
          <w:color w:val="auto"/>
        </w:rPr>
      </w:pPr>
    </w:p>
    <w:p>
      <w:pPr>
        <w:ind w:left="1960" w:right="260" w:hanging="656"/>
        <w:spacing w:after="0" w:line="277" w:lineRule="auto"/>
        <w:tabs>
          <w:tab w:leader="none" w:pos="196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any gain that is treated as remuneration derived from the earner’s employment by virtue of section 4(4)(a) SSCBA, including without limitation:</w:t>
      </w:r>
    </w:p>
    <w:p>
      <w:pPr>
        <w:spacing w:after="0" w:line="170" w:lineRule="exact"/>
        <w:rPr>
          <w:rFonts w:ascii="Arial" w:cs="Arial" w:eastAsia="Arial" w:hAnsi="Arial"/>
          <w:sz w:val="18"/>
          <w:szCs w:val="18"/>
          <w:color w:val="auto"/>
        </w:rPr>
      </w:pPr>
    </w:p>
    <w:p>
      <w:pPr>
        <w:ind w:left="2580" w:hanging="628"/>
        <w:spacing w:after="0"/>
        <w:tabs>
          <w:tab w:leader="none" w:pos="258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the acquisition of securities pursuant to Awards (within section 477(3)(a) of ITEPA);</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2"/>
          <w:numId w:val="477"/>
        </w:numPr>
        <w:rPr>
          <w:rFonts w:ascii="Arial" w:cs="Arial" w:eastAsia="Arial" w:hAnsi="Arial"/>
          <w:sz w:val="18"/>
          <w:szCs w:val="18"/>
          <w:color w:val="auto"/>
        </w:rPr>
      </w:pPr>
      <w:r>
        <w:rPr>
          <w:rFonts w:ascii="Arial" w:cs="Arial" w:eastAsia="Arial" w:hAnsi="Arial"/>
          <w:sz w:val="18"/>
          <w:szCs w:val="18"/>
          <w:color w:val="auto"/>
        </w:rPr>
        <w:t>the assignment or release of the Awards in return for consideration (within section 477(3)(b) of ITEPA);</w:t>
      </w:r>
    </w:p>
    <w:p>
      <w:pPr>
        <w:spacing w:after="0" w:line="225" w:lineRule="exact"/>
        <w:rPr>
          <w:rFonts w:ascii="Arial" w:cs="Arial" w:eastAsia="Arial" w:hAnsi="Arial"/>
          <w:sz w:val="18"/>
          <w:szCs w:val="18"/>
          <w:color w:val="auto"/>
        </w:rPr>
      </w:pPr>
    </w:p>
    <w:p>
      <w:pPr>
        <w:ind w:left="2600" w:right="480" w:hanging="648"/>
        <w:spacing w:after="0" w:line="277" w:lineRule="auto"/>
        <w:tabs>
          <w:tab w:leader="none" w:pos="2574" w:val="left"/>
        </w:tabs>
        <w:numPr>
          <w:ilvl w:val="2"/>
          <w:numId w:val="477"/>
        </w:numPr>
        <w:rPr>
          <w:rFonts w:ascii="Arial" w:cs="Arial" w:eastAsia="Arial" w:hAnsi="Arial"/>
          <w:sz w:val="18"/>
          <w:szCs w:val="18"/>
          <w:color w:val="auto"/>
        </w:rPr>
      </w:pPr>
      <w:r>
        <w:rPr>
          <w:rFonts w:ascii="Arial" w:cs="Arial" w:eastAsia="Arial" w:hAnsi="Arial"/>
          <w:sz w:val="18"/>
          <w:szCs w:val="18"/>
          <w:color w:val="auto"/>
        </w:rPr>
        <w:t>the receipt of a benefit in connection with the Awards other than a benefit within (A) or (B) above (within section 477(3)(c) of ITEPA).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349" w:gutter="0" w:footer="0" w:header="0"/>
        </w:sectPr>
      </w:pPr>
    </w:p>
    <w:bookmarkStart w:id="524" w:name="page525"/>
    <w:bookmarkEnd w:id="524"/>
    <w:p>
      <w:pPr>
        <w:ind w:left="1280" w:hanging="624"/>
        <w:spacing w:after="0"/>
        <w:tabs>
          <w:tab w:leader="none" w:pos="12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“SSCBA” means the Social Security Contributions and Benefits Act 1992.</w:t>
      </w:r>
    </w:p>
    <w:p>
      <w:pPr>
        <w:spacing w:after="0" w:line="225" w:lineRule="exact"/>
        <w:rPr>
          <w:sz w:val="20"/>
          <w:szCs w:val="20"/>
          <w:color w:val="auto"/>
        </w:rPr>
      </w:pPr>
    </w:p>
    <w:p>
      <w:pPr>
        <w:ind w:left="620" w:hanging="647"/>
        <w:spacing w:after="0" w:line="342" w:lineRule="auto"/>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“Employer’s Liability”) which may arise in respect of Relevant Employment Income in respect of the Awards pursuant to section 4(4)(a) and/or paragraph 3B(1A) of Schedule 1 of the SSCBA.</w:t>
      </w:r>
    </w:p>
    <w:p>
      <w:pPr>
        <w:spacing w:after="0" w:line="124" w:lineRule="exact"/>
        <w:rPr>
          <w:sz w:val="20"/>
          <w:szCs w:val="20"/>
          <w:color w:val="auto"/>
        </w:rPr>
      </w:pPr>
    </w:p>
    <w:p>
      <w:pPr>
        <w:ind w:left="620" w:right="40" w:hanging="647"/>
        <w:spacing w:after="0" w:line="308"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46" w:lineRule="exact"/>
        <w:rPr>
          <w:sz w:val="20"/>
          <w:szCs w:val="20"/>
          <w:color w:val="auto"/>
        </w:rPr>
      </w:pPr>
    </w:p>
    <w:p>
      <w:pPr>
        <w:ind w:left="620" w:right="320" w:hanging="647"/>
        <w:spacing w:after="0" w:line="277" w:lineRule="auto"/>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66" w:lineRule="exact"/>
        <w:rPr>
          <w:sz w:val="20"/>
          <w:szCs w:val="20"/>
          <w:color w:val="auto"/>
        </w:rPr>
      </w:pPr>
    </w:p>
    <w:p>
      <w:pPr>
        <w:ind w:left="640" w:hanging="632"/>
        <w:spacing w:after="0"/>
        <w:tabs>
          <w:tab w:leader="none" w:pos="64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The Election</w:t>
      </w:r>
    </w:p>
    <w:p>
      <w:pPr>
        <w:spacing w:after="0" w:line="229"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 or by separately signing or electronically accepting this Election, he or she will become personally liable for the Employer’s Liability covered by this Election. This Election is made in accordance with paragraph 3B(1) of Schedule 1 to SSCBA.</w:t>
      </w:r>
    </w:p>
    <w:p>
      <w:pPr>
        <w:spacing w:after="0" w:line="183" w:lineRule="exact"/>
        <w:rPr>
          <w:sz w:val="20"/>
          <w:szCs w:val="20"/>
          <w:color w:val="auto"/>
        </w:rPr>
      </w:pPr>
    </w:p>
    <w:p>
      <w:pPr>
        <w:ind w:left="640" w:hanging="632"/>
        <w:spacing w:after="0"/>
        <w:tabs>
          <w:tab w:leader="none" w:pos="64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the Employer’s Liability</w:t>
      </w:r>
    </w:p>
    <w:p>
      <w:pPr>
        <w:spacing w:after="0" w:line="229" w:lineRule="exact"/>
        <w:rPr>
          <w:sz w:val="20"/>
          <w:szCs w:val="20"/>
          <w:color w:val="auto"/>
        </w:rPr>
      </w:pPr>
    </w:p>
    <w:p>
      <w:pPr>
        <w:ind w:left="620" w:right="320" w:hanging="647"/>
        <w:spacing w:after="0" w:line="277" w:lineRule="auto"/>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Employee hereby authorises the Company and/or the Employer to collect the Employer’s Liability in respect of any Relevant Employment Income from the Employee at any time after the Chargeable Event:</w:t>
      </w:r>
    </w:p>
    <w:p>
      <w:pPr>
        <w:spacing w:after="0" w:line="170" w:lineRule="exact"/>
        <w:rPr>
          <w:sz w:val="20"/>
          <w:szCs w:val="20"/>
          <w:color w:val="auto"/>
        </w:rPr>
      </w:pPr>
    </w:p>
    <w:p>
      <w:pPr>
        <w:ind w:left="640" w:hanging="632"/>
        <w:spacing w:after="0"/>
        <w:tabs>
          <w:tab w:leader="none" w:pos="6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by deduction from salary or any other payment payable to the Employee at any time on or after the date of the Chargeable Event; and/or</w:t>
      </w:r>
    </w:p>
    <w:p>
      <w:pPr>
        <w:spacing w:after="0" w:line="236" w:lineRule="exact"/>
        <w:rPr>
          <w:rFonts w:ascii="Arial" w:cs="Arial" w:eastAsia="Arial" w:hAnsi="Arial"/>
          <w:sz w:val="17"/>
          <w:szCs w:val="17"/>
          <w:color w:val="auto"/>
        </w:rPr>
      </w:pPr>
    </w:p>
    <w:p>
      <w:pPr>
        <w:ind w:left="640" w:hanging="632"/>
        <w:spacing w:after="0"/>
        <w:tabs>
          <w:tab w:leader="none" w:pos="6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directly from the Employee by payment in cash or cleared funds;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by arranging, on behalf of the Employee, for the sale of some of the securities which the Employee is entitled to receive in respect of the Awards;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and/or</w:t>
      </w:r>
    </w:p>
    <w:p>
      <w:pPr>
        <w:spacing w:after="0" w:line="210" w:lineRule="exact"/>
        <w:rPr>
          <w:rFonts w:ascii="Arial" w:cs="Arial" w:eastAsia="Arial" w:hAnsi="Arial"/>
          <w:sz w:val="16"/>
          <w:szCs w:val="16"/>
          <w:color w:val="auto"/>
        </w:rPr>
      </w:pPr>
    </w:p>
    <w:p>
      <w:pPr>
        <w:ind w:left="640" w:hanging="632"/>
        <w:spacing w:after="0"/>
        <w:tabs>
          <w:tab w:leader="none" w:pos="6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by any other means specified in the applicable award agreement.</w:t>
      </w:r>
    </w:p>
    <w:p>
      <w:pPr>
        <w:spacing w:after="0" w:line="225" w:lineRule="exact"/>
        <w:rPr>
          <w:sz w:val="20"/>
          <w:szCs w:val="20"/>
          <w:color w:val="auto"/>
        </w:rPr>
      </w:pPr>
    </w:p>
    <w:p>
      <w:pPr>
        <w:ind w:left="620" w:right="420" w:hanging="647"/>
        <w:spacing w:after="0" w:line="277" w:lineRule="auto"/>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hereby reserves for itself and the Employer the right to withhold the transfer of any securities to the Employee in respect of the Awards until full payment of the Employer’s Liability is received.</w:t>
      </w:r>
    </w:p>
    <w:p>
      <w:pPr>
        <w:spacing w:after="0" w:line="170" w:lineRule="exact"/>
        <w:rPr>
          <w:sz w:val="20"/>
          <w:szCs w:val="20"/>
          <w:color w:val="auto"/>
        </w:rPr>
      </w:pPr>
    </w:p>
    <w:p>
      <w:pPr>
        <w:ind w:left="620" w:right="100" w:hanging="647"/>
        <w:spacing w:after="0" w:line="263" w:lineRule="auto"/>
        <w:tabs>
          <w:tab w:leader="none" w:pos="6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5" w:name="page526"/>
    <w:bookmarkEnd w:id="525"/>
    <w:p>
      <w:pPr>
        <w:ind w:left="640" w:hanging="632"/>
        <w:spacing w:after="0"/>
        <w:tabs>
          <w:tab w:leader="none" w:pos="64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Election</w:t>
      </w:r>
    </w:p>
    <w:p>
      <w:pPr>
        <w:spacing w:after="0" w:line="229" w:lineRule="exact"/>
        <w:rPr>
          <w:sz w:val="20"/>
          <w:szCs w:val="20"/>
          <w:color w:val="auto"/>
        </w:rPr>
      </w:pPr>
    </w:p>
    <w:p>
      <w:pPr>
        <w:ind w:left="620" w:hanging="647"/>
        <w:spacing w:after="0" w:line="277" w:lineRule="auto"/>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70" w:lineRule="exact"/>
        <w:rPr>
          <w:sz w:val="20"/>
          <w:szCs w:val="20"/>
          <w:color w:val="auto"/>
        </w:rPr>
      </w:pPr>
    </w:p>
    <w:p>
      <w:pPr>
        <w:ind w:left="620" w:right="200" w:hanging="647"/>
        <w:spacing w:after="0" w:line="263" w:lineRule="auto"/>
        <w:tabs>
          <w:tab w:leader="none" w:pos="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8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This Election will continue in effect until the earliest of the following:</w:t>
      </w:r>
    </w:p>
    <w:p>
      <w:pPr>
        <w:spacing w:after="0" w:line="225" w:lineRule="exact"/>
        <w:rPr>
          <w:sz w:val="20"/>
          <w:szCs w:val="20"/>
          <w:color w:val="auto"/>
        </w:rPr>
      </w:pPr>
    </w:p>
    <w:p>
      <w:pPr>
        <w:ind w:left="640" w:hanging="632"/>
        <w:spacing w:after="0"/>
        <w:tabs>
          <w:tab w:leader="none" w:pos="64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Employee and the Company agree in writing that it should cease to have effect;</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on the date the Company serves written notice on the Employee terminating its effect;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on the date HM Revenue &amp; Customs withdraws approval of this Election; or</w:t>
      </w:r>
    </w:p>
    <w:p>
      <w:pPr>
        <w:spacing w:after="0" w:line="225" w:lineRule="exact"/>
        <w:rPr>
          <w:rFonts w:ascii="Arial" w:cs="Arial" w:eastAsia="Arial" w:hAnsi="Arial"/>
          <w:sz w:val="18"/>
          <w:szCs w:val="18"/>
          <w:color w:val="auto"/>
        </w:rPr>
      </w:pPr>
    </w:p>
    <w:p>
      <w:pPr>
        <w:ind w:right="160" w:firstLine="8"/>
        <w:spacing w:after="0" w:line="277" w:lineRule="auto"/>
        <w:tabs>
          <w:tab w:leader="none" w:pos="64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after due payment of the Employer’s Liability in respect of the entirety of the Awards to which this Election relates or could relate, such that the Election ceases to have effect in accordance with its terms.</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Employee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Employee acknowledges that, by electronically accepting the Award or by separately signing or electronically accepting this Election, the Employee agrees to be bound by the terms of this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98323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98323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98323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by the Company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acknowledges that, by signing this Election or arranging for the scanned signature of an authorised representative to appear on this Election, the Company agrees to be bound by the terms of this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 for and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14605</wp:posOffset>
            </wp:positionV>
            <wp:extent cx="222885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14605</wp:posOffset>
            </wp:positionV>
            <wp:extent cx="222885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26" w:name="page527"/>
    <w:bookmarkEnd w:id="526"/>
    <w:p>
      <w:pPr>
        <w:ind w:left="3880"/>
        <w:spacing w:after="0"/>
        <w:rPr>
          <w:sz w:val="20"/>
          <w:szCs w:val="20"/>
          <w:color w:val="auto"/>
        </w:rPr>
      </w:pPr>
      <w:r>
        <w:rPr>
          <w:rFonts w:ascii="Arial" w:cs="Arial" w:eastAsia="Arial" w:hAnsi="Arial"/>
          <w:sz w:val="18"/>
          <w:szCs w:val="18"/>
          <w:b w:val="1"/>
          <w:bCs w:val="1"/>
          <w:color w:val="auto"/>
        </w:rPr>
        <w:t>SCHEDULE OF EMPLOYER COMPANIES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employer companies to which this Election may apply:</w:t>
      </w:r>
    </w:p>
    <w:p>
      <w:pPr>
        <w:sectPr>
          <w:pgSz w:w="11900" w:h="16838" w:orient="portrait"/>
          <w:cols w:equalWidth="0" w:num="1">
            <w:col w:w="11280"/>
          </w:cols>
          <w:pgMar w:left="320" w:top="337" w:right="2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Name of Company: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CrowdStrike UK Ltd. (“CSUK”)</w:t>
      </w:r>
    </w:p>
    <w:p>
      <w:pPr>
        <w:spacing w:after="0" w:line="200" w:lineRule="exact"/>
        <w:rPr>
          <w:sz w:val="20"/>
          <w:szCs w:val="20"/>
          <w:color w:val="auto"/>
        </w:rPr>
      </w:pPr>
    </w:p>
    <w:p>
      <w:pPr>
        <w:sectPr>
          <w:pgSz w:w="11900" w:h="16838" w:orient="portrait"/>
          <w:cols w:equalWidth="0" w:num="2">
            <w:col w:w="2660" w:space="720"/>
            <w:col w:w="7900"/>
          </w:cols>
          <w:pgMar w:left="320" w:top="337" w:right="2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Registered Office: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6th Floor One London Wall, London, United Kingdom EC2Y 5EB</w:t>
      </w:r>
    </w:p>
    <w:p>
      <w:pPr>
        <w:spacing w:after="0" w:line="200" w:lineRule="exact"/>
        <w:rPr>
          <w:sz w:val="20"/>
          <w:szCs w:val="20"/>
          <w:color w:val="auto"/>
        </w:rPr>
      </w:pPr>
    </w:p>
    <w:p>
      <w:pPr>
        <w:sectPr>
          <w:pgSz w:w="11900" w:h="16838" w:orient="portrait"/>
          <w:cols w:equalWidth="0" w:num="2">
            <w:col w:w="2660" w:space="720"/>
            <w:col w:w="7900"/>
          </w:cols>
          <w:pgMar w:left="320" w:top="337" w:right="29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Company Registration Number:</w:t>
      </w:r>
    </w:p>
    <w:p>
      <w:pPr>
        <w:sectPr>
          <w:pgSz w:w="11900" w:h="16838" w:orient="portrait"/>
          <w:cols w:equalWidth="0" w:num="1">
            <w:col w:w="11280"/>
          </w:cols>
          <w:pgMar w:left="320" w:top="337" w:right="29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Corporation Tax District: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Corporation Tax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RESTRICTED STOCK GRANT NOTICE AND AGREEMENT</w:t>
      </w:r>
    </w:p>
    <w:p>
      <w:pPr>
        <w:spacing w:after="0" w:line="229" w:lineRule="exact"/>
        <w:rPr>
          <w:sz w:val="20"/>
          <w:szCs w:val="20"/>
          <w:color w:val="auto"/>
        </w:rPr>
      </w:pPr>
    </w:p>
    <w:p>
      <w:pPr>
        <w:ind w:right="100" w:firstLine="1296"/>
        <w:spacing w:after="0" w:line="259" w:lineRule="auto"/>
        <w:rPr>
          <w:sz w:val="20"/>
          <w:szCs w:val="20"/>
          <w:color w:val="auto"/>
        </w:rPr>
      </w:pPr>
      <w:r>
        <w:rPr>
          <w:rFonts w:ascii="Arial" w:cs="Arial" w:eastAsia="Arial" w:hAnsi="Arial"/>
          <w:sz w:val="18"/>
          <w:szCs w:val="18"/>
          <w:color w:val="auto"/>
        </w:rPr>
        <w:t>CrowdStrike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2011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Holder the number of shares of the Restricted Stock set forth below. The Restricted Stock is subject to all of the terms and conditions of this Restricted Stock Agreement (this “</w:t>
      </w:r>
      <w:r>
        <w:rPr>
          <w:rFonts w:ascii="Arial" w:cs="Arial" w:eastAsia="Arial" w:hAnsi="Arial"/>
          <w:sz w:val="18"/>
          <w:szCs w:val="18"/>
          <w:u w:val="single" w:color="auto"/>
          <w:color w:val="auto"/>
        </w:rPr>
        <w:t>Grant Notice</w:t>
      </w:r>
      <w:r>
        <w:rPr>
          <w:rFonts w:ascii="Arial" w:cs="Arial" w:eastAsia="Arial" w:hAnsi="Arial"/>
          <w:sz w:val="18"/>
          <w:szCs w:val="18"/>
          <w:color w:val="auto"/>
        </w:rPr>
        <w:t>”), as well as the terms and conditions of the Plan, all of which are incorporated herein in their entirety. Capitalized terms not otherwise defined herein shall have the same meaning as set forth in the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Holder</w:t>
            </w: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color w:val="auto"/>
              </w:rPr>
              <w:t>Date of Grant</w:t>
            </w: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color w:val="auto"/>
              </w:rPr>
              <w:t>Number of Shares of Restricted Stock</w:t>
            </w: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color w:val="auto"/>
              </w:rPr>
              <w:t>Vesting Commencement Date</w:t>
            </w: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rPr>
              <w:t>[Insert Vesting Schedule]</w:t>
            </w:r>
          </w:p>
        </w:tc>
      </w:tr>
      <w:tr>
        <w:trPr>
          <w:trHeight w:val="418"/>
        </w:trPr>
        <w:tc>
          <w:tcPr>
            <w:tcW w:w="3460" w:type="dxa"/>
            <w:vAlign w:val="bottom"/>
          </w:tcPr>
          <w:p>
            <w:pPr>
              <w:spacing w:after="0"/>
              <w:rPr>
                <w:sz w:val="20"/>
                <w:szCs w:val="20"/>
                <w:color w:val="auto"/>
              </w:rPr>
            </w:pPr>
            <w:r>
              <w:rPr>
                <w:rFonts w:ascii="Arial" w:cs="Arial" w:eastAsia="Arial" w:hAnsi="Arial"/>
                <w:sz w:val="18"/>
                <w:szCs w:val="18"/>
                <w:b w:val="1"/>
                <w:bCs w:val="1"/>
                <w:color w:val="auto"/>
              </w:rPr>
              <w:t>Termination:</w:t>
            </w: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2"/>
              </w:rPr>
              <w:t>Section 6(d) of the Plan regarding Termination is incorporated herein by reference and made a part</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6"/>
              </w:rPr>
              <w:t>hereof. Following any such Termination, the provisions of Section 9 of the Plan shall apply to all</w:t>
            </w:r>
          </w:p>
        </w:tc>
      </w:tr>
      <w:tr>
        <w:trPr>
          <w:trHeight w:val="230"/>
        </w:trPr>
        <w:tc>
          <w:tcPr>
            <w:tcW w:w="3460" w:type="dxa"/>
            <w:vAlign w:val="bottom"/>
          </w:tcPr>
          <w:p>
            <w:pPr>
              <w:spacing w:after="0"/>
              <w:rPr>
                <w:sz w:val="20"/>
                <w:szCs w:val="20"/>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rPr>
              <w:t>shares of Restricted Stock that have vested on or prior to such Termination.</w:t>
            </w:r>
          </w:p>
        </w:tc>
      </w:tr>
      <w:tr>
        <w:trPr>
          <w:trHeight w:val="414"/>
        </w:trPr>
        <w:tc>
          <w:tcPr>
            <w:tcW w:w="3460" w:type="dxa"/>
            <w:vAlign w:val="bottom"/>
          </w:tcPr>
          <w:p>
            <w:pPr>
              <w:spacing w:after="0"/>
              <w:rPr>
                <w:sz w:val="20"/>
                <w:szCs w:val="20"/>
                <w:color w:val="auto"/>
              </w:rPr>
            </w:pPr>
            <w:r>
              <w:rPr>
                <w:rFonts w:ascii="Arial" w:cs="Arial" w:eastAsia="Arial" w:hAnsi="Arial"/>
                <w:sz w:val="18"/>
                <w:szCs w:val="18"/>
                <w:b w:val="1"/>
                <w:bCs w:val="1"/>
                <w:color w:val="auto"/>
              </w:rPr>
              <w:t>Transfer Restrictions;</w:t>
            </w:r>
          </w:p>
        </w:tc>
        <w:tc>
          <w:tcPr>
            <w:tcW w:w="82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220"/>
        </w:trPr>
        <w:tc>
          <w:tcPr>
            <w:tcW w:w="3460" w:type="dxa"/>
            <w:vAlign w:val="bottom"/>
          </w:tcPr>
          <w:p>
            <w:pPr>
              <w:spacing w:after="0"/>
              <w:rPr>
                <w:sz w:val="20"/>
                <w:szCs w:val="20"/>
                <w:color w:val="auto"/>
              </w:rPr>
            </w:pPr>
            <w:r>
              <w:rPr>
                <w:rFonts w:ascii="Arial" w:cs="Arial" w:eastAsia="Arial" w:hAnsi="Arial"/>
                <w:sz w:val="18"/>
                <w:szCs w:val="18"/>
                <w:b w:val="1"/>
                <w:bCs w:val="1"/>
                <w:color w:val="auto"/>
              </w:rPr>
              <w:t>Voting Proxy:</w:t>
            </w: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2"/>
              </w:rPr>
              <w:t>The transfer restrictions described in Section 8 of the Plan are incorporated herein by reference and</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5"/>
              </w:rPr>
              <w:t>made a part hereof. As a condition of the grant of Restricted Stock hereunder, the Holder hereby</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3"/>
              </w:rPr>
              <w:t>grants to the Investors, acting jointly, the Holder’s irrevocable proxy, and appoints the Investors, or</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9"/>
              </w:rPr>
              <w:t>any designee or nominee of the Investors, as the Holder’s attorney-in-fact (with full power of</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5"/>
              </w:rPr>
              <w:t>substitution and resubstitution), for and in its name, place, and stead, to (i) vote or act by written</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0"/>
              </w:rPr>
              <w:t>consent with respect to the shares of Stock (whether or not vested) now owned by the Holder (or any</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rPr>
              <w:t>transferee), including the right to sign the Holder’s name, as a stockholder, to any consent,</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rPr>
              <w:t>certificate, or other document relating to the Company that applicable law may require, in</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7"/>
              </w:rPr>
              <w:t>connection with any and all matters (other than any amendment to the Plan that would require</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5"/>
              </w:rPr>
              <w:t>stockholder approval), including, without limitation, the election of directors, and (ii) take any and</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1"/>
              </w:rPr>
              <w:t>all action necessary to sell or otherwise transfer any Subject Shares as contemplated by Section 8 of</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5"/>
              </w:rPr>
              <w:t>the Plan. This proxy shall be coupled with an interest, and the Holder agrees to take such further</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2"/>
              </w:rPr>
              <w:t>action or execute such other instruments as may be necessary to effectuate the intent of this proxy.</w:t>
            </w:r>
          </w:p>
        </w:tc>
      </w:tr>
      <w:tr>
        <w:trPr>
          <w:trHeight w:val="216"/>
        </w:trPr>
        <w:tc>
          <w:tcPr>
            <w:tcW w:w="3460" w:type="dxa"/>
            <w:vAlign w:val="bottom"/>
          </w:tcPr>
          <w:p>
            <w:pPr>
              <w:spacing w:after="0"/>
              <w:rPr>
                <w:sz w:val="18"/>
                <w:szCs w:val="18"/>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w w:val="92"/>
              </w:rPr>
              <w:t>The proxy described hereunder shall terminate upon the earlier to occur of the IPO Date or the date</w:t>
            </w:r>
          </w:p>
        </w:tc>
      </w:tr>
      <w:tr>
        <w:trPr>
          <w:trHeight w:val="230"/>
        </w:trPr>
        <w:tc>
          <w:tcPr>
            <w:tcW w:w="3460" w:type="dxa"/>
            <w:vAlign w:val="bottom"/>
          </w:tcPr>
          <w:p>
            <w:pPr>
              <w:spacing w:after="0"/>
              <w:rPr>
                <w:sz w:val="20"/>
                <w:szCs w:val="20"/>
                <w:color w:val="auto"/>
              </w:rPr>
            </w:pPr>
          </w:p>
        </w:tc>
        <w:tc>
          <w:tcPr>
            <w:tcW w:w="7820" w:type="dxa"/>
            <w:vAlign w:val="bottom"/>
            <w:gridSpan w:val="2"/>
          </w:tcPr>
          <w:p>
            <w:pPr>
              <w:ind w:left="500"/>
              <w:spacing w:after="0"/>
              <w:rPr>
                <w:sz w:val="20"/>
                <w:szCs w:val="20"/>
                <w:color w:val="auto"/>
              </w:rPr>
            </w:pPr>
            <w:r>
              <w:rPr>
                <w:rFonts w:ascii="Arial" w:cs="Arial" w:eastAsia="Arial" w:hAnsi="Arial"/>
                <w:sz w:val="18"/>
                <w:szCs w:val="18"/>
                <w:color w:val="auto"/>
              </w:rPr>
              <w:t>of a Change in Control.</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color w:val="auto"/>
              </w:rPr>
              <w:t>Additional Terms</w:t>
            </w: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7000" w:type="dxa"/>
            <w:vAlign w:val="bottom"/>
          </w:tcPr>
          <w:p>
            <w:pPr>
              <w:spacing w:after="0"/>
              <w:rPr>
                <w:sz w:val="24"/>
                <w:szCs w:val="24"/>
                <w:color w:val="auto"/>
              </w:rPr>
            </w:pPr>
          </w:p>
        </w:tc>
      </w:tr>
      <w:tr>
        <w:trPr>
          <w:trHeight w:val="418"/>
        </w:trPr>
        <w:tc>
          <w:tcPr>
            <w:tcW w:w="3460" w:type="dxa"/>
            <w:vAlign w:val="bottom"/>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c>
          <w:tcPr>
            <w:tcW w:w="7000" w:type="dxa"/>
            <w:vAlign w:val="bottom"/>
          </w:tcPr>
          <w:p>
            <w:pPr>
              <w:ind w:left="280"/>
              <w:spacing w:after="0"/>
              <w:rPr>
                <w:sz w:val="20"/>
                <w:szCs w:val="20"/>
                <w:color w:val="auto"/>
              </w:rPr>
            </w:pPr>
            <w:r>
              <w:rPr>
                <w:rFonts w:ascii="Arial" w:cs="Arial" w:eastAsia="Arial" w:hAnsi="Arial"/>
                <w:sz w:val="18"/>
                <w:szCs w:val="18"/>
                <w:color w:val="auto"/>
                <w:w w:val="96"/>
              </w:rPr>
              <w:t>The Restricted Stock granted hereunder shall be registered in the Holder’s name on the</w:t>
            </w:r>
          </w:p>
        </w:tc>
      </w:tr>
      <w:tr>
        <w:trPr>
          <w:trHeight w:val="216"/>
        </w:trPr>
        <w:tc>
          <w:tcPr>
            <w:tcW w:w="3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w w:val="98"/>
              </w:rPr>
              <w:t>books of the Company during the Lock-Up Period and for such additional time as the</w:t>
            </w:r>
          </w:p>
        </w:tc>
      </w:tr>
      <w:tr>
        <w:trPr>
          <w:trHeight w:val="216"/>
        </w:trPr>
        <w:tc>
          <w:tcPr>
            <w:tcW w:w="3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w w:val="90"/>
              </w:rPr>
              <w:t>Committee determines appropriate in its reasonable discretion. Any certificates representing</w:t>
            </w:r>
          </w:p>
        </w:tc>
      </w:tr>
      <w:tr>
        <w:trPr>
          <w:trHeight w:val="230"/>
        </w:trPr>
        <w:tc>
          <w:tcPr>
            <w:tcW w:w="3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the vested Restricted Stock</w:t>
            </w:r>
          </w:p>
        </w:tc>
      </w:tr>
      <w:tr>
        <w:trPr>
          <w:trHeight w:val="348"/>
        </w:trPr>
        <w:tc>
          <w:tcPr>
            <w:tcW w:w="3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type w:val="continuous"/>
        </w:sectPr>
      </w:pPr>
    </w:p>
    <w:bookmarkStart w:id="527" w:name="page528"/>
    <w:bookmarkEnd w:id="527"/>
    <w:p>
      <w:pPr>
        <w:ind w:left="3480" w:right="60"/>
        <w:spacing w:after="0" w:line="273" w:lineRule="auto"/>
        <w:rPr>
          <w:sz w:val="20"/>
          <w:szCs w:val="20"/>
          <w:color w:val="auto"/>
        </w:rPr>
      </w:pPr>
      <w:r>
        <w:rPr>
          <w:rFonts w:ascii="Arial" w:cs="Arial" w:eastAsia="Arial" w:hAnsi="Arial"/>
          <w:sz w:val="17"/>
          <w:szCs w:val="17"/>
          <w:color w:val="auto"/>
        </w:rPr>
        <w:t>delivered to the Holder shall be subject to such stop transfer orders and other restrictions as the Committee may deem advisable under the rules, regulations, and other requirements of the Securities and Exchange Commission, any stock exchange upon which such shares are listed, and any applicable federal or state laws, and the Committee may cause a legend or legends to be put on any such certificates to make appropriate reference to such restrictions as the Committee deems appropriate.</w:t>
      </w:r>
    </w:p>
    <w:p>
      <w:pPr>
        <w:spacing w:after="0" w:line="178" w:lineRule="exact"/>
        <w:rPr>
          <w:sz w:val="20"/>
          <w:szCs w:val="20"/>
          <w:color w:val="auto"/>
        </w:rPr>
      </w:pPr>
    </w:p>
    <w:p>
      <w:pPr>
        <w:ind w:left="3480" w:hanging="650"/>
        <w:spacing w:after="0" w:line="287" w:lineRule="auto"/>
        <w:tabs>
          <w:tab w:leader="none" w:pos="3444"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The Holder shall be the record owner of the shares of Restricted Stock until or unless such Restricted Stock is forfeited or repurchased, or otherwise sold or transferred in accordance with the terms of the Plan, and as record owner shall generally be entitled to all rights of a stockholder with respect to the Restricted Stock; provided, however, that the Company will retain custody of all dividends and distributions, if any (“</w:t>
      </w:r>
      <w:r>
        <w:rPr>
          <w:rFonts w:ascii="Arial" w:cs="Arial" w:eastAsia="Arial" w:hAnsi="Arial"/>
          <w:sz w:val="16"/>
          <w:szCs w:val="16"/>
          <w:u w:val="single" w:color="auto"/>
          <w:color w:val="auto"/>
        </w:rPr>
        <w:t>Retained Distributions</w:t>
      </w:r>
      <w:r>
        <w:rPr>
          <w:rFonts w:ascii="Arial" w:cs="Arial" w:eastAsia="Arial" w:hAnsi="Arial"/>
          <w:sz w:val="16"/>
          <w:szCs w:val="16"/>
          <w:color w:val="auto"/>
        </w:rPr>
        <w:t>”), made or declared on the Restricted Stock (and such Retained Distributions shall be subject to forfeiture and the same restrictions, terms and vesting and other conditions as are applicable to the Restricted Stock) until such time, if ever, as the Restricted Stock with respect to which such Retained Distributions shall have been made, paid or declared shall have become vested, and such Retained Distributions shall not bear interest or be segregated in a separate account. As soon as practicable following each applicable vesting date any applicable Retained Distributions shall be delivered to the Holder.</w:t>
      </w:r>
    </w:p>
    <w:p>
      <w:pPr>
        <w:spacing w:after="0" w:line="167" w:lineRule="exact"/>
        <w:rPr>
          <w:rFonts w:ascii="Arial" w:cs="Arial" w:eastAsia="Arial" w:hAnsi="Arial"/>
          <w:sz w:val="16"/>
          <w:szCs w:val="16"/>
          <w:color w:val="auto"/>
        </w:rPr>
      </w:pPr>
    </w:p>
    <w:p>
      <w:pPr>
        <w:jc w:val="both"/>
        <w:ind w:left="3480" w:right="180" w:hanging="650"/>
        <w:spacing w:after="0" w:line="263" w:lineRule="auto"/>
        <w:tabs>
          <w:tab w:leader="none" w:pos="344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Upon vesting of the Restricted Stock (or such other time that the Restricted Stock is taken into income), Holder will be required to satisfy applicable withholding tax obligations, if any, as provided in the Plan.</w:t>
      </w:r>
    </w:p>
    <w:p>
      <w:pPr>
        <w:spacing w:after="0" w:line="183" w:lineRule="exact"/>
        <w:rPr>
          <w:rFonts w:ascii="Arial" w:cs="Arial" w:eastAsia="Arial" w:hAnsi="Arial"/>
          <w:sz w:val="18"/>
          <w:szCs w:val="18"/>
          <w:color w:val="auto"/>
        </w:rPr>
      </w:pPr>
    </w:p>
    <w:p>
      <w:pPr>
        <w:ind w:left="3480" w:right="100" w:hanging="650"/>
        <w:spacing w:after="0" w:line="342" w:lineRule="auto"/>
        <w:tabs>
          <w:tab w:leader="none" w:pos="3444"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This Grant Notice does not confer upon the Holder any right to continue as an employee or service provider of the Employer or any other member of the Company Group.</w:t>
      </w:r>
    </w:p>
    <w:p>
      <w:pPr>
        <w:spacing w:after="0" w:line="123" w:lineRule="exact"/>
        <w:rPr>
          <w:rFonts w:ascii="Arial" w:cs="Arial" w:eastAsia="Arial" w:hAnsi="Arial"/>
          <w:sz w:val="16"/>
          <w:szCs w:val="16"/>
          <w:color w:val="auto"/>
        </w:rPr>
      </w:pPr>
    </w:p>
    <w:p>
      <w:pPr>
        <w:ind w:left="3480" w:right="380" w:hanging="650"/>
        <w:spacing w:after="0" w:line="308" w:lineRule="auto"/>
        <w:tabs>
          <w:tab w:leader="none" w:pos="3444" w:val="left"/>
        </w:tabs>
        <w:numPr>
          <w:ilvl w:val="0"/>
          <w:numId w:val="484"/>
        </w:numPr>
        <w:rPr>
          <w:rFonts w:ascii="Arial" w:cs="Arial" w:eastAsia="Arial" w:hAnsi="Arial"/>
          <w:sz w:val="17"/>
          <w:szCs w:val="17"/>
          <w:color w:val="auto"/>
        </w:rPr>
      </w:pPr>
      <w:r>
        <w:rPr>
          <w:rFonts w:ascii="Arial" w:cs="Arial" w:eastAsia="Arial" w:hAnsi="Arial"/>
          <w:sz w:val="17"/>
          <w:szCs w:val="17"/>
          <w:color w:val="auto"/>
        </w:rPr>
        <w:t>This Grant Notice shall be construed and interpreted in accordance with the laws of the State of Delaware, without regard to the principles of conflicts of law thereof.</w:t>
      </w:r>
    </w:p>
    <w:p>
      <w:pPr>
        <w:spacing w:after="0" w:line="146" w:lineRule="exact"/>
        <w:rPr>
          <w:rFonts w:ascii="Arial" w:cs="Arial" w:eastAsia="Arial" w:hAnsi="Arial"/>
          <w:sz w:val="17"/>
          <w:szCs w:val="17"/>
          <w:color w:val="auto"/>
        </w:rPr>
      </w:pPr>
    </w:p>
    <w:p>
      <w:pPr>
        <w:ind w:left="3480" w:right="60" w:hanging="650"/>
        <w:spacing w:after="0" w:line="254" w:lineRule="auto"/>
        <w:tabs>
          <w:tab w:leader="none" w:pos="344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Holder agrees that the Company may deliver by email all documents relating to the Plan or the Restricted Stock (including, without limitation, a copy of the Plan) and all other documents that the Company is required to deliver to its security holders (including, without limitation, disclosures that may be required by the Securities and Exchange Commission). The Holder also agrees that the Company may deliver these documents by posting them on a website maintained by the Company or by a third party under contract with the Company. If the Company posts these documents on a website, it shall notify the Holder by email.</w:t>
      </w:r>
    </w:p>
    <w:p>
      <w:pPr>
        <w:spacing w:after="0" w:line="1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00"/>
          </w:cols>
          <w:pgMar w:left="1440" w:top="341" w:right="359" w:bottom="1440" w:gutter="0" w:footer="0" w:header="0"/>
        </w:sectPr>
      </w:pPr>
    </w:p>
    <w:bookmarkStart w:id="528" w:name="page529"/>
    <w:bookmarkEnd w:id="528"/>
    <w:p>
      <w:pPr>
        <w:spacing w:after="0"/>
        <w:rPr>
          <w:sz w:val="20"/>
          <w:szCs w:val="20"/>
          <w:color w:val="auto"/>
        </w:rPr>
      </w:pPr>
      <w:r>
        <w:rPr>
          <w:rFonts w:ascii="Arial" w:cs="Arial" w:eastAsia="Arial" w:hAnsi="Arial"/>
          <w:sz w:val="17"/>
          <w:szCs w:val="17"/>
          <w:b w:val="1"/>
          <w:bCs w:val="1"/>
          <w:color w:val="auto"/>
        </w:rPr>
        <w:t>Representations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Warranties of 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Holder hereby represents and warrants to the Company that:</w:t>
      </w:r>
    </w:p>
    <w:p>
      <w:pPr>
        <w:spacing w:after="0" w:line="214" w:lineRule="exact"/>
        <w:rPr>
          <w:sz w:val="20"/>
          <w:szCs w:val="20"/>
          <w:color w:val="auto"/>
        </w:rPr>
      </w:pPr>
    </w:p>
    <w:p>
      <w:pPr>
        <w:sectPr>
          <w:pgSz w:w="11900" w:h="16838" w:orient="portrait"/>
          <w:cols w:equalWidth="0" w:num="2">
            <w:col w:w="2480" w:space="720"/>
            <w:col w:w="8040"/>
          </w:cols>
          <w:pgMar w:left="320" w:top="337" w:right="339" w:bottom="322" w:gutter="0" w:footer="0" w:header="0"/>
        </w:sectPr>
      </w:pPr>
    </w:p>
    <w:p>
      <w:pPr>
        <w:spacing w:after="0" w:line="34"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240" w:hanging="35"/>
        <w:spacing w:after="0" w:line="257" w:lineRule="auto"/>
        <w:rPr>
          <w:sz w:val="20"/>
          <w:szCs w:val="20"/>
          <w:color w:val="auto"/>
        </w:rPr>
      </w:pPr>
      <w:r>
        <w:rPr>
          <w:rFonts w:ascii="Arial" w:cs="Arial" w:eastAsia="Arial" w:hAnsi="Arial"/>
          <w:sz w:val="18"/>
          <w:szCs w:val="18"/>
          <w:color w:val="auto"/>
        </w:rPr>
        <w:t>Holder understands that the Stock has not been registered under the Securities Act, nor qualified under any state securities laws, and that it is being offered and sold pursuant to, and in reliance upon, the exemption from such registration provided by Rule 701 promulgated under the Securities Act for security issuances under compensatory benefit plans such as the Plan;</w:t>
      </w:r>
    </w:p>
    <w:p>
      <w:pPr>
        <w:spacing w:after="0" w:line="188" w:lineRule="exact"/>
        <w:rPr>
          <w:sz w:val="20"/>
          <w:szCs w:val="20"/>
          <w:color w:val="auto"/>
        </w:rPr>
      </w:pPr>
    </w:p>
    <w:p>
      <w:pPr>
        <w:sectPr>
          <w:pgSz w:w="11900" w:h="16838" w:orient="portrait"/>
          <w:cols w:equalWidth="0" w:num="2">
            <w:col w:w="4000" w:space="600"/>
            <w:col w:w="6640"/>
          </w:cols>
          <w:pgMar w:left="320" w:top="337" w:right="339" w:bottom="322" w:gutter="0" w:footer="0" w:header="0"/>
          <w:type w:val="continuous"/>
        </w:sectPr>
      </w:pPr>
    </w:p>
    <w:p>
      <w:pPr>
        <w:ind w:left="39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20" w:hanging="35"/>
        <w:spacing w:after="0" w:line="259" w:lineRule="auto"/>
        <w:rPr>
          <w:sz w:val="20"/>
          <w:szCs w:val="20"/>
          <w:color w:val="auto"/>
        </w:rPr>
      </w:pPr>
      <w:r>
        <w:rPr>
          <w:rFonts w:ascii="Arial" w:cs="Arial" w:eastAsia="Arial" w:hAnsi="Arial"/>
          <w:sz w:val="18"/>
          <w:szCs w:val="18"/>
          <w:color w:val="auto"/>
        </w:rPr>
        <w:t>Holder has been informed that the shares of Stock are restricted securities under the Securities Act and may not be resold or transferred unless the shares of Stock are first registered under the Federal securities laws or unless an exemption from such registration is available; and</w:t>
      </w:r>
    </w:p>
    <w:p>
      <w:pPr>
        <w:spacing w:after="0" w:line="187" w:lineRule="exact"/>
        <w:rPr>
          <w:sz w:val="20"/>
          <w:szCs w:val="20"/>
          <w:color w:val="auto"/>
        </w:rPr>
      </w:pPr>
    </w:p>
    <w:p>
      <w:pPr>
        <w:sectPr>
          <w:pgSz w:w="11900" w:h="16838" w:orient="portrait"/>
          <w:cols w:equalWidth="0" w:num="2">
            <w:col w:w="4000" w:space="600"/>
            <w:col w:w="6640"/>
          </w:cols>
          <w:pgMar w:left="320" w:top="337" w:right="339" w:bottom="322" w:gutter="0" w:footer="0" w:header="0"/>
          <w:type w:val="continuous"/>
        </w:sectPr>
      </w:pPr>
    </w:p>
    <w:p>
      <w:pPr>
        <w:ind w:left="39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ind w:right="20" w:hanging="35"/>
        <w:spacing w:after="0" w:line="279" w:lineRule="auto"/>
        <w:rPr>
          <w:sz w:val="20"/>
          <w:szCs w:val="20"/>
          <w:color w:val="auto"/>
        </w:rPr>
      </w:pPr>
      <w:r>
        <w:rPr>
          <w:rFonts w:ascii="Arial" w:cs="Arial" w:eastAsia="Arial" w:hAnsi="Arial"/>
          <w:sz w:val="17"/>
          <w:szCs w:val="17"/>
          <w:color w:val="auto"/>
        </w:rPr>
        <w:t>Holder is prepared to hold the shares of Stock for an indefinite period and that Holder is aware that Rule 144 as promulgated under the Securities Act, which exempts certain resales of restricted securities, is not presently available to exempt the resale of the shares of Stock from the registration requirements of the Securities Act.</w:t>
      </w:r>
    </w:p>
    <w:p>
      <w:pPr>
        <w:spacing w:after="0" w:line="167" w:lineRule="exact"/>
        <w:rPr>
          <w:sz w:val="20"/>
          <w:szCs w:val="20"/>
          <w:color w:val="auto"/>
        </w:rPr>
      </w:pPr>
    </w:p>
    <w:p>
      <w:pPr>
        <w:sectPr>
          <w:pgSz w:w="11900" w:h="16838" w:orient="portrait"/>
          <w:cols w:equalWidth="0" w:num="2">
            <w:col w:w="4000" w:space="600"/>
            <w:col w:w="6640"/>
          </w:cols>
          <w:pgMar w:left="320" w:top="337" w:right="339" w:bottom="322" w:gutter="0" w:footer="0" w:header="0"/>
          <w:type w:val="continuous"/>
        </w:sectPr>
      </w:pPr>
    </w:p>
    <w:p>
      <w:pPr>
        <w:ind w:left="494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3">
            <w:col w:w="5020" w:space="560"/>
            <w:col w:w="80" w:space="560"/>
            <w:col w:w="5020"/>
          </w:cols>
          <w:pgMar w:left="320" w:top="337" w:right="339" w:bottom="322" w:gutter="0" w:footer="0" w:header="0"/>
          <w:type w:val="continuous"/>
        </w:sectPr>
      </w:pPr>
    </w:p>
    <w:p>
      <w:pPr>
        <w:spacing w:after="0" w:line="25" w:lineRule="exact"/>
        <w:rPr>
          <w:sz w:val="20"/>
          <w:szCs w:val="20"/>
          <w:color w:val="auto"/>
        </w:rPr>
      </w:pPr>
    </w:p>
    <w:p>
      <w:pPr>
        <w:jc w:val="both"/>
        <w:ind w:right="600"/>
        <w:spacing w:after="0" w:line="266" w:lineRule="auto"/>
        <w:rPr>
          <w:sz w:val="20"/>
          <w:szCs w:val="20"/>
          <w:color w:val="auto"/>
        </w:rPr>
      </w:pPr>
      <w:r>
        <w:rPr>
          <w:rFonts w:ascii="Arial" w:cs="Arial" w:eastAsia="Arial" w:hAnsi="Arial"/>
          <w:sz w:val="18"/>
          <w:szCs w:val="18"/>
          <w:b w:val="1"/>
          <w:bCs w:val="1"/>
          <w:color w:val="auto"/>
        </w:rPr>
        <w:t>THE UNDERSIGNED HOLDER ACKNOWLEDGES RECEIPT OF THIS GRANT NOTICE AND THE PLAN, AND, AS AN EXPRESS CONDITION TO THE GRANT OF RESTRICTED STOCK HEREUNDER, AGREES TO BE BOUND BY THE TERMS THIS GRANT NOTICE AND THE PLAN.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CROWDSTRIKE HOLDINGS, INC.</w:t>
            </w:r>
          </w:p>
        </w:tc>
        <w:tc>
          <w:tcPr>
            <w:tcW w:w="5960" w:type="dxa"/>
            <w:vAlign w:val="bottom"/>
            <w:gridSpan w:val="2"/>
          </w:tcPr>
          <w:p>
            <w:pPr>
              <w:ind w:left="660"/>
              <w:spacing w:after="0"/>
              <w:rPr>
                <w:sz w:val="20"/>
                <w:szCs w:val="20"/>
                <w:color w:val="auto"/>
              </w:rPr>
            </w:pPr>
            <w:r>
              <w:rPr>
                <w:rFonts w:ascii="Arial" w:cs="Arial" w:eastAsia="Arial" w:hAnsi="Arial"/>
                <w:sz w:val="18"/>
                <w:szCs w:val="18"/>
                <w:color w:val="auto"/>
              </w:rPr>
              <w:t>HOLDER</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By:</w:t>
            </w:r>
          </w:p>
        </w:tc>
        <w:tc>
          <w:tcPr>
            <w:tcW w:w="66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26"/>
        </w:trPr>
        <w:tc>
          <w:tcPr>
            <w:tcW w:w="460" w:type="dxa"/>
            <w:vAlign w:val="bottom"/>
          </w:tcPr>
          <w:p>
            <w:pPr>
              <w:spacing w:after="0"/>
              <w:rPr>
                <w:sz w:val="24"/>
                <w:szCs w:val="24"/>
                <w:color w:val="auto"/>
              </w:rPr>
            </w:pPr>
          </w:p>
        </w:tc>
        <w:tc>
          <w:tcPr>
            <w:tcW w:w="4820" w:type="dxa"/>
            <w:vAlign w:val="bottom"/>
            <w:tcBorders>
              <w:top w:val="single" w:sz="8" w:color="auto"/>
            </w:tcBorders>
          </w:tcPr>
          <w:p>
            <w:pPr>
              <w:ind w:left="1840"/>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24"/>
                <w:szCs w:val="24"/>
                <w:color w:val="auto"/>
              </w:rPr>
            </w:pPr>
          </w:p>
        </w:tc>
        <w:tc>
          <w:tcPr>
            <w:tcW w:w="5300" w:type="dxa"/>
            <w:vAlign w:val="bottom"/>
            <w:tcBorders>
              <w:top w:val="single" w:sz="8" w:color="auto"/>
            </w:tcBorders>
          </w:tcPr>
          <w:p>
            <w:pPr>
              <w:ind w:left="2300"/>
              <w:spacing w:after="0"/>
              <w:rPr>
                <w:sz w:val="20"/>
                <w:szCs w:val="20"/>
                <w:color w:val="auto"/>
              </w:rPr>
            </w:pPr>
            <w:r>
              <w:rPr>
                <w:rFonts w:ascii="Arial" w:cs="Arial" w:eastAsia="Arial" w:hAnsi="Arial"/>
                <w:sz w:val="18"/>
                <w:szCs w:val="18"/>
                <w:color w:val="auto"/>
              </w:rPr>
              <w:t>Signature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300037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431 JOINT ELECTION FOR U.K.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Election under s431 ITEPA 2003 for full or partial disapplication of Chapter 2 Income Tax (Earnings and Pensions) Act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Part Election</w:t>
      </w:r>
    </w:p>
    <w:p>
      <w:pPr>
        <w:spacing w:after="0" w:line="225" w:lineRule="exact"/>
        <w:rPr>
          <w:sz w:val="20"/>
          <w:szCs w:val="20"/>
          <w:color w:val="auto"/>
        </w:rPr>
      </w:pPr>
    </w:p>
    <w:p>
      <w:pPr>
        <w:ind w:left="340" w:hanging="332"/>
        <w:spacing w:after="0"/>
        <w:tabs>
          <w:tab w:leader="none" w:pos="34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Between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whose National Insurance Number 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(who is the Employee’s employer):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Company Registration Number</w:t>
      </w:r>
    </w:p>
    <w:p>
      <w:pPr>
        <w:spacing w:after="0" w:line="221" w:lineRule="exact"/>
        <w:rPr>
          <w:sz w:val="20"/>
          <w:szCs w:val="20"/>
          <w:color w:val="auto"/>
        </w:rPr>
      </w:pPr>
    </w:p>
    <w:p>
      <w:pPr>
        <w:ind w:left="340" w:hanging="332"/>
        <w:spacing w:after="0"/>
        <w:tabs>
          <w:tab w:leader="none" w:pos="340"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Election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joint election is made pursuant to section 431(1) or 431(2) Income Tax (Earnings and Pensions) Act 2003 (ITEPA) and applies where employment-related securities, which are restricted securities by reason of section 423 ITEPA, are acquired.</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effect of an election under section 431(1) is that, for the relevant Income Tax and NIC purposes, the employment-related securities and their market value will be treated as if they were not restricted securities and that sections 425 to 430 ITEPA do not apply. An election under section 431(2) will ignore one or more of the restrictions in computing the charge on acquisition. Additional Income Tax will be payable (with PAYE and NIC where the securities are Readily Convertible Assets).</w:t>
      </w:r>
    </w:p>
    <w:p>
      <w:pPr>
        <w:spacing w:after="0" w:line="18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Should the value of the securities fall following the acquisition, it is possible that Income Tax/NIC that would have arisen because of any future chargeable event (in the absence of an election) would have been less than the Income Tax/NIC due by reason of this election. Should this be the case, there is no Income Tax/NIC relief available under Part 7 of ITEPA 2003; nor is it available if the securities acquired are subsequently transferred, forfeited or revert to the original owner.</w:t>
      </w:r>
    </w:p>
    <w:p>
      <w:pPr>
        <w:spacing w:after="0" w:line="180" w:lineRule="exact"/>
        <w:rPr>
          <w:sz w:val="20"/>
          <w:szCs w:val="20"/>
          <w:color w:val="auto"/>
        </w:rPr>
      </w:pPr>
    </w:p>
    <w:p>
      <w:pPr>
        <w:ind w:left="340" w:hanging="332"/>
        <w:spacing w:after="0"/>
        <w:tabs>
          <w:tab w:leader="none" w:pos="34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joint election is made not later than 14 days after the date of acquisition of the securities by the employee and applies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322" w:gutter="0" w:footer="0" w:header="0"/>
          <w:type w:val="continuous"/>
        </w:sectPr>
      </w:pPr>
    </w:p>
    <w:bookmarkStart w:id="529" w:name="page530"/>
    <w:bookmarkEnd w:id="529"/>
    <w:p>
      <w:pPr>
        <w:ind w:left="660"/>
        <w:spacing w:after="0"/>
        <w:rPr>
          <w:sz w:val="20"/>
          <w:szCs w:val="20"/>
          <w:color w:val="auto"/>
        </w:rPr>
      </w:pPr>
      <w:r>
        <w:rPr>
          <w:rFonts w:ascii="Arial" w:cs="Arial" w:eastAsia="Arial" w:hAnsi="Arial"/>
          <w:sz w:val="16"/>
          <w:szCs w:val="16"/>
          <w:color w:val="auto"/>
        </w:rPr>
        <w:t>Number of securities:</w:t>
      </w:r>
    </w:p>
    <w:p>
      <w:pPr>
        <w:spacing w:after="0" w:line="20" w:lineRule="exact"/>
        <w:rPr>
          <w:sz w:val="20"/>
          <w:szCs w:val="20"/>
          <w:color w:val="auto"/>
        </w:rPr>
      </w:pPr>
      <w:r>
        <w:rPr>
          <w:sz w:val="20"/>
          <w:szCs w:val="20"/>
          <w:color w:val="auto"/>
        </w:rPr>
        <w:br w:type="column"/>
      </w:r>
    </w:p>
    <w:p>
      <w:pPr>
        <w:ind w:right="320"/>
        <w:spacing w:after="0" w:line="308" w:lineRule="auto"/>
        <w:rPr>
          <w:sz w:val="20"/>
          <w:szCs w:val="20"/>
          <w:color w:val="auto"/>
        </w:rPr>
      </w:pPr>
      <w:r>
        <w:rPr>
          <w:rFonts w:ascii="Arial" w:cs="Arial" w:eastAsia="Arial" w:hAnsi="Arial"/>
          <w:sz w:val="17"/>
          <w:szCs w:val="17"/>
          <w:color w:val="auto"/>
        </w:rPr>
        <w:t>All securities to be acquired by Employee pursuant to the option granted on terms of the CrowdStrike Holdings, Inc. 2011 Stock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under the</w:t>
      </w:r>
    </w:p>
    <w:p>
      <w:pPr>
        <w:spacing w:after="0" w:line="463" w:lineRule="exact"/>
        <w:rPr>
          <w:sz w:val="20"/>
          <w:szCs w:val="20"/>
          <w:color w:val="auto"/>
        </w:rPr>
      </w:pPr>
    </w:p>
    <w:p>
      <w:pPr>
        <w:sectPr>
          <w:pgSz w:w="11900" w:h="16838" w:orient="portrait"/>
          <w:cols w:equalWidth="0" w:num="3">
            <w:col w:w="3000" w:space="720"/>
            <w:col w:w="5760" w:space="720"/>
            <w:col w:w="920"/>
          </w:cols>
          <w:pgMar w:left="320" w:top="341" w:right="459" w:bottom="1440" w:gutter="0" w:footer="0" w:header="0"/>
        </w:sectPr>
      </w:pPr>
    </w:p>
    <w:p>
      <w:pPr>
        <w:ind w:left="660"/>
        <w:spacing w:after="0"/>
        <w:rPr>
          <w:sz w:val="20"/>
          <w:szCs w:val="20"/>
          <w:color w:val="auto"/>
        </w:rPr>
      </w:pPr>
      <w:r>
        <w:rPr>
          <w:rFonts w:ascii="Arial" w:cs="Arial" w:eastAsia="Arial" w:hAnsi="Arial"/>
          <w:sz w:val="16"/>
          <w:szCs w:val="16"/>
          <w:color w:val="auto"/>
        </w:rPr>
        <w:t>Description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common stock</w:t>
      </w:r>
    </w:p>
    <w:p>
      <w:pPr>
        <w:spacing w:after="0" w:line="200" w:lineRule="exact"/>
        <w:rPr>
          <w:sz w:val="20"/>
          <w:szCs w:val="20"/>
          <w:color w:val="auto"/>
        </w:rPr>
      </w:pPr>
    </w:p>
    <w:p>
      <w:pPr>
        <w:sectPr>
          <w:pgSz w:w="11900" w:h="16838" w:orient="portrait"/>
          <w:cols w:equalWidth="0" w:num="2">
            <w:col w:w="3000" w:space="720"/>
            <w:col w:w="7400"/>
          </w:cols>
          <w:pgMar w:left="320" w:top="341" w:right="4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Name of issuer of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CrowdStrike Holdings, Inc.</w:t>
      </w:r>
    </w:p>
    <w:p>
      <w:pPr>
        <w:spacing w:after="0" w:line="200" w:lineRule="exact"/>
        <w:rPr>
          <w:sz w:val="20"/>
          <w:szCs w:val="20"/>
          <w:color w:val="auto"/>
        </w:rPr>
      </w:pPr>
    </w:p>
    <w:p>
      <w:pPr>
        <w:sectPr>
          <w:pgSz w:w="11900" w:h="16838" w:orient="portrait"/>
          <w:cols w:equalWidth="0" w:num="2">
            <w:col w:w="3000" w:space="720"/>
            <w:col w:w="7400"/>
          </w:cols>
          <w:pgMar w:left="320" w:top="341"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 be acquired by the Employee 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CrowdStrike Holdings, Inc. 2011 Stock Incentive Plan.</w:t>
      </w:r>
    </w:p>
    <w:p>
      <w:pPr>
        <w:spacing w:after="0" w:line="200" w:lineRule="exact"/>
        <w:rPr>
          <w:sz w:val="20"/>
          <w:szCs w:val="20"/>
          <w:color w:val="auto"/>
        </w:rPr>
      </w:pPr>
    </w:p>
    <w:p>
      <w:pPr>
        <w:sectPr>
          <w:pgSz w:w="11900" w:h="16838" w:orient="portrait"/>
          <w:cols w:equalWidth="0" w:num="2">
            <w:col w:w="2880" w:space="720"/>
            <w:col w:w="7520"/>
          </w:cols>
          <w:pgMar w:left="320" w:top="341" w:right="4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Extent of Application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election disapplies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S.431(1) ITEPA: All restrictions attaching to the securities</w:t>
      </w:r>
    </w:p>
    <w:p>
      <w:pPr>
        <w:spacing w:after="0" w:line="221" w:lineRule="exact"/>
        <w:rPr>
          <w:sz w:val="20"/>
          <w:szCs w:val="20"/>
          <w:color w:val="auto"/>
        </w:rPr>
      </w:pPr>
    </w:p>
    <w:p>
      <w:pPr>
        <w:ind w:left="340" w:hanging="332"/>
        <w:spacing w:after="0"/>
        <w:tabs>
          <w:tab w:leader="none" w:pos="34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election will become irrevocable upon the later of its signing or the acquisition (and each subsequent acquisition) of employment-related securities to which this election applies.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w w:val="91"/>
              </w:rPr>
              <w:t>In signing this joint election, we agree to be bound by its terms as stated above.</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3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300" w:type="dxa"/>
            <w:vAlign w:val="bottom"/>
          </w:tcPr>
          <w:p>
            <w:pPr>
              <w:spacing w:after="0"/>
              <w:rPr>
                <w:sz w:val="20"/>
                <w:szCs w:val="20"/>
                <w:color w:val="auto"/>
              </w:rPr>
            </w:pPr>
            <w:r>
              <w:rPr>
                <w:rFonts w:ascii="Arial" w:cs="Arial" w:eastAsia="Arial" w:hAnsi="Arial"/>
                <w:sz w:val="18"/>
                <w:szCs w:val="18"/>
                <w:color w:val="auto"/>
              </w:rPr>
              <w:t>Signature  (Employee)</w:t>
            </w: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19"/>
                <w:szCs w:val="19"/>
                <w:color w:val="auto"/>
              </w:rPr>
            </w:pPr>
          </w:p>
        </w:tc>
      </w:tr>
      <w:tr>
        <w:trPr>
          <w:trHeight w:val="634"/>
        </w:trPr>
        <w:tc>
          <w:tcPr>
            <w:tcW w:w="53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Signature (for and on behalf of the Company)</w:t>
            </w:r>
          </w:p>
        </w:tc>
        <w:tc>
          <w:tcPr>
            <w:tcW w:w="500" w:type="dxa"/>
            <w:vAlign w:val="bottom"/>
          </w:tcPr>
          <w:p>
            <w:pPr>
              <w:jc w:val="right"/>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Position in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36042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Note: Where the election is in respect of multiple acquisitions, prior to the date of any subsequent acquisition of a security it may be revoked by agreement between the employee and employer in respect of that and any later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type w:val="continuous"/>
        </w:sectPr>
      </w:pPr>
    </w:p>
    <w:bookmarkStart w:id="530" w:name="page531"/>
    <w:bookmarkEnd w:id="530"/>
    <w:p>
      <w:pPr>
        <w:jc w:val="right"/>
        <w:spacing w:after="0"/>
        <w:rPr>
          <w:sz w:val="20"/>
          <w:szCs w:val="20"/>
          <w:color w:val="auto"/>
        </w:rPr>
      </w:pPr>
      <w:r>
        <w:rPr>
          <w:rFonts w:ascii="Arial" w:cs="Arial" w:eastAsia="Arial" w:hAnsi="Arial"/>
          <w:sz w:val="18"/>
          <w:szCs w:val="18"/>
          <w:b w:val="1"/>
          <w:bCs w:val="1"/>
          <w:color w:val="auto"/>
        </w:rPr>
        <w:t>Exhibit 10.11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0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SUNNYVALE CITY CENTER</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SPF MATHILDA, LLC,</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 Delaware limited liability company,</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as Landlord,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CROWDSTRIKE, INC.</w:t>
      </w:r>
      <w:r>
        <w:rPr>
          <w:rFonts w:ascii="Arial" w:cs="Arial" w:eastAsia="Arial" w:hAnsi="Arial"/>
          <w:sz w:val="18"/>
          <w:szCs w:val="18"/>
          <w:color w:val="auto"/>
        </w:rPr>
        <w:t>,</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218440</wp:posOffset>
            </wp:positionV>
            <wp:extent cx="7153275" cy="298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531" w:name="page532"/>
    <w:bookmarkEnd w:id="531"/>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11"/>
        </w:trPr>
        <w:tc>
          <w:tcPr>
            <w:tcW w:w="1180" w:type="dxa"/>
            <w:vAlign w:val="bottom"/>
          </w:tcPr>
          <w:p>
            <w:pPr>
              <w:spacing w:after="0"/>
              <w:rPr>
                <w:sz w:val="20"/>
                <w:szCs w:val="20"/>
                <w:color w:val="auto"/>
              </w:rPr>
            </w:pPr>
            <w:r>
              <w:rPr>
                <w:rFonts w:ascii="Arial" w:cs="Arial" w:eastAsia="Arial" w:hAnsi="Arial"/>
                <w:sz w:val="18"/>
                <w:szCs w:val="18"/>
                <w:color w:val="auto"/>
              </w:rPr>
              <w:t>ARTICLE 1</w:t>
            </w:r>
          </w:p>
        </w:tc>
        <w:tc>
          <w:tcPr>
            <w:tcW w:w="8940" w:type="dxa"/>
            <w:vAlign w:val="bottom"/>
          </w:tcPr>
          <w:p>
            <w:pPr>
              <w:ind w:left="200"/>
              <w:spacing w:after="0"/>
              <w:rPr>
                <w:sz w:val="20"/>
                <w:szCs w:val="20"/>
                <w:color w:val="auto"/>
              </w:rPr>
            </w:pPr>
            <w:r>
              <w:rPr>
                <w:rFonts w:ascii="Arial" w:cs="Arial" w:eastAsia="Arial" w:hAnsi="Arial"/>
                <w:sz w:val="18"/>
                <w:szCs w:val="18"/>
                <w:color w:val="auto"/>
              </w:rPr>
              <w:t>PREMISES, BUILDING, PROJECT, AND COMMON AREAS</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w:t>
            </w:r>
          </w:p>
        </w:tc>
        <w:tc>
          <w:tcPr>
            <w:tcW w:w="8940" w:type="dxa"/>
            <w:vAlign w:val="bottom"/>
          </w:tcPr>
          <w:p>
            <w:pPr>
              <w:ind w:left="200"/>
              <w:spacing w:after="0"/>
              <w:rPr>
                <w:sz w:val="20"/>
                <w:szCs w:val="20"/>
                <w:color w:val="auto"/>
              </w:rPr>
            </w:pPr>
            <w:r>
              <w:rPr>
                <w:rFonts w:ascii="Arial" w:cs="Arial" w:eastAsia="Arial" w:hAnsi="Arial"/>
                <w:sz w:val="18"/>
                <w:szCs w:val="18"/>
                <w:color w:val="auto"/>
              </w:rPr>
              <w:t>LEASE TERM</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3</w:t>
            </w:r>
          </w:p>
        </w:tc>
        <w:tc>
          <w:tcPr>
            <w:tcW w:w="8940" w:type="dxa"/>
            <w:vAlign w:val="bottom"/>
          </w:tcPr>
          <w:p>
            <w:pPr>
              <w:ind w:left="200"/>
              <w:spacing w:after="0"/>
              <w:rPr>
                <w:sz w:val="20"/>
                <w:szCs w:val="20"/>
                <w:color w:val="auto"/>
              </w:rPr>
            </w:pPr>
            <w:r>
              <w:rPr>
                <w:rFonts w:ascii="Arial" w:cs="Arial" w:eastAsia="Arial" w:hAnsi="Arial"/>
                <w:sz w:val="18"/>
                <w:szCs w:val="18"/>
                <w:color w:val="auto"/>
              </w:rPr>
              <w:t>BASE RENT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4</w:t>
            </w:r>
          </w:p>
        </w:tc>
        <w:tc>
          <w:tcPr>
            <w:tcW w:w="8940" w:type="dxa"/>
            <w:vAlign w:val="bottom"/>
          </w:tcPr>
          <w:p>
            <w:pPr>
              <w:ind w:left="200"/>
              <w:spacing w:after="0"/>
              <w:rPr>
                <w:sz w:val="20"/>
                <w:szCs w:val="20"/>
                <w:color w:val="auto"/>
              </w:rPr>
            </w:pPr>
            <w:r>
              <w:rPr>
                <w:rFonts w:ascii="Arial" w:cs="Arial" w:eastAsia="Arial" w:hAnsi="Arial"/>
                <w:sz w:val="18"/>
                <w:szCs w:val="18"/>
                <w:color w:val="auto"/>
              </w:rPr>
              <w:t>ADDITIONAL RENT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5</w:t>
            </w:r>
          </w:p>
        </w:tc>
        <w:tc>
          <w:tcPr>
            <w:tcW w:w="8940" w:type="dxa"/>
            <w:vAlign w:val="bottom"/>
          </w:tcPr>
          <w:p>
            <w:pPr>
              <w:ind w:left="200"/>
              <w:spacing w:after="0"/>
              <w:rPr>
                <w:sz w:val="20"/>
                <w:szCs w:val="20"/>
                <w:color w:val="auto"/>
              </w:rPr>
            </w:pPr>
            <w:r>
              <w:rPr>
                <w:rFonts w:ascii="Arial" w:cs="Arial" w:eastAsia="Arial" w:hAnsi="Arial"/>
                <w:sz w:val="18"/>
                <w:szCs w:val="18"/>
                <w:color w:val="auto"/>
              </w:rPr>
              <w:t>USE OF PREMISES</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6</w:t>
            </w:r>
          </w:p>
        </w:tc>
        <w:tc>
          <w:tcPr>
            <w:tcW w:w="8940" w:type="dxa"/>
            <w:vAlign w:val="bottom"/>
          </w:tcPr>
          <w:p>
            <w:pPr>
              <w:ind w:left="200"/>
              <w:spacing w:after="0"/>
              <w:rPr>
                <w:sz w:val="20"/>
                <w:szCs w:val="20"/>
                <w:color w:val="auto"/>
              </w:rPr>
            </w:pPr>
            <w:r>
              <w:rPr>
                <w:rFonts w:ascii="Arial" w:cs="Arial" w:eastAsia="Arial" w:hAnsi="Arial"/>
                <w:sz w:val="18"/>
                <w:szCs w:val="18"/>
                <w:color w:val="auto"/>
              </w:rPr>
              <w:t>SERVICES AND UTILITIES</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7</w:t>
            </w:r>
          </w:p>
        </w:tc>
        <w:tc>
          <w:tcPr>
            <w:tcW w:w="8940" w:type="dxa"/>
            <w:vAlign w:val="bottom"/>
          </w:tcPr>
          <w:p>
            <w:pPr>
              <w:ind w:left="200"/>
              <w:spacing w:after="0"/>
              <w:rPr>
                <w:sz w:val="20"/>
                <w:szCs w:val="20"/>
                <w:color w:val="auto"/>
              </w:rPr>
            </w:pPr>
            <w:r>
              <w:rPr>
                <w:rFonts w:ascii="Arial" w:cs="Arial" w:eastAsia="Arial" w:hAnsi="Arial"/>
                <w:sz w:val="18"/>
                <w:szCs w:val="18"/>
                <w:color w:val="auto"/>
              </w:rPr>
              <w:t>REPAIRS</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8</w:t>
            </w:r>
          </w:p>
        </w:tc>
        <w:tc>
          <w:tcPr>
            <w:tcW w:w="8940" w:type="dxa"/>
            <w:vAlign w:val="bottom"/>
          </w:tcPr>
          <w:p>
            <w:pPr>
              <w:ind w:left="200"/>
              <w:spacing w:after="0"/>
              <w:rPr>
                <w:sz w:val="20"/>
                <w:szCs w:val="20"/>
                <w:color w:val="auto"/>
              </w:rPr>
            </w:pPr>
            <w:r>
              <w:rPr>
                <w:rFonts w:ascii="Arial" w:cs="Arial" w:eastAsia="Arial" w:hAnsi="Arial"/>
                <w:sz w:val="18"/>
                <w:szCs w:val="18"/>
                <w:color w:val="auto"/>
              </w:rPr>
              <w:t>ADDITIONS AND ALTERATIONS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9</w:t>
            </w:r>
          </w:p>
        </w:tc>
        <w:tc>
          <w:tcPr>
            <w:tcW w:w="8940" w:type="dxa"/>
            <w:vAlign w:val="bottom"/>
          </w:tcPr>
          <w:p>
            <w:pPr>
              <w:ind w:left="200"/>
              <w:spacing w:after="0"/>
              <w:rPr>
                <w:sz w:val="20"/>
                <w:szCs w:val="20"/>
                <w:color w:val="auto"/>
              </w:rPr>
            </w:pPr>
            <w:r>
              <w:rPr>
                <w:rFonts w:ascii="Arial" w:cs="Arial" w:eastAsia="Arial" w:hAnsi="Arial"/>
                <w:sz w:val="18"/>
                <w:szCs w:val="18"/>
                <w:color w:val="auto"/>
              </w:rPr>
              <w:t>COVENANT AGAINST LIENS</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10</w:t>
            </w:r>
          </w:p>
        </w:tc>
        <w:tc>
          <w:tcPr>
            <w:tcW w:w="894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11</w:t>
            </w:r>
          </w:p>
        </w:tc>
        <w:tc>
          <w:tcPr>
            <w:tcW w:w="8940" w:type="dxa"/>
            <w:vAlign w:val="bottom"/>
          </w:tcPr>
          <w:p>
            <w:pPr>
              <w:ind w:left="200"/>
              <w:spacing w:after="0"/>
              <w:rPr>
                <w:sz w:val="20"/>
                <w:szCs w:val="20"/>
                <w:color w:val="auto"/>
              </w:rPr>
            </w:pPr>
            <w:r>
              <w:rPr>
                <w:rFonts w:ascii="Arial" w:cs="Arial" w:eastAsia="Arial" w:hAnsi="Arial"/>
                <w:sz w:val="18"/>
                <w:szCs w:val="18"/>
                <w:color w:val="auto"/>
              </w:rPr>
              <w:t>DAMAGE AND DESTRUCTION</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12</w:t>
            </w:r>
          </w:p>
        </w:tc>
        <w:tc>
          <w:tcPr>
            <w:tcW w:w="8940" w:type="dxa"/>
            <w:vAlign w:val="bottom"/>
          </w:tcPr>
          <w:p>
            <w:pPr>
              <w:ind w:left="200"/>
              <w:spacing w:after="0"/>
              <w:rPr>
                <w:sz w:val="20"/>
                <w:szCs w:val="20"/>
                <w:color w:val="auto"/>
              </w:rPr>
            </w:pPr>
            <w:r>
              <w:rPr>
                <w:rFonts w:ascii="Arial" w:cs="Arial" w:eastAsia="Arial" w:hAnsi="Arial"/>
                <w:sz w:val="18"/>
                <w:szCs w:val="18"/>
                <w:color w:val="auto"/>
              </w:rPr>
              <w:t>NONWAIVER</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13</w:t>
            </w:r>
          </w:p>
        </w:tc>
        <w:tc>
          <w:tcPr>
            <w:tcW w:w="8940" w:type="dxa"/>
            <w:vAlign w:val="bottom"/>
          </w:tcPr>
          <w:p>
            <w:pPr>
              <w:ind w:left="200"/>
              <w:spacing w:after="0"/>
              <w:rPr>
                <w:sz w:val="20"/>
                <w:szCs w:val="20"/>
                <w:color w:val="auto"/>
              </w:rPr>
            </w:pPr>
            <w:r>
              <w:rPr>
                <w:rFonts w:ascii="Arial" w:cs="Arial" w:eastAsia="Arial" w:hAnsi="Arial"/>
                <w:sz w:val="18"/>
                <w:szCs w:val="18"/>
                <w:color w:val="auto"/>
              </w:rPr>
              <w:t>CONDEMNATION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14</w:t>
            </w:r>
          </w:p>
        </w:tc>
        <w:tc>
          <w:tcPr>
            <w:tcW w:w="8940" w:type="dxa"/>
            <w:vAlign w:val="bottom"/>
          </w:tcPr>
          <w:p>
            <w:pPr>
              <w:ind w:left="200"/>
              <w:spacing w:after="0"/>
              <w:rPr>
                <w:sz w:val="20"/>
                <w:szCs w:val="20"/>
                <w:color w:val="auto"/>
              </w:rPr>
            </w:pPr>
            <w:r>
              <w:rPr>
                <w:rFonts w:ascii="Arial" w:cs="Arial" w:eastAsia="Arial" w:hAnsi="Arial"/>
                <w:sz w:val="18"/>
                <w:szCs w:val="18"/>
                <w:color w:val="auto"/>
              </w:rPr>
              <w:t>ASSIGNMENT AND SUBLETTING</w:t>
            </w: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15</w:t>
            </w:r>
          </w:p>
        </w:tc>
        <w:tc>
          <w:tcPr>
            <w:tcW w:w="8940" w:type="dxa"/>
            <w:vAlign w:val="bottom"/>
          </w:tcPr>
          <w:p>
            <w:pPr>
              <w:ind w:left="200"/>
              <w:spacing w:after="0"/>
              <w:rPr>
                <w:sz w:val="20"/>
                <w:szCs w:val="20"/>
                <w:color w:val="auto"/>
              </w:rPr>
            </w:pPr>
            <w:r>
              <w:rPr>
                <w:rFonts w:ascii="Arial" w:cs="Arial" w:eastAsia="Arial" w:hAnsi="Arial"/>
                <w:sz w:val="18"/>
                <w:szCs w:val="18"/>
                <w:color w:val="auto"/>
              </w:rPr>
              <w:t>SURRENDER OF PREMISES; OWNERSHIP AND REMOVAL OF TRADE FIXTURES</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16</w:t>
            </w:r>
          </w:p>
        </w:tc>
        <w:tc>
          <w:tcPr>
            <w:tcW w:w="8940" w:type="dxa"/>
            <w:vAlign w:val="bottom"/>
          </w:tcPr>
          <w:p>
            <w:pPr>
              <w:ind w:left="200"/>
              <w:spacing w:after="0"/>
              <w:rPr>
                <w:sz w:val="20"/>
                <w:szCs w:val="20"/>
                <w:color w:val="auto"/>
              </w:rPr>
            </w:pPr>
            <w:r>
              <w:rPr>
                <w:rFonts w:ascii="Arial" w:cs="Arial" w:eastAsia="Arial" w:hAnsi="Arial"/>
                <w:sz w:val="18"/>
                <w:szCs w:val="18"/>
                <w:color w:val="auto"/>
              </w:rPr>
              <w:t>HOLDING OVER</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17</w:t>
            </w:r>
          </w:p>
        </w:tc>
        <w:tc>
          <w:tcPr>
            <w:tcW w:w="8940" w:type="dxa"/>
            <w:vAlign w:val="bottom"/>
          </w:tcPr>
          <w:p>
            <w:pPr>
              <w:ind w:left="200"/>
              <w:spacing w:after="0"/>
              <w:rPr>
                <w:sz w:val="20"/>
                <w:szCs w:val="20"/>
                <w:color w:val="auto"/>
              </w:rPr>
            </w:pPr>
            <w:r>
              <w:rPr>
                <w:rFonts w:ascii="Arial" w:cs="Arial" w:eastAsia="Arial" w:hAnsi="Arial"/>
                <w:sz w:val="18"/>
                <w:szCs w:val="18"/>
                <w:color w:val="auto"/>
              </w:rPr>
              <w:t>ESTOPPEL CERTIFICATES</w:t>
            </w: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18</w:t>
            </w:r>
          </w:p>
        </w:tc>
        <w:tc>
          <w:tcPr>
            <w:tcW w:w="8940" w:type="dxa"/>
            <w:vAlign w:val="bottom"/>
          </w:tcPr>
          <w:p>
            <w:pPr>
              <w:ind w:left="200"/>
              <w:spacing w:after="0"/>
              <w:rPr>
                <w:sz w:val="20"/>
                <w:szCs w:val="20"/>
                <w:color w:val="auto"/>
              </w:rPr>
            </w:pPr>
            <w:r>
              <w:rPr>
                <w:rFonts w:ascii="Arial" w:cs="Arial" w:eastAsia="Arial" w:hAnsi="Arial"/>
                <w:sz w:val="18"/>
                <w:szCs w:val="18"/>
                <w:color w:val="auto"/>
              </w:rPr>
              <w:t>SUBORDINATION</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19</w:t>
            </w:r>
          </w:p>
        </w:tc>
        <w:tc>
          <w:tcPr>
            <w:tcW w:w="8940" w:type="dxa"/>
            <w:vAlign w:val="bottom"/>
          </w:tcPr>
          <w:p>
            <w:pPr>
              <w:ind w:left="200"/>
              <w:spacing w:after="0"/>
              <w:rPr>
                <w:sz w:val="20"/>
                <w:szCs w:val="20"/>
                <w:color w:val="auto"/>
              </w:rPr>
            </w:pPr>
            <w:r>
              <w:rPr>
                <w:rFonts w:ascii="Arial" w:cs="Arial" w:eastAsia="Arial" w:hAnsi="Arial"/>
                <w:sz w:val="18"/>
                <w:szCs w:val="18"/>
                <w:color w:val="auto"/>
              </w:rPr>
              <w:t>DEFAULTS; REMEDIES</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20</w:t>
            </w:r>
          </w:p>
        </w:tc>
        <w:tc>
          <w:tcPr>
            <w:tcW w:w="8940" w:type="dxa"/>
            <w:vAlign w:val="bottom"/>
          </w:tcPr>
          <w:p>
            <w:pPr>
              <w:ind w:left="200"/>
              <w:spacing w:after="0"/>
              <w:rPr>
                <w:sz w:val="20"/>
                <w:szCs w:val="20"/>
                <w:color w:val="auto"/>
              </w:rPr>
            </w:pPr>
            <w:r>
              <w:rPr>
                <w:rFonts w:ascii="Arial" w:cs="Arial" w:eastAsia="Arial" w:hAnsi="Arial"/>
                <w:sz w:val="18"/>
                <w:szCs w:val="18"/>
                <w:color w:val="auto"/>
              </w:rPr>
              <w:t>COVENANT OF QUIET ENJOYMENT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21</w:t>
            </w:r>
          </w:p>
        </w:tc>
        <w:tc>
          <w:tcPr>
            <w:tcW w:w="8940" w:type="dxa"/>
            <w:vAlign w:val="bottom"/>
          </w:tcPr>
          <w:p>
            <w:pPr>
              <w:ind w:left="200"/>
              <w:spacing w:after="0"/>
              <w:rPr>
                <w:sz w:val="20"/>
                <w:szCs w:val="20"/>
                <w:color w:val="auto"/>
              </w:rPr>
            </w:pPr>
            <w:r>
              <w:rPr>
                <w:rFonts w:ascii="Arial" w:cs="Arial" w:eastAsia="Arial" w:hAnsi="Arial"/>
                <w:sz w:val="18"/>
                <w:szCs w:val="18"/>
                <w:color w:val="auto"/>
              </w:rPr>
              <w:t>LETTER OF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22</w:t>
            </w:r>
          </w:p>
        </w:tc>
        <w:tc>
          <w:tcPr>
            <w:tcW w:w="8940" w:type="dxa"/>
            <w:vAlign w:val="bottom"/>
          </w:tcPr>
          <w:p>
            <w:pPr>
              <w:ind w:left="200"/>
              <w:spacing w:after="0"/>
              <w:rPr>
                <w:sz w:val="20"/>
                <w:szCs w:val="20"/>
                <w:color w:val="auto"/>
              </w:rPr>
            </w:pPr>
            <w:r>
              <w:rPr>
                <w:rFonts w:ascii="Arial" w:cs="Arial" w:eastAsia="Arial" w:hAnsi="Arial"/>
                <w:sz w:val="18"/>
                <w:szCs w:val="18"/>
                <w:color w:val="auto"/>
              </w:rPr>
              <w:t>INTENTIONALLY OMITTED</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23</w:t>
            </w:r>
          </w:p>
        </w:tc>
        <w:tc>
          <w:tcPr>
            <w:tcW w:w="8940" w:type="dxa"/>
            <w:vAlign w:val="bottom"/>
          </w:tcPr>
          <w:p>
            <w:pPr>
              <w:ind w:left="200"/>
              <w:spacing w:after="0"/>
              <w:rPr>
                <w:sz w:val="20"/>
                <w:szCs w:val="20"/>
                <w:color w:val="auto"/>
              </w:rPr>
            </w:pPr>
            <w:r>
              <w:rPr>
                <w:rFonts w:ascii="Arial" w:cs="Arial" w:eastAsia="Arial" w:hAnsi="Arial"/>
                <w:sz w:val="18"/>
                <w:szCs w:val="18"/>
                <w:color w:val="auto"/>
              </w:rPr>
              <w:t>SIGNS</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24</w:t>
            </w:r>
          </w:p>
        </w:tc>
        <w:tc>
          <w:tcPr>
            <w:tcW w:w="8940" w:type="dxa"/>
            <w:vAlign w:val="bottom"/>
          </w:tcPr>
          <w:p>
            <w:pPr>
              <w:ind w:left="200"/>
              <w:spacing w:after="0"/>
              <w:rPr>
                <w:sz w:val="20"/>
                <w:szCs w:val="20"/>
                <w:color w:val="auto"/>
              </w:rPr>
            </w:pPr>
            <w:r>
              <w:rPr>
                <w:rFonts w:ascii="Arial" w:cs="Arial" w:eastAsia="Arial" w:hAnsi="Arial"/>
                <w:sz w:val="18"/>
                <w:szCs w:val="18"/>
                <w:color w:val="auto"/>
              </w:rPr>
              <w:t>COMPLIANCE WITH LAW</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25</w:t>
            </w:r>
          </w:p>
        </w:tc>
        <w:tc>
          <w:tcPr>
            <w:tcW w:w="8940" w:type="dxa"/>
            <w:vAlign w:val="bottom"/>
          </w:tcPr>
          <w:p>
            <w:pPr>
              <w:ind w:left="200"/>
              <w:spacing w:after="0"/>
              <w:rPr>
                <w:sz w:val="20"/>
                <w:szCs w:val="20"/>
                <w:color w:val="auto"/>
              </w:rPr>
            </w:pPr>
            <w:r>
              <w:rPr>
                <w:rFonts w:ascii="Arial" w:cs="Arial" w:eastAsia="Arial" w:hAnsi="Arial"/>
                <w:sz w:val="18"/>
                <w:szCs w:val="18"/>
                <w:color w:val="auto"/>
              </w:rPr>
              <w:t>LATE CHARGES</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26</w:t>
            </w:r>
          </w:p>
        </w:tc>
        <w:tc>
          <w:tcPr>
            <w:tcW w:w="8940" w:type="dxa"/>
            <w:vAlign w:val="bottom"/>
          </w:tcPr>
          <w:p>
            <w:pPr>
              <w:ind w:left="200"/>
              <w:spacing w:after="0"/>
              <w:rPr>
                <w:sz w:val="20"/>
                <w:szCs w:val="20"/>
                <w:color w:val="auto"/>
              </w:rPr>
            </w:pPr>
            <w:r>
              <w:rPr>
                <w:rFonts w:ascii="Arial" w:cs="Arial" w:eastAsia="Arial" w:hAnsi="Arial"/>
                <w:sz w:val="18"/>
                <w:szCs w:val="18"/>
                <w:color w:val="auto"/>
              </w:rPr>
              <w:t>LANDLORD’S RIGHT TO CURE DEFAULT; PAYMENTS BY TENANT</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27</w:t>
            </w:r>
          </w:p>
        </w:tc>
        <w:tc>
          <w:tcPr>
            <w:tcW w:w="8940" w:type="dxa"/>
            <w:vAlign w:val="bottom"/>
          </w:tcPr>
          <w:p>
            <w:pPr>
              <w:ind w:left="200"/>
              <w:spacing w:after="0"/>
              <w:rPr>
                <w:sz w:val="20"/>
                <w:szCs w:val="20"/>
                <w:color w:val="auto"/>
              </w:rPr>
            </w:pPr>
            <w:r>
              <w:rPr>
                <w:rFonts w:ascii="Arial" w:cs="Arial" w:eastAsia="Arial" w:hAnsi="Arial"/>
                <w:sz w:val="18"/>
                <w:szCs w:val="18"/>
                <w:color w:val="auto"/>
              </w:rPr>
              <w:t>ENTRY BY LANDLORD</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28</w:t>
            </w:r>
          </w:p>
        </w:tc>
        <w:tc>
          <w:tcPr>
            <w:tcW w:w="8940" w:type="dxa"/>
            <w:vAlign w:val="bottom"/>
          </w:tcPr>
          <w:p>
            <w:pPr>
              <w:ind w:left="200"/>
              <w:spacing w:after="0"/>
              <w:rPr>
                <w:sz w:val="20"/>
                <w:szCs w:val="20"/>
                <w:color w:val="auto"/>
              </w:rPr>
            </w:pPr>
            <w:r>
              <w:rPr>
                <w:rFonts w:ascii="Arial" w:cs="Arial" w:eastAsia="Arial" w:hAnsi="Arial"/>
                <w:sz w:val="18"/>
                <w:szCs w:val="18"/>
                <w:color w:val="auto"/>
              </w:rPr>
              <w:t>TENANT PARKING</w:t>
            </w: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ARTICLE 29</w:t>
            </w:r>
          </w:p>
        </w:tc>
        <w:tc>
          <w:tcPr>
            <w:tcW w:w="8940" w:type="dxa"/>
            <w:vAlign w:val="bottom"/>
          </w:tcPr>
          <w:p>
            <w:pPr>
              <w:ind w:left="200"/>
              <w:spacing w:after="0"/>
              <w:rPr>
                <w:sz w:val="20"/>
                <w:szCs w:val="20"/>
                <w:color w:val="auto"/>
              </w:rPr>
            </w:pPr>
            <w:r>
              <w:rPr>
                <w:rFonts w:ascii="Arial" w:cs="Arial" w:eastAsia="Arial" w:hAnsi="Arial"/>
                <w:sz w:val="18"/>
                <w:szCs w:val="18"/>
                <w:color w:val="auto"/>
              </w:rPr>
              <w:t>MISCELLANEOUS PROVISIONS</w:t>
            </w: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800" w:hanging="792"/>
        <w:spacing w:after="0"/>
        <w:tabs>
          <w:tab w:leader="none" w:pos="8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OUTLINE OF PREMISES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7"/>
          <w:szCs w:val="17"/>
          <w:color w:val="auto"/>
        </w:rPr>
        <w:t>TENANT WORK LETTER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7"/>
          <w:szCs w:val="17"/>
          <w:color w:val="auto"/>
        </w:rPr>
        <w:t>FORM OF NOTICE OF LEASE TERM DATES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7"/>
          <w:szCs w:val="17"/>
          <w:color w:val="auto"/>
        </w:rPr>
        <w:t>RULES AND REGULATIONS</w:t>
      </w:r>
    </w:p>
    <w:p>
      <w:pPr>
        <w:spacing w:after="0" w:line="9" w:lineRule="exact"/>
        <w:rPr>
          <w:sz w:val="20"/>
          <w:szCs w:val="20"/>
          <w:color w:val="auto"/>
        </w:rPr>
      </w:pPr>
    </w:p>
    <w:p>
      <w:pPr>
        <w:ind w:left="800" w:hanging="792"/>
        <w:spacing w:after="0"/>
        <w:tabs>
          <w:tab w:leader="none" w:pos="8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FORM OF TENANT’S ESTOPPEL CERTIFICATE</w:t>
      </w:r>
    </w:p>
    <w:p>
      <w:pPr>
        <w:spacing w:after="0" w:line="9" w:lineRule="exact"/>
        <w:rPr>
          <w:sz w:val="20"/>
          <w:szCs w:val="20"/>
          <w:color w:val="auto"/>
        </w:rPr>
      </w:pPr>
    </w:p>
    <w:p>
      <w:pPr>
        <w:ind w:left="800" w:hanging="792"/>
        <w:spacing w:after="0"/>
        <w:tabs>
          <w:tab w:leader="none" w:pos="8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FORM OF LETTER OF CREDIT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G-1</w:t>
      </w:r>
      <w:r>
        <w:rPr>
          <w:rFonts w:ascii="Arial" w:cs="Arial" w:eastAsia="Arial" w:hAnsi="Arial"/>
          <w:sz w:val="16"/>
          <w:szCs w:val="16"/>
          <w:color w:val="auto"/>
        </w:rPr>
        <w:t>SUITE 300 FIRST OFFER SPACE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G-2</w:t>
      </w:r>
      <w:r>
        <w:rPr>
          <w:rFonts w:ascii="Arial" w:cs="Arial" w:eastAsia="Arial" w:hAnsi="Arial"/>
          <w:sz w:val="16"/>
          <w:szCs w:val="16"/>
          <w:color w:val="auto"/>
        </w:rPr>
        <w:t>SUITE 302 FIRST OFFER SPACE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2" w:name="page533"/>
    <w:bookmarkEnd w:id="532"/>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17"/>
                <w:szCs w:val="17"/>
                <w:color w:val="auto"/>
              </w:rPr>
            </w:pPr>
          </w:p>
        </w:tc>
      </w:tr>
      <w:tr>
        <w:trPr>
          <w:trHeight w:val="385"/>
        </w:trPr>
        <w:tc>
          <w:tcPr>
            <w:tcW w:w="53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Page(s)</w:t>
            </w:r>
          </w:p>
        </w:tc>
      </w:tr>
      <w:tr>
        <w:trPr>
          <w:trHeight w:val="411"/>
        </w:trPr>
        <w:tc>
          <w:tcPr>
            <w:tcW w:w="10240" w:type="dxa"/>
            <w:vAlign w:val="bottom"/>
            <w:gridSpan w:val="3"/>
          </w:tcPr>
          <w:p>
            <w:pPr>
              <w:spacing w:after="0"/>
              <w:rPr>
                <w:sz w:val="20"/>
                <w:szCs w:val="20"/>
                <w:color w:val="auto"/>
              </w:rPr>
            </w:pPr>
            <w:r>
              <w:rPr>
                <w:rFonts w:ascii="Arial" w:cs="Arial" w:eastAsia="Arial" w:hAnsi="Arial"/>
                <w:sz w:val="18"/>
                <w:szCs w:val="18"/>
                <w:color w:val="auto"/>
              </w:rPr>
              <w:t>Additional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Additional Rent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Alterations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Approved Construction Documents</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Architect/Space Planner</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Bank’s Credit Rating Threshold</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Bankruptcy Code</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Base Rent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Brokers</w:t>
            </w: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Building</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Building Common Areas,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Building Direct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Building Hours</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Building Operating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Building Tax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City Parking Access Area</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City Parking Rights</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Code</w:t>
            </w:r>
          </w:p>
        </w:tc>
        <w:tc>
          <w:tcPr>
            <w:tcW w:w="1000" w:type="dxa"/>
            <w:vAlign w:val="bottom"/>
          </w:tcPr>
          <w:p>
            <w:pPr>
              <w:jc w:val="right"/>
              <w:spacing w:after="0"/>
              <w:rPr>
                <w:sz w:val="20"/>
                <w:szCs w:val="20"/>
                <w:color w:val="auto"/>
              </w:rPr>
            </w:pPr>
            <w:r>
              <w:rPr>
                <w:rFonts w:ascii="Arial" w:cs="Arial" w:eastAsia="Arial" w:hAnsi="Arial"/>
                <w:sz w:val="18"/>
                <w:szCs w:val="18"/>
                <w:color w:val="auto"/>
              </w:rPr>
              <w:t>47, 1</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Common Areas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Comparable Buildings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Comparable Transactions</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Concessions</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Construction Budget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Construction Documents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Construction Rules, Requirements, Specifications, Design Criteria and Building Standards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Contemplated Effective Date</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Contemplated Transfer Space</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Contract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Contractor</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Cost Pools</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Damage Termination Date</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Damage Termination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Direct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Eligibility Period</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Engineers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Estimate</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Estimate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Estimated Direct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Excess</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Expense Year</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Extension Option</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Final Close Out Package</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Final Construction Documents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Final Space Plan</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Final TI Allowance Reimbursement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Fitness Center</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Fitness Center Users</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Force Majeure</w:t>
            </w: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Holidays</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240" w:type="dxa"/>
            <w:vAlign w:val="bottom"/>
            <w:gridSpan w:val="3"/>
          </w:tcPr>
          <w:p>
            <w:pPr>
              <w:spacing w:after="0"/>
              <w:rPr>
                <w:sz w:val="20"/>
                <w:szCs w:val="20"/>
                <w:color w:val="auto"/>
              </w:rPr>
            </w:pPr>
            <w:r>
              <w:rPr>
                <w:rFonts w:ascii="Arial" w:cs="Arial" w:eastAsia="Arial" w:hAnsi="Arial"/>
                <w:sz w:val="18"/>
                <w:szCs w:val="18"/>
                <w:color w:val="auto"/>
              </w:rPr>
              <w:t>HVAC</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240" w:type="dxa"/>
            <w:vAlign w:val="bottom"/>
            <w:gridSpan w:val="3"/>
          </w:tcPr>
          <w:p>
            <w:pPr>
              <w:spacing w:after="0"/>
              <w:rPr>
                <w:sz w:val="20"/>
                <w:szCs w:val="20"/>
                <w:color w:val="auto"/>
              </w:rPr>
            </w:pPr>
            <w:r>
              <w:rPr>
                <w:rFonts w:ascii="Arial" w:cs="Arial" w:eastAsia="Arial" w:hAnsi="Arial"/>
                <w:sz w:val="18"/>
                <w:szCs w:val="18"/>
                <w:color w:val="auto"/>
              </w:rPr>
              <w:t>Identification Requirements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3" w:name="page534"/>
    <w:bookmarkEnd w:id="533"/>
    <w:tbl>
      <w:tblPr>
        <w:tblLayout w:type="fixed"/>
        <w:tblInd w:w="0" w:type="dxa"/>
        <w:tblCellMar>
          <w:top w:w="0" w:type="dxa"/>
          <w:left w:w="0" w:type="dxa"/>
          <w:bottom w:w="0" w:type="dxa"/>
          <w:right w:w="0" w:type="dxa"/>
        </w:tblCellMar>
      </w:tblPr>
      <w:tr>
        <w:trPr>
          <w:trHeight w:val="171"/>
        </w:trPr>
        <w:tc>
          <w:tcPr>
            <w:tcW w:w="10240" w:type="dxa"/>
            <w:vAlign w:val="bottom"/>
          </w:tcPr>
          <w:p>
            <w:pPr>
              <w:spacing w:after="0"/>
              <w:rPr>
                <w:sz w:val="14"/>
                <w:szCs w:val="14"/>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Page(s)</w:t>
            </w:r>
          </w:p>
        </w:tc>
      </w:tr>
      <w:tr>
        <w:trPr>
          <w:trHeight w:val="411"/>
        </w:trPr>
        <w:tc>
          <w:tcPr>
            <w:tcW w:w="10240" w:type="dxa"/>
            <w:vAlign w:val="bottom"/>
          </w:tcPr>
          <w:p>
            <w:pPr>
              <w:spacing w:after="0"/>
              <w:rPr>
                <w:sz w:val="20"/>
                <w:szCs w:val="20"/>
                <w:color w:val="auto"/>
              </w:rPr>
            </w:pPr>
            <w:r>
              <w:rPr>
                <w:rFonts w:ascii="Arial" w:cs="Arial" w:eastAsia="Arial" w:hAnsi="Arial"/>
                <w:sz w:val="18"/>
                <w:szCs w:val="18"/>
                <w:color w:val="auto"/>
              </w:rPr>
              <w:t>Initial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Intention to Transfer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JPMIMI</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Landlord</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Landlord Coordination Fee</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Landlord Default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Landlord Parties</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Landlord Repair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L-C</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L-C Amount</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L-C Draw Event</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L-C Expiration Date</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L-C FDIC Replacement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Lease</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Lease Commencement Date</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Lease Expiration Date</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Lease Term</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Lease Year</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Lines</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Mail</w:t>
            </w: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Management Fee Cap</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Nine Month Period</w:t>
            </w: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Notice of Lease Term Dates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Notices</w:t>
            </w: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Option Exercise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Option Rent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Option Rent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Option Term</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Original Improvements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Other Improvements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Outside Agreement Date</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Over-Allowance Amount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Permits</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Premises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Project,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Proposition 13</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Regulations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Renovations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Rent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Rent Abatement Period</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Security Deposit Laws</w:t>
            </w: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Subject Space</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Submittal Date</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Suite 304 Rent Abatement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Suite 306 Rent Abatement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Summary</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Tax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Tenant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Tenant Energy Use Disclosure</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Tenant Improvement Allowance Items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Tenant Improvements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240" w:type="dxa"/>
            <w:vAlign w:val="bottom"/>
          </w:tcPr>
          <w:p>
            <w:pPr>
              <w:spacing w:after="0"/>
              <w:rPr>
                <w:sz w:val="20"/>
                <w:szCs w:val="20"/>
                <w:color w:val="auto"/>
              </w:rPr>
            </w:pPr>
            <w:r>
              <w:rPr>
                <w:rFonts w:ascii="Arial" w:cs="Arial" w:eastAsia="Arial" w:hAnsi="Arial"/>
                <w:sz w:val="18"/>
                <w:szCs w:val="18"/>
                <w:color w:val="auto"/>
              </w:rPr>
              <w:t>Tenant Parties</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4" w:name="page535"/>
    <w:bookmarkEnd w:id="534"/>
    <w:tbl>
      <w:tblPr>
        <w:tblLayout w:type="fixed"/>
        <w:tblInd w:w="0" w:type="dxa"/>
        <w:tblCellMar>
          <w:top w:w="0" w:type="dxa"/>
          <w:left w:w="0" w:type="dxa"/>
          <w:bottom w:w="0" w:type="dxa"/>
          <w:right w:w="0" w:type="dxa"/>
        </w:tblCellMar>
      </w:tblPr>
      <w:tr>
        <w:trPr>
          <w:trHeight w:val="171"/>
        </w:trPr>
        <w:tc>
          <w:tcPr>
            <w:tcW w:w="10240" w:type="dxa"/>
            <w:vAlign w:val="bottom"/>
          </w:tcPr>
          <w:p>
            <w:pPr>
              <w:spacing w:after="0"/>
              <w:rPr>
                <w:sz w:val="14"/>
                <w:szCs w:val="14"/>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Page(s)</w:t>
            </w:r>
          </w:p>
        </w:tc>
      </w:tr>
      <w:tr>
        <w:trPr>
          <w:trHeight w:val="411"/>
        </w:trPr>
        <w:tc>
          <w:tcPr>
            <w:tcW w:w="10240" w:type="dxa"/>
            <w:vAlign w:val="bottom"/>
          </w:tcPr>
          <w:p>
            <w:pPr>
              <w:spacing w:after="0"/>
              <w:rPr>
                <w:sz w:val="20"/>
                <w:szCs w:val="20"/>
                <w:color w:val="auto"/>
              </w:rPr>
            </w:pPr>
            <w:r>
              <w:rPr>
                <w:rFonts w:ascii="Arial" w:cs="Arial" w:eastAsia="Arial" w:hAnsi="Arial"/>
                <w:sz w:val="18"/>
                <w:szCs w:val="18"/>
                <w:color w:val="auto"/>
              </w:rPr>
              <w:t>Tenant Work Letter</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Tenant’s Agents</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Tenant’s Share</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Transfer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240" w:type="dxa"/>
            <w:vAlign w:val="bottom"/>
          </w:tcPr>
          <w:p>
            <w:pPr>
              <w:spacing w:after="0"/>
              <w:rPr>
                <w:sz w:val="20"/>
                <w:szCs w:val="20"/>
                <w:color w:val="auto"/>
              </w:rPr>
            </w:pPr>
            <w:r>
              <w:rPr>
                <w:rFonts w:ascii="Arial" w:cs="Arial" w:eastAsia="Arial" w:hAnsi="Arial"/>
                <w:sz w:val="18"/>
                <w:szCs w:val="18"/>
                <w:color w:val="auto"/>
              </w:rPr>
              <w:t>Transferee</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240" w:type="dxa"/>
            <w:vAlign w:val="bottom"/>
          </w:tcPr>
          <w:p>
            <w:pPr>
              <w:spacing w:after="0"/>
              <w:rPr>
                <w:sz w:val="20"/>
                <w:szCs w:val="20"/>
                <w:color w:val="auto"/>
              </w:rPr>
            </w:pPr>
            <w:r>
              <w:rPr>
                <w:rFonts w:ascii="Arial" w:cs="Arial" w:eastAsia="Arial" w:hAnsi="Arial"/>
                <w:sz w:val="18"/>
                <w:szCs w:val="18"/>
                <w:color w:val="auto"/>
              </w:rPr>
              <w:t>Underlying Documents</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35" w:name="page536"/>
    <w:bookmarkEnd w:id="535"/>
    <w:p>
      <w:pPr>
        <w:jc w:val="center"/>
        <w:ind w:right="40"/>
        <w:spacing w:after="0"/>
        <w:rPr>
          <w:sz w:val="20"/>
          <w:szCs w:val="20"/>
          <w:color w:val="auto"/>
        </w:rPr>
      </w:pPr>
      <w:r>
        <w:rPr>
          <w:rFonts w:ascii="Arial" w:cs="Arial" w:eastAsia="Arial" w:hAnsi="Arial"/>
          <w:sz w:val="18"/>
          <w:szCs w:val="18"/>
          <w:b w:val="1"/>
          <w:bCs w:val="1"/>
          <w:u w:val="single" w:color="auto"/>
          <w:color w:val="auto"/>
        </w:rPr>
        <w:t>SUNNYVALE CITY CENTER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This Office Lease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as of the date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Summary of Basic Lease Information (the “</w:t>
      </w:r>
      <w:r>
        <w:rPr>
          <w:rFonts w:ascii="Arial" w:cs="Arial" w:eastAsia="Arial" w:hAnsi="Arial"/>
          <w:sz w:val="18"/>
          <w:szCs w:val="18"/>
          <w:b w:val="1"/>
          <w:bCs w:val="1"/>
          <w:color w:val="auto"/>
        </w:rPr>
        <w:t>Summary</w:t>
      </w:r>
      <w:r>
        <w:rPr>
          <w:rFonts w:ascii="Arial" w:cs="Arial" w:eastAsia="Arial" w:hAnsi="Arial"/>
          <w:sz w:val="18"/>
          <w:szCs w:val="18"/>
          <w:color w:val="auto"/>
        </w:rPr>
        <w:t>”) below, is made by and between SPF MATHILDA,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CROWDSTRIKE,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40" w:type="dxa"/>
            <w:vAlign w:val="bottom"/>
            <w:gridSpan w:val="2"/>
          </w:tcPr>
          <w:p>
            <w:pPr>
              <w:ind w:left="1100"/>
              <w:spacing w:after="0"/>
              <w:rPr>
                <w:sz w:val="20"/>
                <w:szCs w:val="20"/>
                <w:color w:val="auto"/>
              </w:rPr>
            </w:pPr>
            <w:r>
              <w:rPr>
                <w:rFonts w:ascii="Arial" w:cs="Arial" w:eastAsia="Arial" w:hAnsi="Arial"/>
                <w:sz w:val="18"/>
                <w:szCs w:val="18"/>
                <w:b w:val="1"/>
                <w:bCs w:val="1"/>
                <w:color w:val="auto"/>
              </w:rPr>
              <w:t>SUMMARY OF BASIC LEASE INFORMATION</w:t>
            </w:r>
          </w:p>
        </w:tc>
      </w:tr>
      <w:tr>
        <w:trPr>
          <w:trHeight w:val="453"/>
        </w:trPr>
        <w:tc>
          <w:tcPr>
            <w:tcW w:w="2600" w:type="dxa"/>
            <w:vAlign w:val="bottom"/>
            <w:gridSpan w:val="2"/>
          </w:tcPr>
          <w:p>
            <w:pPr>
              <w:spacing w:after="0"/>
              <w:rPr>
                <w:sz w:val="20"/>
                <w:szCs w:val="20"/>
                <w:color w:val="auto"/>
              </w:rPr>
            </w:pPr>
            <w:r>
              <w:rPr>
                <w:rFonts w:ascii="Arial" w:cs="Arial" w:eastAsia="Arial" w:hAnsi="Arial"/>
                <w:sz w:val="18"/>
                <w:szCs w:val="18"/>
                <w:color w:val="auto"/>
              </w:rPr>
              <w:t>TERMS OF LEASE</w:t>
            </w:r>
          </w:p>
        </w:tc>
        <w:tc>
          <w:tcPr>
            <w:tcW w:w="1100" w:type="dxa"/>
            <w:vAlign w:val="bottom"/>
          </w:tcPr>
          <w:p>
            <w:pPr>
              <w:spacing w:after="0"/>
              <w:rPr>
                <w:sz w:val="24"/>
                <w:szCs w:val="24"/>
                <w:color w:val="auto"/>
              </w:rPr>
            </w:pPr>
          </w:p>
        </w:tc>
        <w:tc>
          <w:tcPr>
            <w:tcW w:w="3840" w:type="dxa"/>
            <w:vAlign w:val="bottom"/>
            <w:tcBorders>
              <w:top w:val="single" w:sz="8" w:color="auto"/>
            </w:tcBorders>
          </w:tcPr>
          <w:p>
            <w:pPr>
              <w:ind w:left="1840"/>
              <w:spacing w:after="0"/>
              <w:rPr>
                <w:sz w:val="20"/>
                <w:szCs w:val="20"/>
                <w:color w:val="auto"/>
              </w:rPr>
            </w:pPr>
            <w:r>
              <w:rPr>
                <w:rFonts w:ascii="Arial" w:cs="Arial" w:eastAsia="Arial" w:hAnsi="Arial"/>
                <w:sz w:val="18"/>
                <w:szCs w:val="18"/>
                <w:color w:val="auto"/>
              </w:rPr>
              <w:t>DESCRIPTION</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2200" w:type="dxa"/>
            <w:vAlign w:val="bottom"/>
          </w:tcPr>
          <w:p>
            <w:pPr>
              <w:ind w:left="260"/>
              <w:spacing w:after="0"/>
              <w:rPr>
                <w:sz w:val="20"/>
                <w:szCs w:val="20"/>
                <w:color w:val="auto"/>
              </w:rPr>
            </w:pPr>
            <w:r>
              <w:rPr>
                <w:rFonts w:ascii="Arial" w:cs="Arial" w:eastAsia="Arial" w:hAnsi="Arial"/>
                <w:sz w:val="18"/>
                <w:szCs w:val="18"/>
                <w:color w:val="auto"/>
              </w:rPr>
              <w:t>Date:</w:t>
            </w:r>
          </w:p>
        </w:tc>
        <w:tc>
          <w:tcPr>
            <w:tcW w:w="1100" w:type="dxa"/>
            <w:vAlign w:val="bottom"/>
          </w:tcPr>
          <w:p>
            <w:pPr>
              <w:spacing w:after="0"/>
              <w:rPr>
                <w:sz w:val="24"/>
                <w:szCs w:val="24"/>
                <w:color w:val="auto"/>
              </w:rPr>
            </w:pPr>
          </w:p>
        </w:tc>
        <w:tc>
          <w:tcPr>
            <w:tcW w:w="3840" w:type="dxa"/>
            <w:vAlign w:val="bottom"/>
          </w:tcPr>
          <w:p>
            <w:pPr>
              <w:ind w:left="1840"/>
              <w:spacing w:after="0"/>
              <w:rPr>
                <w:sz w:val="20"/>
                <w:szCs w:val="20"/>
                <w:color w:val="auto"/>
              </w:rPr>
            </w:pPr>
            <w:r>
              <w:rPr>
                <w:rFonts w:ascii="Arial" w:cs="Arial" w:eastAsia="Arial" w:hAnsi="Arial"/>
                <w:sz w:val="18"/>
                <w:szCs w:val="18"/>
                <w:color w:val="auto"/>
              </w:rPr>
              <w:t>April 4, 2017</w:t>
            </w:r>
          </w:p>
        </w:tc>
      </w:tr>
    </w:tbl>
    <w:p>
      <w:pPr>
        <w:spacing w:after="0" w:line="202" w:lineRule="exact"/>
        <w:rPr>
          <w:sz w:val="20"/>
          <w:szCs w:val="20"/>
          <w:color w:val="auto"/>
        </w:rPr>
      </w:pPr>
    </w:p>
    <w:p>
      <w:pPr>
        <w:ind w:left="660" w:right="9820" w:hanging="652"/>
        <w:spacing w:after="0" w:line="308" w:lineRule="auto"/>
        <w:tabs>
          <w:tab w:leader="none" w:pos="660" w:val="left"/>
        </w:tabs>
        <w:numPr>
          <w:ilvl w:val="0"/>
          <w:numId w:val="492"/>
        </w:numPr>
        <w:rPr>
          <w:rFonts w:ascii="Arial" w:cs="Arial" w:eastAsia="Arial" w:hAnsi="Arial"/>
          <w:sz w:val="17"/>
          <w:szCs w:val="17"/>
          <w:color w:val="auto"/>
        </w:rPr>
      </w:pPr>
      <w:r>
        <w:rPr>
          <w:rFonts w:ascii="Arial" w:cs="Arial" w:eastAsia="Arial" w:hAnsi="Arial"/>
          <w:sz w:val="17"/>
          <w:szCs w:val="17"/>
          <w:color w:val="auto"/>
        </w:rPr>
        <w:t>Premises (</w:t>
      </w:r>
      <w:r>
        <w:rPr>
          <w:rFonts w:ascii="Arial" w:cs="Arial" w:eastAsia="Arial" w:hAnsi="Arial"/>
          <w:sz w:val="17"/>
          <w:szCs w:val="17"/>
          <w:u w:val="single" w:color="auto"/>
          <w:color w:val="auto"/>
        </w:rPr>
        <w:t>Article 1</w:t>
      </w:r>
      <w:r>
        <w:rPr>
          <w:rFonts w:ascii="Arial" w:cs="Arial" w:eastAsia="Arial" w:hAnsi="Arial"/>
          <w:sz w:val="17"/>
          <w:szCs w:val="17"/>
          <w:color w:val="auto"/>
        </w:rPr>
        <w:t>).</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79"/>
              </w:rPr>
              <w:t>2.1</w:t>
            </w:r>
          </w:p>
        </w:tc>
        <w:tc>
          <w:tcPr>
            <w:tcW w:w="2680" w:type="dxa"/>
            <w:vAlign w:val="bottom"/>
          </w:tcPr>
          <w:p>
            <w:pPr>
              <w:ind w:left="240"/>
              <w:spacing w:after="0"/>
              <w:rPr>
                <w:sz w:val="20"/>
                <w:szCs w:val="20"/>
                <w:color w:val="auto"/>
              </w:rPr>
            </w:pPr>
            <w:r>
              <w:rPr>
                <w:rFonts w:ascii="Arial" w:cs="Arial" w:eastAsia="Arial" w:hAnsi="Arial"/>
                <w:sz w:val="18"/>
                <w:szCs w:val="18"/>
                <w:color w:val="auto"/>
              </w:rPr>
              <w:t>Building:</w:t>
            </w:r>
          </w:p>
        </w:tc>
        <w:tc>
          <w:tcPr>
            <w:tcW w:w="7400" w:type="dxa"/>
            <w:vAlign w:val="bottom"/>
            <w:gridSpan w:val="3"/>
          </w:tcPr>
          <w:p>
            <w:pPr>
              <w:ind w:left="1760"/>
              <w:spacing w:after="0"/>
              <w:rPr>
                <w:sz w:val="20"/>
                <w:szCs w:val="20"/>
                <w:color w:val="auto"/>
              </w:rPr>
            </w:pPr>
            <w:r>
              <w:rPr>
                <w:rFonts w:ascii="Arial" w:cs="Arial" w:eastAsia="Arial" w:hAnsi="Arial"/>
                <w:sz w:val="18"/>
                <w:szCs w:val="18"/>
                <w:color w:val="auto"/>
              </w:rPr>
              <w:t xml:space="preserve">150 </w:t>
            </w:r>
            <w:r>
              <w:rPr>
                <w:rFonts w:ascii="Arial" w:cs="Arial" w:eastAsia="Arial" w:hAnsi="Arial"/>
                <w:sz w:val="17"/>
                <w:szCs w:val="17"/>
                <w:color w:val="auto"/>
              </w:rPr>
              <w:t>Mathilda Place, Sunnyvale, California</w:t>
            </w:r>
          </w:p>
        </w:tc>
      </w:tr>
      <w:tr>
        <w:trPr>
          <w:trHeight w:val="418"/>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79"/>
              </w:rPr>
              <w:t>2.2</w:t>
            </w:r>
          </w:p>
        </w:tc>
        <w:tc>
          <w:tcPr>
            <w:tcW w:w="2680" w:type="dxa"/>
            <w:vAlign w:val="bottom"/>
          </w:tcPr>
          <w:p>
            <w:pPr>
              <w:ind w:left="240"/>
              <w:spacing w:after="0"/>
              <w:rPr>
                <w:sz w:val="20"/>
                <w:szCs w:val="20"/>
                <w:color w:val="auto"/>
              </w:rPr>
            </w:pPr>
            <w:r>
              <w:rPr>
                <w:rFonts w:ascii="Arial" w:cs="Arial" w:eastAsia="Arial" w:hAnsi="Arial"/>
                <w:sz w:val="18"/>
                <w:szCs w:val="18"/>
                <w:color w:val="auto"/>
              </w:rPr>
              <w:t>Premises:</w:t>
            </w:r>
          </w:p>
        </w:tc>
        <w:tc>
          <w:tcPr>
            <w:tcW w:w="7400" w:type="dxa"/>
            <w:vAlign w:val="bottom"/>
            <w:gridSpan w:val="3"/>
          </w:tcPr>
          <w:p>
            <w:pPr>
              <w:ind w:left="1760"/>
              <w:spacing w:after="0"/>
              <w:rPr>
                <w:sz w:val="20"/>
                <w:szCs w:val="20"/>
                <w:color w:val="auto"/>
              </w:rPr>
            </w:pPr>
            <w:r>
              <w:rPr>
                <w:rFonts w:ascii="Arial" w:cs="Arial" w:eastAsia="Arial" w:hAnsi="Arial"/>
                <w:sz w:val="18"/>
                <w:szCs w:val="18"/>
                <w:color w:val="auto"/>
                <w:w w:val="91"/>
              </w:rPr>
              <w:t>Approximately 10,893 rentable square feet of space located on the third (3</w:t>
            </w:r>
            <w:r>
              <w:rPr>
                <w:rFonts w:ascii="Arial" w:cs="Arial" w:eastAsia="Arial" w:hAnsi="Arial"/>
                <w:sz w:val="23"/>
                <w:szCs w:val="23"/>
                <w:color w:val="auto"/>
                <w:w w:val="91"/>
                <w:vertAlign w:val="superscript"/>
              </w:rPr>
              <w:t>rd</w:t>
            </w:r>
            <w:r>
              <w:rPr>
                <w:rFonts w:ascii="Arial" w:cs="Arial" w:eastAsia="Arial" w:hAnsi="Arial"/>
                <w:sz w:val="18"/>
                <w:szCs w:val="18"/>
                <w:color w:val="auto"/>
                <w:w w:val="91"/>
              </w:rPr>
              <w:t>)</w:t>
            </w:r>
          </w:p>
        </w:tc>
      </w:tr>
      <w:tr>
        <w:trPr>
          <w:trHeight w:val="212"/>
        </w:trPr>
        <w:tc>
          <w:tcPr>
            <w:tcW w:w="4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400" w:type="dxa"/>
            <w:vAlign w:val="bottom"/>
            <w:gridSpan w:val="3"/>
          </w:tcPr>
          <w:p>
            <w:pPr>
              <w:ind w:left="1760"/>
              <w:spacing w:after="0"/>
              <w:rPr>
                <w:sz w:val="20"/>
                <w:szCs w:val="20"/>
                <w:color w:val="auto"/>
              </w:rPr>
            </w:pPr>
            <w:r>
              <w:rPr>
                <w:rFonts w:ascii="Arial" w:cs="Arial" w:eastAsia="Arial" w:hAnsi="Arial"/>
                <w:sz w:val="18"/>
                <w:szCs w:val="18"/>
                <w:color w:val="auto"/>
                <w:w w:val="93"/>
              </w:rPr>
              <w:t>floor of the Building, consisting of (i) 2,934 rentable square feet in Suite 304</w:t>
            </w:r>
          </w:p>
        </w:tc>
      </w:tr>
      <w:tr>
        <w:trPr>
          <w:trHeight w:val="216"/>
        </w:trPr>
        <w:tc>
          <w:tcPr>
            <w:tcW w:w="4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400" w:type="dxa"/>
            <w:vAlign w:val="bottom"/>
            <w:gridSpan w:val="3"/>
          </w:tcPr>
          <w:p>
            <w:pPr>
              <w:ind w:left="17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Suite 304</w:t>
            </w:r>
            <w:r>
              <w:rPr>
                <w:rFonts w:ascii="Arial" w:cs="Arial" w:eastAsia="Arial" w:hAnsi="Arial"/>
                <w:sz w:val="18"/>
                <w:szCs w:val="18"/>
                <w:color w:val="auto"/>
                <w:w w:val="91"/>
              </w:rPr>
              <w:t>”) and (ii) 7,959 rentable square feet in Suite 306 (“</w:t>
            </w:r>
            <w:r>
              <w:rPr>
                <w:rFonts w:ascii="Arial" w:cs="Arial" w:eastAsia="Arial" w:hAnsi="Arial"/>
                <w:sz w:val="18"/>
                <w:szCs w:val="18"/>
                <w:b w:val="1"/>
                <w:bCs w:val="1"/>
                <w:color w:val="auto"/>
                <w:w w:val="91"/>
              </w:rPr>
              <w:t>Suite 306</w:t>
            </w:r>
            <w:r>
              <w:rPr>
                <w:rFonts w:ascii="Arial" w:cs="Arial" w:eastAsia="Arial" w:hAnsi="Arial"/>
                <w:sz w:val="18"/>
                <w:szCs w:val="18"/>
                <w:color w:val="auto"/>
                <w:w w:val="91"/>
              </w:rPr>
              <w:t>”), as</w:t>
            </w:r>
          </w:p>
        </w:tc>
      </w:tr>
      <w:tr>
        <w:trPr>
          <w:trHeight w:val="194"/>
        </w:trPr>
        <w:tc>
          <w:tcPr>
            <w:tcW w:w="4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400" w:type="dxa"/>
            <w:vAlign w:val="bottom"/>
            <w:gridSpan w:val="3"/>
          </w:tcPr>
          <w:p>
            <w:pPr>
              <w:ind w:left="1760"/>
              <w:spacing w:after="0" w:line="194" w:lineRule="exact"/>
              <w:rPr>
                <w:sz w:val="20"/>
                <w:szCs w:val="20"/>
                <w:color w:val="auto"/>
              </w:rPr>
            </w:pPr>
            <w:r>
              <w:rPr>
                <w:rFonts w:ascii="Arial" w:cs="Arial" w:eastAsia="Arial" w:hAnsi="Arial"/>
                <w:sz w:val="18"/>
                <w:szCs w:val="18"/>
                <w:color w:val="auto"/>
              </w:rPr>
              <w:t xml:space="preserve">further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Lease.</w:t>
            </w:r>
          </w:p>
        </w:tc>
      </w:tr>
      <w:tr>
        <w:trPr>
          <w:trHeight w:val="20"/>
        </w:trPr>
        <w:tc>
          <w:tcPr>
            <w:tcW w:w="4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right="9780" w:hanging="652"/>
        <w:spacing w:after="0" w:line="381" w:lineRule="auto"/>
        <w:tabs>
          <w:tab w:leader="none" w:pos="660" w:val="left"/>
        </w:tabs>
        <w:numPr>
          <w:ilvl w:val="0"/>
          <w:numId w:val="493"/>
        </w:numPr>
        <w:rPr>
          <w:rFonts w:ascii="Arial" w:cs="Arial" w:eastAsia="Arial" w:hAnsi="Arial"/>
          <w:sz w:val="15"/>
          <w:szCs w:val="15"/>
          <w:color w:val="auto"/>
        </w:rPr>
      </w:pPr>
      <w:r>
        <w:rPr>
          <w:rFonts w:ascii="Arial" w:cs="Arial" w:eastAsia="Arial" w:hAnsi="Arial"/>
          <w:sz w:val="15"/>
          <w:szCs w:val="15"/>
          <w:color w:val="auto"/>
        </w:rPr>
        <w:t>Lease Term (</w:t>
      </w:r>
      <w:r>
        <w:rPr>
          <w:rFonts w:ascii="Arial" w:cs="Arial" w:eastAsia="Arial" w:hAnsi="Arial"/>
          <w:sz w:val="15"/>
          <w:szCs w:val="15"/>
          <w:u w:val="single" w:color="auto"/>
          <w:color w:val="auto"/>
        </w:rPr>
        <w:t>Article 2</w:t>
      </w:r>
      <w:r>
        <w:rPr>
          <w:rFonts w:ascii="Arial" w:cs="Arial" w:eastAsia="Arial" w:hAnsi="Arial"/>
          <w:sz w:val="15"/>
          <w:szCs w:val="15"/>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rPr>
              <w:t>3.1</w:t>
            </w:r>
          </w:p>
        </w:tc>
        <w:tc>
          <w:tcPr>
            <w:tcW w:w="3300" w:type="dxa"/>
            <w:vAlign w:val="bottom"/>
            <w:gridSpan w:val="4"/>
          </w:tcPr>
          <w:p>
            <w:pPr>
              <w:ind w:left="260"/>
              <w:spacing w:after="0"/>
              <w:rPr>
                <w:sz w:val="20"/>
                <w:szCs w:val="20"/>
                <w:color w:val="auto"/>
              </w:rPr>
            </w:pPr>
            <w:r>
              <w:rPr>
                <w:rFonts w:ascii="Arial" w:cs="Arial" w:eastAsia="Arial" w:hAnsi="Arial"/>
                <w:sz w:val="18"/>
                <w:szCs w:val="18"/>
                <w:color w:val="auto"/>
              </w:rPr>
              <w:t>Length of Term:</w:t>
            </w:r>
          </w:p>
        </w:tc>
        <w:tc>
          <w:tcPr>
            <w:tcW w:w="400" w:type="dxa"/>
            <w:vAlign w:val="bottom"/>
          </w:tcPr>
          <w:p>
            <w:pPr>
              <w:spacing w:after="0"/>
              <w:rPr>
                <w:sz w:val="20"/>
                <w:szCs w:val="20"/>
                <w:color w:val="auto"/>
              </w:rPr>
            </w:pPr>
          </w:p>
        </w:tc>
        <w:tc>
          <w:tcPr>
            <w:tcW w:w="6460" w:type="dxa"/>
            <w:vAlign w:val="bottom"/>
            <w:gridSpan w:val="9"/>
          </w:tcPr>
          <w:p>
            <w:pPr>
              <w:ind w:left="760"/>
              <w:spacing w:after="0"/>
              <w:rPr>
                <w:sz w:val="20"/>
                <w:szCs w:val="20"/>
                <w:color w:val="auto"/>
              </w:rPr>
            </w:pPr>
            <w:r>
              <w:rPr>
                <w:rFonts w:ascii="Arial" w:cs="Arial" w:eastAsia="Arial" w:hAnsi="Arial"/>
                <w:sz w:val="18"/>
                <w:szCs w:val="18"/>
                <w:color w:val="auto"/>
                <w:w w:val="96"/>
              </w:rPr>
              <w:t>Sixty (60) full calendar months following the Lease Commencement Date.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rPr>
              <w:t>3.2</w:t>
            </w:r>
          </w:p>
        </w:tc>
        <w:tc>
          <w:tcPr>
            <w:tcW w:w="3300" w:type="dxa"/>
            <w:vAlign w:val="bottom"/>
            <w:gridSpan w:val="4"/>
          </w:tcPr>
          <w:p>
            <w:pPr>
              <w:ind w:left="260"/>
              <w:spacing w:after="0"/>
              <w:rPr>
                <w:sz w:val="20"/>
                <w:szCs w:val="20"/>
                <w:color w:val="auto"/>
              </w:rPr>
            </w:pPr>
            <w:r>
              <w:rPr>
                <w:rFonts w:ascii="Arial" w:cs="Arial" w:eastAsia="Arial" w:hAnsi="Arial"/>
                <w:sz w:val="18"/>
                <w:szCs w:val="18"/>
                <w:color w:val="auto"/>
              </w:rPr>
              <w:t>Delivery Date:</w:t>
            </w:r>
          </w:p>
        </w:tc>
        <w:tc>
          <w:tcPr>
            <w:tcW w:w="400" w:type="dxa"/>
            <w:vAlign w:val="bottom"/>
          </w:tcPr>
          <w:p>
            <w:pPr>
              <w:spacing w:after="0"/>
              <w:rPr>
                <w:sz w:val="24"/>
                <w:szCs w:val="24"/>
                <w:color w:val="auto"/>
              </w:rPr>
            </w:pPr>
          </w:p>
        </w:tc>
        <w:tc>
          <w:tcPr>
            <w:tcW w:w="6460" w:type="dxa"/>
            <w:vAlign w:val="bottom"/>
            <w:gridSpan w:val="9"/>
          </w:tcPr>
          <w:p>
            <w:pPr>
              <w:ind w:left="760"/>
              <w:spacing w:after="0"/>
              <w:rPr>
                <w:sz w:val="20"/>
                <w:szCs w:val="20"/>
                <w:color w:val="auto"/>
              </w:rPr>
            </w:pPr>
            <w:r>
              <w:rPr>
                <w:rFonts w:ascii="Arial" w:cs="Arial" w:eastAsia="Arial" w:hAnsi="Arial"/>
                <w:sz w:val="18"/>
                <w:szCs w:val="18"/>
                <w:color w:val="auto"/>
                <w:w w:val="93"/>
              </w:rPr>
              <w:t>The business day immediately following the mutual execution and delivery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60" w:type="dxa"/>
            <w:vAlign w:val="bottom"/>
            <w:gridSpan w:val="9"/>
          </w:tcPr>
          <w:p>
            <w:pPr>
              <w:ind w:left="760"/>
              <w:spacing w:after="0"/>
              <w:rPr>
                <w:sz w:val="20"/>
                <w:szCs w:val="20"/>
                <w:color w:val="auto"/>
              </w:rPr>
            </w:pPr>
            <w:r>
              <w:rPr>
                <w:rFonts w:ascii="Arial" w:cs="Arial" w:eastAsia="Arial" w:hAnsi="Arial"/>
                <w:sz w:val="18"/>
                <w:szCs w:val="18"/>
                <w:color w:val="auto"/>
                <w:w w:val="94"/>
              </w:rPr>
              <w:t>this Lease. The period from the Delivery Date through the date immediately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60" w:type="dxa"/>
            <w:vAlign w:val="bottom"/>
            <w:gridSpan w:val="9"/>
          </w:tcPr>
          <w:p>
            <w:pPr>
              <w:ind w:left="760"/>
              <w:spacing w:after="0"/>
              <w:rPr>
                <w:sz w:val="20"/>
                <w:szCs w:val="20"/>
                <w:color w:val="auto"/>
              </w:rPr>
            </w:pPr>
            <w:r>
              <w:rPr>
                <w:rFonts w:ascii="Arial" w:cs="Arial" w:eastAsia="Arial" w:hAnsi="Arial"/>
                <w:sz w:val="18"/>
                <w:szCs w:val="18"/>
                <w:color w:val="auto"/>
                <w:w w:val="91"/>
              </w:rPr>
              <w:t>before the Lease Commencement Date is referred to herein as the “</w:t>
            </w:r>
            <w:r>
              <w:rPr>
                <w:rFonts w:ascii="Arial" w:cs="Arial" w:eastAsia="Arial" w:hAnsi="Arial"/>
                <w:sz w:val="18"/>
                <w:szCs w:val="18"/>
                <w:b w:val="1"/>
                <w:bCs w:val="1"/>
                <w:color w:val="auto"/>
                <w:w w:val="91"/>
              </w:rPr>
              <w:t>Suite 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20" w:type="dxa"/>
            <w:vAlign w:val="bottom"/>
            <w:gridSpan w:val="3"/>
          </w:tcPr>
          <w:p>
            <w:pPr>
              <w:ind w:left="760"/>
              <w:spacing w:after="0"/>
              <w:rPr>
                <w:sz w:val="20"/>
                <w:szCs w:val="20"/>
                <w:color w:val="auto"/>
              </w:rPr>
            </w:pPr>
            <w:r>
              <w:rPr>
                <w:rFonts w:ascii="Arial" w:cs="Arial" w:eastAsia="Arial" w:hAnsi="Arial"/>
                <w:sz w:val="18"/>
                <w:szCs w:val="18"/>
                <w:b w:val="1"/>
                <w:bCs w:val="1"/>
                <w:color w:val="auto"/>
              </w:rPr>
              <w:t>Build-Out Period</w:t>
            </w:r>
            <w:r>
              <w:rPr>
                <w:rFonts w:ascii="Arial" w:cs="Arial" w:eastAsia="Arial" w:hAnsi="Arial"/>
                <w:sz w:val="18"/>
                <w:szCs w:val="18"/>
                <w:color w:val="auto"/>
              </w:rPr>
              <w:t>”.</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rPr>
              <w:t>3.3</w:t>
            </w:r>
          </w:p>
        </w:tc>
        <w:tc>
          <w:tcPr>
            <w:tcW w:w="3300" w:type="dxa"/>
            <w:vAlign w:val="bottom"/>
            <w:gridSpan w:val="4"/>
          </w:tcPr>
          <w:p>
            <w:pPr>
              <w:ind w:left="220"/>
              <w:spacing w:after="0"/>
              <w:rPr>
                <w:sz w:val="20"/>
                <w:szCs w:val="20"/>
                <w:color w:val="auto"/>
              </w:rPr>
            </w:pPr>
            <w:r>
              <w:rPr>
                <w:rFonts w:ascii="Arial" w:cs="Arial" w:eastAsia="Arial" w:hAnsi="Arial"/>
                <w:sz w:val="18"/>
                <w:szCs w:val="18"/>
                <w:color w:val="auto"/>
              </w:rPr>
              <w:t>Lease Commencement</w:t>
            </w:r>
          </w:p>
        </w:tc>
        <w:tc>
          <w:tcPr>
            <w:tcW w:w="400" w:type="dxa"/>
            <w:vAlign w:val="bottom"/>
          </w:tcPr>
          <w:p>
            <w:pPr>
              <w:spacing w:after="0"/>
              <w:rPr>
                <w:sz w:val="24"/>
                <w:szCs w:val="24"/>
                <w:color w:val="auto"/>
              </w:rPr>
            </w:pPr>
          </w:p>
        </w:tc>
        <w:tc>
          <w:tcPr>
            <w:tcW w:w="6460" w:type="dxa"/>
            <w:vAlign w:val="bottom"/>
            <w:gridSpan w:val="9"/>
          </w:tcPr>
          <w:p>
            <w:pPr>
              <w:ind w:left="760"/>
              <w:spacing w:after="0"/>
              <w:rPr>
                <w:sz w:val="20"/>
                <w:szCs w:val="20"/>
                <w:color w:val="auto"/>
              </w:rPr>
            </w:pPr>
            <w:r>
              <w:rPr>
                <w:rFonts w:ascii="Arial" w:cs="Arial" w:eastAsia="Arial" w:hAnsi="Arial"/>
                <w:sz w:val="18"/>
                <w:szCs w:val="18"/>
                <w:color w:val="auto"/>
                <w:w w:val="98"/>
              </w:rPr>
              <w:t>The earlier to occur of (i) the date upon which Tenant first commences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gridSpan w:val="4"/>
          </w:tcPr>
          <w:p>
            <w:pPr>
              <w:ind w:left="220"/>
              <w:spacing w:after="0"/>
              <w:rPr>
                <w:sz w:val="20"/>
                <w:szCs w:val="20"/>
                <w:color w:val="auto"/>
              </w:rPr>
            </w:pPr>
            <w:r>
              <w:rPr>
                <w:rFonts w:ascii="Arial" w:cs="Arial" w:eastAsia="Arial" w:hAnsi="Arial"/>
                <w:sz w:val="18"/>
                <w:szCs w:val="18"/>
                <w:color w:val="auto"/>
              </w:rPr>
              <w:t>Date:</w:t>
            </w:r>
          </w:p>
        </w:tc>
        <w:tc>
          <w:tcPr>
            <w:tcW w:w="400" w:type="dxa"/>
            <w:vAlign w:val="bottom"/>
          </w:tcPr>
          <w:p>
            <w:pPr>
              <w:spacing w:after="0"/>
              <w:rPr>
                <w:sz w:val="18"/>
                <w:szCs w:val="18"/>
                <w:color w:val="auto"/>
              </w:rPr>
            </w:pPr>
          </w:p>
        </w:tc>
        <w:tc>
          <w:tcPr>
            <w:tcW w:w="6460" w:type="dxa"/>
            <w:vAlign w:val="bottom"/>
            <w:gridSpan w:val="9"/>
          </w:tcPr>
          <w:p>
            <w:pPr>
              <w:ind w:left="760"/>
              <w:spacing w:after="0"/>
              <w:rPr>
                <w:sz w:val="20"/>
                <w:szCs w:val="20"/>
                <w:color w:val="auto"/>
              </w:rPr>
            </w:pPr>
            <w:r>
              <w:rPr>
                <w:rFonts w:ascii="Arial" w:cs="Arial" w:eastAsia="Arial" w:hAnsi="Arial"/>
                <w:sz w:val="18"/>
                <w:szCs w:val="18"/>
                <w:color w:val="auto"/>
              </w:rPr>
              <w:t>conduct business in Suite 306, or (ii) the date which is sixty (60) days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180" w:type="dxa"/>
            <w:vAlign w:val="bottom"/>
            <w:gridSpan w:val="5"/>
          </w:tcPr>
          <w:p>
            <w:pPr>
              <w:ind w:left="760"/>
              <w:spacing w:after="0"/>
              <w:rPr>
                <w:sz w:val="20"/>
                <w:szCs w:val="20"/>
                <w:color w:val="auto"/>
              </w:rPr>
            </w:pPr>
            <w:r>
              <w:rPr>
                <w:rFonts w:ascii="Arial" w:cs="Arial" w:eastAsia="Arial" w:hAnsi="Arial"/>
                <w:sz w:val="18"/>
                <w:szCs w:val="18"/>
                <w:color w:val="auto"/>
              </w:rPr>
              <w:t>following the date of this Lease.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rPr>
              <w:t>3.4</w:t>
            </w:r>
          </w:p>
        </w:tc>
        <w:tc>
          <w:tcPr>
            <w:tcW w:w="3300" w:type="dxa"/>
            <w:vAlign w:val="bottom"/>
            <w:gridSpan w:val="4"/>
          </w:tcPr>
          <w:p>
            <w:pPr>
              <w:ind w:left="260"/>
              <w:spacing w:after="0"/>
              <w:rPr>
                <w:sz w:val="20"/>
                <w:szCs w:val="20"/>
                <w:color w:val="auto"/>
              </w:rPr>
            </w:pPr>
            <w:r>
              <w:rPr>
                <w:rFonts w:ascii="Arial" w:cs="Arial" w:eastAsia="Arial" w:hAnsi="Arial"/>
                <w:sz w:val="18"/>
                <w:szCs w:val="18"/>
                <w:color w:val="auto"/>
              </w:rPr>
              <w:t>Lease Expiration Date:</w:t>
            </w:r>
          </w:p>
        </w:tc>
        <w:tc>
          <w:tcPr>
            <w:tcW w:w="400" w:type="dxa"/>
            <w:vAlign w:val="bottom"/>
          </w:tcPr>
          <w:p>
            <w:pPr>
              <w:spacing w:after="0"/>
              <w:rPr>
                <w:sz w:val="24"/>
                <w:szCs w:val="24"/>
                <w:color w:val="auto"/>
              </w:rPr>
            </w:pPr>
          </w:p>
        </w:tc>
        <w:tc>
          <w:tcPr>
            <w:tcW w:w="6460" w:type="dxa"/>
            <w:vAlign w:val="bottom"/>
            <w:gridSpan w:val="9"/>
          </w:tcPr>
          <w:p>
            <w:pPr>
              <w:ind w:left="760"/>
              <w:spacing w:after="0"/>
              <w:rPr>
                <w:sz w:val="20"/>
                <w:szCs w:val="20"/>
                <w:color w:val="auto"/>
              </w:rPr>
            </w:pPr>
            <w:r>
              <w:rPr>
                <w:rFonts w:ascii="Arial" w:cs="Arial" w:eastAsia="Arial" w:hAnsi="Arial"/>
                <w:sz w:val="18"/>
                <w:szCs w:val="18"/>
                <w:color w:val="auto"/>
                <w:w w:val="92"/>
              </w:rPr>
              <w:t>The later to occur of (i) the expiration of the sixtieth (60</w:t>
            </w:r>
            <w:r>
              <w:rPr>
                <w:rFonts w:ascii="Arial" w:cs="Arial" w:eastAsia="Arial" w:hAnsi="Arial"/>
                <w:sz w:val="23"/>
                <w:szCs w:val="23"/>
                <w:color w:val="auto"/>
                <w:w w:val="92"/>
                <w:vertAlign w:val="superscript"/>
              </w:rPr>
              <w:t>th</w:t>
            </w:r>
            <w:r>
              <w:rPr>
                <w:rFonts w:ascii="Arial" w:cs="Arial" w:eastAsia="Arial" w:hAnsi="Arial"/>
                <w:sz w:val="18"/>
                <w:szCs w:val="18"/>
                <w:color w:val="auto"/>
                <w:w w:val="92"/>
              </w:rPr>
              <w:t>) full calendar month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60" w:type="dxa"/>
            <w:vAlign w:val="bottom"/>
            <w:gridSpan w:val="9"/>
          </w:tcPr>
          <w:p>
            <w:pPr>
              <w:ind w:left="760"/>
              <w:spacing w:after="0"/>
              <w:rPr>
                <w:sz w:val="20"/>
                <w:szCs w:val="20"/>
                <w:color w:val="auto"/>
              </w:rPr>
            </w:pPr>
            <w:r>
              <w:rPr>
                <w:rFonts w:ascii="Arial" w:cs="Arial" w:eastAsia="Arial" w:hAnsi="Arial"/>
                <w:sz w:val="18"/>
                <w:szCs w:val="18"/>
                <w:color w:val="auto"/>
              </w:rPr>
              <w:t>following the Lease Commencement Date, or (ii) April 30, 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4040" w:type="dxa"/>
            <w:vAlign w:val="bottom"/>
            <w:gridSpan w:val="5"/>
          </w:tcPr>
          <w:p>
            <w:pPr>
              <w:ind w:left="320"/>
              <w:spacing w:after="0"/>
              <w:rPr>
                <w:sz w:val="20"/>
                <w:szCs w:val="20"/>
                <w:color w:val="auto"/>
              </w:rPr>
            </w:pPr>
            <w:r>
              <w:rPr>
                <w:rFonts w:ascii="Arial" w:cs="Arial" w:eastAsia="Arial" w:hAnsi="Arial"/>
                <w:sz w:val="18"/>
                <w:szCs w:val="18"/>
                <w:color w:val="auto"/>
              </w:rPr>
              <w:t>Base Rent (Article 3):</w:t>
            </w: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Approximate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6"/>
              </w:rPr>
              <w:t>Monthly</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Monthly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 During</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Annual</w:t>
            </w:r>
          </w:p>
        </w:tc>
        <w:tc>
          <w:tcPr>
            <w:tcW w:w="4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Rental Rate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Installment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per Rentable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Lease Term</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b w:val="1"/>
                <w:bCs w:val="1"/>
                <w:color w:val="auto"/>
              </w:rPr>
              <w:t>Base Rent</w:t>
            </w:r>
          </w:p>
        </w:tc>
        <w:tc>
          <w:tcPr>
            <w:tcW w:w="420" w:type="dxa"/>
            <w:vAlign w:val="bottom"/>
          </w:tcPr>
          <w:p>
            <w:pPr>
              <w:spacing w:after="0"/>
              <w:rPr>
                <w:sz w:val="14"/>
                <w:szCs w:val="14"/>
                <w:color w:val="auto"/>
              </w:rPr>
            </w:pPr>
          </w:p>
        </w:tc>
        <w:tc>
          <w:tcPr>
            <w:tcW w:w="1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of Base Rent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Square Foot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60" w:type="dxa"/>
            <w:vAlign w:val="bottom"/>
            <w:tcBorders>
              <w:top w:val="single" w:sz="8" w:color="auto"/>
            </w:tcBorders>
            <w:gridSpan w:val="3"/>
            <w:shd w:val="clear" w:color="auto" w:fill="CCEEFF"/>
          </w:tcPr>
          <w:p>
            <w:pPr>
              <w:jc w:val="center"/>
              <w:ind w:right="1080"/>
              <w:spacing w:after="0"/>
              <w:rPr>
                <w:sz w:val="20"/>
                <w:szCs w:val="20"/>
                <w:color w:val="auto"/>
              </w:rPr>
            </w:pPr>
            <w:r>
              <w:rPr>
                <w:rFonts w:ascii="Arial" w:cs="Arial" w:eastAsia="Arial" w:hAnsi="Arial"/>
                <w:sz w:val="18"/>
                <w:szCs w:val="18"/>
                <w:color w:val="auto"/>
                <w:w w:val="91"/>
              </w:rPr>
              <w:t>Lease Month 1– 12*</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6"/>
              </w:rPr>
              <w:t>758,152.80</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63,179.40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gridSpan w:val="4"/>
          </w:tcPr>
          <w:p>
            <w:pPr>
              <w:jc w:val="center"/>
              <w:ind w:right="1400"/>
              <w:spacing w:after="0"/>
              <w:rPr>
                <w:sz w:val="20"/>
                <w:szCs w:val="20"/>
                <w:color w:val="auto"/>
              </w:rPr>
            </w:pPr>
            <w:r>
              <w:rPr>
                <w:rFonts w:ascii="Arial" w:cs="Arial" w:eastAsia="Arial" w:hAnsi="Arial"/>
                <w:sz w:val="18"/>
                <w:szCs w:val="18"/>
                <w:color w:val="auto"/>
                <w:w w:val="91"/>
              </w:rPr>
              <w:t>Lease Month 13 – 24</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ind w:left="860"/>
              <w:spacing w:after="0"/>
              <w:rPr>
                <w:sz w:val="20"/>
                <w:szCs w:val="20"/>
                <w:color w:val="auto"/>
              </w:rPr>
            </w:pPr>
            <w:r>
              <w:rPr>
                <w:rFonts w:ascii="Arial" w:cs="Arial" w:eastAsia="Arial" w:hAnsi="Arial"/>
                <w:sz w:val="18"/>
                <w:szCs w:val="18"/>
                <w:color w:val="auto"/>
              </w:rPr>
              <w:t>780,897.36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65,074.78</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jc w:val="center"/>
              <w:ind w:right="1400"/>
              <w:spacing w:after="0"/>
              <w:rPr>
                <w:sz w:val="20"/>
                <w:szCs w:val="20"/>
                <w:color w:val="auto"/>
              </w:rPr>
            </w:pPr>
            <w:r>
              <w:rPr>
                <w:rFonts w:ascii="Arial" w:cs="Arial" w:eastAsia="Arial" w:hAnsi="Arial"/>
                <w:sz w:val="18"/>
                <w:szCs w:val="18"/>
                <w:color w:val="auto"/>
                <w:w w:val="91"/>
              </w:rPr>
              <w:t>Lease Month 25 – 36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804,324.24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67,027.02</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gridSpan w:val="4"/>
          </w:tcPr>
          <w:p>
            <w:pPr>
              <w:jc w:val="center"/>
              <w:ind w:right="1400"/>
              <w:spacing w:after="0"/>
              <w:rPr>
                <w:sz w:val="20"/>
                <w:szCs w:val="20"/>
                <w:color w:val="auto"/>
              </w:rPr>
            </w:pPr>
            <w:r>
              <w:rPr>
                <w:rFonts w:ascii="Arial" w:cs="Arial" w:eastAsia="Arial" w:hAnsi="Arial"/>
                <w:sz w:val="18"/>
                <w:szCs w:val="18"/>
                <w:color w:val="auto"/>
                <w:w w:val="91"/>
              </w:rPr>
              <w:t>Lease Month 37 – 48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ind w:left="860"/>
              <w:spacing w:after="0"/>
              <w:rPr>
                <w:sz w:val="20"/>
                <w:szCs w:val="20"/>
                <w:color w:val="auto"/>
              </w:rPr>
            </w:pPr>
            <w:r>
              <w:rPr>
                <w:rFonts w:ascii="Arial" w:cs="Arial" w:eastAsia="Arial" w:hAnsi="Arial"/>
                <w:sz w:val="18"/>
                <w:szCs w:val="18"/>
                <w:color w:val="auto"/>
              </w:rPr>
              <w:t>828,453.96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69,037.83</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040" w:type="dxa"/>
            <w:vAlign w:val="bottom"/>
            <w:gridSpan w:val="5"/>
            <w:shd w:val="clear" w:color="auto" w:fill="CCEEFF"/>
          </w:tcPr>
          <w:p>
            <w:pPr>
              <w:jc w:val="center"/>
              <w:ind w:right="680"/>
              <w:spacing w:after="0"/>
              <w:rPr>
                <w:sz w:val="20"/>
                <w:szCs w:val="20"/>
                <w:color w:val="auto"/>
              </w:rPr>
            </w:pPr>
            <w:r>
              <w:rPr>
                <w:rFonts w:ascii="Arial" w:cs="Arial" w:eastAsia="Arial" w:hAnsi="Arial"/>
                <w:sz w:val="18"/>
                <w:szCs w:val="18"/>
                <w:color w:val="auto"/>
                <w:w w:val="90"/>
              </w:rPr>
              <w:t>Lease Month 49 – Lease Expiration Date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853,307.52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71,108.96</w:t>
            </w:r>
          </w:p>
        </w:tc>
        <w:tc>
          <w:tcPr>
            <w:tcW w:w="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3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536" w:name="page537"/>
    <w:bookmarkEnd w:id="5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80022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800225" cy="8255"/>
                    </a:xfrm>
                    <a:prstGeom prst="rect">
                      <a:avLst/>
                    </a:prstGeom>
                    <a:noFill/>
                  </pic:spPr>
                </pic:pic>
              </a:graphicData>
            </a:graphic>
          </wp:anchor>
        </w:drawing>
        <w:t xml:space="preserve">*Subject to abatement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below.</w:t>
      </w:r>
    </w:p>
    <w:p>
      <w:pPr>
        <w:spacing w:after="0" w:line="221" w:lineRule="exact"/>
        <w:rPr>
          <w:sz w:val="20"/>
          <w:szCs w:val="20"/>
          <w:color w:val="auto"/>
        </w:rPr>
      </w:pPr>
    </w:p>
    <w:p>
      <w:pPr>
        <w:ind w:right="80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Lease Month 1</w:t>
      </w:r>
      <w:r>
        <w:rPr>
          <w:rFonts w:ascii="Arial" w:cs="Arial" w:eastAsia="Arial" w:hAnsi="Arial"/>
          <w:sz w:val="17"/>
          <w:szCs w:val="17"/>
          <w:color w:val="auto"/>
        </w:rPr>
        <w:t>” shall commence on the Lease Commencement Date and end on the last day of the first full calendar month thereafter, and each subsequent Lease Month shall be the calendar month commencing on the day after the expiration of the prior Lease Month.</w:t>
      </w:r>
    </w:p>
    <w:p>
      <w:pPr>
        <w:spacing w:after="0" w:line="144" w:lineRule="exact"/>
        <w:rPr>
          <w:sz w:val="20"/>
          <w:szCs w:val="20"/>
          <w:color w:val="auto"/>
        </w:rPr>
      </w:pPr>
    </w:p>
    <w:p>
      <w:pPr>
        <w:ind w:left="660" w:hanging="652"/>
        <w:spacing w:after="0"/>
        <w:tabs>
          <w:tab w:leader="none" w:pos="6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Tenant’s Share</w:t>
      </w:r>
    </w:p>
    <w:tbl>
      <w:tblPr>
        <w:tblLayout w:type="fixed"/>
        <w:tblInd w:w="0" w:type="dxa"/>
        <w:tblCellMar>
          <w:top w:w="0" w:type="dxa"/>
          <w:left w:w="0" w:type="dxa"/>
          <w:bottom w:w="0" w:type="dxa"/>
          <w:right w:w="0" w:type="dxa"/>
        </w:tblCellMar>
      </w:tblPr>
      <w:tr>
        <w:trPr>
          <w:trHeight w:val="199"/>
        </w:trPr>
        <w:tc>
          <w:tcPr>
            <w:tcW w:w="440" w:type="dxa"/>
            <w:vAlign w:val="bottom"/>
          </w:tcPr>
          <w:p>
            <w:pPr>
              <w:spacing w:after="0"/>
              <w:rPr>
                <w:sz w:val="17"/>
                <w:szCs w:val="17"/>
                <w:color w:val="auto"/>
              </w:rPr>
            </w:pPr>
          </w:p>
        </w:tc>
        <w:tc>
          <w:tcPr>
            <w:tcW w:w="3320" w:type="dxa"/>
            <w:vAlign w:val="bottom"/>
            <w:gridSpan w:val="6"/>
          </w:tcPr>
          <w:p>
            <w:pPr>
              <w:ind w:left="220"/>
              <w:spacing w:after="0" w:line="199" w:lineRule="exact"/>
              <w:rPr>
                <w:sz w:val="20"/>
                <w:szCs w:val="20"/>
                <w:color w:val="auto"/>
              </w:rPr>
            </w:pPr>
            <w:r>
              <w:rPr>
                <w:rFonts w:ascii="Arial" w:cs="Arial" w:eastAsia="Arial" w:hAnsi="Arial"/>
                <w:sz w:val="18"/>
                <w:szCs w:val="18"/>
                <w:color w:val="auto"/>
              </w:rPr>
              <w:t>(Article 4):</w:t>
            </w:r>
          </w:p>
        </w:tc>
        <w:tc>
          <w:tcPr>
            <w:tcW w:w="7240" w:type="dxa"/>
            <w:vAlign w:val="bottom"/>
            <w:gridSpan w:val="3"/>
          </w:tcPr>
          <w:p>
            <w:pPr>
              <w:ind w:left="1760"/>
              <w:spacing w:after="0" w:line="199" w:lineRule="exact"/>
              <w:rPr>
                <w:sz w:val="20"/>
                <w:szCs w:val="20"/>
                <w:color w:val="auto"/>
              </w:rPr>
            </w:pPr>
            <w:r>
              <w:rPr>
                <w:rFonts w:ascii="Arial" w:cs="Arial" w:eastAsia="Arial" w:hAnsi="Arial"/>
                <w:sz w:val="18"/>
                <w:szCs w:val="18"/>
                <w:color w:val="auto"/>
              </w:rPr>
              <w:t>Approximately 8.1280%.</w:t>
            </w:r>
          </w:p>
        </w:tc>
      </w:tr>
      <w:tr>
        <w:trPr>
          <w:trHeight w:val="20"/>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8"/>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3320" w:type="dxa"/>
            <w:vAlign w:val="bottom"/>
            <w:gridSpan w:val="6"/>
          </w:tcPr>
          <w:p>
            <w:pPr>
              <w:ind w:left="220"/>
              <w:spacing w:after="0"/>
              <w:rPr>
                <w:sz w:val="20"/>
                <w:szCs w:val="20"/>
                <w:color w:val="auto"/>
              </w:rPr>
            </w:pPr>
            <w:r>
              <w:rPr>
                <w:rFonts w:ascii="Arial" w:cs="Arial" w:eastAsia="Arial" w:hAnsi="Arial"/>
                <w:sz w:val="18"/>
                <w:szCs w:val="18"/>
                <w:color w:val="auto"/>
              </w:rPr>
              <w:t>Permitted Use</w:t>
            </w:r>
          </w:p>
        </w:tc>
        <w:tc>
          <w:tcPr>
            <w:tcW w:w="7240" w:type="dxa"/>
            <w:vAlign w:val="bottom"/>
            <w:gridSpan w:val="3"/>
          </w:tcPr>
          <w:p>
            <w:pPr>
              <w:ind w:left="1760"/>
              <w:spacing w:after="0"/>
              <w:rPr>
                <w:sz w:val="20"/>
                <w:szCs w:val="20"/>
                <w:color w:val="auto"/>
              </w:rPr>
            </w:pPr>
            <w:r>
              <w:rPr>
                <w:rFonts w:ascii="Arial" w:cs="Arial" w:eastAsia="Arial" w:hAnsi="Arial"/>
                <w:sz w:val="18"/>
                <w:szCs w:val="18"/>
                <w:color w:val="auto"/>
                <w:w w:val="93"/>
              </w:rPr>
              <w:t>General office and administrative support use consistent with a first-class</w:t>
            </w:r>
          </w:p>
        </w:tc>
      </w:tr>
      <w:tr>
        <w:trPr>
          <w:trHeight w:val="190"/>
        </w:trPr>
        <w:tc>
          <w:tcPr>
            <w:tcW w:w="440" w:type="dxa"/>
            <w:vAlign w:val="bottom"/>
          </w:tcPr>
          <w:p>
            <w:pPr>
              <w:spacing w:after="0"/>
              <w:rPr>
                <w:sz w:val="16"/>
                <w:szCs w:val="16"/>
                <w:color w:val="auto"/>
              </w:rPr>
            </w:pPr>
          </w:p>
        </w:tc>
        <w:tc>
          <w:tcPr>
            <w:tcW w:w="3320" w:type="dxa"/>
            <w:vAlign w:val="bottom"/>
            <w:gridSpan w:val="6"/>
          </w:tcPr>
          <w:p>
            <w:pPr>
              <w:ind w:left="220"/>
              <w:spacing w:after="0" w:line="190" w:lineRule="exact"/>
              <w:rPr>
                <w:sz w:val="20"/>
                <w:szCs w:val="20"/>
                <w:color w:val="auto"/>
              </w:rPr>
            </w:pPr>
            <w:r>
              <w:rPr>
                <w:rFonts w:ascii="Arial" w:cs="Arial" w:eastAsia="Arial" w:hAnsi="Arial"/>
                <w:sz w:val="18"/>
                <w:szCs w:val="18"/>
                <w:color w:val="auto"/>
              </w:rPr>
              <w:t>(Article 5):</w:t>
            </w:r>
          </w:p>
        </w:tc>
        <w:tc>
          <w:tcPr>
            <w:tcW w:w="7240" w:type="dxa"/>
            <w:vAlign w:val="bottom"/>
            <w:gridSpan w:val="3"/>
          </w:tcPr>
          <w:p>
            <w:pPr>
              <w:ind w:left="1760"/>
              <w:spacing w:after="0" w:line="190" w:lineRule="exact"/>
              <w:rPr>
                <w:sz w:val="20"/>
                <w:szCs w:val="20"/>
                <w:color w:val="auto"/>
              </w:rPr>
            </w:pPr>
            <w:r>
              <w:rPr>
                <w:rFonts w:ascii="Arial" w:cs="Arial" w:eastAsia="Arial" w:hAnsi="Arial"/>
                <w:sz w:val="18"/>
                <w:szCs w:val="18"/>
                <w:color w:val="auto"/>
                <w:w w:val="93"/>
              </w:rPr>
              <w:t>office building in conformity with the municipal requirements of the City of</w:t>
            </w:r>
          </w:p>
        </w:tc>
      </w:tr>
      <w:tr>
        <w:trPr>
          <w:trHeight w:val="237"/>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240" w:type="dxa"/>
            <w:vAlign w:val="bottom"/>
            <w:gridSpan w:val="3"/>
          </w:tcPr>
          <w:p>
            <w:pPr>
              <w:ind w:left="1760"/>
              <w:spacing w:after="0"/>
              <w:rPr>
                <w:sz w:val="20"/>
                <w:szCs w:val="20"/>
                <w:color w:val="auto"/>
              </w:rPr>
            </w:pPr>
            <w:r>
              <w:rPr>
                <w:rFonts w:ascii="Arial" w:cs="Arial" w:eastAsia="Arial" w:hAnsi="Arial"/>
                <w:sz w:val="18"/>
                <w:szCs w:val="18"/>
                <w:color w:val="auto"/>
              </w:rPr>
              <w:t>Sunnyvale.</w:t>
            </w:r>
          </w:p>
        </w:tc>
      </w:tr>
      <w:tr>
        <w:trPr>
          <w:trHeight w:val="391"/>
        </w:trPr>
        <w:tc>
          <w:tcPr>
            <w:tcW w:w="440" w:type="dxa"/>
            <w:vAlign w:val="bottom"/>
          </w:tcPr>
          <w:p>
            <w:pPr>
              <w:spacing w:after="0"/>
              <w:rPr>
                <w:sz w:val="20"/>
                <w:szCs w:val="20"/>
                <w:color w:val="auto"/>
              </w:rPr>
            </w:pPr>
            <w:r>
              <w:rPr>
                <w:rFonts w:ascii="Arial" w:cs="Arial" w:eastAsia="Arial" w:hAnsi="Arial"/>
                <w:sz w:val="18"/>
                <w:szCs w:val="18"/>
                <w:color w:val="auto"/>
              </w:rPr>
              <w:t>8.</w:t>
            </w:r>
          </w:p>
        </w:tc>
        <w:tc>
          <w:tcPr>
            <w:tcW w:w="3320" w:type="dxa"/>
            <w:vAlign w:val="bottom"/>
            <w:gridSpan w:val="6"/>
          </w:tcPr>
          <w:p>
            <w:pPr>
              <w:ind w:left="220"/>
              <w:spacing w:after="0"/>
              <w:rPr>
                <w:sz w:val="20"/>
                <w:szCs w:val="20"/>
                <w:color w:val="auto"/>
              </w:rPr>
            </w:pPr>
            <w:r>
              <w:rPr>
                <w:rFonts w:ascii="Arial" w:cs="Arial" w:eastAsia="Arial" w:hAnsi="Arial"/>
                <w:sz w:val="18"/>
                <w:szCs w:val="18"/>
                <w:color w:val="auto"/>
              </w:rPr>
              <w:t>Letter of Credit</w:t>
            </w:r>
          </w:p>
        </w:tc>
        <w:tc>
          <w:tcPr>
            <w:tcW w:w="7240" w:type="dxa"/>
            <w:vAlign w:val="bottom"/>
            <w:gridSpan w:val="3"/>
          </w:tcPr>
          <w:p>
            <w:pPr>
              <w:ind w:left="1760"/>
              <w:spacing w:after="0"/>
              <w:rPr>
                <w:sz w:val="20"/>
                <w:szCs w:val="20"/>
                <w:color w:val="auto"/>
              </w:rPr>
            </w:pPr>
            <w:r>
              <w:rPr>
                <w:rFonts w:ascii="Arial" w:cs="Arial" w:eastAsia="Arial" w:hAnsi="Arial"/>
                <w:sz w:val="18"/>
                <w:szCs w:val="18"/>
                <w:color w:val="auto"/>
                <w:w w:val="97"/>
              </w:rPr>
              <w:t>$401,954.70, subject to reduction to pursuant to Section 21.3.1 below.</w:t>
            </w:r>
          </w:p>
        </w:tc>
      </w:tr>
      <w:tr>
        <w:trPr>
          <w:trHeight w:val="196"/>
        </w:trPr>
        <w:tc>
          <w:tcPr>
            <w:tcW w:w="440" w:type="dxa"/>
            <w:vAlign w:val="bottom"/>
          </w:tcPr>
          <w:p>
            <w:pPr>
              <w:spacing w:after="0"/>
              <w:rPr>
                <w:sz w:val="17"/>
                <w:szCs w:val="17"/>
                <w:color w:val="auto"/>
              </w:rPr>
            </w:pPr>
          </w:p>
        </w:tc>
        <w:tc>
          <w:tcPr>
            <w:tcW w:w="3320" w:type="dxa"/>
            <w:vAlign w:val="bottom"/>
            <w:gridSpan w:val="6"/>
          </w:tcPr>
          <w:p>
            <w:pPr>
              <w:ind w:left="220"/>
              <w:spacing w:after="0" w:line="196" w:lineRule="exact"/>
              <w:rPr>
                <w:sz w:val="20"/>
                <w:szCs w:val="20"/>
                <w:color w:val="auto"/>
              </w:rPr>
            </w:pPr>
            <w:r>
              <w:rPr>
                <w:rFonts w:ascii="Arial" w:cs="Arial" w:eastAsia="Arial" w:hAnsi="Arial"/>
                <w:sz w:val="18"/>
                <w:szCs w:val="18"/>
                <w:color w:val="auto"/>
              </w:rPr>
              <w:t>(Article 21):</w:t>
            </w:r>
          </w:p>
        </w:tc>
        <w:tc>
          <w:tcPr>
            <w:tcW w:w="52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8"/>
        </w:trPr>
        <w:tc>
          <w:tcPr>
            <w:tcW w:w="440" w:type="dxa"/>
            <w:vAlign w:val="bottom"/>
          </w:tcPr>
          <w:p>
            <w:pPr>
              <w:spacing w:after="0"/>
              <w:rPr>
                <w:sz w:val="20"/>
                <w:szCs w:val="20"/>
                <w:color w:val="auto"/>
              </w:rPr>
            </w:pPr>
            <w:r>
              <w:rPr>
                <w:rFonts w:ascii="Arial" w:cs="Arial" w:eastAsia="Arial" w:hAnsi="Arial"/>
                <w:sz w:val="18"/>
                <w:szCs w:val="18"/>
                <w:color w:val="auto"/>
              </w:rPr>
              <w:t>9.</w:t>
            </w:r>
          </w:p>
        </w:tc>
        <w:tc>
          <w:tcPr>
            <w:tcW w:w="3320" w:type="dxa"/>
            <w:vAlign w:val="bottom"/>
            <w:gridSpan w:val="6"/>
          </w:tcPr>
          <w:p>
            <w:pPr>
              <w:ind w:left="220"/>
              <w:spacing w:after="0"/>
              <w:rPr>
                <w:sz w:val="20"/>
                <w:szCs w:val="20"/>
                <w:color w:val="auto"/>
              </w:rPr>
            </w:pPr>
            <w:r>
              <w:rPr>
                <w:rFonts w:ascii="Arial" w:cs="Arial" w:eastAsia="Arial" w:hAnsi="Arial"/>
                <w:sz w:val="18"/>
                <w:szCs w:val="18"/>
                <w:color w:val="auto"/>
              </w:rPr>
              <w:t>Parking Pass Ratio</w:t>
            </w:r>
          </w:p>
        </w:tc>
        <w:tc>
          <w:tcPr>
            <w:tcW w:w="7240" w:type="dxa"/>
            <w:vAlign w:val="bottom"/>
            <w:gridSpan w:val="3"/>
          </w:tcPr>
          <w:p>
            <w:pPr>
              <w:ind w:left="1760"/>
              <w:spacing w:after="0"/>
              <w:rPr>
                <w:sz w:val="20"/>
                <w:szCs w:val="20"/>
                <w:color w:val="auto"/>
              </w:rPr>
            </w:pPr>
            <w:r>
              <w:rPr>
                <w:rFonts w:ascii="Arial" w:cs="Arial" w:eastAsia="Arial" w:hAnsi="Arial"/>
                <w:sz w:val="18"/>
                <w:szCs w:val="18"/>
                <w:color w:val="auto"/>
                <w:w w:val="91"/>
              </w:rPr>
              <w:t>2.86 unreserved parking passes for every 1,000 rentable square feet of the</w:t>
            </w:r>
          </w:p>
        </w:tc>
      </w:tr>
      <w:tr>
        <w:trPr>
          <w:trHeight w:val="190"/>
        </w:trPr>
        <w:tc>
          <w:tcPr>
            <w:tcW w:w="440" w:type="dxa"/>
            <w:vAlign w:val="bottom"/>
          </w:tcPr>
          <w:p>
            <w:pPr>
              <w:spacing w:after="0"/>
              <w:rPr>
                <w:sz w:val="16"/>
                <w:szCs w:val="16"/>
                <w:color w:val="auto"/>
              </w:rPr>
            </w:pPr>
          </w:p>
        </w:tc>
        <w:tc>
          <w:tcPr>
            <w:tcW w:w="3320" w:type="dxa"/>
            <w:vAlign w:val="bottom"/>
            <w:gridSpan w:val="6"/>
          </w:tcPr>
          <w:p>
            <w:pPr>
              <w:ind w:left="220"/>
              <w:spacing w:after="0" w:line="190" w:lineRule="exact"/>
              <w:rPr>
                <w:sz w:val="20"/>
                <w:szCs w:val="20"/>
                <w:color w:val="auto"/>
              </w:rPr>
            </w:pPr>
            <w:r>
              <w:rPr>
                <w:rFonts w:ascii="Arial" w:cs="Arial" w:eastAsia="Arial" w:hAnsi="Arial"/>
                <w:sz w:val="18"/>
                <w:szCs w:val="18"/>
                <w:color w:val="auto"/>
              </w:rPr>
              <w:t>(Article 28):</w:t>
            </w:r>
          </w:p>
        </w:tc>
        <w:tc>
          <w:tcPr>
            <w:tcW w:w="7240" w:type="dxa"/>
            <w:vAlign w:val="bottom"/>
            <w:gridSpan w:val="3"/>
          </w:tcPr>
          <w:p>
            <w:pPr>
              <w:ind w:left="1760"/>
              <w:spacing w:after="0" w:line="190" w:lineRule="exact"/>
              <w:rPr>
                <w:sz w:val="20"/>
                <w:szCs w:val="20"/>
                <w:color w:val="auto"/>
              </w:rPr>
            </w:pPr>
            <w:r>
              <w:rPr>
                <w:rFonts w:ascii="Arial" w:cs="Arial" w:eastAsia="Arial" w:hAnsi="Arial"/>
                <w:sz w:val="18"/>
                <w:szCs w:val="18"/>
                <w:color w:val="auto"/>
              </w:rPr>
              <w:t>Premises, subject to the terms of Article 28 of the Lease.</w:t>
            </w:r>
          </w:p>
        </w:tc>
      </w:tr>
      <w:tr>
        <w:trPr>
          <w:trHeight w:val="20"/>
        </w:trPr>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r>
      <w:tr>
        <w:trPr>
          <w:trHeight w:val="438"/>
        </w:trPr>
        <w:tc>
          <w:tcPr>
            <w:tcW w:w="440" w:type="dxa"/>
            <w:vAlign w:val="bottom"/>
          </w:tcPr>
          <w:p>
            <w:pPr>
              <w:spacing w:after="0"/>
              <w:rPr>
                <w:sz w:val="20"/>
                <w:szCs w:val="20"/>
                <w:color w:val="auto"/>
              </w:rPr>
            </w:pPr>
            <w:r>
              <w:rPr>
                <w:rFonts w:ascii="Arial" w:cs="Arial" w:eastAsia="Arial" w:hAnsi="Arial"/>
                <w:sz w:val="18"/>
                <w:szCs w:val="18"/>
                <w:color w:val="auto"/>
              </w:rPr>
              <w:t>10.</w:t>
            </w:r>
          </w:p>
        </w:tc>
        <w:tc>
          <w:tcPr>
            <w:tcW w:w="3320" w:type="dxa"/>
            <w:vAlign w:val="bottom"/>
            <w:gridSpan w:val="6"/>
          </w:tcPr>
          <w:p>
            <w:pPr>
              <w:ind w:left="220"/>
              <w:spacing w:after="0"/>
              <w:rPr>
                <w:sz w:val="20"/>
                <w:szCs w:val="20"/>
                <w:color w:val="auto"/>
              </w:rPr>
            </w:pPr>
            <w:r>
              <w:rPr>
                <w:rFonts w:ascii="Arial" w:cs="Arial" w:eastAsia="Arial" w:hAnsi="Arial"/>
                <w:sz w:val="18"/>
                <w:szCs w:val="18"/>
                <w:color w:val="auto"/>
              </w:rPr>
              <w:t>Address of Tenant</w:t>
            </w:r>
          </w:p>
        </w:tc>
        <w:tc>
          <w:tcPr>
            <w:tcW w:w="7240" w:type="dxa"/>
            <w:vAlign w:val="bottom"/>
            <w:gridSpan w:val="3"/>
          </w:tcPr>
          <w:p>
            <w:pPr>
              <w:ind w:left="1760"/>
              <w:spacing w:after="0"/>
              <w:rPr>
                <w:sz w:val="20"/>
                <w:szCs w:val="20"/>
                <w:color w:val="auto"/>
              </w:rPr>
            </w:pPr>
            <w:r>
              <w:rPr>
                <w:rFonts w:ascii="Arial" w:cs="Arial" w:eastAsia="Arial" w:hAnsi="Arial"/>
                <w:sz w:val="18"/>
                <w:szCs w:val="18"/>
                <w:color w:val="auto"/>
              </w:rPr>
              <w:t>Crowdstrike, Inc.</w:t>
            </w:r>
          </w:p>
        </w:tc>
      </w:tr>
      <w:tr>
        <w:trPr>
          <w:trHeight w:val="190"/>
        </w:trPr>
        <w:tc>
          <w:tcPr>
            <w:tcW w:w="440" w:type="dxa"/>
            <w:vAlign w:val="bottom"/>
          </w:tcPr>
          <w:p>
            <w:pPr>
              <w:spacing w:after="0"/>
              <w:rPr>
                <w:sz w:val="16"/>
                <w:szCs w:val="16"/>
                <w:color w:val="auto"/>
              </w:rPr>
            </w:pPr>
          </w:p>
        </w:tc>
        <w:tc>
          <w:tcPr>
            <w:tcW w:w="3320" w:type="dxa"/>
            <w:vAlign w:val="bottom"/>
            <w:gridSpan w:val="6"/>
          </w:tcPr>
          <w:p>
            <w:pPr>
              <w:ind w:left="220"/>
              <w:spacing w:after="0" w:line="190" w:lineRule="exact"/>
              <w:rPr>
                <w:sz w:val="20"/>
                <w:szCs w:val="20"/>
                <w:color w:val="auto"/>
              </w:rPr>
            </w:pPr>
            <w:r>
              <w:rPr>
                <w:rFonts w:ascii="Arial" w:cs="Arial" w:eastAsia="Arial" w:hAnsi="Arial"/>
                <w:sz w:val="18"/>
                <w:szCs w:val="18"/>
                <w:color w:val="auto"/>
              </w:rPr>
              <w:t>(Section 29.18):</w:t>
            </w:r>
          </w:p>
        </w:tc>
        <w:tc>
          <w:tcPr>
            <w:tcW w:w="7240" w:type="dxa"/>
            <w:vAlign w:val="bottom"/>
            <w:gridSpan w:val="3"/>
          </w:tcPr>
          <w:p>
            <w:pPr>
              <w:ind w:left="1760"/>
              <w:spacing w:after="0" w:line="190" w:lineRule="exact"/>
              <w:rPr>
                <w:sz w:val="20"/>
                <w:szCs w:val="20"/>
                <w:color w:val="auto"/>
              </w:rPr>
            </w:pPr>
            <w:r>
              <w:rPr>
                <w:rFonts w:ascii="Arial" w:cs="Arial" w:eastAsia="Arial" w:hAnsi="Arial"/>
                <w:sz w:val="18"/>
                <w:szCs w:val="18"/>
                <w:color w:val="auto"/>
              </w:rPr>
              <w:t>150 Mathilda Place, Suite 300</w:t>
            </w:r>
          </w:p>
        </w:tc>
      </w:tr>
      <w:tr>
        <w:trPr>
          <w:trHeight w:val="222"/>
        </w:trPr>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60" w:type="dxa"/>
            <w:vAlign w:val="bottom"/>
          </w:tcPr>
          <w:p>
            <w:pPr>
              <w:spacing w:after="0"/>
              <w:rPr>
                <w:sz w:val="19"/>
                <w:szCs w:val="19"/>
                <w:color w:val="auto"/>
              </w:rPr>
            </w:pPr>
          </w:p>
        </w:tc>
        <w:tc>
          <w:tcPr>
            <w:tcW w:w="7240" w:type="dxa"/>
            <w:vAlign w:val="bottom"/>
            <w:gridSpan w:val="3"/>
          </w:tcPr>
          <w:p>
            <w:pPr>
              <w:ind w:left="1760"/>
              <w:spacing w:after="0"/>
              <w:rPr>
                <w:sz w:val="20"/>
                <w:szCs w:val="20"/>
                <w:color w:val="auto"/>
              </w:rPr>
            </w:pPr>
            <w:r>
              <w:rPr>
                <w:rFonts w:ascii="Arial" w:cs="Arial" w:eastAsia="Arial" w:hAnsi="Arial"/>
                <w:sz w:val="18"/>
                <w:szCs w:val="18"/>
                <w:color w:val="auto"/>
              </w:rPr>
              <w:t>Sunnyvale, California</w:t>
            </w:r>
          </w:p>
        </w:tc>
      </w:tr>
      <w:tr>
        <w:trPr>
          <w:trHeight w:val="230"/>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240" w:type="dxa"/>
            <w:vAlign w:val="bottom"/>
            <w:gridSpan w:val="3"/>
          </w:tcPr>
          <w:p>
            <w:pPr>
              <w:ind w:left="1760"/>
              <w:spacing w:after="0"/>
              <w:rPr>
                <w:sz w:val="20"/>
                <w:szCs w:val="20"/>
                <w:color w:val="auto"/>
              </w:rPr>
            </w:pPr>
            <w:r>
              <w:rPr>
                <w:rFonts w:ascii="Arial" w:cs="Arial" w:eastAsia="Arial" w:hAnsi="Arial"/>
                <w:sz w:val="18"/>
                <w:szCs w:val="18"/>
                <w:color w:val="auto"/>
              </w:rPr>
              <w:t>Attention: Lease Administration</w:t>
            </w:r>
          </w:p>
        </w:tc>
      </w:tr>
    </w:tbl>
    <w:p>
      <w:pPr>
        <w:spacing w:after="0" w:line="202" w:lineRule="exact"/>
        <w:rPr>
          <w:sz w:val="20"/>
          <w:szCs w:val="20"/>
          <w:color w:val="auto"/>
        </w:rPr>
      </w:pPr>
    </w:p>
    <w:p>
      <w:pPr>
        <w:ind w:left="640" w:hanging="632"/>
        <w:spacing w:after="0"/>
        <w:tabs>
          <w:tab w:leader="none" w:pos="6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Address of Landlord</w:t>
      </w:r>
    </w:p>
    <w:tbl>
      <w:tblPr>
        <w:tblLayout w:type="fixed"/>
        <w:tblInd w:w="0" w:type="dxa"/>
        <w:tblCellMar>
          <w:top w:w="0" w:type="dxa"/>
          <w:left w:w="0" w:type="dxa"/>
          <w:bottom w:w="0" w:type="dxa"/>
          <w:right w:w="0" w:type="dxa"/>
        </w:tblCellMar>
      </w:tblPr>
      <w:tr>
        <w:trPr>
          <w:trHeight w:val="199"/>
        </w:trPr>
        <w:tc>
          <w:tcPr>
            <w:tcW w:w="440" w:type="dxa"/>
            <w:vAlign w:val="bottom"/>
          </w:tcPr>
          <w:p>
            <w:pPr>
              <w:spacing w:after="0"/>
              <w:rPr>
                <w:sz w:val="17"/>
                <w:szCs w:val="17"/>
                <w:color w:val="auto"/>
              </w:rPr>
            </w:pPr>
          </w:p>
        </w:tc>
        <w:tc>
          <w:tcPr>
            <w:tcW w:w="4280" w:type="dxa"/>
            <w:vAlign w:val="bottom"/>
            <w:gridSpan w:val="5"/>
          </w:tcPr>
          <w:p>
            <w:pPr>
              <w:ind w:left="220"/>
              <w:spacing w:after="0" w:line="199" w:lineRule="exact"/>
              <w:rPr>
                <w:sz w:val="20"/>
                <w:szCs w:val="20"/>
                <w:color w:val="auto"/>
              </w:rPr>
            </w:pPr>
            <w:r>
              <w:rPr>
                <w:rFonts w:ascii="Arial" w:cs="Arial" w:eastAsia="Arial" w:hAnsi="Arial"/>
                <w:sz w:val="18"/>
                <w:szCs w:val="18"/>
                <w:color w:val="auto"/>
              </w:rPr>
              <w:t>(Section 29.18):</w:t>
            </w:r>
          </w:p>
        </w:tc>
        <w:tc>
          <w:tcPr>
            <w:tcW w:w="6560" w:type="dxa"/>
            <w:vAlign w:val="bottom"/>
            <w:gridSpan w:val="3"/>
          </w:tcPr>
          <w:p>
            <w:pPr>
              <w:ind w:left="800"/>
              <w:spacing w:after="0" w:line="199" w:lineRule="exact"/>
              <w:rPr>
                <w:sz w:val="20"/>
                <w:szCs w:val="20"/>
                <w:color w:val="auto"/>
              </w:rPr>
            </w:pPr>
            <w:r>
              <w:rPr>
                <w:rFonts w:ascii="Arial" w:cs="Arial" w:eastAsia="Arial" w:hAnsi="Arial"/>
                <w:sz w:val="18"/>
                <w:szCs w:val="18"/>
                <w:color w:val="auto"/>
              </w:rPr>
              <w:t>See Section 29.18 of the Lease.</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12.</w:t>
            </w: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Broker(s)</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Representing Landlord:</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4280" w:type="dxa"/>
            <w:vAlign w:val="bottom"/>
            <w:gridSpan w:val="5"/>
          </w:tcPr>
          <w:p>
            <w:pPr>
              <w:ind w:left="220"/>
              <w:spacing w:after="0" w:line="190" w:lineRule="exact"/>
              <w:rPr>
                <w:sz w:val="20"/>
                <w:szCs w:val="20"/>
                <w:color w:val="auto"/>
              </w:rPr>
            </w:pPr>
            <w:r>
              <w:rPr>
                <w:rFonts w:ascii="Arial" w:cs="Arial" w:eastAsia="Arial" w:hAnsi="Arial"/>
                <w:sz w:val="18"/>
                <w:szCs w:val="18"/>
                <w:color w:val="auto"/>
              </w:rPr>
              <w:t>(Section 29.24):</w:t>
            </w:r>
          </w:p>
        </w:tc>
        <w:tc>
          <w:tcPr>
            <w:tcW w:w="6560" w:type="dxa"/>
            <w:vAlign w:val="bottom"/>
            <w:gridSpan w:val="3"/>
            <w:vMerge w:val="restart"/>
          </w:tcPr>
          <w:p>
            <w:pPr>
              <w:ind w:left="800"/>
              <w:spacing w:after="0"/>
              <w:rPr>
                <w:sz w:val="20"/>
                <w:szCs w:val="20"/>
                <w:color w:val="auto"/>
              </w:rPr>
            </w:pPr>
            <w:r>
              <w:rPr>
                <w:rFonts w:ascii="Arial" w:cs="Arial" w:eastAsia="Arial" w:hAnsi="Arial"/>
                <w:sz w:val="18"/>
                <w:szCs w:val="18"/>
                <w:color w:val="auto"/>
              </w:rPr>
              <w:t>Cushman &amp; Wakefield and CBRE, Inc.</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Representing Tenant:</w:t>
            </w: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Jones Lang LaSalle</w:t>
            </w:r>
          </w:p>
        </w:tc>
        <w:tc>
          <w:tcPr>
            <w:tcW w:w="0" w:type="dxa"/>
            <w:vAlign w:val="bottom"/>
          </w:tcPr>
          <w:p>
            <w:pPr>
              <w:spacing w:after="0"/>
              <w:rPr>
                <w:sz w:val="1"/>
                <w:szCs w:val="1"/>
                <w:color w:val="auto"/>
              </w:rPr>
            </w:pPr>
          </w:p>
        </w:tc>
      </w:tr>
      <w:tr>
        <w:trPr>
          <w:trHeight w:val="391"/>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13.</w:t>
            </w: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Tenant Improvement Allowance (</w:t>
            </w:r>
            <w:r>
              <w:rPr>
                <w:rFonts w:ascii="Arial" w:cs="Arial" w:eastAsia="Arial" w:hAnsi="Arial"/>
                <w:sz w:val="18"/>
                <w:szCs w:val="18"/>
                <w:b w:val="1"/>
                <w:bCs w:val="1"/>
                <w:color w:val="auto"/>
              </w:rPr>
              <w:t>Exhibit B</w:t>
            </w:r>
            <w:r>
              <w:rPr>
                <w:rFonts w:ascii="Arial" w:cs="Arial" w:eastAsia="Arial" w:hAnsi="Arial"/>
                <w:sz w:val="18"/>
                <w:szCs w:val="18"/>
                <w:color w:val="auto"/>
              </w:rPr>
              <w:t>):</w:t>
            </w:r>
          </w:p>
        </w:tc>
        <w:tc>
          <w:tcPr>
            <w:tcW w:w="2100" w:type="dxa"/>
            <w:vAlign w:val="bottom"/>
            <w:gridSpan w:val="2"/>
          </w:tcPr>
          <w:p>
            <w:pPr>
              <w:ind w:left="800"/>
              <w:spacing w:after="0"/>
              <w:rPr>
                <w:sz w:val="20"/>
                <w:szCs w:val="20"/>
                <w:color w:val="auto"/>
              </w:rPr>
            </w:pPr>
            <w:r>
              <w:rPr>
                <w:rFonts w:ascii="Arial" w:cs="Arial" w:eastAsia="Arial" w:hAnsi="Arial"/>
                <w:sz w:val="18"/>
                <w:szCs w:val="18"/>
                <w:color w:val="auto"/>
              </w:rPr>
              <w:t>$283,218.00.</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570" w:right="299" w:bottom="1440" w:gutter="0" w:footer="0" w:header="0"/>
        </w:sectPr>
      </w:pPr>
    </w:p>
    <w:bookmarkStart w:id="537" w:name="page538"/>
    <w:bookmarkEnd w:id="537"/>
    <w:p>
      <w:pPr>
        <w:jc w:val="center"/>
        <w:ind w:right="-19"/>
        <w:spacing w:after="0"/>
        <w:rPr>
          <w:sz w:val="20"/>
          <w:szCs w:val="20"/>
          <w:color w:val="auto"/>
        </w:rPr>
      </w:pPr>
      <w:r>
        <w:rPr>
          <w:rFonts w:ascii="Arial" w:cs="Arial" w:eastAsia="Arial" w:hAnsi="Arial"/>
          <w:sz w:val="18"/>
          <w:szCs w:val="18"/>
          <w:b w:val="1"/>
          <w:bCs w:val="1"/>
          <w:u w:val="single" w:color="auto"/>
          <w:color w:val="auto"/>
        </w:rPr>
        <w:t>ARTICLE 1</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u w:val="single" w:color="auto"/>
          <w:color w:val="auto"/>
        </w:rPr>
        <w:t>PREMISES, BUILDING, PROJECT, AND COMMON AREAS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u w:val="single" w:color="auto"/>
          <w:color w:val="auto"/>
        </w:rPr>
        <w:t>Premises, Building, Project and Common Areas</w:t>
      </w:r>
      <w:r>
        <w:rPr>
          <w:rFonts w:ascii="Arial" w:cs="Arial" w:eastAsia="Arial" w:hAnsi="Arial"/>
          <w:sz w:val="16"/>
          <w:szCs w:val="16"/>
          <w:color w:val="auto"/>
        </w:rPr>
        <w:t>.</w:t>
      </w:r>
    </w:p>
    <w:p>
      <w:pPr>
        <w:spacing w:after="0" w:line="225" w:lineRule="exact"/>
        <w:rPr>
          <w:sz w:val="20"/>
          <w:szCs w:val="20"/>
          <w:color w:val="auto"/>
        </w:rPr>
      </w:pPr>
    </w:p>
    <w:p>
      <w:pPr>
        <w:ind w:right="40" w:firstLine="1296"/>
        <w:spacing w:after="0" w:line="285"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The Premises</w:t>
      </w:r>
      <w:r>
        <w:rPr>
          <w:rFonts w:ascii="Arial" w:cs="Arial" w:eastAsia="Arial" w:hAnsi="Arial"/>
          <w:sz w:val="16"/>
          <w:szCs w:val="16"/>
          <w:color w:val="auto"/>
        </w:rPr>
        <w:t xml:space="preserve">. Landlord hereby leases to Tenant and Tenant hereby leases from Landlord the premises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The outline of the Premises is set forth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attached hereto and each floor or floors of the Premises has the number of rentable square feet as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to show the approximate location of the Premises in the “Building,”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below, or the elements thereof or of the accessways to the Premises or the “Project,”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Landlord shall cause those portions of the Building systems located within and exclusively serving the Premises to be, as of the Delivery Date, in good working order and condition; provided, however, that the foregoing shall not imply any representation or warranty as to the useful life of such systems. Except as specifically set forth in this Lease and in the Tenant Work Letter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Tenant Work Letter</w:t>
      </w:r>
      <w:r>
        <w:rPr>
          <w:rFonts w:ascii="Arial" w:cs="Arial" w:eastAsia="Arial" w:hAnsi="Arial"/>
          <w:sz w:val="16"/>
          <w:szCs w:val="16"/>
          <w:color w:val="auto"/>
        </w:rPr>
        <w:t>”),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The failure of Tenant to give notice to Landlord of any defect in the condition of the Premises or the Building systems, as required by this Section, on or before the Lease Commencement Date shall conclusively establish that the Premises and the Building were at such time in good and sanitary order, condition and repair.</w:t>
      </w:r>
    </w:p>
    <w:p>
      <w:pPr>
        <w:spacing w:after="0" w:line="17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u w:val="single" w:color="auto"/>
          <w:color w:val="auto"/>
        </w:rPr>
        <w:t>The Building and The Project</w:t>
      </w:r>
      <w:r>
        <w:rPr>
          <w:rFonts w:ascii="Arial" w:cs="Arial" w:eastAsia="Arial" w:hAnsi="Arial"/>
          <w:sz w:val="16"/>
          <w:szCs w:val="16"/>
          <w:color w:val="auto"/>
        </w:rPr>
        <w:t>. The Premises are a part of the building set forth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Summary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Building</w:t>
      </w:r>
      <w:r>
        <w:rPr>
          <w:rFonts w:ascii="Arial" w:cs="Arial" w:eastAsia="Arial" w:hAnsi="Arial"/>
          <w:sz w:val="17"/>
          <w:szCs w:val="17"/>
          <w:color w:val="auto"/>
        </w:rPr>
        <w:t>”). The Building is part of an office project known as “</w:t>
      </w:r>
      <w:r>
        <w:rPr>
          <w:rFonts w:ascii="Arial" w:cs="Arial" w:eastAsia="Arial" w:hAnsi="Arial"/>
          <w:sz w:val="17"/>
          <w:szCs w:val="17"/>
          <w:b w:val="1"/>
          <w:bCs w:val="1"/>
          <w:color w:val="auto"/>
        </w:rPr>
        <w:t>Sunnyvale City Center</w:t>
      </w:r>
      <w:r>
        <w:rPr>
          <w:rFonts w:ascii="Arial" w:cs="Arial" w:eastAsia="Arial" w:hAnsi="Arial"/>
          <w:sz w:val="17"/>
          <w:szCs w:val="17"/>
          <w:color w:val="auto"/>
        </w:rPr>
        <w:t>.” The term “</w:t>
      </w:r>
      <w:r>
        <w:rPr>
          <w:rFonts w:ascii="Arial" w:cs="Arial" w:eastAsia="Arial" w:hAnsi="Arial"/>
          <w:sz w:val="17"/>
          <w:szCs w:val="17"/>
          <w:b w:val="1"/>
          <w:bCs w:val="1"/>
          <w:color w:val="auto"/>
        </w:rPr>
        <w:t>Project</w:t>
      </w:r>
      <w:r>
        <w:rPr>
          <w:rFonts w:ascii="Arial" w:cs="Arial" w:eastAsia="Arial" w:hAnsi="Arial"/>
          <w:sz w:val="17"/>
          <w:szCs w:val="17"/>
          <w:color w:val="auto"/>
        </w:rPr>
        <w:t>,” as used in this Lease, shall mean (i)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Building and the Common Areas, (ii) the land (which is improved with landscaping, subterranean parking facilities and other improvements) upon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Building and the Common Areas are located, (iii) the other office buildings located adjacent to the Building and the land upon which such adjacent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 building is located, and (iv) at Landlord’s discretion, any additional real property, areas, land, buildings or other improvements added thereto outside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Project.</w:t>
      </w:r>
    </w:p>
    <w:p>
      <w:pPr>
        <w:spacing w:after="0" w:line="20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Common Areas</w:t>
      </w:r>
      <w:r>
        <w:rPr>
          <w:rFonts w:ascii="Arial" w:cs="Arial" w:eastAsia="Arial" w:hAnsi="Arial"/>
          <w:sz w:val="17"/>
          <w:szCs w:val="17"/>
          <w:color w:val="auto"/>
        </w:rPr>
        <w:t xml:space="preserve">. Tenant shall have the non-exclusive right to use in common with other tenants in the Project, and subject to the rules and regulations referred to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including certain areas designated for the exclusive use of certain tenants, or to be shared by Landlord and certain tenants,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 The Common Areas shall consist of the “Project Common Areas” and the “Building Common Areas.” The term “</w:t>
      </w:r>
      <w:r>
        <w:rPr>
          <w:rFonts w:ascii="Arial" w:cs="Arial" w:eastAsia="Arial" w:hAnsi="Arial"/>
          <w:sz w:val="17"/>
          <w:szCs w:val="17"/>
          <w:b w:val="1"/>
          <w:bCs w:val="1"/>
          <w:color w:val="auto"/>
        </w:rPr>
        <w:t>Project</w:t>
      </w:r>
      <w:r>
        <w:rPr>
          <w:rFonts w:ascii="Arial" w:cs="Arial" w:eastAsia="Arial" w:hAnsi="Arial"/>
          <w:sz w:val="17"/>
          <w:szCs w:val="17"/>
          <w:color w:val="auto"/>
        </w:rPr>
        <w:t xml:space="preserve"> </w:t>
      </w:r>
      <w:r>
        <w:rPr>
          <w:rFonts w:ascii="Arial" w:cs="Arial" w:eastAsia="Arial" w:hAnsi="Arial"/>
          <w:sz w:val="17"/>
          <w:szCs w:val="17"/>
          <w:b w:val="1"/>
          <w:bCs w:val="1"/>
          <w:color w:val="auto"/>
        </w:rPr>
        <w:t>Common Areas</w:t>
      </w:r>
      <w:r>
        <w:rPr>
          <w:rFonts w:ascii="Arial" w:cs="Arial" w:eastAsia="Arial" w:hAnsi="Arial"/>
          <w:sz w:val="17"/>
          <w:szCs w:val="17"/>
          <w:color w:val="auto"/>
        </w:rPr>
        <w:t>,” as used in this Lease, shall mean the portion of the Project designated as such by Landlord. The term “</w:t>
      </w:r>
      <w:r>
        <w:rPr>
          <w:rFonts w:ascii="Arial" w:cs="Arial" w:eastAsia="Arial" w:hAnsi="Arial"/>
          <w:sz w:val="17"/>
          <w:szCs w:val="17"/>
          <w:b w:val="1"/>
          <w:bCs w:val="1"/>
          <w:color w:val="auto"/>
        </w:rPr>
        <w:t>Building Common Areas</w:t>
      </w:r>
      <w:r>
        <w:rPr>
          <w:rFonts w:ascii="Arial" w:cs="Arial" w:eastAsia="Arial" w:hAnsi="Arial"/>
          <w:sz w:val="17"/>
          <w:szCs w:val="17"/>
          <w:color w:val="auto"/>
        </w:rPr>
        <w:t>,” as</w:t>
      </w:r>
      <w:r>
        <w:rPr>
          <w:rFonts w:ascii="Arial" w:cs="Arial" w:eastAsia="Arial" w:hAnsi="Arial"/>
          <w:sz w:val="17"/>
          <w:szCs w:val="17"/>
          <w:b w:val="1"/>
          <w:bCs w:val="1"/>
          <w:color w:val="auto"/>
        </w:rPr>
        <w:t xml:space="preserve"> </w:t>
      </w:r>
      <w:r>
        <w:rPr>
          <w:rFonts w:ascii="Arial" w:cs="Arial" w:eastAsia="Arial" w:hAnsi="Arial"/>
          <w:sz w:val="17"/>
          <w:szCs w:val="17"/>
          <w:color w:val="auto"/>
        </w:rPr>
        <w:t>used in this Lease, shall mean the portions of the Common Areas located within the Building designated as such by Landlord. The manner in which the Common Areas are maintained and operated shall be at the sole discretion of Landlord, provided that Landlord shall maintain and operate the same in a manner consistent with that of other Class A, mid-rise office buildings in the downtown areas of Sunnyvale, Palo Alto and Mountain View, California, which buildings are comparable in quality of appearance, services, and amenities (the “</w:t>
      </w:r>
      <w:r>
        <w:rPr>
          <w:rFonts w:ascii="Arial" w:cs="Arial" w:eastAsia="Arial" w:hAnsi="Arial"/>
          <w:sz w:val="17"/>
          <w:szCs w:val="17"/>
          <w:b w:val="1"/>
          <w:bCs w:val="1"/>
          <w:color w:val="auto"/>
        </w:rPr>
        <w:t>Comparable Buildings</w:t>
      </w:r>
      <w:r>
        <w:rPr>
          <w:rFonts w:ascii="Arial" w:cs="Arial" w:eastAsia="Arial" w:hAnsi="Arial"/>
          <w:sz w:val="17"/>
          <w:szCs w:val="17"/>
          <w:color w:val="auto"/>
        </w:rPr>
        <w:t>”) and the use thereof shall be subject to such rules, regulations and restrictions as Landlord may make from time to time. Landlord reserves the right to close temporarily, make alterations or additions to, or change the location of elements of the Project and the Common Areas.</w:t>
      </w:r>
    </w:p>
    <w:p>
      <w:pPr>
        <w:spacing w:after="0" w:line="179"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Rentable Square Feet of Premises</w:t>
      </w:r>
      <w:r>
        <w:rPr>
          <w:rFonts w:ascii="Arial" w:cs="Arial" w:eastAsia="Arial" w:hAnsi="Arial"/>
          <w:sz w:val="18"/>
          <w:szCs w:val="18"/>
          <w:color w:val="auto"/>
        </w:rPr>
        <w:t xml:space="preserve">. For purposes of this Lease, “rentable square feet” of the Premises shall be deemed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Summary and shall not be subject to remeasurement or modification.</w:t>
      </w:r>
    </w:p>
    <w:p>
      <w:pPr>
        <w:spacing w:after="0" w:line="162" w:lineRule="exact"/>
        <w:rPr>
          <w:sz w:val="20"/>
          <w:szCs w:val="20"/>
          <w:color w:val="auto"/>
        </w:rPr>
      </w:pPr>
    </w:p>
    <w:p>
      <w:pPr>
        <w:ind w:right="100" w:firstLine="648"/>
        <w:spacing w:after="0" w:line="36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Right of First Offer</w:t>
      </w:r>
      <w:r>
        <w:rPr>
          <w:rFonts w:ascii="Arial" w:cs="Arial" w:eastAsia="Arial" w:hAnsi="Arial"/>
          <w:sz w:val="16"/>
          <w:szCs w:val="16"/>
          <w:color w:val="auto"/>
        </w:rPr>
        <w:t>. Landlord hereby grants to the Tenant originally named in this Lease (the “</w:t>
      </w:r>
      <w:r>
        <w:rPr>
          <w:rFonts w:ascii="Arial" w:cs="Arial" w:eastAsia="Arial" w:hAnsi="Arial"/>
          <w:sz w:val="16"/>
          <w:szCs w:val="16"/>
          <w:b w:val="1"/>
          <w:bCs w:val="1"/>
          <w:color w:val="auto"/>
        </w:rPr>
        <w:t>Original Tenant</w:t>
      </w:r>
      <w:r>
        <w:rPr>
          <w:rFonts w:ascii="Arial" w:cs="Arial" w:eastAsia="Arial" w:hAnsi="Arial"/>
          <w:sz w:val="16"/>
          <w:szCs w:val="16"/>
          <w:color w:val="auto"/>
        </w:rPr>
        <w:t>”) a one-time right of first offer (the “</w:t>
      </w:r>
      <w:r>
        <w:rPr>
          <w:rFonts w:ascii="Arial" w:cs="Arial" w:eastAsia="Arial" w:hAnsi="Arial"/>
          <w:sz w:val="16"/>
          <w:szCs w:val="16"/>
          <w:b w:val="1"/>
          <w:bCs w:val="1"/>
          <w:color w:val="auto"/>
        </w:rPr>
        <w:t>Right of First Offer</w:t>
      </w:r>
      <w:r>
        <w:rPr>
          <w:rFonts w:ascii="Arial" w:cs="Arial" w:eastAsia="Arial" w:hAnsi="Arial"/>
          <w:sz w:val="16"/>
          <w:szCs w:val="16"/>
          <w:color w:val="auto"/>
        </w:rPr>
        <w:t>”) with respect to (i) that certain space on the third (3</w:t>
      </w:r>
      <w:r>
        <w:rPr>
          <w:rFonts w:ascii="Arial" w:cs="Arial" w:eastAsia="Arial" w:hAnsi="Arial"/>
          <w:sz w:val="20"/>
          <w:szCs w:val="20"/>
          <w:color w:val="auto"/>
          <w:vertAlign w:val="superscript"/>
        </w:rPr>
        <w:t>rd</w:t>
      </w:r>
      <w:r>
        <w:rPr>
          <w:rFonts w:ascii="Arial" w:cs="Arial" w:eastAsia="Arial" w:hAnsi="Arial"/>
          <w:sz w:val="16"/>
          <w:szCs w:val="16"/>
          <w:color w:val="auto"/>
        </w:rPr>
        <w:t>) floor of the Building containing approximately 6,657 rentable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8" w:name="page539"/>
    <w:bookmarkEnd w:id="538"/>
    <w:p>
      <w:pPr>
        <w:ind w:right="20"/>
        <w:spacing w:after="0" w:line="280" w:lineRule="auto"/>
        <w:rPr>
          <w:sz w:val="20"/>
          <w:szCs w:val="20"/>
          <w:color w:val="auto"/>
        </w:rPr>
      </w:pPr>
      <w:r>
        <w:rPr>
          <w:rFonts w:ascii="Arial" w:cs="Arial" w:eastAsia="Arial" w:hAnsi="Arial"/>
          <w:sz w:val="16"/>
          <w:szCs w:val="16"/>
          <w:color w:val="auto"/>
        </w:rPr>
        <w:t xml:space="preserve">square feet known as Suite 300 and depicted on </w:t>
      </w:r>
      <w:r>
        <w:rPr>
          <w:rFonts w:ascii="Arial" w:cs="Arial" w:eastAsia="Arial" w:hAnsi="Arial"/>
          <w:sz w:val="16"/>
          <w:szCs w:val="16"/>
          <w:u w:val="single" w:color="auto"/>
          <w:color w:val="auto"/>
        </w:rPr>
        <w:t>Exhibit G-1</w:t>
      </w:r>
      <w:r>
        <w:rPr>
          <w:rFonts w:ascii="Arial" w:cs="Arial" w:eastAsia="Arial" w:hAnsi="Arial"/>
          <w:sz w:val="16"/>
          <w:szCs w:val="16"/>
          <w:color w:val="auto"/>
        </w:rPr>
        <w:t xml:space="preserve"> attached hereto, and (ii) that certain space on the third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floor of the Building containing approximately 5,113 rentable square feet known as Suite 302 and depicted on </w:t>
      </w:r>
      <w:r>
        <w:rPr>
          <w:rFonts w:ascii="Arial" w:cs="Arial" w:eastAsia="Arial" w:hAnsi="Arial"/>
          <w:sz w:val="16"/>
          <w:szCs w:val="16"/>
          <w:u w:val="single" w:color="auto"/>
          <w:color w:val="auto"/>
        </w:rPr>
        <w:t>Exhibit G-2</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First Offer Space</w:t>
      </w:r>
      <w:r>
        <w:rPr>
          <w:rFonts w:ascii="Arial" w:cs="Arial" w:eastAsia="Arial" w:hAnsi="Arial"/>
          <w:sz w:val="16"/>
          <w:szCs w:val="16"/>
          <w:color w:val="auto"/>
        </w:rPr>
        <w:t xml:space="preserve">”), subject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w:t>
      </w:r>
      <w:r>
        <w:rPr>
          <w:rFonts w:ascii="Arial" w:cs="Arial" w:eastAsia="Arial" w:hAnsi="Arial"/>
          <w:sz w:val="16"/>
          <w:szCs w:val="16"/>
          <w:color w:val="auto"/>
        </w:rPr>
        <w:t>. Notwithstanding the foregoing, the Right of First Offer shall commence with respect to any portion of the First Offer Space only following the expiration or sooner termination of any then-existing lease of such portion of the First Offer Space entered into by Landlord prior to the date of this Lease (including renewals, and irrespective of whether any such renewal is pursuant to an express written provision in such tenant’s lease or whether such renewal is effectuated by a lease amendment or a new lease of the First Offer Space, and such Right of First Offer shall be subordinate to all rights with respect to the First Offer Space which are set forth in leases of space in the Building entered into by Landlord prior to the date of this Lease), including any renewal, extension or expansion rights (including, but not limited to, must-take, right of first offer, right of first negotiation, right of first refusal, expansion option and other similar rights) set forth in such leases, regardless of whether such renewal, extension or expansion rights are executed strictly in accordance with their terms, or pursuant to a lease amendment or a new lease (all such tenants under such leases are collectively referred to herein as the “</w:t>
      </w:r>
      <w:r>
        <w:rPr>
          <w:rFonts w:ascii="Arial" w:cs="Arial" w:eastAsia="Arial" w:hAnsi="Arial"/>
          <w:sz w:val="16"/>
          <w:szCs w:val="16"/>
          <w:b w:val="1"/>
          <w:bCs w:val="1"/>
          <w:color w:val="auto"/>
        </w:rPr>
        <w:t>Superior Right Holders</w:t>
      </w:r>
      <w:r>
        <w:rPr>
          <w:rFonts w:ascii="Arial" w:cs="Arial" w:eastAsia="Arial" w:hAnsi="Arial"/>
          <w:sz w:val="16"/>
          <w:szCs w:val="16"/>
          <w:color w:val="auto"/>
        </w:rPr>
        <w:t xml:space="preserve">”). Tenant’s Right of First Offer shall be on the terms and conditions set forth in this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173"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u w:val="single" w:color="auto"/>
          <w:color w:val="auto"/>
        </w:rPr>
        <w:t>Procedure for Offer</w:t>
      </w:r>
      <w:r>
        <w:rPr>
          <w:rFonts w:ascii="Arial" w:cs="Arial" w:eastAsia="Arial" w:hAnsi="Arial"/>
          <w:sz w:val="16"/>
          <w:szCs w:val="16"/>
          <w:color w:val="auto"/>
        </w:rPr>
        <w:t>. Landlord shall provide Tenant with written notice (a “</w:t>
      </w:r>
      <w:r>
        <w:rPr>
          <w:rFonts w:ascii="Arial" w:cs="Arial" w:eastAsia="Arial" w:hAnsi="Arial"/>
          <w:sz w:val="16"/>
          <w:szCs w:val="16"/>
          <w:b w:val="1"/>
          <w:bCs w:val="1"/>
          <w:color w:val="auto"/>
        </w:rPr>
        <w:t>First Offer Notice</w:t>
      </w:r>
      <w:r>
        <w:rPr>
          <w:rFonts w:ascii="Arial" w:cs="Arial" w:eastAsia="Arial" w:hAnsi="Arial"/>
          <w:sz w:val="16"/>
          <w:szCs w:val="16"/>
          <w:color w:val="auto"/>
        </w:rPr>
        <w:t>”) from time to time promptly when any First Offer Space becomes Available for Lease. As used herein, any particular First Offer Space shall be deemed to be “</w:t>
      </w:r>
      <w:r>
        <w:rPr>
          <w:rFonts w:ascii="Arial" w:cs="Arial" w:eastAsia="Arial" w:hAnsi="Arial"/>
          <w:sz w:val="16"/>
          <w:szCs w:val="16"/>
          <w:b w:val="1"/>
          <w:bCs w:val="1"/>
          <w:color w:val="auto"/>
        </w:rPr>
        <w:t>Available For Lease</w:t>
      </w:r>
      <w:r>
        <w:rPr>
          <w:rFonts w:ascii="Arial" w:cs="Arial" w:eastAsia="Arial" w:hAnsi="Arial"/>
          <w:sz w:val="16"/>
          <w:szCs w:val="16"/>
          <w:color w:val="auto"/>
        </w:rPr>
        <w:t xml:space="preserve">” if and only if (A) such space is vacant or Landlord (in its sole discretion) is prepared to offer such space for lease to a third party, and (B) such space is not subject to the rights of any Superior Rights Holders and is not otherwise exempt from offer to Tenant pursuant to the terms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The space described in a First Offer Notice is referred to herein as “</w:t>
      </w:r>
      <w:r>
        <w:rPr>
          <w:rFonts w:ascii="Arial" w:cs="Arial" w:eastAsia="Arial" w:hAnsi="Arial"/>
          <w:sz w:val="16"/>
          <w:szCs w:val="16"/>
          <w:b w:val="1"/>
          <w:bCs w:val="1"/>
          <w:color w:val="auto"/>
        </w:rPr>
        <w:t>Offer Space</w:t>
      </w:r>
      <w:r>
        <w:rPr>
          <w:rFonts w:ascii="Arial" w:cs="Arial" w:eastAsia="Arial" w:hAnsi="Arial"/>
          <w:sz w:val="16"/>
          <w:szCs w:val="16"/>
          <w:color w:val="auto"/>
        </w:rPr>
        <w:t>”. The First Offer Notice shall describe the Offer Space, the anticipated date of availability of the applicable Offer Space (the “</w:t>
      </w:r>
      <w:r>
        <w:rPr>
          <w:rFonts w:ascii="Arial" w:cs="Arial" w:eastAsia="Arial" w:hAnsi="Arial"/>
          <w:sz w:val="16"/>
          <w:szCs w:val="16"/>
          <w:b w:val="1"/>
          <w:bCs w:val="1"/>
          <w:color w:val="auto"/>
        </w:rPr>
        <w:t>ROFO Target Delivery Date</w:t>
      </w:r>
      <w:r>
        <w:rPr>
          <w:rFonts w:ascii="Arial" w:cs="Arial" w:eastAsia="Arial" w:hAnsi="Arial"/>
          <w:sz w:val="16"/>
          <w:szCs w:val="16"/>
          <w:color w:val="auto"/>
        </w:rPr>
        <w:t xml:space="preserve">”), and shall set forth Landlord’s proposed First Offer Rent (defined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1.3.3</w:t>
      </w:r>
      <w:r>
        <w:rPr>
          <w:rFonts w:ascii="Arial" w:cs="Arial" w:eastAsia="Arial" w:hAnsi="Arial"/>
          <w:sz w:val="16"/>
          <w:szCs w:val="16"/>
          <w:color w:val="auto"/>
        </w:rPr>
        <w:t xml:space="preserve"> below) (the “</w:t>
      </w:r>
      <w:r>
        <w:rPr>
          <w:rFonts w:ascii="Arial" w:cs="Arial" w:eastAsia="Arial" w:hAnsi="Arial"/>
          <w:sz w:val="16"/>
          <w:szCs w:val="16"/>
          <w:b w:val="1"/>
          <w:bCs w:val="1"/>
          <w:color w:val="auto"/>
        </w:rPr>
        <w:t>Proposed First Offer Rent</w:t>
      </w:r>
      <w:r>
        <w:rPr>
          <w:rFonts w:ascii="Arial" w:cs="Arial" w:eastAsia="Arial" w:hAnsi="Arial"/>
          <w:sz w:val="16"/>
          <w:szCs w:val="16"/>
          <w:color w:val="auto"/>
        </w:rPr>
        <w:t>”), the proposed lease term, and the other economic terms, including the First Offer Rent upon which Landlord is willing to lease such space to Tenant. Pursuant to such First Offer Notice, Landlord shall offer to lease the available Offer Space to Tenant.</w:t>
      </w:r>
    </w:p>
    <w:p>
      <w:pPr>
        <w:spacing w:after="0" w:line="159"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u w:val="single" w:color="auto"/>
          <w:color w:val="auto"/>
        </w:rPr>
        <w:t>Procedure for Acceptance</w:t>
      </w:r>
      <w:r>
        <w:rPr>
          <w:rFonts w:ascii="Arial" w:cs="Arial" w:eastAsia="Arial" w:hAnsi="Arial"/>
          <w:sz w:val="18"/>
          <w:szCs w:val="18"/>
          <w:color w:val="auto"/>
        </w:rPr>
        <w:t>. If Tenant wishes to exercise Tenant’s Right of First Offer with respect to the Offer Space described in a First Offer Notice, then on or before that date (the “</w:t>
      </w:r>
      <w:r>
        <w:rPr>
          <w:rFonts w:ascii="Arial" w:cs="Arial" w:eastAsia="Arial" w:hAnsi="Arial"/>
          <w:sz w:val="18"/>
          <w:szCs w:val="18"/>
          <w:b w:val="1"/>
          <w:bCs w:val="1"/>
          <w:color w:val="auto"/>
        </w:rPr>
        <w:t>First Offer Exercise Date</w:t>
      </w:r>
      <w:r>
        <w:rPr>
          <w:rFonts w:ascii="Arial" w:cs="Arial" w:eastAsia="Arial" w:hAnsi="Arial"/>
          <w:sz w:val="18"/>
          <w:szCs w:val="18"/>
          <w:color w:val="auto"/>
        </w:rPr>
        <w:t>”) that is five (5) business days following delivery of such First Offer Notice to Tenant, Tenant shall deliver written notice to Landlord (“</w:t>
      </w:r>
      <w:r>
        <w:rPr>
          <w:rFonts w:ascii="Arial" w:cs="Arial" w:eastAsia="Arial" w:hAnsi="Arial"/>
          <w:sz w:val="18"/>
          <w:szCs w:val="18"/>
          <w:b w:val="1"/>
          <w:bCs w:val="1"/>
          <w:color w:val="auto"/>
        </w:rPr>
        <w:t>First Offer Exercise Notice</w:t>
      </w:r>
      <w:r>
        <w:rPr>
          <w:rFonts w:ascii="Arial" w:cs="Arial" w:eastAsia="Arial" w:hAnsi="Arial"/>
          <w:sz w:val="18"/>
          <w:szCs w:val="18"/>
          <w:color w:val="auto"/>
        </w:rPr>
        <w:t xml:space="preserve">”) irrevocably exercising its Right of First Offer with respect to the entire Offer Space described in such First Offer Notice on the terms contained in such First Offer Notice. If Tenant does not timely deliver a First Offer Exercise Notice to Landlord on or before the First Offer Exercise Date, then Landlord shall be free to lease the space described in such First Offer Notice to anyone to whom Landlord desires on any terms Landlord desires and Tenant shall have no further rights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with respect to the particular space described in such First Offer Notice. Notwithstanding anything to the contrary contained herein, Tenant must elect to exercise its Right of First Offer, if at all, with respect to all of the particular Offer Space offered by Landlord to Tenant at any particular time, pursuant to a First Offer Notice and Tenant may not elect to lease only a portion of such Offer Space. Time is of the essence with respect to the giving of any First Offer Exercise Notice.</w:t>
      </w:r>
    </w:p>
    <w:p>
      <w:pPr>
        <w:spacing w:after="0" w:line="194" w:lineRule="exact"/>
        <w:rPr>
          <w:sz w:val="20"/>
          <w:szCs w:val="20"/>
          <w:color w:val="auto"/>
        </w:rPr>
      </w:pPr>
    </w:p>
    <w:p>
      <w:pPr>
        <w:ind w:right="40" w:firstLine="1296"/>
        <w:spacing w:after="0" w:line="26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u w:val="single" w:color="auto"/>
          <w:color w:val="auto"/>
        </w:rPr>
        <w:t>First Offer Rent</w:t>
      </w:r>
      <w:r>
        <w:rPr>
          <w:rFonts w:ascii="Arial" w:cs="Arial" w:eastAsia="Arial" w:hAnsi="Arial"/>
          <w:sz w:val="18"/>
          <w:szCs w:val="18"/>
          <w:color w:val="auto"/>
        </w:rPr>
        <w:t>. The annual Rent payable by Tenant for the Offer Space leased by Tenant (the “</w:t>
      </w:r>
      <w:r>
        <w:rPr>
          <w:rFonts w:ascii="Arial" w:cs="Arial" w:eastAsia="Arial" w:hAnsi="Arial"/>
          <w:sz w:val="18"/>
          <w:szCs w:val="18"/>
          <w:b w:val="1"/>
          <w:bCs w:val="1"/>
          <w:color w:val="auto"/>
        </w:rPr>
        <w:t>First Offer Rent</w:t>
      </w:r>
      <w:r>
        <w:rPr>
          <w:rFonts w:ascii="Arial" w:cs="Arial" w:eastAsia="Arial" w:hAnsi="Arial"/>
          <w:sz w:val="18"/>
          <w:szCs w:val="18"/>
          <w:color w:val="auto"/>
        </w:rPr>
        <w:t xml:space="preserve">”) shall be equal to the “Fair Rental Value”, as that term is defined and determined in </w:t>
      </w:r>
      <w:r>
        <w:rPr>
          <w:rFonts w:ascii="Arial" w:cs="Arial" w:eastAsia="Arial" w:hAnsi="Arial"/>
          <w:sz w:val="18"/>
          <w:szCs w:val="18"/>
          <w:u w:val="single" w:color="auto"/>
          <w:color w:val="auto"/>
        </w:rPr>
        <w:t>Section 2.3.2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2.3.4</w:t>
      </w:r>
      <w:r>
        <w:rPr>
          <w:rFonts w:ascii="Arial" w:cs="Arial" w:eastAsia="Arial" w:hAnsi="Arial"/>
          <w:sz w:val="18"/>
          <w:szCs w:val="18"/>
          <w:color w:val="auto"/>
        </w:rPr>
        <w:t xml:space="preserve"> below, for the Offer Space during the First Offer Term.</w:t>
      </w:r>
    </w:p>
    <w:p>
      <w:pPr>
        <w:spacing w:after="0" w:line="176" w:lineRule="exact"/>
        <w:rPr>
          <w:sz w:val="20"/>
          <w:szCs w:val="20"/>
          <w:color w:val="auto"/>
        </w:rPr>
      </w:pPr>
    </w:p>
    <w:p>
      <w:pPr>
        <w:ind w:right="80" w:firstLine="1296"/>
        <w:spacing w:after="0" w:line="303"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u w:val="single" w:color="auto"/>
          <w:color w:val="auto"/>
        </w:rPr>
        <w:t>Construction in Offer Space</w:t>
      </w:r>
      <w:r>
        <w:rPr>
          <w:rFonts w:ascii="Arial" w:cs="Arial" w:eastAsia="Arial" w:hAnsi="Arial"/>
          <w:sz w:val="16"/>
          <w:szCs w:val="16"/>
          <w:color w:val="auto"/>
        </w:rPr>
        <w:t xml:space="preserve">. Subject to any concessions granted to Tenant as part of the First Offer Rent for the Offer Space, Tenant shall accept the Offer Space in its “as is” condition, and the construction of improvements in the Offer Space shall comply with the terms of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below. Any tenant improvement allowance to which Tenant is entitled in connection with its lease of the Offer Space shall be determined as part of the First Offer Rent. The terms of the Tenant Work Letter shall not apply to the construction of any improvements in the Offer Space.</w:t>
      </w:r>
    </w:p>
    <w:p>
      <w:pPr>
        <w:spacing w:after="0" w:line="15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b w:val="1"/>
          <w:bCs w:val="1"/>
          <w:u w:val="single" w:color="auto"/>
          <w:color w:val="auto"/>
        </w:rPr>
        <w:t>Amendment to Lease</w:t>
      </w:r>
      <w:r>
        <w:rPr>
          <w:rFonts w:ascii="Arial" w:cs="Arial" w:eastAsia="Arial" w:hAnsi="Arial"/>
          <w:sz w:val="16"/>
          <w:szCs w:val="16"/>
          <w:color w:val="auto"/>
        </w:rPr>
        <w:t>. If Tenant timely exercises the Right of First Offer as set forth herein, then, within fifteen (15) days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thereafter (or, if the First Offer Rent is determined by arbitration, within fifteen (15) days after such determination), Landlord and Tenant shall execute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amendment to this Lease for such Offer Space upon the terms and conditions as set forth in the First Offer Notice and this </w:t>
      </w:r>
      <w:r>
        <w:rPr>
          <w:rFonts w:ascii="Arial" w:cs="Arial" w:eastAsia="Arial" w:hAnsi="Arial"/>
          <w:sz w:val="16"/>
          <w:szCs w:val="16"/>
          <w:u w:val="single" w:color="auto"/>
          <w:color w:val="auto"/>
        </w:rPr>
        <w:t>Section 1.3</w:t>
      </w:r>
      <w:r>
        <w:rPr>
          <w:rFonts w:ascii="Arial" w:cs="Arial" w:eastAsia="Arial" w:hAnsi="Arial"/>
          <w:sz w:val="16"/>
          <w:szCs w:val="16"/>
          <w:color w:val="auto"/>
        </w:rPr>
        <w:t>; provided, however,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otherwise valid exercise of Tenant’s Right of First Offer shall be fully effective whether or not a lease amendment is executed. Tenant shall commence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Rent for such Offer Space, and the term of such Offer Space (the “</w:t>
      </w:r>
      <w:r>
        <w:rPr>
          <w:rFonts w:ascii="Arial" w:cs="Arial" w:eastAsia="Arial" w:hAnsi="Arial"/>
          <w:sz w:val="16"/>
          <w:szCs w:val="16"/>
          <w:b w:val="1"/>
          <w:bCs w:val="1"/>
          <w:color w:val="auto"/>
        </w:rPr>
        <w:t>First Offer Term</w:t>
      </w:r>
      <w:r>
        <w:rPr>
          <w:rFonts w:ascii="Arial" w:cs="Arial" w:eastAsia="Arial" w:hAnsi="Arial"/>
          <w:sz w:val="16"/>
          <w:szCs w:val="16"/>
          <w:color w:val="auto"/>
        </w:rPr>
        <w:t>”) shall commence upon such commencement date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Offer Commencement Date</w:t>
      </w:r>
      <w:r>
        <w:rPr>
          <w:rFonts w:ascii="Arial" w:cs="Arial" w:eastAsia="Arial" w:hAnsi="Arial"/>
          <w:sz w:val="16"/>
          <w:szCs w:val="16"/>
          <w:color w:val="auto"/>
        </w:rPr>
        <w:t>”) and expire upon the date set forth in the First Offer Notice. Landlord shall use reasonable efforts to deliver the Offer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Space to Tenant in the condition required by </w:t>
      </w:r>
      <w:r>
        <w:rPr>
          <w:rFonts w:ascii="Arial" w:cs="Arial" w:eastAsia="Arial" w:hAnsi="Arial"/>
          <w:sz w:val="16"/>
          <w:szCs w:val="16"/>
          <w:u w:val="single" w:color="auto"/>
          <w:color w:val="auto"/>
        </w:rPr>
        <w:t>Section 1.3.4</w:t>
      </w:r>
      <w:r>
        <w:rPr>
          <w:rFonts w:ascii="Arial" w:cs="Arial" w:eastAsia="Arial" w:hAnsi="Arial"/>
          <w:sz w:val="16"/>
          <w:szCs w:val="16"/>
          <w:color w:val="auto"/>
        </w:rPr>
        <w:t xml:space="preserve"> above on the ROFO Target Delivery Date; provided, however, if Landlord is unable to deliver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possession of the Offer Space to Tenant on the ROFO Target Delivery Date for any reason whatsoever, neither the Lease nor Tenant’s obligation to 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9" w:name="page540"/>
    <w:bookmarkEnd w:id="539"/>
    <w:p>
      <w:pPr>
        <w:ind w:right="120"/>
        <w:spacing w:after="0" w:line="263" w:lineRule="auto"/>
        <w:rPr>
          <w:sz w:val="20"/>
          <w:szCs w:val="20"/>
          <w:color w:val="auto"/>
        </w:rPr>
      </w:pPr>
      <w:r>
        <w:rPr>
          <w:rFonts w:ascii="Arial" w:cs="Arial" w:eastAsia="Arial" w:hAnsi="Arial"/>
          <w:sz w:val="18"/>
          <w:szCs w:val="18"/>
          <w:color w:val="auto"/>
        </w:rPr>
        <w:t>Offer Space hereunder shall be void or voidable, nor shall any such delay in delivery of possession of the Offer Space operate to extend the Lease Term with respect to the Offer Space or the balance of the Premises, or amend the First Offer Commencement Date or Tenant’s other obligations with respect to the Offer Space or under the Lease.</w:t>
      </w:r>
    </w:p>
    <w:p>
      <w:pPr>
        <w:spacing w:after="0" w:line="180" w:lineRule="exact"/>
        <w:rPr>
          <w:sz w:val="20"/>
          <w:szCs w:val="20"/>
          <w:color w:val="auto"/>
        </w:rPr>
      </w:pPr>
    </w:p>
    <w:p>
      <w:pPr>
        <w:ind w:right="40" w:firstLine="1296"/>
        <w:spacing w:after="0" w:line="292"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b w:val="1"/>
          <w:bCs w:val="1"/>
          <w:u w:val="single" w:color="auto"/>
          <w:color w:val="auto"/>
        </w:rPr>
        <w:t>Termination of Right of First Offer</w:t>
      </w:r>
      <w:r>
        <w:rPr>
          <w:rFonts w:ascii="Arial" w:cs="Arial" w:eastAsia="Arial" w:hAnsi="Arial"/>
          <w:sz w:val="16"/>
          <w:szCs w:val="16"/>
          <w:color w:val="auto"/>
        </w:rPr>
        <w:t xml:space="preserve">. The rights contained in this Section 1.3 shall be personal to the Original Tenant and may only be exercised by the Original Tenant and its Permitted Transferee (and not any other assignee, or any sublessee or other transferee of the Original Tenant’s interest in this Lease) if the Lease then remains in full force and effect and if Original Tenant occupies the entire Premises. The Right of First Offer granted herein shall terminate as to any particular Offer Space upon the exercise by Tenant of, or the failure by Tenant to exercise, its Right of First Offer with respect to such Offer Space as offered by Landlord. Tenant shall have the right to lease any Offer Space as provided in this </w:t>
      </w:r>
      <w:r>
        <w:rPr>
          <w:rFonts w:ascii="Arial" w:cs="Arial" w:eastAsia="Arial" w:hAnsi="Arial"/>
          <w:sz w:val="16"/>
          <w:szCs w:val="16"/>
          <w:u w:val="single" w:color="auto"/>
          <w:color w:val="auto"/>
        </w:rPr>
        <w:t>Section 1.3</w:t>
      </w:r>
      <w:r>
        <w:rPr>
          <w:rFonts w:ascii="Arial" w:cs="Arial" w:eastAsia="Arial" w:hAnsi="Arial"/>
          <w:sz w:val="16"/>
          <w:szCs w:val="16"/>
          <w:color w:val="auto"/>
        </w:rPr>
        <w:t>, only if, as of the date of the attempted exercise of any Right of First Offer by Tenant, or, at Landlord’s option, as of the scheduled date of delivery of such Offer Space to Tenant, no Default (as defined below) under this Lease theretofore shall have occurred or be continuing hereunder.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LEASE TERM</w:t>
      </w:r>
    </w:p>
    <w:p>
      <w:pPr>
        <w:spacing w:after="0" w:line="221" w:lineRule="exact"/>
        <w:rPr>
          <w:sz w:val="20"/>
          <w:szCs w:val="20"/>
          <w:color w:val="auto"/>
        </w:rPr>
      </w:pPr>
    </w:p>
    <w:p>
      <w:pPr>
        <w:ind w:right="40" w:firstLine="648"/>
        <w:spacing w:after="0" w:line="26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General</w:t>
      </w:r>
      <w:r>
        <w:rPr>
          <w:rFonts w:ascii="Arial" w:cs="Arial" w:eastAsia="Arial" w:hAnsi="Arial"/>
          <w:sz w:val="17"/>
          <w:szCs w:val="17"/>
          <w:color w:val="auto"/>
        </w:rPr>
        <w:t>. The terms and provisions of this Lease shall be effective as of the date of this Lease. The term of this Lease (the “</w:t>
      </w:r>
      <w:r>
        <w:rPr>
          <w:rFonts w:ascii="Arial" w:cs="Arial" w:eastAsia="Arial" w:hAnsi="Arial"/>
          <w:sz w:val="17"/>
          <w:szCs w:val="17"/>
          <w:b w:val="1"/>
          <w:bCs w:val="1"/>
          <w:color w:val="auto"/>
        </w:rPr>
        <w:t>Lease</w:t>
      </w:r>
      <w:r>
        <w:rPr>
          <w:rFonts w:ascii="Arial" w:cs="Arial" w:eastAsia="Arial" w:hAnsi="Arial"/>
          <w:sz w:val="17"/>
          <w:szCs w:val="17"/>
          <w:color w:val="auto"/>
        </w:rPr>
        <w:t xml:space="preserve"> </w:t>
      </w:r>
      <w:r>
        <w:rPr>
          <w:rFonts w:ascii="Arial" w:cs="Arial" w:eastAsia="Arial" w:hAnsi="Arial"/>
          <w:sz w:val="17"/>
          <w:szCs w:val="17"/>
          <w:b w:val="1"/>
          <w:bCs w:val="1"/>
          <w:color w:val="auto"/>
        </w:rPr>
        <w:t>Term</w:t>
      </w:r>
      <w:r>
        <w:rPr>
          <w:rFonts w:ascii="Arial" w:cs="Arial" w:eastAsia="Arial" w:hAnsi="Arial"/>
          <w:sz w:val="17"/>
          <w:szCs w:val="17"/>
          <w:color w:val="auto"/>
        </w:rPr>
        <w:t>”) shall be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3.1</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Summary, shall commence on the date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Summary (the “</w:t>
      </w:r>
      <w:r>
        <w:rPr>
          <w:rFonts w:ascii="Arial" w:cs="Arial" w:eastAsia="Arial" w:hAnsi="Arial"/>
          <w:sz w:val="17"/>
          <w:szCs w:val="17"/>
          <w:b w:val="1"/>
          <w:bCs w:val="1"/>
          <w:color w:val="auto"/>
        </w:rPr>
        <w:t>Lease Commencement Date</w:t>
      </w:r>
      <w:r>
        <w:rPr>
          <w:rFonts w:ascii="Arial" w:cs="Arial" w:eastAsia="Arial" w:hAnsi="Arial"/>
          <w:sz w:val="17"/>
          <w:szCs w:val="17"/>
          <w:color w:val="auto"/>
        </w:rPr>
        <w:t>”), and shall terminate on the date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Summary (the “</w:t>
      </w:r>
      <w:r>
        <w:rPr>
          <w:rFonts w:ascii="Arial" w:cs="Arial" w:eastAsia="Arial" w:hAnsi="Arial"/>
          <w:sz w:val="17"/>
          <w:szCs w:val="17"/>
          <w:b w:val="1"/>
          <w:bCs w:val="1"/>
          <w:color w:val="auto"/>
        </w:rPr>
        <w:t>Lease Expiration Date</w:t>
      </w:r>
      <w:r>
        <w:rPr>
          <w:rFonts w:ascii="Arial" w:cs="Arial" w:eastAsia="Arial" w:hAnsi="Arial"/>
          <w:sz w:val="17"/>
          <w:szCs w:val="17"/>
          <w:color w:val="auto"/>
        </w:rPr>
        <w:t>”) unless this Lease is</w:t>
      </w:r>
      <w:r>
        <w:rPr>
          <w:rFonts w:ascii="Arial" w:cs="Arial" w:eastAsia="Arial" w:hAnsi="Arial"/>
          <w:sz w:val="17"/>
          <w:szCs w:val="17"/>
          <w:b w:val="1"/>
          <w:bCs w:val="1"/>
          <w:color w:val="auto"/>
        </w:rPr>
        <w:t xml:space="preserve"> </w:t>
      </w:r>
      <w:r>
        <w:rPr>
          <w:rFonts w:ascii="Arial" w:cs="Arial" w:eastAsia="Arial" w:hAnsi="Arial"/>
          <w:sz w:val="17"/>
          <w:szCs w:val="17"/>
          <w:color w:val="auto"/>
        </w:rPr>
        <w:t>sooner terminated as hereinafter provided. For purposes of this Lease, the term “</w:t>
      </w:r>
      <w:r>
        <w:rPr>
          <w:rFonts w:ascii="Arial" w:cs="Arial" w:eastAsia="Arial" w:hAnsi="Arial"/>
          <w:sz w:val="17"/>
          <w:szCs w:val="17"/>
          <w:b w:val="1"/>
          <w:bCs w:val="1"/>
          <w:color w:val="auto"/>
        </w:rPr>
        <w:t>Lease Year</w:t>
      </w:r>
      <w:r>
        <w:rPr>
          <w:rFonts w:ascii="Arial" w:cs="Arial" w:eastAsia="Arial" w:hAnsi="Arial"/>
          <w:sz w:val="17"/>
          <w:szCs w:val="17"/>
          <w:color w:val="auto"/>
        </w:rPr>
        <w:t>” shall mean each consecutive twelve (12) month period during the Lease Term; provided, however, that the first Lease Year shall commence on the Lease Commencement Date and end on the last day of the twelfth (12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full calendar month thereafter and the second and each succeeding Lease Year shall commence on the first day of the next calendar month; and further provided that the last Lease Year shall end on the Lease Expiration Date. At any time during the Lease Term, Landlord may deliver to Tenant a notice in the form as set forth in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attached hereto (the “</w:t>
      </w:r>
      <w:r>
        <w:rPr>
          <w:rFonts w:ascii="Arial" w:cs="Arial" w:eastAsia="Arial" w:hAnsi="Arial"/>
          <w:sz w:val="17"/>
          <w:szCs w:val="17"/>
          <w:b w:val="1"/>
          <w:bCs w:val="1"/>
          <w:color w:val="auto"/>
        </w:rPr>
        <w:t>Notice of Lease Term Dates</w:t>
      </w:r>
      <w:r>
        <w:rPr>
          <w:rFonts w:ascii="Arial" w:cs="Arial" w:eastAsia="Arial" w:hAnsi="Arial"/>
          <w:sz w:val="17"/>
          <w:szCs w:val="17"/>
          <w:color w:val="auto"/>
        </w:rPr>
        <w:t>”), as a confirmation of the information set forth therein, which Tenant shall execute and return to Landlord within five (5) days of receipt thereof, and thereafter the dates set forth on such notice shall be conclusive and binding upon Tenant. Failure of Tenant to timely execute and deliver the Notice of Lease Term Dates shall constitute an acknowledgment by Tenant that the statements included in such notice are true and correct, without exception.</w:t>
      </w:r>
    </w:p>
    <w:p>
      <w:pPr>
        <w:spacing w:after="0" w:line="18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Beneficial Occupancy of Suite 304</w:t>
      </w:r>
      <w:r>
        <w:rPr>
          <w:rFonts w:ascii="Arial" w:cs="Arial" w:eastAsia="Arial" w:hAnsi="Arial"/>
          <w:sz w:val="18"/>
          <w:szCs w:val="18"/>
          <w:color w:val="auto"/>
        </w:rPr>
        <w:t xml:space="preserve">. Notwithstanding any provision to the contrary contained in this Lease, during the Suite 306 Build-Out Period, Tenant shall have the right to occupy all or any portion of Suite 304 for the conduct of its business prior to the Lease Commencement Date, provided that (i) governmental approval (including permit “sign-offs”) permitting the occupancy of Suite 304 by Tenant shall have been issued by the appropriate governmental authorities for each such portion to be occupied, (ii) Tenant shall have delivered to Landlord satisfactory evidence of the insurance coverage required to be carried by Tenant in accordance with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below with respect to the applicable portion of the Premises, (iii) Tenant shall have delivered the L-C (as defined below) to Landlord as required by </w:t>
      </w:r>
      <w:r>
        <w:rPr>
          <w:rFonts w:ascii="Arial" w:cs="Arial" w:eastAsia="Arial" w:hAnsi="Arial"/>
          <w:sz w:val="18"/>
          <w:szCs w:val="18"/>
          <w:u w:val="single" w:color="auto"/>
          <w:color w:val="auto"/>
        </w:rPr>
        <w:t>Article 21</w:t>
      </w:r>
      <w:r>
        <w:rPr>
          <w:rFonts w:ascii="Arial" w:cs="Arial" w:eastAsia="Arial" w:hAnsi="Arial"/>
          <w:sz w:val="18"/>
          <w:szCs w:val="18"/>
          <w:color w:val="auto"/>
        </w:rPr>
        <w:t xml:space="preserve"> below; and (iv) all of the terms and conditions of this Lease shall apply, other than Tenant’s obligation to pay Base Rent and Tenant’s Share of Building Direct Expenses (as defined below), as though the Lease Commencement Date had occurred (although the Lease Commencement Date shall not actually occur until the occurrence of the same pursuant to the terms of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the Summary).</w:t>
      </w:r>
    </w:p>
    <w:p>
      <w:pPr>
        <w:spacing w:after="0" w:line="1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u w:val="single" w:color="auto"/>
          <w:color w:val="auto"/>
        </w:rPr>
        <w:t>Option Term</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u w:val="single" w:color="auto"/>
          <w:color w:val="auto"/>
        </w:rPr>
        <w:t>Extension Option</w:t>
      </w:r>
      <w:r>
        <w:rPr>
          <w:rFonts w:ascii="Arial" w:cs="Arial" w:eastAsia="Arial" w:hAnsi="Arial"/>
          <w:sz w:val="18"/>
          <w:szCs w:val="18"/>
          <w:color w:val="auto"/>
        </w:rPr>
        <w:t>. Landlord hereby grants the Original Tenant, one (1) option to extend (“</w:t>
      </w:r>
      <w:r>
        <w:rPr>
          <w:rFonts w:ascii="Arial" w:cs="Arial" w:eastAsia="Arial" w:hAnsi="Arial"/>
          <w:sz w:val="18"/>
          <w:szCs w:val="18"/>
          <w:b w:val="1"/>
          <w:bCs w:val="1"/>
          <w:color w:val="auto"/>
        </w:rPr>
        <w:t>Extension Option</w:t>
      </w:r>
      <w:r>
        <w:rPr>
          <w:rFonts w:ascii="Arial" w:cs="Arial" w:eastAsia="Arial" w:hAnsi="Arial"/>
          <w:sz w:val="18"/>
          <w:szCs w:val="18"/>
          <w:color w:val="auto"/>
        </w:rPr>
        <w:t>”) the Lease Term for a period of five (5) years (the “</w:t>
      </w:r>
      <w:r>
        <w:rPr>
          <w:rFonts w:ascii="Arial" w:cs="Arial" w:eastAsia="Arial" w:hAnsi="Arial"/>
          <w:sz w:val="18"/>
          <w:szCs w:val="18"/>
          <w:b w:val="1"/>
          <w:bCs w:val="1"/>
          <w:color w:val="auto"/>
        </w:rPr>
        <w:t>Option Term</w:t>
      </w:r>
      <w:r>
        <w:rPr>
          <w:rFonts w:ascii="Arial" w:cs="Arial" w:eastAsia="Arial" w:hAnsi="Arial"/>
          <w:sz w:val="18"/>
          <w:szCs w:val="18"/>
          <w:color w:val="auto"/>
        </w:rPr>
        <w:t xml:space="preserve">”), which option shall be exercisable only by written notice delivered by Tenant to Landlord as provided below, provided that, as of the date of delivery of such notice, Tenant is not in Default and Tenant has not previously been in Default. Upon the proper exercise of such Extension Option, and provided that, at Landlord’s option, as of the end of the initial Lease Term, Tenant is not in Default and Tenant has not previously been in Default, the Lease Term, as it applies to the Premises, shall be extended for a period of five (5) years. The rights contained in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be personal to the Original Tenant and its Permitted Transferee and may only be exercised by the Original Tenant and its Permitted Transferee (and not any other assignee, sublessee or other transferee of Tenant’s interest in this Lease) if the Original Tenant occupies more than seventy-five percent (75%) of the Premises.</w:t>
      </w:r>
    </w:p>
    <w:p>
      <w:pPr>
        <w:spacing w:after="0" w:line="19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b w:val="1"/>
          <w:bCs w:val="1"/>
          <w:u w:val="single" w:color="auto"/>
          <w:color w:val="auto"/>
        </w:rPr>
        <w:t>Option Rent</w:t>
      </w:r>
      <w:r>
        <w:rPr>
          <w:rFonts w:ascii="Arial" w:cs="Arial" w:eastAsia="Arial" w:hAnsi="Arial"/>
          <w:sz w:val="16"/>
          <w:szCs w:val="16"/>
          <w:color w:val="auto"/>
        </w:rPr>
        <w:t>. The rent payable by Tenant during the Option Term (the “</w:t>
      </w:r>
      <w:r>
        <w:rPr>
          <w:rFonts w:ascii="Arial" w:cs="Arial" w:eastAsia="Arial" w:hAnsi="Arial"/>
          <w:sz w:val="16"/>
          <w:szCs w:val="16"/>
          <w:b w:val="1"/>
          <w:bCs w:val="1"/>
          <w:color w:val="auto"/>
        </w:rPr>
        <w:t>Option Rent</w:t>
      </w:r>
      <w:r>
        <w:rPr>
          <w:rFonts w:ascii="Arial" w:cs="Arial" w:eastAsia="Arial" w:hAnsi="Arial"/>
          <w:sz w:val="16"/>
          <w:szCs w:val="16"/>
          <w:color w:val="auto"/>
        </w:rPr>
        <w:t>”) shall be equal to one hundred percent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of the fixed rent component (and one hundred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0" w:name="page541"/>
    <w:bookmarkEnd w:id="540"/>
    <w:p>
      <w:pPr>
        <w:ind w:right="20"/>
        <w:spacing w:after="0" w:line="284" w:lineRule="auto"/>
        <w:rPr>
          <w:sz w:val="20"/>
          <w:szCs w:val="20"/>
          <w:color w:val="auto"/>
        </w:rPr>
      </w:pPr>
      <w:r>
        <w:rPr>
          <w:rFonts w:ascii="Arial" w:cs="Arial" w:eastAsia="Arial" w:hAnsi="Arial"/>
          <w:sz w:val="16"/>
          <w:szCs w:val="16"/>
          <w:color w:val="auto"/>
        </w:rPr>
        <w:t>percent (100%) of the additional rent component) of the rent (including any additional rent and considering any “triple net” applicable thereto or “base year” or “expense stop” applicable thereto), on an annual per rentable square foot basis, including all escalations, at which tenants, as of the commencement of the Option Term (or First Offer Term, as applicable), are leasing non-sublease, non-encumbered, non-equity space comparable in size, location and quality to the Premises for a term comparable to the Option Term (or First Offer Term, as applicable), in an arm’s length transaction consummated during the twelve (12) month period prior to the date on which Landlord delivers to Tenant the “Option Rent Notice,” as this term is defined below (or First Offer Exercise Notice, as applicable), which comparable space is located in the Project, or if there is not a sufficient number of comparable transactions in the Project, then in the Comparable Buildings (“</w:t>
      </w:r>
      <w:r>
        <w:rPr>
          <w:rFonts w:ascii="Arial" w:cs="Arial" w:eastAsia="Arial" w:hAnsi="Arial"/>
          <w:sz w:val="16"/>
          <w:szCs w:val="16"/>
          <w:b w:val="1"/>
          <w:bCs w:val="1"/>
          <w:color w:val="auto"/>
        </w:rPr>
        <w:t>Comparable Transactions</w:t>
      </w:r>
      <w:r>
        <w:rPr>
          <w:rFonts w:ascii="Arial" w:cs="Arial" w:eastAsia="Arial" w:hAnsi="Arial"/>
          <w:sz w:val="16"/>
          <w:szCs w:val="16"/>
          <w:color w:val="auto"/>
        </w:rPr>
        <w:t>”), taking into consideration only the following concessions (“</w:t>
      </w:r>
      <w:r>
        <w:rPr>
          <w:rFonts w:ascii="Arial" w:cs="Arial" w:eastAsia="Arial" w:hAnsi="Arial"/>
          <w:sz w:val="16"/>
          <w:szCs w:val="16"/>
          <w:b w:val="1"/>
          <w:bCs w:val="1"/>
          <w:color w:val="auto"/>
        </w:rPr>
        <w:t>Concessions</w:t>
      </w:r>
      <w:r>
        <w:rPr>
          <w:rFonts w:ascii="Arial" w:cs="Arial" w:eastAsia="Arial" w:hAnsi="Arial"/>
          <w:sz w:val="16"/>
          <w:szCs w:val="16"/>
          <w:color w:val="auto"/>
        </w:rPr>
        <w:t xml:space="preserve">”): (a) rental abatement concessions, if any, being granted such tenants in connection with such comparable space, and (b) tenant improvements or allowances provided or to be provided for such comparable space, taking into account, and deducting the value of, the existing improvements in the Premises, such value to be based upon the age, quality and layout of the improvements and the extent to which the same could be utilized by Tenant based upon the fact that the precise tenant improvements existing in the Premises are specifically suitable to Tenant; provided, however, that notwithstanding anything to the contrary herein, no consideration shall be given to (i) the fact that Landlord is or is not required to pay a real estate brokerage commission in connection with Tenant’s exercise of its right to lease the Premises during the Option Term (or the Offer Space during the First Offer Term, as applicable) or the fact that the Comparable Transactions do or do not involve the payment of real estate brokerage commissions, and (ii) any period of rental abatement, if any, granted to tenants in Comparable Transactions in connection with the design, permitting and construction of tenant improvements in such comparable spaces; and provided further that Tenant shall pay Tenant’s Share of Building Direct Expenses during the Option Term (or First Offer Term, as applicable) in accordance with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below. Fair Rental Value shall additionally include a determination as to whether, and if so to what extent, Tenant must provide Landlord with financial security, such as a security deposit, letter of credit or guaranty, for Tenant’s rent obligations during the Option Term. Such determination shall be made by reviewing the extent of financial security then generally being imposed in Comparable Transactions upon tenants of comparable financial condition and credit history to the then existing financial condition and credit history of Tenant (with appropriate adjustments to account for differences in the then-existing financial condition of Tenant and such other tenants).</w:t>
      </w:r>
    </w:p>
    <w:p>
      <w:pPr>
        <w:spacing w:after="0" w:line="176"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xml:space="preserve">. The Extension Option contained in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be exercised by Tenant, if at all, only in the following manner: (i) Tenant shall deliver written notice to Landlord not more than twelve (12) months nor less than ten (10) months prior to the expiration of the initial Lease Term exercising its option; (ii) Landlord, after receipt of Tenant’s notice, shall deliver notice (the “</w:t>
      </w:r>
      <w:r>
        <w:rPr>
          <w:rFonts w:ascii="Arial" w:cs="Arial" w:eastAsia="Arial" w:hAnsi="Arial"/>
          <w:sz w:val="16"/>
          <w:szCs w:val="16"/>
          <w:b w:val="1"/>
          <w:bCs w:val="1"/>
          <w:color w:val="auto"/>
        </w:rPr>
        <w:t>Option Rent Notice</w:t>
      </w:r>
      <w:r>
        <w:rPr>
          <w:rFonts w:ascii="Arial" w:cs="Arial" w:eastAsia="Arial" w:hAnsi="Arial"/>
          <w:sz w:val="16"/>
          <w:szCs w:val="16"/>
          <w:color w:val="auto"/>
        </w:rPr>
        <w:t>”), to Tenant not later than thirty (30) days following Landlord’s receipt of the Option Rent Notice, setting forth the Option Rent; and (iii) if Tenant wishes to exercise such option, Tenant shall, on or before the earlier of (A) the date occurring nine (9) months prior to the expiration of the initial Lease Term, or (B) the date occurring thirty (30) days after Tenant’s receipt of the Option Rent Notice, exercise the option by delivering irrevocable written notice thereof to the Landlord (the “</w:t>
      </w:r>
      <w:r>
        <w:rPr>
          <w:rFonts w:ascii="Arial" w:cs="Arial" w:eastAsia="Arial" w:hAnsi="Arial"/>
          <w:sz w:val="16"/>
          <w:szCs w:val="16"/>
          <w:b w:val="1"/>
          <w:bCs w:val="1"/>
          <w:color w:val="auto"/>
        </w:rPr>
        <w:t>Option Exercise Notice</w:t>
      </w:r>
      <w:r>
        <w:rPr>
          <w:rFonts w:ascii="Arial" w:cs="Arial" w:eastAsia="Arial" w:hAnsi="Arial"/>
          <w:sz w:val="16"/>
          <w:szCs w:val="16"/>
          <w:color w:val="auto"/>
        </w:rPr>
        <w:t xml:space="preserve">”), and upon, and concurrent with, such exercise, Tenant may, at its option, object to the Option Rent contained in the Option Rent Notice, in which case the parties shall follow the procedure, and the Option Rent shall be determined, as set forth in </w:t>
      </w:r>
      <w:r>
        <w:rPr>
          <w:rFonts w:ascii="Arial" w:cs="Arial" w:eastAsia="Arial" w:hAnsi="Arial"/>
          <w:sz w:val="16"/>
          <w:szCs w:val="16"/>
          <w:u w:val="single" w:color="auto"/>
          <w:color w:val="auto"/>
        </w:rPr>
        <w:t>Section 2.3.4</w:t>
      </w:r>
      <w:r>
        <w:rPr>
          <w:rFonts w:ascii="Arial" w:cs="Arial" w:eastAsia="Arial" w:hAnsi="Arial"/>
          <w:sz w:val="16"/>
          <w:szCs w:val="16"/>
          <w:color w:val="auto"/>
        </w:rPr>
        <w:t xml:space="preserve"> below.</w:t>
      </w:r>
    </w:p>
    <w:p>
      <w:pPr>
        <w:spacing w:after="0" w:line="159" w:lineRule="exact"/>
        <w:rPr>
          <w:sz w:val="20"/>
          <w:szCs w:val="20"/>
          <w:color w:val="auto"/>
        </w:rPr>
      </w:pPr>
    </w:p>
    <w:p>
      <w:pPr>
        <w:ind w:right="180" w:firstLine="1296"/>
        <w:spacing w:after="0" w:line="256"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u w:val="single" w:color="auto"/>
          <w:color w:val="auto"/>
        </w:rPr>
        <w:t>Determination of Option Rent</w:t>
      </w:r>
      <w:r>
        <w:rPr>
          <w:rFonts w:ascii="Arial" w:cs="Arial" w:eastAsia="Arial" w:hAnsi="Arial"/>
          <w:sz w:val="18"/>
          <w:szCs w:val="18"/>
          <w:color w:val="auto"/>
        </w:rPr>
        <w:t>. In the event Tenant timely and appropriately objects to the Option Rent (or the First Offer Rent, as applicable), Landlord and Tenant shall attempt to agree upon the Option Rent (or the First Offer Rent, as applicable) using their best good-faith efforts. If Landlord and Tenant fail to reach agreement within ten (10) business days following Tenant’s objection to the Option Rent (or the First Offer Rent, as applicable) (the “</w:t>
      </w:r>
      <w:r>
        <w:rPr>
          <w:rFonts w:ascii="Arial" w:cs="Arial" w:eastAsia="Arial" w:hAnsi="Arial"/>
          <w:sz w:val="18"/>
          <w:szCs w:val="18"/>
          <w:b w:val="1"/>
          <w:bCs w:val="1"/>
          <w:color w:val="auto"/>
        </w:rPr>
        <w:t>Outside Agreement Date</w:t>
      </w:r>
      <w:r>
        <w:rPr>
          <w:rFonts w:ascii="Arial" w:cs="Arial" w:eastAsia="Arial" w:hAnsi="Arial"/>
          <w:sz w:val="18"/>
          <w:szCs w:val="18"/>
          <w:color w:val="auto"/>
        </w:rPr>
        <w:t xml:space="preserve">”), then each party shall make a separate determination of the Option Rent (or the First Offer Rent, as applicable) within five (5) business days, and such determinations shall be submitted to arbitration in accordance with </w:t>
      </w:r>
      <w:r>
        <w:rPr>
          <w:rFonts w:ascii="Arial" w:cs="Arial" w:eastAsia="Arial" w:hAnsi="Arial"/>
          <w:sz w:val="18"/>
          <w:szCs w:val="18"/>
          <w:u w:val="single" w:color="auto"/>
          <w:color w:val="auto"/>
        </w:rPr>
        <w:t>Sections 2.3.4.1 through 2.3.4.7</w:t>
      </w:r>
      <w:r>
        <w:rPr>
          <w:rFonts w:ascii="Arial" w:cs="Arial" w:eastAsia="Arial" w:hAnsi="Arial"/>
          <w:sz w:val="18"/>
          <w:szCs w:val="18"/>
          <w:color w:val="auto"/>
        </w:rPr>
        <w:t xml:space="preserve"> below.</w:t>
      </w:r>
    </w:p>
    <w:p>
      <w:pPr>
        <w:spacing w:after="0" w:line="191" w:lineRule="exact"/>
        <w:rPr>
          <w:sz w:val="20"/>
          <w:szCs w:val="20"/>
          <w:color w:val="auto"/>
        </w:rPr>
      </w:pPr>
    </w:p>
    <w:p>
      <w:pPr>
        <w:ind w:right="240" w:firstLine="1944"/>
        <w:spacing w:after="0" w:line="275" w:lineRule="auto"/>
        <w:rPr>
          <w:sz w:val="20"/>
          <w:szCs w:val="20"/>
          <w:color w:val="auto"/>
        </w:rPr>
      </w:pPr>
      <w:r>
        <w:rPr>
          <w:rFonts w:ascii="Arial" w:cs="Arial" w:eastAsia="Arial" w:hAnsi="Arial"/>
          <w:sz w:val="17"/>
          <w:szCs w:val="17"/>
          <w:color w:val="auto"/>
        </w:rPr>
        <w:t xml:space="preserve">2.3.4.1 Landlord and Tenant shall each appoint one arbitrator who shall by profession be a real estate broker who shall have been active over the five (5) year period ending on the date of such appointment in the leasing of Comparable Buildings. The determination of the arbitrators shall be limited solely to the issue area of whether Landlord’s or Tenant’s submitted Option Rent (or the First Offer Rent, as applicable) is the closest to the actual Option Rent (or the First Offer Rent, as applicable) as determined by the arbitrators, taking into account the requirements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2.3.2</w:t>
      </w:r>
      <w:r>
        <w:rPr>
          <w:rFonts w:ascii="Arial" w:cs="Arial" w:eastAsia="Arial" w:hAnsi="Arial"/>
          <w:sz w:val="17"/>
          <w:szCs w:val="17"/>
          <w:color w:val="auto"/>
        </w:rPr>
        <w:t xml:space="preserve"> of this Lease. Each such arbitrator shall be appointed within fifteen (15) days after the Outside Agreement Date.</w:t>
      </w:r>
    </w:p>
    <w:p>
      <w:pPr>
        <w:spacing w:after="0" w:line="176" w:lineRule="exact"/>
        <w:rPr>
          <w:sz w:val="20"/>
          <w:szCs w:val="20"/>
          <w:color w:val="auto"/>
        </w:rPr>
      </w:pPr>
    </w:p>
    <w:p>
      <w:pPr>
        <w:ind w:right="280" w:firstLine="1944"/>
        <w:spacing w:after="0" w:line="263" w:lineRule="auto"/>
        <w:rPr>
          <w:sz w:val="20"/>
          <w:szCs w:val="20"/>
          <w:color w:val="auto"/>
        </w:rPr>
      </w:pPr>
      <w:r>
        <w:rPr>
          <w:rFonts w:ascii="Arial" w:cs="Arial" w:eastAsia="Arial" w:hAnsi="Arial"/>
          <w:sz w:val="18"/>
          <w:szCs w:val="18"/>
          <w:color w:val="auto"/>
        </w:rPr>
        <w:t>2.3.4.2 The two arbitrators so appointed shall within ten (10) days of the date of the appointment of the last appointed arbitrator agree upon and appoint a third arbitrator who shall be qualified under the same criteria set forth hereinabove for qualification of the initial two arbitrators, provided that the third arbitrator shall not be then representing Landlord or Tenant.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1" w:name="page542"/>
    <w:bookmarkEnd w:id="541"/>
    <w:p>
      <w:pPr>
        <w:ind w:right="320" w:firstLine="1944"/>
        <w:spacing w:after="0" w:line="263" w:lineRule="auto"/>
        <w:rPr>
          <w:sz w:val="20"/>
          <w:szCs w:val="20"/>
          <w:color w:val="auto"/>
        </w:rPr>
      </w:pPr>
      <w:r>
        <w:rPr>
          <w:rFonts w:ascii="Arial" w:cs="Arial" w:eastAsia="Arial" w:hAnsi="Arial"/>
          <w:sz w:val="18"/>
          <w:szCs w:val="18"/>
          <w:color w:val="auto"/>
        </w:rPr>
        <w:t>2.3.4.3 The three arbitrators shall within thirty (30) days of the appointment of the third arbitrator reach a decision as to whether the parties shall use Landlord’s or Tenant’s submitted Option Rent (or the First Offer Rent, as applicable) and shall notify Landlord and Tenant thereof.</w:t>
      </w:r>
    </w:p>
    <w:p>
      <w:pPr>
        <w:spacing w:after="0" w:line="184"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2.3.4.4</w:t>
      </w:r>
      <w:r>
        <w:rPr>
          <w:sz w:val="20"/>
          <w:szCs w:val="20"/>
          <w:color w:val="auto"/>
        </w:rPr>
        <w:tab/>
      </w:r>
      <w:r>
        <w:rPr>
          <w:rFonts w:ascii="Arial" w:cs="Arial" w:eastAsia="Arial" w:hAnsi="Arial"/>
          <w:sz w:val="16"/>
          <w:szCs w:val="16"/>
          <w:color w:val="auto"/>
        </w:rPr>
        <w:t>The decision of the majority of the three (3) arbitrators shall be binding upon Landlord and Tenant.</w:t>
      </w:r>
    </w:p>
    <w:p>
      <w:pPr>
        <w:spacing w:after="0" w:line="225" w:lineRule="exact"/>
        <w:rPr>
          <w:sz w:val="20"/>
          <w:szCs w:val="20"/>
          <w:color w:val="auto"/>
        </w:rPr>
      </w:pPr>
    </w:p>
    <w:p>
      <w:pPr>
        <w:ind w:right="20" w:firstLine="1944"/>
        <w:spacing w:after="0" w:line="263" w:lineRule="auto"/>
        <w:rPr>
          <w:sz w:val="20"/>
          <w:szCs w:val="20"/>
          <w:color w:val="auto"/>
        </w:rPr>
      </w:pPr>
      <w:r>
        <w:rPr>
          <w:rFonts w:ascii="Arial" w:cs="Arial" w:eastAsia="Arial" w:hAnsi="Arial"/>
          <w:sz w:val="18"/>
          <w:szCs w:val="18"/>
          <w:color w:val="auto"/>
        </w:rPr>
        <w:t>2.3.4.5 If either Landlord or Tenant fails to appoint an arbitrator within fifteen (15) days after the Outside Agreement Date, the arbitrator appointed by one of them shall reach a decision, notify Landlord and Tenant thereof, and such arbitrator’s decision shall be binding upon Landlord and Tenant.</w:t>
      </w:r>
    </w:p>
    <w:p>
      <w:pPr>
        <w:spacing w:after="0" w:line="184" w:lineRule="exact"/>
        <w:rPr>
          <w:sz w:val="20"/>
          <w:szCs w:val="20"/>
          <w:color w:val="auto"/>
        </w:rPr>
      </w:pPr>
    </w:p>
    <w:p>
      <w:pPr>
        <w:ind w:right="100" w:firstLine="1944"/>
        <w:spacing w:after="0" w:line="255" w:lineRule="auto"/>
        <w:rPr>
          <w:sz w:val="20"/>
          <w:szCs w:val="20"/>
          <w:color w:val="auto"/>
        </w:rPr>
      </w:pPr>
      <w:r>
        <w:rPr>
          <w:rFonts w:ascii="Arial" w:cs="Arial" w:eastAsia="Arial" w:hAnsi="Arial"/>
          <w:sz w:val="18"/>
          <w:szCs w:val="18"/>
          <w:color w:val="auto"/>
        </w:rPr>
        <w:t xml:space="preserve">2.3.4.6 If the two (2) arbitrators fail to agree upon and appoint a third arbitrator, or if both parties fail to appoint an arbitrator, then the appointment of the third arbitrator or any arbitrator shall be dismissed and the matter to be decided shall be forthwith submitted to binding, final, non-appealable arbitration before a JAMS arbitrator mutually agreed upon by Landlord and Tenant. If Landlord and Tenant cannot agree on the arbitrator, the parties will so inform JAMS, who will then be authorized to select a JAMS judge to arbitrate the matter. Each party shall have the right of discovery pursuant to the California Code of Civil Procedure and evidentiary hearings shall be governed by the California Evidence Code, but subject to the instruction set forth in this </w:t>
      </w:r>
      <w:r>
        <w:rPr>
          <w:rFonts w:ascii="Arial" w:cs="Arial" w:eastAsia="Arial" w:hAnsi="Arial"/>
          <w:sz w:val="18"/>
          <w:szCs w:val="18"/>
          <w:u w:val="single" w:color="auto"/>
          <w:color w:val="auto"/>
        </w:rPr>
        <w:t>Section 2.3.4</w:t>
      </w:r>
      <w:r>
        <w:rPr>
          <w:rFonts w:ascii="Arial" w:cs="Arial" w:eastAsia="Arial" w:hAnsi="Arial"/>
          <w:sz w:val="18"/>
          <w:szCs w:val="18"/>
          <w:color w:val="auto"/>
        </w:rPr>
        <w:t>.</w:t>
      </w:r>
    </w:p>
    <w:p>
      <w:pPr>
        <w:spacing w:after="0" w:line="192"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2.3.4.7</w:t>
      </w:r>
      <w:r>
        <w:rPr>
          <w:sz w:val="20"/>
          <w:szCs w:val="20"/>
          <w:color w:val="auto"/>
        </w:rPr>
        <w:tab/>
      </w:r>
      <w:r>
        <w:rPr>
          <w:rFonts w:ascii="Arial" w:cs="Arial" w:eastAsia="Arial" w:hAnsi="Arial"/>
          <w:sz w:val="16"/>
          <w:szCs w:val="16"/>
          <w:color w:val="auto"/>
        </w:rPr>
        <w:t>The cost of arbitration shall be paid by Landlord and Tenant equally.</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3</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BASE RENT</w:t>
      </w:r>
    </w:p>
    <w:p>
      <w:pPr>
        <w:spacing w:after="0" w:line="22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General</w:t>
      </w:r>
      <w:r>
        <w:rPr>
          <w:rFonts w:ascii="Arial" w:cs="Arial" w:eastAsia="Arial" w:hAnsi="Arial"/>
          <w:sz w:val="17"/>
          <w:szCs w:val="17"/>
          <w:color w:val="auto"/>
        </w:rPr>
        <w:t>. Tenant shall pay, without prior notice or demand, to Landlord or Landlord’s agent at the management office 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7"/>
          <w:szCs w:val="17"/>
          <w:b w:val="1"/>
          <w:bCs w:val="1"/>
          <w:color w:val="auto"/>
        </w:rPr>
        <w:t>Base Rent</w:t>
      </w:r>
      <w:r>
        <w:rPr>
          <w:rFonts w:ascii="Arial" w:cs="Arial" w:eastAsia="Arial" w:hAnsi="Arial"/>
          <w:sz w:val="17"/>
          <w:szCs w:val="17"/>
          <w:color w:val="auto"/>
        </w:rPr>
        <w:t xml:space="preserve">”)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Summary, payable in equal monthly installments as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the Summary in advance on or before the first day of each and every calendar month during the Lease Term, without any setoff or deduction whatsoever. The Base Rent for the first full month of the Lease Term which occurs after the expiration of any free rent period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77" w:lineRule="exact"/>
        <w:rPr>
          <w:sz w:val="20"/>
          <w:szCs w:val="20"/>
          <w:color w:val="auto"/>
        </w:rPr>
      </w:pPr>
    </w:p>
    <w:p>
      <w:pPr>
        <w:ind w:right="40" w:firstLine="648"/>
        <w:spacing w:after="0" w:line="31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Suite 306 Build-Out Period</w:t>
      </w:r>
      <w:r>
        <w:rPr>
          <w:rFonts w:ascii="Arial" w:cs="Arial" w:eastAsia="Arial" w:hAnsi="Arial"/>
          <w:sz w:val="17"/>
          <w:szCs w:val="17"/>
          <w:color w:val="auto"/>
        </w:rPr>
        <w:t>. Tenant shall not be required to pay Base Rent or Tenant’s Share of Building Direct Expenses for the entire Premises during the Suite 306 Build-Out Period; however, all of the other terms and conditions of this Lease shall apply during such period.</w:t>
      </w:r>
    </w:p>
    <w:p>
      <w:pPr>
        <w:spacing w:after="0" w:line="14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u w:val="single" w:color="auto"/>
          <w:color w:val="auto"/>
        </w:rPr>
        <w:t>Abated Rent for Premises</w:t>
      </w:r>
      <w:r>
        <w:rPr>
          <w:rFonts w:ascii="Arial" w:cs="Arial" w:eastAsia="Arial" w:hAnsi="Arial"/>
          <w:sz w:val="16"/>
          <w:szCs w:val="16"/>
          <w:color w:val="auto"/>
        </w:rPr>
        <w:t>.</w:t>
      </w:r>
    </w:p>
    <w:p>
      <w:pPr>
        <w:spacing w:after="0" w:line="225" w:lineRule="exact"/>
        <w:rPr>
          <w:sz w:val="20"/>
          <w:szCs w:val="20"/>
          <w:color w:val="auto"/>
        </w:rPr>
      </w:pPr>
    </w:p>
    <w:p>
      <w:pPr>
        <w:ind w:right="40" w:firstLine="1296"/>
        <w:spacing w:after="0" w:line="287"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b w:val="1"/>
          <w:bCs w:val="1"/>
          <w:u w:val="single" w:color="auto"/>
          <w:color w:val="auto"/>
        </w:rPr>
        <w:t>Abated Base Rent for Suite 306</w:t>
      </w:r>
      <w:r>
        <w:rPr>
          <w:rFonts w:ascii="Arial" w:cs="Arial" w:eastAsia="Arial" w:hAnsi="Arial"/>
          <w:sz w:val="16"/>
          <w:szCs w:val="16"/>
          <w:color w:val="auto"/>
        </w:rPr>
        <w:t>. Provided that Tenant is not then in Default, then for the period consisting of the first day of Lease Month 1 and ending on the expiration of Lease Month 2 (the “</w:t>
      </w:r>
      <w:r>
        <w:rPr>
          <w:rFonts w:ascii="Arial" w:cs="Arial" w:eastAsia="Arial" w:hAnsi="Arial"/>
          <w:sz w:val="16"/>
          <w:szCs w:val="16"/>
          <w:b w:val="1"/>
          <w:bCs w:val="1"/>
          <w:color w:val="auto"/>
        </w:rPr>
        <w:t>Rent Abatement Period</w:t>
      </w:r>
      <w:r>
        <w:rPr>
          <w:rFonts w:ascii="Arial" w:cs="Arial" w:eastAsia="Arial" w:hAnsi="Arial"/>
          <w:sz w:val="16"/>
          <w:szCs w:val="16"/>
          <w:color w:val="auto"/>
        </w:rPr>
        <w:t>”), Tenant shall not be obligated to pay Base Rent for Suite 306 (the “</w:t>
      </w:r>
      <w:r>
        <w:rPr>
          <w:rFonts w:ascii="Arial" w:cs="Arial" w:eastAsia="Arial" w:hAnsi="Arial"/>
          <w:sz w:val="16"/>
          <w:szCs w:val="16"/>
          <w:b w:val="1"/>
          <w:bCs w:val="1"/>
          <w:color w:val="auto"/>
        </w:rPr>
        <w:t>Suite 306 Rent Abatement</w:t>
      </w:r>
      <w:r>
        <w:rPr>
          <w:rFonts w:ascii="Arial" w:cs="Arial" w:eastAsia="Arial" w:hAnsi="Arial"/>
          <w:sz w:val="16"/>
          <w:szCs w:val="16"/>
          <w:color w:val="auto"/>
        </w:rPr>
        <w:t xml:space="preserve">”), except that, notwithstanding the foregoing, Tenant shall remain obligated to pay, in accordance with the terms of this Lease, (i) Tenant’s Share of Building Direct Expenses with respect to Suite 306 and payments attributable to utilities, heating and air conditioning provided by Landlord to the Premises (in addition to any amounts payable by Tenant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and (ii) any and all taxes and other charges as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below. Notwithstanding the foregoing, the total amount of Base Rent abated during the Rent Abatement Period for Suite 306 shall not exceed $92,304.40 (i.e., $46,152.20 per month). Tenant acknowledges and agrees that the foregoing Suite 306 Rent Abatement has been granted to Tenant as additional consideration for entering into this Lease and for agreeing to pay the Rent and performing the terms and conditions otherwise required under this Lease. If Tenant shall be in Default under this Lease, and shall fail to cure such Default within the notice and cure period, if any, permitted for cure pursuant to this Lease, and Landlord elects to terminate this Lease because of such Default, then Landlord may, by notice to Tenant, elect, in addition to any other remedies Landlord may have under this Lease, to require that Tenant shall immediately become obligated to pay to Landlord all Rent abated hereunder during the Rent Abatement Period with respect to the Suite 306 Rent Abatement, with interest as provided pursuant to this Lease from the date such Rent would have otherwise been due but for the abatement provided herein.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2" w:name="page543"/>
    <w:bookmarkEnd w:id="542"/>
    <w:p>
      <w:pPr>
        <w:ind w:firstLine="1296"/>
        <w:spacing w:after="0" w:line="287"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b w:val="1"/>
          <w:bCs w:val="1"/>
          <w:u w:val="single" w:color="auto"/>
          <w:color w:val="auto"/>
        </w:rPr>
        <w:t>Abated Rent for Suite 304</w:t>
      </w:r>
      <w:r>
        <w:rPr>
          <w:rFonts w:ascii="Arial" w:cs="Arial" w:eastAsia="Arial" w:hAnsi="Arial"/>
          <w:sz w:val="16"/>
          <w:szCs w:val="16"/>
          <w:color w:val="auto"/>
        </w:rPr>
        <w:t xml:space="preserve">. Provided that Tenant is not then in Default, then during the Rent Abatement Period (as defined in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above), Tenant shall not be obligated to pay Base Rent or Tenant’s Share of Building Direct Expenses for Suite 304 (the “</w:t>
      </w:r>
      <w:r>
        <w:rPr>
          <w:rFonts w:ascii="Arial" w:cs="Arial" w:eastAsia="Arial" w:hAnsi="Arial"/>
          <w:sz w:val="16"/>
          <w:szCs w:val="16"/>
          <w:b w:val="1"/>
          <w:bCs w:val="1"/>
          <w:color w:val="auto"/>
        </w:rPr>
        <w:t>Suite 304 Rent</w:t>
      </w:r>
      <w:r>
        <w:rPr>
          <w:rFonts w:ascii="Arial" w:cs="Arial" w:eastAsia="Arial" w:hAnsi="Arial"/>
          <w:sz w:val="16"/>
          <w:szCs w:val="16"/>
          <w:color w:val="auto"/>
        </w:rPr>
        <w:t xml:space="preserve"> </w:t>
      </w:r>
      <w:r>
        <w:rPr>
          <w:rFonts w:ascii="Arial" w:cs="Arial" w:eastAsia="Arial" w:hAnsi="Arial"/>
          <w:sz w:val="16"/>
          <w:szCs w:val="16"/>
          <w:b w:val="1"/>
          <w:bCs w:val="1"/>
          <w:color w:val="auto"/>
        </w:rPr>
        <w:t>Abatement</w:t>
      </w:r>
      <w:r>
        <w:rPr>
          <w:rFonts w:ascii="Arial" w:cs="Arial" w:eastAsia="Arial" w:hAnsi="Arial"/>
          <w:sz w:val="16"/>
          <w:szCs w:val="16"/>
          <w:color w:val="auto"/>
        </w:rPr>
        <w:t>”), except that, notwithstanding the foregoing, Tenant shall remain obligated to pay, in accordance with the terms of this Lease, (i)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attributable to utilities, heating and air conditioning provided by Landlord to the Premises (in addition to any amounts payable by Tenant pursuant to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 and (ii) any and all taxes and other charges as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below. Notwithstanding the foregoing, the total amount of Base Rent abated during the Rent Abatement Period for Suite 304 shall not exceed $34,034.40 (i.e., $17,017.20 per month). Tenant acknowledges and agrees that the foregoing Suite 304 Rent Abatement has been granted to Tenant as additional consideration for entering into this Lease and for agreeing to pay the Rent and performing the terms and conditions otherwise required under this Lease. If Tenant shall be in Default under this Lease, and shall fail to cure such Default within the notice and cure period, if any, permitted for cure pursuant to this Lease, and Landlord elects to terminate this Lease because of such Default, then Landlord may, by notice to Tenant, elect, in addition to any other remedies Landlord may have under this Lease, to require that Tenant shall immediately become obligated to pay to Landlord all Rent abated hereunder during the Rent Abatement Period with respect to the Suite 304 Rent Abatement, with interest as provided pursuant to this Lease from the date such Rent would have otherwise been due but for the abatement provided herein.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4</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ADDITIONAL RENT</w:t>
      </w:r>
    </w:p>
    <w:p>
      <w:pPr>
        <w:spacing w:after="0" w:line="221"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In addition to paying the Base Rent specified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Lease, Tenant shall pay “Tenant’s Share” of the annual “Building Direct Expenses,” as those terms are defined in </w:t>
      </w:r>
      <w:r>
        <w:rPr>
          <w:rFonts w:ascii="Arial" w:cs="Arial" w:eastAsia="Arial" w:hAnsi="Arial"/>
          <w:sz w:val="16"/>
          <w:szCs w:val="16"/>
          <w:u w:val="single" w:color="auto"/>
          <w:color w:val="auto"/>
        </w:rPr>
        <w:t>Sections 4.2.9 and 4.2.2</w:t>
      </w:r>
      <w:r>
        <w:rPr>
          <w:rFonts w:ascii="Arial" w:cs="Arial" w:eastAsia="Arial" w:hAnsi="Arial"/>
          <w:sz w:val="16"/>
          <w:szCs w:val="16"/>
          <w:color w:val="auto"/>
        </w:rPr>
        <w:t xml:space="preserve"> of this Lease, respectively. Such payments by Tenant, together with any and all other amounts payable by Tenant to Landlord pursuant to the terms of this Lease, are hereinafter collectively referred to as the “</w:t>
      </w:r>
      <w:r>
        <w:rPr>
          <w:rFonts w:ascii="Arial" w:cs="Arial" w:eastAsia="Arial" w:hAnsi="Arial"/>
          <w:sz w:val="16"/>
          <w:szCs w:val="16"/>
          <w:b w:val="1"/>
          <w:bCs w:val="1"/>
          <w:color w:val="auto"/>
        </w:rPr>
        <w:t>Additional Rent</w:t>
      </w:r>
      <w:r>
        <w:rPr>
          <w:rFonts w:ascii="Arial" w:cs="Arial" w:eastAsia="Arial" w:hAnsi="Arial"/>
          <w:sz w:val="16"/>
          <w:szCs w:val="16"/>
          <w:color w:val="auto"/>
        </w:rPr>
        <w:t>”, and the Base Rent and the Additional Rent are herein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survive the expiration of the Lease Term.</w:t>
      </w:r>
    </w:p>
    <w:p>
      <w:pPr>
        <w:spacing w:after="0" w:line="160"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Definitions of Key Terms Relating to Additional Rent</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Article 4</w:t>
      </w:r>
      <w:r>
        <w:rPr>
          <w:rFonts w:ascii="Arial" w:cs="Arial" w:eastAsia="Arial" w:hAnsi="Arial"/>
          <w:sz w:val="18"/>
          <w:szCs w:val="18"/>
          <w:color w:val="auto"/>
        </w:rPr>
        <w:t>, the following terms shall have the meanings hereinafter set forth:</w:t>
      </w:r>
    </w:p>
    <w:p>
      <w:pPr>
        <w:spacing w:after="0" w:line="16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7"/>
          <w:szCs w:val="17"/>
          <w:color w:val="auto"/>
        </w:rPr>
        <w:t>Intentionally Omitted.</w:t>
      </w:r>
    </w:p>
    <w:p>
      <w:pPr>
        <w:spacing w:after="0" w:line="221" w:lineRule="exact"/>
        <w:rPr>
          <w:sz w:val="20"/>
          <w:szCs w:val="20"/>
          <w:color w:val="auto"/>
        </w:rPr>
      </w:pPr>
    </w:p>
    <w:p>
      <w:pPr>
        <w:ind w:right="460" w:firstLine="1296"/>
        <w:spacing w:after="0" w:line="282" w:lineRule="auto"/>
        <w:rPr>
          <w:sz w:val="20"/>
          <w:szCs w:val="20"/>
          <w:color w:val="auto"/>
        </w:rPr>
      </w:pPr>
      <w:r>
        <w:rPr>
          <w:rFonts w:ascii="Arial" w:cs="Arial" w:eastAsia="Arial" w:hAnsi="Arial"/>
          <w:sz w:val="18"/>
          <w:szCs w:val="18"/>
          <w:color w:val="auto"/>
        </w:rPr>
        <w:t>4.2.2 “</w:t>
      </w:r>
      <w:r>
        <w:rPr>
          <w:rFonts w:ascii="Arial" w:cs="Arial" w:eastAsia="Arial" w:hAnsi="Arial"/>
          <w:sz w:val="18"/>
          <w:szCs w:val="18"/>
          <w:b w:val="1"/>
          <w:bCs w:val="1"/>
          <w:color w:val="auto"/>
        </w:rPr>
        <w:t>Building Direct Expenses</w:t>
      </w:r>
      <w:r>
        <w:rPr>
          <w:rFonts w:ascii="Arial" w:cs="Arial" w:eastAsia="Arial" w:hAnsi="Arial"/>
          <w:sz w:val="18"/>
          <w:szCs w:val="18"/>
          <w:color w:val="auto"/>
        </w:rPr>
        <w:t xml:space="preserve">” shall mean “Building Operating Expenses” and “Building Tax Expenses”, as those terms are defined in </w:t>
      </w:r>
      <w:r>
        <w:rPr>
          <w:rFonts w:ascii="Arial" w:cs="Arial" w:eastAsia="Arial" w:hAnsi="Arial"/>
          <w:sz w:val="18"/>
          <w:szCs w:val="18"/>
          <w:u w:val="single" w:color="auto"/>
          <w:color w:val="auto"/>
        </w:rPr>
        <w:t>Sections 4.2.3 and 4.2.4</w:t>
      </w:r>
      <w:r>
        <w:rPr>
          <w:rFonts w:ascii="Arial" w:cs="Arial" w:eastAsia="Arial" w:hAnsi="Arial"/>
          <w:sz w:val="18"/>
          <w:szCs w:val="18"/>
          <w:color w:val="auto"/>
        </w:rPr>
        <w:t xml:space="preserve"> below, respectively.</w:t>
      </w:r>
    </w:p>
    <w:p>
      <w:pPr>
        <w:spacing w:after="0" w:line="162"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color w:val="auto"/>
        </w:rPr>
        <w:t>4.2.3 “</w:t>
      </w:r>
      <w:r>
        <w:rPr>
          <w:rFonts w:ascii="Arial" w:cs="Arial" w:eastAsia="Arial" w:hAnsi="Arial"/>
          <w:sz w:val="18"/>
          <w:szCs w:val="18"/>
          <w:b w:val="1"/>
          <w:bCs w:val="1"/>
          <w:color w:val="auto"/>
        </w:rPr>
        <w:t>Building Operating Expenses</w:t>
      </w:r>
      <w:r>
        <w:rPr>
          <w:rFonts w:ascii="Arial" w:cs="Arial" w:eastAsia="Arial" w:hAnsi="Arial"/>
          <w:sz w:val="18"/>
          <w:szCs w:val="18"/>
          <w:color w:val="auto"/>
        </w:rPr>
        <w:t xml:space="preserve">” shall mean the portion of “Operating Expenses,” as that term is defined in </w:t>
      </w:r>
      <w:r>
        <w:rPr>
          <w:rFonts w:ascii="Arial" w:cs="Arial" w:eastAsia="Arial" w:hAnsi="Arial"/>
          <w:sz w:val="18"/>
          <w:szCs w:val="18"/>
          <w:u w:val="single" w:color="auto"/>
          <w:color w:val="auto"/>
        </w:rPr>
        <w:t>Section 4.2.7</w:t>
      </w:r>
      <w:r>
        <w:rPr>
          <w:rFonts w:ascii="Arial" w:cs="Arial" w:eastAsia="Arial" w:hAnsi="Arial"/>
          <w:sz w:val="18"/>
          <w:szCs w:val="18"/>
          <w:color w:val="auto"/>
        </w:rPr>
        <w:t xml:space="preserve"> below, allocated to the tenants of the Building pursuant to the terms of </w:t>
      </w:r>
      <w:r>
        <w:rPr>
          <w:rFonts w:ascii="Arial" w:cs="Arial" w:eastAsia="Arial" w:hAnsi="Arial"/>
          <w:sz w:val="18"/>
          <w:szCs w:val="18"/>
          <w:u w:val="single" w:color="auto"/>
          <w:color w:val="auto"/>
        </w:rPr>
        <w:t>Section 4.3.1</w:t>
      </w:r>
      <w:r>
        <w:rPr>
          <w:rFonts w:ascii="Arial" w:cs="Arial" w:eastAsia="Arial" w:hAnsi="Arial"/>
          <w:sz w:val="18"/>
          <w:szCs w:val="18"/>
          <w:color w:val="auto"/>
        </w:rPr>
        <w:t xml:space="preserve"> below.</w:t>
      </w:r>
    </w:p>
    <w:p>
      <w:pPr>
        <w:spacing w:after="0" w:line="162"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4.2.4 “</w:t>
      </w:r>
      <w:r>
        <w:rPr>
          <w:rFonts w:ascii="Arial" w:cs="Arial" w:eastAsia="Arial" w:hAnsi="Arial"/>
          <w:sz w:val="18"/>
          <w:szCs w:val="18"/>
          <w:b w:val="1"/>
          <w:bCs w:val="1"/>
          <w:color w:val="auto"/>
        </w:rPr>
        <w:t>Building Tax Expenses</w:t>
      </w:r>
      <w:r>
        <w:rPr>
          <w:rFonts w:ascii="Arial" w:cs="Arial" w:eastAsia="Arial" w:hAnsi="Arial"/>
          <w:sz w:val="18"/>
          <w:szCs w:val="18"/>
          <w:color w:val="auto"/>
        </w:rPr>
        <w:t xml:space="preserve">” shall mean that portion of “Tax Expenses”, as that term is defined in </w:t>
      </w:r>
      <w:r>
        <w:rPr>
          <w:rFonts w:ascii="Arial" w:cs="Arial" w:eastAsia="Arial" w:hAnsi="Arial"/>
          <w:sz w:val="18"/>
          <w:szCs w:val="18"/>
          <w:u w:val="single" w:color="auto"/>
          <w:color w:val="auto"/>
        </w:rPr>
        <w:t>Section 4.2.8</w:t>
      </w:r>
      <w:r>
        <w:rPr>
          <w:rFonts w:ascii="Arial" w:cs="Arial" w:eastAsia="Arial" w:hAnsi="Arial"/>
          <w:sz w:val="18"/>
          <w:szCs w:val="18"/>
          <w:color w:val="auto"/>
        </w:rPr>
        <w:t xml:space="preserve"> below, allocated to the tenants of the Building pursuant to the terms of </w:t>
      </w:r>
      <w:r>
        <w:rPr>
          <w:rFonts w:ascii="Arial" w:cs="Arial" w:eastAsia="Arial" w:hAnsi="Arial"/>
          <w:sz w:val="18"/>
          <w:szCs w:val="18"/>
          <w:u w:val="single" w:color="auto"/>
          <w:color w:val="auto"/>
        </w:rPr>
        <w:t>Section 4.3.1</w:t>
      </w:r>
      <w:r>
        <w:rPr>
          <w:rFonts w:ascii="Arial" w:cs="Arial" w:eastAsia="Arial" w:hAnsi="Arial"/>
          <w:sz w:val="18"/>
          <w:szCs w:val="18"/>
          <w:color w:val="auto"/>
        </w:rPr>
        <w:t xml:space="preserve"> below.</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Expenses</w:t>
      </w:r>
      <w:r>
        <w:rPr>
          <w:rFonts w:ascii="Arial" w:cs="Arial" w:eastAsia="Arial" w:hAnsi="Arial"/>
          <w:sz w:val="16"/>
          <w:szCs w:val="16"/>
          <w:color w:val="auto"/>
        </w:rPr>
        <w:t>” shall mean “Operating Expenses” and “Tax Expenses.”</w:t>
      </w:r>
    </w:p>
    <w:p>
      <w:pPr>
        <w:spacing w:after="0" w:line="225" w:lineRule="exact"/>
        <w:rPr>
          <w:sz w:val="20"/>
          <w:szCs w:val="20"/>
          <w:color w:val="auto"/>
        </w:rPr>
      </w:pPr>
    </w:p>
    <w:p>
      <w:pPr>
        <w:ind w:firstLine="1296"/>
        <w:spacing w:after="0" w:line="293" w:lineRule="auto"/>
        <w:rPr>
          <w:sz w:val="20"/>
          <w:szCs w:val="20"/>
          <w:color w:val="auto"/>
        </w:rPr>
      </w:pPr>
      <w:r>
        <w:rPr>
          <w:rFonts w:ascii="Arial" w:cs="Arial" w:eastAsia="Arial" w:hAnsi="Arial"/>
          <w:sz w:val="16"/>
          <w:szCs w:val="16"/>
          <w:color w:val="auto"/>
        </w:rPr>
        <w:t>4.2.6 “</w:t>
      </w:r>
      <w:r>
        <w:rPr>
          <w:rFonts w:ascii="Arial" w:cs="Arial" w:eastAsia="Arial" w:hAnsi="Arial"/>
          <w:sz w:val="16"/>
          <w:szCs w:val="16"/>
          <w:b w:val="1"/>
          <w:bCs w:val="1"/>
          <w:color w:val="auto"/>
        </w:rPr>
        <w:t>Expense Year</w:t>
      </w:r>
      <w:r>
        <w:rPr>
          <w:rFonts w:ascii="Arial" w:cs="Arial" w:eastAsia="Arial" w:hAnsi="Arial"/>
          <w:sz w:val="16"/>
          <w:szCs w:val="16"/>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spacing w:after="0" w:line="1" w:lineRule="exact"/>
        <w:rPr>
          <w:sz w:val="20"/>
          <w:szCs w:val="20"/>
          <w:color w:val="auto"/>
        </w:rPr>
      </w:pPr>
    </w:p>
    <w:p>
      <w:pPr>
        <w:ind w:right="540" w:firstLine="8"/>
        <w:spacing w:after="0" w:line="260" w:lineRule="auto"/>
        <w:tabs>
          <w:tab w:leader="none" w:pos="34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consecutive month period, and, in the event of any such change, Tenant’s Share of Building Direct Expenses shall be equitably adjusted for any Expense Year involved in any such change.</w:t>
      </w:r>
    </w:p>
    <w:p>
      <w:pPr>
        <w:spacing w:after="0" w:line="181" w:lineRule="exact"/>
        <w:rPr>
          <w:sz w:val="20"/>
          <w:szCs w:val="20"/>
          <w:color w:val="auto"/>
        </w:rPr>
      </w:pPr>
    </w:p>
    <w:p>
      <w:pPr>
        <w:ind w:right="60" w:firstLine="1296"/>
        <w:spacing w:after="0" w:line="272" w:lineRule="auto"/>
        <w:rPr>
          <w:sz w:val="20"/>
          <w:szCs w:val="20"/>
          <w:color w:val="auto"/>
        </w:rPr>
      </w:pPr>
      <w:r>
        <w:rPr>
          <w:rFonts w:ascii="Arial" w:cs="Arial" w:eastAsia="Arial" w:hAnsi="Arial"/>
          <w:sz w:val="17"/>
          <w:szCs w:val="17"/>
          <w:color w:val="auto"/>
        </w:rPr>
        <w:t>4.2.7 “</w:t>
      </w:r>
      <w:r>
        <w:rPr>
          <w:rFonts w:ascii="Arial" w:cs="Arial" w:eastAsia="Arial" w:hAnsi="Arial"/>
          <w:sz w:val="17"/>
          <w:szCs w:val="17"/>
          <w:b w:val="1"/>
          <w:bCs w:val="1"/>
          <w:color w:val="auto"/>
        </w:rPr>
        <w:t>Operating Expenses</w:t>
      </w:r>
      <w:r>
        <w:rPr>
          <w:rFonts w:ascii="Arial" w:cs="Arial" w:eastAsia="Arial" w:hAnsi="Arial"/>
          <w:sz w:val="17"/>
          <w:szCs w:val="17"/>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as reasonably determined by Landlord;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3" w:name="page544"/>
    <w:bookmarkEnd w:id="543"/>
    <w:p>
      <w:pPr>
        <w:ind w:right="60" w:firstLine="8"/>
        <w:spacing w:after="0" w:line="286" w:lineRule="auto"/>
        <w:tabs>
          <w:tab w:leader="none" w:pos="305"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cost of landscaping, relamping, and all supplies, tools, equipment and materials used in the operation, repair and maintenance of the Project, or any portion thereof; (v) the cost of parking area operation, repair, restoration, and maintenance; (vi) fees and other costs, including reasonable management and/or incentive fees, consulting fees, legal fees and accounting fees, of all contractors and consultants in connection with the management, operation, maintenance and repair of the Project; (vii) payments under any equipment rental agreements and the fair rental value of any management office space;</w:t>
      </w:r>
    </w:p>
    <w:p>
      <w:pPr>
        <w:spacing w:after="0" w:line="1" w:lineRule="exact"/>
        <w:rPr>
          <w:rFonts w:ascii="Arial" w:cs="Arial" w:eastAsia="Arial" w:hAnsi="Arial"/>
          <w:sz w:val="16"/>
          <w:szCs w:val="16"/>
          <w:color w:val="auto"/>
        </w:rPr>
      </w:pPr>
    </w:p>
    <w:p>
      <w:pPr>
        <w:ind w:firstLine="8"/>
        <w:spacing w:after="0" w:line="281" w:lineRule="auto"/>
        <w:tabs>
          <w:tab w:leader="none" w:pos="405" w:val="left"/>
        </w:tabs>
        <w:numPr>
          <w:ilvl w:val="0"/>
          <w:numId w:val="498"/>
        </w:numPr>
        <w:rPr>
          <w:rFonts w:ascii="Arial" w:cs="Arial" w:eastAsia="Arial" w:hAnsi="Arial"/>
          <w:sz w:val="16"/>
          <w:szCs w:val="16"/>
          <w:color w:val="auto"/>
        </w:rPr>
      </w:pPr>
      <w:r>
        <w:rPr>
          <w:rFonts w:ascii="Arial" w:cs="Arial" w:eastAsia="Arial" w:hAnsi="Arial"/>
          <w:sz w:val="16"/>
          <w:szCs w:val="16"/>
          <w:color w:val="auto"/>
        </w:rPr>
        <w:t>subject to item (f) below, wages, salaries and other compensation and benefits, including taxes levied thereon, of all persons engaged in the operation, maintenance and security of the Project; (ix) payments under any easement, license, operating agreement, declaration, restrictive covenant, or instrument pertaining to the sharing of costs by the Project, including, without limitation, any covenants, conditions and restrictions affecting the property, and reciprocal easement agreements affecting the Project, any parking licenses, and any agreements with transit agencies affecting the Project (collectively, “</w:t>
      </w:r>
      <w:r>
        <w:rPr>
          <w:rFonts w:ascii="Arial" w:cs="Arial" w:eastAsia="Arial" w:hAnsi="Arial"/>
          <w:sz w:val="16"/>
          <w:szCs w:val="16"/>
          <w:b w:val="1"/>
          <w:bCs w:val="1"/>
          <w:color w:val="auto"/>
        </w:rPr>
        <w:t>Underlying Documents</w:t>
      </w:r>
      <w:r>
        <w:rPr>
          <w:rFonts w:ascii="Arial" w:cs="Arial" w:eastAsia="Arial" w:hAnsi="Arial"/>
          <w:sz w:val="16"/>
          <w:szCs w:val="16"/>
          <w:color w:val="auto"/>
        </w:rPr>
        <w: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 (xii) amortization (including interest on the unamortized cost) over the useful life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effect economies in the operation or maintenance of the Project, or any portion thereof, or reduce current or future Operating Expenses during the Lease Term,</w:t>
      </w:r>
    </w:p>
    <w:p>
      <w:pPr>
        <w:spacing w:after="0" w:line="5"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(B) that are required to comply with present or anticipated conservation programs, (C) which are replacements or modifications of nonstructural items located in the Common Areas required to keep the Common Areas in good order or condition, (D) that are required under any governmental law or regulation, or (E) that relate to the safety or security of the Project, its occupants and visitors, and are deemed advisable in the reasonable judgment of Landlord; provided, however, that any capital expenditure shall be amortized (including interest on the amortized cost) over its useful life as Landlord shall reasonably determine;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7"/>
          <w:szCs w:val="17"/>
          <w:u w:val="single" w:color="auto"/>
          <w:color w:val="auto"/>
        </w:rPr>
        <w:t>Section 4.2.8</w:t>
      </w:r>
      <w:r>
        <w:rPr>
          <w:rFonts w:ascii="Arial" w:cs="Arial" w:eastAsia="Arial" w:hAnsi="Arial"/>
          <w:sz w:val="17"/>
          <w:szCs w:val="17"/>
          <w:color w:val="auto"/>
        </w:rPr>
        <w:t xml:space="preserve"> below; and (xv) any fees, costs and expenses relating to operating, managing, owning, repairing, and maintaining the “Fitness Center,” as that term is defined in </w:t>
      </w:r>
      <w:r>
        <w:rPr>
          <w:rFonts w:ascii="Arial" w:cs="Arial" w:eastAsia="Arial" w:hAnsi="Arial"/>
          <w:sz w:val="17"/>
          <w:szCs w:val="17"/>
          <w:u w:val="single" w:color="auto"/>
          <w:color w:val="auto"/>
        </w:rPr>
        <w:t>Section 29.36</w:t>
      </w:r>
      <w:r>
        <w:rPr>
          <w:rFonts w:ascii="Arial" w:cs="Arial" w:eastAsia="Arial" w:hAnsi="Arial"/>
          <w:sz w:val="17"/>
          <w:szCs w:val="17"/>
          <w:color w:val="auto"/>
        </w:rPr>
        <w:t xml:space="preserve"> below, or other amenities at the Project. Notwithstanding the foregoing, for purposes of this Lease, Operating Expenses shall not, however, include:</w:t>
      </w:r>
    </w:p>
    <w:p>
      <w:pPr>
        <w:spacing w:after="0" w:line="181" w:lineRule="exact"/>
        <w:rPr>
          <w:rFonts w:ascii="Arial" w:cs="Arial" w:eastAsia="Arial" w:hAnsi="Arial"/>
          <w:sz w:val="16"/>
          <w:szCs w:val="16"/>
          <w:color w:val="auto"/>
        </w:rPr>
      </w:pPr>
    </w:p>
    <w:p>
      <w:pPr>
        <w:ind w:left="660" w:right="40" w:firstLine="1292"/>
        <w:spacing w:after="0" w:line="296" w:lineRule="auto"/>
        <w:tabs>
          <w:tab w:leader="none" w:pos="2651" w:val="left"/>
        </w:tabs>
        <w:numPr>
          <w:ilvl w:val="1"/>
          <w:numId w:val="498"/>
        </w:numPr>
        <w:rPr>
          <w:rFonts w:ascii="Arial" w:cs="Arial" w:eastAsia="Arial" w:hAnsi="Arial"/>
          <w:sz w:val="16"/>
          <w:szCs w:val="16"/>
          <w:color w:val="auto"/>
        </w:rPr>
      </w:pPr>
      <w:r>
        <w:rPr>
          <w:rFonts w:ascii="Arial" w:cs="Arial" w:eastAsia="Arial" w:hAnsi="Arial"/>
          <w:sz w:val="16"/>
          <w:szCs w:val="16"/>
          <w:color w:val="auto"/>
        </w:rPr>
        <w:t>costs, including marketing costs,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pacing w:after="0" w:line="161" w:lineRule="exact"/>
        <w:rPr>
          <w:rFonts w:ascii="Arial" w:cs="Arial" w:eastAsia="Arial" w:hAnsi="Arial"/>
          <w:sz w:val="16"/>
          <w:szCs w:val="16"/>
          <w:color w:val="auto"/>
        </w:rPr>
      </w:pPr>
    </w:p>
    <w:p>
      <w:pPr>
        <w:ind w:left="660" w:right="300" w:firstLine="1292"/>
        <w:spacing w:after="0" w:line="342" w:lineRule="auto"/>
        <w:tabs>
          <w:tab w:leader="none" w:pos="2661" w:val="left"/>
        </w:tabs>
        <w:numPr>
          <w:ilvl w:val="1"/>
          <w:numId w:val="498"/>
        </w:numPr>
        <w:rPr>
          <w:rFonts w:ascii="Arial" w:cs="Arial" w:eastAsia="Arial" w:hAnsi="Arial"/>
          <w:sz w:val="16"/>
          <w:szCs w:val="16"/>
          <w:color w:val="auto"/>
        </w:rPr>
      </w:pPr>
      <w:r>
        <w:rPr>
          <w:rFonts w:ascii="Arial" w:cs="Arial" w:eastAsia="Arial" w:hAnsi="Arial"/>
          <w:sz w:val="16"/>
          <w:szCs w:val="16"/>
          <w:color w:val="auto"/>
        </w:rPr>
        <w:t>except as set forth in items (xii), (xiii), and (xiv) above, depreciation, interest and principal payments on mortgages and other debt costs, if any, penalties and interest, costs of capital repairs and alterations, and costs of capital improvements and equipment;</w:t>
      </w:r>
    </w:p>
    <w:p>
      <w:pPr>
        <w:spacing w:after="0" w:line="123" w:lineRule="exact"/>
        <w:rPr>
          <w:rFonts w:ascii="Arial" w:cs="Arial" w:eastAsia="Arial" w:hAnsi="Arial"/>
          <w:sz w:val="16"/>
          <w:szCs w:val="16"/>
          <w:color w:val="auto"/>
        </w:rPr>
      </w:pPr>
    </w:p>
    <w:p>
      <w:pPr>
        <w:ind w:left="660" w:right="280" w:firstLine="1292"/>
        <w:spacing w:after="0" w:line="342" w:lineRule="auto"/>
        <w:tabs>
          <w:tab w:leader="none" w:pos="2651" w:val="left"/>
        </w:tabs>
        <w:numPr>
          <w:ilvl w:val="1"/>
          <w:numId w:val="498"/>
        </w:numPr>
        <w:rPr>
          <w:rFonts w:ascii="Arial" w:cs="Arial" w:eastAsia="Arial" w:hAnsi="Arial"/>
          <w:sz w:val="16"/>
          <w:szCs w:val="16"/>
          <w:color w:val="auto"/>
        </w:rPr>
      </w:pPr>
      <w:r>
        <w:rPr>
          <w:rFonts w:ascii="Arial" w:cs="Arial" w:eastAsia="Arial" w:hAnsi="Arial"/>
          <w:sz w:val="16"/>
          <w:szCs w:val="16"/>
          <w:color w:val="auto"/>
        </w:rPr>
        <w:t>costs for which the Landlord is reimbursed by any tenant or occupant of the Project or by insurance by its carrier or any tenant’s carrier or by anyone else, and electric power costs for which any tenant directly contracts with the local public service company;</w:t>
      </w:r>
    </w:p>
    <w:p>
      <w:pPr>
        <w:spacing w:after="0" w:line="123" w:lineRule="exact"/>
        <w:rPr>
          <w:rFonts w:ascii="Arial" w:cs="Arial" w:eastAsia="Arial" w:hAnsi="Arial"/>
          <w:sz w:val="16"/>
          <w:szCs w:val="16"/>
          <w:color w:val="auto"/>
        </w:rPr>
      </w:pPr>
    </w:p>
    <w:p>
      <w:pPr>
        <w:ind w:left="2660" w:hanging="708"/>
        <w:spacing w:after="0"/>
        <w:tabs>
          <w:tab w:leader="none" w:pos="266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225" w:lineRule="exact"/>
        <w:rPr>
          <w:rFonts w:ascii="Arial" w:cs="Arial" w:eastAsia="Arial" w:hAnsi="Arial"/>
          <w:sz w:val="18"/>
          <w:szCs w:val="18"/>
          <w:color w:val="auto"/>
        </w:rPr>
      </w:pPr>
    </w:p>
    <w:p>
      <w:pPr>
        <w:ind w:left="660" w:right="60" w:firstLine="1292"/>
        <w:spacing w:after="0" w:line="291" w:lineRule="auto"/>
        <w:tabs>
          <w:tab w:leader="none" w:pos="2651" w:val="left"/>
        </w:tabs>
        <w:numPr>
          <w:ilvl w:val="1"/>
          <w:numId w:val="498"/>
        </w:numPr>
        <w:rPr>
          <w:rFonts w:ascii="Arial" w:cs="Arial" w:eastAsia="Arial" w:hAnsi="Arial"/>
          <w:sz w:val="16"/>
          <w:szCs w:val="16"/>
          <w:color w:val="auto"/>
        </w:rPr>
      </w:pPr>
      <w:r>
        <w:rPr>
          <w:rFonts w:ascii="Arial" w:cs="Arial" w:eastAsia="Arial" w:hAnsi="Arial"/>
          <w:sz w:val="16"/>
          <w:szCs w:val="16"/>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and Landlord’s general corporate overhead and general and administrative expenses;</w:t>
      </w:r>
    </w:p>
    <w:p>
      <w:pPr>
        <w:spacing w:after="0" w:line="166" w:lineRule="exact"/>
        <w:rPr>
          <w:rFonts w:ascii="Arial" w:cs="Arial" w:eastAsia="Arial" w:hAnsi="Arial"/>
          <w:sz w:val="16"/>
          <w:szCs w:val="16"/>
          <w:color w:val="auto"/>
        </w:rPr>
      </w:pPr>
    </w:p>
    <w:p>
      <w:pPr>
        <w:ind w:left="660" w:right="500" w:firstLine="1292"/>
        <w:spacing w:after="0" w:line="277" w:lineRule="auto"/>
        <w:tabs>
          <w:tab w:leader="none" w:pos="2676"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4" w:name="page545"/>
    <w:bookmarkEnd w:id="544"/>
    <w:p>
      <w:pPr>
        <w:jc w:val="both"/>
        <w:ind w:left="660" w:right="400"/>
        <w:spacing w:after="0" w:line="263" w:lineRule="auto"/>
        <w:rPr>
          <w:sz w:val="20"/>
          <w:szCs w:val="20"/>
          <w:color w:val="auto"/>
        </w:rPr>
      </w:pPr>
      <w:r>
        <w:rPr>
          <w:rFonts w:ascii="Arial" w:cs="Arial" w:eastAsia="Arial" w:hAnsi="Arial"/>
          <w:sz w:val="18"/>
          <w:szCs w:val="18"/>
          <w:color w:val="auto"/>
        </w:rPr>
        <w:t>prorated to reflect time spent on operating and managing the Project vis-a-vis time spent on matters unrelated to operating and managing the Project; provided, that in no event shall Operating Expenses for purposes of this Lease include wages and/or benefits attributable to Building management personnel above the level of the on-site property manager or equivalent;</w:t>
      </w:r>
    </w:p>
    <w:p>
      <w:pPr>
        <w:spacing w:after="0" w:line="184" w:lineRule="exact"/>
        <w:rPr>
          <w:sz w:val="20"/>
          <w:szCs w:val="20"/>
          <w:color w:val="auto"/>
        </w:rPr>
      </w:pPr>
    </w:p>
    <w:p>
      <w:pPr>
        <w:ind w:left="2660" w:hanging="708"/>
        <w:spacing w:after="0"/>
        <w:tabs>
          <w:tab w:leader="none" w:pos="26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amount paid as ground rental for the Project by the Landlord;</w:t>
      </w:r>
    </w:p>
    <w:p>
      <w:pPr>
        <w:spacing w:after="0" w:line="225" w:lineRule="exact"/>
        <w:rPr>
          <w:rFonts w:ascii="Arial" w:cs="Arial" w:eastAsia="Arial" w:hAnsi="Arial"/>
          <w:sz w:val="18"/>
          <w:szCs w:val="18"/>
          <w:color w:val="auto"/>
        </w:rPr>
      </w:pPr>
    </w:p>
    <w:p>
      <w:pPr>
        <w:ind w:left="660" w:right="200" w:firstLine="1292"/>
        <w:spacing w:after="0" w:line="263" w:lineRule="auto"/>
        <w:tabs>
          <w:tab w:leader="none" w:pos="2661" w:val="left"/>
        </w:tabs>
        <w:numPr>
          <w:ilvl w:val="0"/>
          <w:numId w:val="499"/>
        </w:numPr>
        <w:rPr>
          <w:rFonts w:ascii="Arial" w:cs="Arial" w:eastAsia="Arial" w:hAnsi="Arial"/>
          <w:sz w:val="18"/>
          <w:szCs w:val="18"/>
          <w:color w:val="auto"/>
        </w:rPr>
      </w:pPr>
      <w:r>
        <w:rPr>
          <w:rFonts w:ascii="Arial" w:cs="Arial" w:eastAsia="Arial" w:hAnsi="Arial"/>
          <w:sz w:val="18"/>
          <w:szCs w:val="18"/>
          <w:color w:val="auto"/>
        </w:rPr>
        <w:t>except for a Project management fee to the extent allowed pursuant to item (l) below,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183" w:lineRule="exact"/>
        <w:rPr>
          <w:rFonts w:ascii="Arial" w:cs="Arial" w:eastAsia="Arial" w:hAnsi="Arial"/>
          <w:sz w:val="18"/>
          <w:szCs w:val="18"/>
          <w:color w:val="auto"/>
        </w:rPr>
      </w:pPr>
    </w:p>
    <w:p>
      <w:pPr>
        <w:ind w:left="660" w:right="300" w:firstLine="1292"/>
        <w:spacing w:after="0" w:line="277" w:lineRule="auto"/>
        <w:tabs>
          <w:tab w:leader="none" w:pos="266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70" w:lineRule="exact"/>
        <w:rPr>
          <w:rFonts w:ascii="Arial" w:cs="Arial" w:eastAsia="Arial" w:hAnsi="Arial"/>
          <w:sz w:val="18"/>
          <w:szCs w:val="18"/>
          <w:color w:val="auto"/>
        </w:rPr>
      </w:pPr>
    </w:p>
    <w:p>
      <w:pPr>
        <w:ind w:left="660" w:right="40" w:firstLine="1292"/>
        <w:spacing w:after="0" w:line="259" w:lineRule="auto"/>
        <w:tabs>
          <w:tab w:leader="none" w:pos="2666" w:val="left"/>
        </w:tabs>
        <w:numPr>
          <w:ilvl w:val="0"/>
          <w:numId w:val="499"/>
        </w:numPr>
        <w:rPr>
          <w:rFonts w:ascii="Arial" w:cs="Arial" w:eastAsia="Arial" w:hAnsi="Arial"/>
          <w:sz w:val="18"/>
          <w:szCs w:val="18"/>
          <w:color w:val="auto"/>
        </w:rPr>
      </w:pPr>
      <w:r>
        <w:rPr>
          <w:rFonts w:ascii="Arial" w:cs="Arial" w:eastAsia="Arial" w:hAnsi="Arial"/>
          <w:sz w:val="18"/>
          <w:szCs w:val="18"/>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spacing w:after="0" w:line="186" w:lineRule="exact"/>
        <w:rPr>
          <w:rFonts w:ascii="Arial" w:cs="Arial" w:eastAsia="Arial" w:hAnsi="Arial"/>
          <w:sz w:val="18"/>
          <w:szCs w:val="18"/>
          <w:color w:val="auto"/>
        </w:rPr>
      </w:pPr>
    </w:p>
    <w:p>
      <w:pPr>
        <w:ind w:left="660" w:right="400" w:firstLine="1292"/>
        <w:spacing w:after="0" w:line="277" w:lineRule="auto"/>
        <w:tabs>
          <w:tab w:leader="none" w:pos="2661"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all items and services for which Tenant or any other tenant in the Project reimburses Landlord or which Landlord provides selectively to one or more tenants (other than Tenant) without reimbursement;</w:t>
      </w:r>
    </w:p>
    <w:p>
      <w:pPr>
        <w:spacing w:after="0" w:line="170" w:lineRule="exact"/>
        <w:rPr>
          <w:rFonts w:ascii="Arial" w:cs="Arial" w:eastAsia="Arial" w:hAnsi="Arial"/>
          <w:sz w:val="18"/>
          <w:szCs w:val="18"/>
          <w:color w:val="auto"/>
        </w:rPr>
      </w:pPr>
    </w:p>
    <w:p>
      <w:pPr>
        <w:ind w:left="2660" w:hanging="708"/>
        <w:spacing w:after="0"/>
        <w:tabs>
          <w:tab w:leader="none" w:pos="266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fees payable by Landlord for management of the Project in excess of three and one-half percent (3.5%) (the</w:t>
      </w:r>
    </w:p>
    <w:p>
      <w:pPr>
        <w:spacing w:after="0" w:line="35" w:lineRule="exact"/>
        <w:rPr>
          <w:sz w:val="20"/>
          <w:szCs w:val="20"/>
          <w:color w:val="auto"/>
        </w:rPr>
      </w:pPr>
    </w:p>
    <w:p>
      <w:pPr>
        <w:jc w:val="both"/>
        <w:ind w:left="660"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Fee Cap</w:t>
      </w:r>
      <w:r>
        <w:rPr>
          <w:rFonts w:ascii="Arial" w:cs="Arial" w:eastAsia="Arial" w:hAnsi="Arial"/>
          <w:sz w:val="18"/>
          <w:szCs w:val="18"/>
          <w:color w:val="auto"/>
        </w:rPr>
        <w:t>”) of Landlord’s gross rental revenues, adjusted and grossed up to reflect a one hundred percent (100%) occupancy of the Project with all tenants paying rent, including base rent, pass-throughs, and parking fees (but excluding the cost of after-hours services or utilities) from the Project for any calendar year or portion thereof;</w:t>
      </w:r>
    </w:p>
    <w:p>
      <w:pPr>
        <w:spacing w:after="0" w:line="190" w:lineRule="exact"/>
        <w:rPr>
          <w:sz w:val="20"/>
          <w:szCs w:val="20"/>
          <w:color w:val="auto"/>
        </w:rPr>
      </w:pPr>
    </w:p>
    <w:p>
      <w:pPr>
        <w:ind w:left="660" w:right="540" w:firstLine="1292"/>
        <w:spacing w:after="0" w:line="277" w:lineRule="auto"/>
        <w:tabs>
          <w:tab w:leader="none" w:pos="266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costs of capital improvements other than those described in item (xiii) of Section 4.2.7, and any costs expressly excluded from Operating Expenses elsewhere in this Lease;</w:t>
      </w:r>
    </w:p>
    <w:p>
      <w:pPr>
        <w:spacing w:after="0" w:line="170" w:lineRule="exact"/>
        <w:rPr>
          <w:rFonts w:ascii="Arial" w:cs="Arial" w:eastAsia="Arial" w:hAnsi="Arial"/>
          <w:sz w:val="18"/>
          <w:szCs w:val="18"/>
          <w:color w:val="auto"/>
        </w:rPr>
      </w:pPr>
    </w:p>
    <w:p>
      <w:pPr>
        <w:jc w:val="both"/>
        <w:ind w:left="660" w:right="100" w:firstLine="1292"/>
        <w:spacing w:after="0" w:line="263" w:lineRule="auto"/>
        <w:tabs>
          <w:tab w:leader="none" w:pos="2661" w:val="left"/>
        </w:tabs>
        <w:numPr>
          <w:ilvl w:val="0"/>
          <w:numId w:val="500"/>
        </w:numPr>
        <w:rPr>
          <w:rFonts w:ascii="Arial" w:cs="Arial" w:eastAsia="Arial" w:hAnsi="Arial"/>
          <w:sz w:val="18"/>
          <w:szCs w:val="18"/>
          <w:color w:val="auto"/>
        </w:rPr>
      </w:pPr>
      <w:r>
        <w:rPr>
          <w:rFonts w:ascii="Arial" w:cs="Arial" w:eastAsia="Arial" w:hAnsi="Arial"/>
          <w:sz w:val="18"/>
          <w:szCs w:val="18"/>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pacing w:after="0" w:line="183" w:lineRule="exact"/>
        <w:rPr>
          <w:rFonts w:ascii="Arial" w:cs="Arial" w:eastAsia="Arial" w:hAnsi="Arial"/>
          <w:sz w:val="18"/>
          <w:szCs w:val="18"/>
          <w:color w:val="auto"/>
        </w:rPr>
      </w:pPr>
    </w:p>
    <w:p>
      <w:pPr>
        <w:ind w:left="660" w:right="640" w:firstLine="1292"/>
        <w:spacing w:after="0" w:line="277" w:lineRule="auto"/>
        <w:tabs>
          <w:tab w:leader="none" w:pos="2661" w:val="left"/>
        </w:tabs>
        <w:numPr>
          <w:ilvl w:val="0"/>
          <w:numId w:val="500"/>
        </w:numPr>
        <w:rPr>
          <w:rFonts w:ascii="Arial" w:cs="Arial" w:eastAsia="Arial" w:hAnsi="Arial"/>
          <w:sz w:val="18"/>
          <w:szCs w:val="18"/>
          <w:color w:val="auto"/>
        </w:rPr>
      </w:pPr>
      <w:r>
        <w:rPr>
          <w:rFonts w:ascii="Arial" w:cs="Arial" w:eastAsia="Arial" w:hAnsi="Arial"/>
          <w:sz w:val="18"/>
          <w:szCs w:val="18"/>
          <w:color w:val="auto"/>
        </w:rPr>
        <w:t>costs arising from breach of contract, the gross negligence or the willful misconduct of Landlord or its agents, employees, vendors, contractors, or providers of materials or services;</w:t>
      </w:r>
    </w:p>
    <w:p>
      <w:pPr>
        <w:spacing w:after="0" w:line="170" w:lineRule="exact"/>
        <w:rPr>
          <w:rFonts w:ascii="Arial" w:cs="Arial" w:eastAsia="Arial" w:hAnsi="Arial"/>
          <w:sz w:val="18"/>
          <w:szCs w:val="18"/>
          <w:color w:val="auto"/>
        </w:rPr>
      </w:pPr>
    </w:p>
    <w:p>
      <w:pPr>
        <w:ind w:left="660" w:right="100" w:firstLine="1292"/>
        <w:spacing w:after="0" w:line="270" w:lineRule="auto"/>
        <w:tabs>
          <w:tab w:leader="none" w:pos="2661" w:val="left"/>
        </w:tabs>
        <w:numPr>
          <w:ilvl w:val="0"/>
          <w:numId w:val="500"/>
        </w:numPr>
        <w:rPr>
          <w:rFonts w:ascii="Arial" w:cs="Arial" w:eastAsia="Arial" w:hAnsi="Arial"/>
          <w:sz w:val="17"/>
          <w:szCs w:val="17"/>
          <w:color w:val="auto"/>
        </w:rPr>
      </w:pPr>
      <w:r>
        <w:rPr>
          <w:rFonts w:ascii="Arial" w:cs="Arial" w:eastAsia="Arial" w:hAnsi="Arial"/>
          <w:sz w:val="17"/>
          <w:szCs w:val="17"/>
          <w:color w:val="auto"/>
        </w:rPr>
        <w:t>costs incurred to comply with laws relating to the removal of hazardous material (as defined under applicable law) which was in existence in the Building or on the Project prior to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have then required the removal of such hazardous material or other remedial or containment action with respect thereto;</w:t>
      </w:r>
    </w:p>
    <w:p>
      <w:pPr>
        <w:spacing w:after="0" w:line="180" w:lineRule="exact"/>
        <w:rPr>
          <w:rFonts w:ascii="Arial" w:cs="Arial" w:eastAsia="Arial" w:hAnsi="Arial"/>
          <w:sz w:val="17"/>
          <w:szCs w:val="17"/>
          <w:color w:val="auto"/>
        </w:rPr>
      </w:pPr>
    </w:p>
    <w:p>
      <w:pPr>
        <w:ind w:left="2660" w:hanging="708"/>
        <w:spacing w:after="0"/>
        <w:tabs>
          <w:tab w:leader="none" w:pos="266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w:t>
      </w:r>
    </w:p>
    <w:p>
      <w:pPr>
        <w:spacing w:after="0" w:line="225" w:lineRule="exact"/>
        <w:rPr>
          <w:rFonts w:ascii="Arial" w:cs="Arial" w:eastAsia="Arial" w:hAnsi="Arial"/>
          <w:sz w:val="18"/>
          <w:szCs w:val="18"/>
          <w:color w:val="auto"/>
        </w:rPr>
      </w:pPr>
    </w:p>
    <w:p>
      <w:pPr>
        <w:ind w:left="660" w:right="160" w:firstLine="1292"/>
        <w:spacing w:after="0" w:line="277" w:lineRule="auto"/>
        <w:tabs>
          <w:tab w:leader="none" w:pos="267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any gifts provided to any entity whatsoever, including, but not limited to, Tenant, other tenants, employees, vendors, contractors, prospective tenants and agents; and</w:t>
      </w:r>
    </w:p>
    <w:p>
      <w:pPr>
        <w:spacing w:after="0" w:line="170" w:lineRule="exact"/>
        <w:rPr>
          <w:rFonts w:ascii="Arial" w:cs="Arial" w:eastAsia="Arial" w:hAnsi="Arial"/>
          <w:sz w:val="18"/>
          <w:szCs w:val="18"/>
          <w:color w:val="auto"/>
        </w:rPr>
      </w:pPr>
    </w:p>
    <w:p>
      <w:pPr>
        <w:ind w:left="2680" w:hanging="728"/>
        <w:spacing w:after="0"/>
        <w:tabs>
          <w:tab w:leader="none" w:pos="268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cost of any magazine, newspaper, trade or other subscriptions.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660" w:hanging="708"/>
        <w:spacing w:after="0"/>
        <w:tabs>
          <w:tab w:leader="none" w:pos="26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reserves of any kind.</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ninety-five percent (95%) occupied during all or a portion of any Expense Year, Landlord shall make an appropriate adjustment to the components of Operating Expenses for such year to determine the amount of Operating Expenses that would have been incurred had the Project been ninety-five percent (95%) occupied; and the amount so determined shall be deemed to have been the amount of Operating Expenses for such year.</w:t>
      </w:r>
    </w:p>
    <w:p>
      <w:pPr>
        <w:spacing w:after="0" w:line="17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944"/>
        <w:spacing w:after="0" w:line="273" w:lineRule="auto"/>
        <w:rPr>
          <w:sz w:val="20"/>
          <w:szCs w:val="20"/>
          <w:color w:val="auto"/>
        </w:rPr>
      </w:pPr>
      <w:r>
        <w:rPr>
          <w:rFonts w:ascii="Arial" w:cs="Arial" w:eastAsia="Arial" w:hAnsi="Arial"/>
          <w:sz w:val="17"/>
          <w:szCs w:val="17"/>
          <w:color w:val="auto"/>
        </w:rPr>
        <w:t>4.2.8.1 “</w:t>
      </w:r>
      <w:r>
        <w:rPr>
          <w:rFonts w:ascii="Arial" w:cs="Arial" w:eastAsia="Arial" w:hAnsi="Arial"/>
          <w:sz w:val="17"/>
          <w:szCs w:val="17"/>
          <w:b w:val="1"/>
          <w:bCs w:val="1"/>
          <w:color w:val="auto"/>
        </w:rPr>
        <w:t>Tax Expenses</w:t>
      </w:r>
      <w:r>
        <w:rPr>
          <w:rFonts w:ascii="Arial" w:cs="Arial" w:eastAsia="Arial" w:hAnsi="Arial"/>
          <w:sz w:val="17"/>
          <w:szCs w:val="17"/>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ectPr>
          <w:pgSz w:w="11900" w:h="16838" w:orient="portrait"/>
          <w:cols w:equalWidth="0" w:num="1">
            <w:col w:w="11200"/>
          </w:cols>
          <w:pgMar w:left="320" w:top="341" w:right="379" w:bottom="0" w:gutter="0" w:footer="0" w:header="0"/>
        </w:sectPr>
      </w:pPr>
    </w:p>
    <w:bookmarkStart w:id="545" w:name="page546"/>
    <w:bookmarkEnd w:id="545"/>
    <w:p>
      <w:pPr>
        <w:ind w:right="40" w:firstLine="1944"/>
        <w:spacing w:after="0" w:line="286" w:lineRule="auto"/>
        <w:rPr>
          <w:sz w:val="20"/>
          <w:szCs w:val="20"/>
          <w:color w:val="auto"/>
        </w:rPr>
      </w:pPr>
      <w:r>
        <w:rPr>
          <w:rFonts w:ascii="Arial" w:cs="Arial" w:eastAsia="Arial" w:hAnsi="Arial"/>
          <w:sz w:val="16"/>
          <w:szCs w:val="16"/>
          <w:color w:val="auto"/>
        </w:rPr>
        <w:t>4.2.8.2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6"/>
          <w:szCs w:val="16"/>
          <w:b w:val="1"/>
          <w:bCs w:val="1"/>
          <w:color w:val="auto"/>
        </w:rPr>
        <w:t>Proposition</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color w:val="auto"/>
        </w:rPr>
        <w:t>”) and that assessments, taxes, fees, levies and charges may be imposed by governmental agencies for such services as fire protection, street, sidewalk</w:t>
      </w:r>
      <w:r>
        <w:rPr>
          <w:rFonts w:ascii="Arial" w:cs="Arial" w:eastAsia="Arial" w:hAnsi="Arial"/>
          <w:sz w:val="16"/>
          <w:szCs w:val="16"/>
          <w:b w:val="1"/>
          <w:bCs w:val="1"/>
          <w:color w:val="auto"/>
        </w:rPr>
        <w:t xml:space="preserve"> </w:t>
      </w:r>
      <w:r>
        <w:rPr>
          <w:rFonts w:ascii="Arial" w:cs="Arial" w:eastAsia="Arial" w:hAnsi="Arial"/>
          <w:sz w:val="16"/>
          <w:szCs w:val="16"/>
          <w:color w:val="auto"/>
        </w:rPr>
        <w:t>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(iv) Any assessment, tax, fee, levy or charge, upon this transaction or any document to which Tenant is a party, creating or transferring an interest or an estate in the Premises; and (v) All of the real estate taxes and assessments imposed upon or with respect to the Building and all of the real estate taxes and assessments imposed on or with respect to the land and other improvements of the Project.</w:t>
      </w:r>
    </w:p>
    <w:p>
      <w:pPr>
        <w:spacing w:after="0" w:line="169" w:lineRule="exact"/>
        <w:rPr>
          <w:sz w:val="20"/>
          <w:szCs w:val="20"/>
          <w:color w:val="auto"/>
        </w:rPr>
      </w:pPr>
    </w:p>
    <w:p>
      <w:pPr>
        <w:ind w:right="100" w:firstLine="1944"/>
        <w:spacing w:after="0" w:line="287" w:lineRule="auto"/>
        <w:rPr>
          <w:sz w:val="20"/>
          <w:szCs w:val="20"/>
          <w:color w:val="auto"/>
        </w:rPr>
      </w:pPr>
      <w:r>
        <w:rPr>
          <w:rFonts w:ascii="Arial" w:cs="Arial" w:eastAsia="Arial" w:hAnsi="Arial"/>
          <w:sz w:val="16"/>
          <w:szCs w:val="16"/>
          <w:color w:val="auto"/>
        </w:rPr>
        <w:t xml:space="preserve">4.2.8.3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included by Landlord as Building Tax Expenses pursuant to the terms of this Lease. Notwithstanding anything to the contrary contained in this </w:t>
      </w:r>
      <w:r>
        <w:rPr>
          <w:rFonts w:ascii="Arial" w:cs="Arial" w:eastAsia="Arial" w:hAnsi="Arial"/>
          <w:sz w:val="16"/>
          <w:szCs w:val="16"/>
          <w:u w:val="single" w:color="auto"/>
          <w:color w:val="auto"/>
        </w:rPr>
        <w:t>Section 4.2.8</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4.2.8.1</w:t>
      </w:r>
      <w:r>
        <w:rPr>
          <w:rFonts w:ascii="Arial" w:cs="Arial" w:eastAsia="Arial" w:hAnsi="Arial"/>
          <w:sz w:val="16"/>
          <w:szCs w:val="16"/>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and (iii) any items paid by Tenant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this Lease.</w:t>
      </w:r>
    </w:p>
    <w:p>
      <w:pPr>
        <w:spacing w:after="0" w:line="168" w:lineRule="exact"/>
        <w:rPr>
          <w:sz w:val="20"/>
          <w:szCs w:val="20"/>
          <w:color w:val="auto"/>
        </w:rPr>
      </w:pPr>
    </w:p>
    <w:p>
      <w:pPr>
        <w:ind w:right="120" w:firstLine="1296"/>
        <w:spacing w:after="0" w:line="347" w:lineRule="auto"/>
        <w:rPr>
          <w:sz w:val="20"/>
          <w:szCs w:val="20"/>
          <w:color w:val="auto"/>
        </w:rPr>
      </w:pPr>
      <w:r>
        <w:rPr>
          <w:rFonts w:ascii="Arial" w:cs="Arial" w:eastAsia="Arial" w:hAnsi="Arial"/>
          <w:sz w:val="16"/>
          <w:szCs w:val="16"/>
          <w:color w:val="auto"/>
        </w:rPr>
        <w:t>4.2.9 “</w:t>
      </w:r>
      <w:r>
        <w:rPr>
          <w:rFonts w:ascii="Arial" w:cs="Arial" w:eastAsia="Arial" w:hAnsi="Arial"/>
          <w:sz w:val="16"/>
          <w:szCs w:val="16"/>
          <w:b w:val="1"/>
          <w:bCs w:val="1"/>
          <w:color w:val="auto"/>
        </w:rPr>
        <w:t>Tenant’s Share</w:t>
      </w:r>
      <w:r>
        <w:rPr>
          <w:rFonts w:ascii="Arial" w:cs="Arial" w:eastAsia="Arial" w:hAnsi="Arial"/>
          <w:sz w:val="16"/>
          <w:szCs w:val="16"/>
          <w:color w:val="auto"/>
        </w:rPr>
        <w:t xml:space="preserve">” shall mean the percentage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the Summary. In the event that rentable square footage is either added to or removed from the Premises and/or the Building, Tenant’s Share shall be appropriately adjusted, and, as to the Expense Year in which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6" w:name="page547"/>
    <w:bookmarkEnd w:id="546"/>
    <w:p>
      <w:pPr>
        <w:ind w:right="60"/>
        <w:spacing w:after="0" w:line="277" w:lineRule="auto"/>
        <w:rPr>
          <w:sz w:val="20"/>
          <w:szCs w:val="20"/>
          <w:color w:val="auto"/>
        </w:rPr>
      </w:pPr>
      <w:r>
        <w:rPr>
          <w:rFonts w:ascii="Arial" w:cs="Arial" w:eastAsia="Arial" w:hAnsi="Arial"/>
          <w:sz w:val="18"/>
          <w:szCs w:val="18"/>
          <w:color w:val="auto"/>
        </w:rPr>
        <w:t>such change occurs, Tenant’s Share for such Expense Year shall be determined on the basis of the number of days during such Expense Year that each such Tenant’s Share was in effect.</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u w:val="single" w:color="auto"/>
          <w:color w:val="auto"/>
        </w:rPr>
        <w:t>Allocation of Direct Expenses</w:t>
      </w:r>
      <w:r>
        <w:rPr>
          <w:rFonts w:ascii="Arial" w:cs="Arial" w:eastAsia="Arial" w:hAnsi="Arial"/>
          <w:sz w:val="15"/>
          <w:szCs w:val="15"/>
          <w:color w:val="auto"/>
        </w:rPr>
        <w:t>.</w:t>
      </w:r>
    </w:p>
    <w:p>
      <w:pPr>
        <w:spacing w:after="0" w:line="225" w:lineRule="exact"/>
        <w:rPr>
          <w:sz w:val="20"/>
          <w:szCs w:val="20"/>
          <w:color w:val="auto"/>
        </w:rPr>
      </w:pPr>
    </w:p>
    <w:p>
      <w:pPr>
        <w:ind w:right="20" w:firstLine="1296"/>
        <w:spacing w:after="0" w:line="292"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b w:val="1"/>
          <w:bCs w:val="1"/>
          <w:u w:val="single" w:color="auto"/>
          <w:color w:val="auto"/>
        </w:rPr>
        <w:t>Method of Allocation</w:t>
      </w:r>
      <w:r>
        <w:rPr>
          <w:rFonts w:ascii="Arial" w:cs="Arial" w:eastAsia="Arial" w:hAnsi="Arial"/>
          <w:sz w:val="16"/>
          <w:szCs w:val="16"/>
          <w:color w:val="auto"/>
        </w:rPr>
        <w:t>. The parties acknowledge that the Building is a part of a multi-building project and that the costs and expenses incurred in connection with the Project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the Direct Expenses) should be shared between the tenants of the Building and the tenants of the other buildings in the Project. Accordingly,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Direct Expenses (which consists of Operating Expenses and Tax Expenses) are determined annually for the Project as a whole, and a portion of the Direct Expenses, which portion shall be determined by Landlord on an equitable basis, shall be allocated to the tenants of the Building (as opposed to the tenants of any other buildings in the Project) and such portion shall be the Building Direct Expenses for purposes of this Lease. Such portion of Direct Expenses allocated to the tenants of the Building shall include all Direct Expenses attributable solely to the Building and an equitable portion of the Direct Expenses attributable to the Project as a whole.</w:t>
      </w:r>
    </w:p>
    <w:p>
      <w:pPr>
        <w:spacing w:after="0" w:line="161" w:lineRule="exact"/>
        <w:rPr>
          <w:sz w:val="20"/>
          <w:szCs w:val="20"/>
          <w:color w:val="auto"/>
        </w:rPr>
      </w:pPr>
    </w:p>
    <w:p>
      <w:pPr>
        <w:ind w:right="40" w:firstLine="1296"/>
        <w:spacing w:after="0" w:line="303"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b w:val="1"/>
          <w:bCs w:val="1"/>
          <w:u w:val="single" w:color="auto"/>
          <w:color w:val="auto"/>
        </w:rPr>
        <w:t>Cost Pools</w:t>
      </w:r>
      <w:r>
        <w:rPr>
          <w:rFonts w:ascii="Arial" w:cs="Arial" w:eastAsia="Arial" w:hAnsi="Arial"/>
          <w:sz w:val="16"/>
          <w:szCs w:val="16"/>
          <w:color w:val="auto"/>
        </w:rPr>
        <w:t>. Landlord shall have the right, from time to time, to equitably allocate some or all of the Direct Expenses for the Project among different portions or occupants of the Project (the “</w:t>
      </w:r>
      <w:r>
        <w:rPr>
          <w:rFonts w:ascii="Arial" w:cs="Arial" w:eastAsia="Arial" w:hAnsi="Arial"/>
          <w:sz w:val="16"/>
          <w:szCs w:val="16"/>
          <w:b w:val="1"/>
          <w:bCs w:val="1"/>
          <w:color w:val="auto"/>
        </w:rPr>
        <w:t>Cost Pools</w:t>
      </w:r>
      <w:r>
        <w:rPr>
          <w:rFonts w:ascii="Arial" w:cs="Arial" w:eastAsia="Arial" w:hAnsi="Arial"/>
          <w:sz w:val="16"/>
          <w:szCs w:val="16"/>
          <w:color w:val="auto"/>
        </w:rPr>
        <w:t>”), in Landlord’s reasonable discretion. Such Cost Pools may include, but shall not be limited to, the office space tenants of a building of the Project or of the Project, and the retail space tenants of a building of the Project or of the Project. The Direct Expenses within each such Cost Pool shall be allocated and charged to the tenants within such Cost Pool in an equitable manner.</w:t>
      </w:r>
    </w:p>
    <w:p>
      <w:pPr>
        <w:spacing w:after="0" w:line="151"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Calculation and Payment of Additional Rent</w:t>
      </w:r>
      <w:r>
        <w:rPr>
          <w:rFonts w:ascii="Arial" w:cs="Arial" w:eastAsia="Arial" w:hAnsi="Arial"/>
          <w:sz w:val="17"/>
          <w:szCs w:val="17"/>
          <w:color w:val="auto"/>
        </w:rPr>
        <w:t xml:space="preserve">. Tenant shall pay to Landlord, in the manner set forth in </w:t>
      </w:r>
      <w:r>
        <w:rPr>
          <w:rFonts w:ascii="Arial" w:cs="Arial" w:eastAsia="Arial" w:hAnsi="Arial"/>
          <w:sz w:val="17"/>
          <w:szCs w:val="17"/>
          <w:u w:val="single" w:color="auto"/>
          <w:color w:val="auto"/>
        </w:rPr>
        <w:t>Section 4.4.1</w:t>
      </w:r>
      <w:r>
        <w:rPr>
          <w:rFonts w:ascii="Arial" w:cs="Arial" w:eastAsia="Arial" w:hAnsi="Arial"/>
          <w:sz w:val="17"/>
          <w:szCs w:val="17"/>
          <w:color w:val="auto"/>
        </w:rPr>
        <w:t xml:space="preserve"> below, and as Additional Rent, an amount equal to Tenant’s Share of Building Direct Expenses for each Expense Year; provided that, subject to the terms of </w:t>
      </w:r>
      <w:r>
        <w:rPr>
          <w:rFonts w:ascii="Arial" w:cs="Arial" w:eastAsia="Arial" w:hAnsi="Arial"/>
          <w:sz w:val="17"/>
          <w:szCs w:val="17"/>
          <w:u w:val="single" w:color="auto"/>
          <w:color w:val="auto"/>
        </w:rPr>
        <w:t>Section 3.3.2</w:t>
      </w:r>
      <w:r>
        <w:rPr>
          <w:rFonts w:ascii="Arial" w:cs="Arial" w:eastAsia="Arial" w:hAnsi="Arial"/>
          <w:sz w:val="17"/>
          <w:szCs w:val="17"/>
          <w:color w:val="auto"/>
        </w:rPr>
        <w:t xml:space="preserve"> above, Tenant’s payments of Building Direct Expenses for Suite 304 shall be abated during the Rent Abatement Period.</w:t>
      </w:r>
    </w:p>
    <w:p>
      <w:pPr>
        <w:spacing w:after="0" w:line="158"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 xml:space="preserve">4.4.1 </w:t>
      </w:r>
      <w:r>
        <w:rPr>
          <w:rFonts w:ascii="Arial" w:cs="Arial" w:eastAsia="Arial" w:hAnsi="Arial"/>
          <w:sz w:val="17"/>
          <w:szCs w:val="17"/>
          <w:b w:val="1"/>
          <w:bCs w:val="1"/>
          <w:u w:val="single" w:color="auto"/>
          <w:color w:val="auto"/>
        </w:rPr>
        <w:t>Statement of Actual Building Direct Expenses and Payment by Tenant</w:t>
      </w:r>
      <w:r>
        <w:rPr>
          <w:rFonts w:ascii="Arial" w:cs="Arial" w:eastAsia="Arial" w:hAnsi="Arial"/>
          <w:sz w:val="17"/>
          <w:szCs w:val="17"/>
          <w:color w:val="auto"/>
        </w:rPr>
        <w:t>. Landlord shall endeavor to give to Tenant following the end of each Expense Year, a statement (the “</w:t>
      </w:r>
      <w:r>
        <w:rPr>
          <w:rFonts w:ascii="Arial" w:cs="Arial" w:eastAsia="Arial" w:hAnsi="Arial"/>
          <w:sz w:val="17"/>
          <w:szCs w:val="17"/>
          <w:b w:val="1"/>
          <w:bCs w:val="1"/>
          <w:color w:val="auto"/>
        </w:rPr>
        <w:t>Statement</w:t>
      </w:r>
      <w:r>
        <w:rPr>
          <w:rFonts w:ascii="Arial" w:cs="Arial" w:eastAsia="Arial" w:hAnsi="Arial"/>
          <w:sz w:val="17"/>
          <w:szCs w:val="17"/>
          <w:color w:val="auto"/>
        </w:rPr>
        <w:t xml:space="preserve">”) which shall state the Building Direct Expenses incurred or accrued for such preceding Expense Year, and which shall indicate the amount of Tenant’s Share of Building Direct Expenses. Upon receipt of the Statement for each Expense Year commencing or ending during the Lease Term, Tenant shall pay, with its next installment of Base Rent due, the full amount of Tenant’s Share of Building Direct Expenses for such Expense Year, less the amounts, if any, paid during such Expense Year as “Estimated Building Direct Expenses,” as that term is defined in </w:t>
      </w:r>
      <w:r>
        <w:rPr>
          <w:rFonts w:ascii="Arial" w:cs="Arial" w:eastAsia="Arial" w:hAnsi="Arial"/>
          <w:sz w:val="17"/>
          <w:szCs w:val="17"/>
          <w:u w:val="single" w:color="auto"/>
          <w:color w:val="auto"/>
        </w:rPr>
        <w:t>Section 4.4.2</w:t>
      </w:r>
      <w:r>
        <w:rPr>
          <w:rFonts w:ascii="Arial" w:cs="Arial" w:eastAsia="Arial" w:hAnsi="Arial"/>
          <w:sz w:val="17"/>
          <w:szCs w:val="17"/>
          <w:color w:val="auto"/>
        </w:rPr>
        <w:t xml:space="preserve"> below, and if Tenant paid more as Estimated Building Direct Expenses than the actual Tenant’s Share of Building Direct Expenses (an “</w:t>
      </w:r>
      <w:r>
        <w:rPr>
          <w:rFonts w:ascii="Arial" w:cs="Arial" w:eastAsia="Arial" w:hAnsi="Arial"/>
          <w:sz w:val="17"/>
          <w:szCs w:val="17"/>
          <w:b w:val="1"/>
          <w:bCs w:val="1"/>
          <w:color w:val="auto"/>
        </w:rPr>
        <w:t>Excess</w:t>
      </w:r>
      <w:r>
        <w:rPr>
          <w:rFonts w:ascii="Arial" w:cs="Arial" w:eastAsia="Arial" w:hAnsi="Arial"/>
          <w:sz w:val="17"/>
          <w:szCs w:val="17"/>
          <w:color w:val="auto"/>
        </w:rPr>
        <w:t xml:space="preserve">”), Tenant shall receive a credit in the amount of such Excess against Rent next due under this Lease. The failure of Landlord to timely furnish the Statement for any Expense Year shall not prejudice Landlord or Tenant from enforcing its rights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Even though the Lease Term has expired and Tenant has vacated the Premises, when the final determination is made of Tenant’s Share of Building Direct Expenses for the Expense Year in which this Lease terminates, if Tenant’s Share of Building Direct Expenses is greater than the amount of Estimated Building Direct Expenses previously paid by Tenant to landlord, then Tenant shall, within thirty (30) days after receipt of the Statement, pay to Landlord such amount, and if Tenant paid more as Estimated Building Direct Expenses than the actual Building Direct Expenses (again, an Excess), Landlord shall, within thirty (30) days, deliver a check payable to Tenant in the amount of such Excess. The provisions of this </w:t>
      </w:r>
      <w:r>
        <w:rPr>
          <w:rFonts w:ascii="Arial" w:cs="Arial" w:eastAsia="Arial" w:hAnsi="Arial"/>
          <w:sz w:val="17"/>
          <w:szCs w:val="17"/>
          <w:u w:val="single" w:color="auto"/>
          <w:color w:val="auto"/>
        </w:rPr>
        <w:t>Section 4.4.1</w:t>
      </w:r>
      <w:r>
        <w:rPr>
          <w:rFonts w:ascii="Arial" w:cs="Arial" w:eastAsia="Arial" w:hAnsi="Arial"/>
          <w:sz w:val="17"/>
          <w:szCs w:val="17"/>
          <w:color w:val="auto"/>
        </w:rPr>
        <w:t xml:space="preserve"> shall survive the expiration or earlier termination of the Lease Term.</w:t>
      </w:r>
    </w:p>
    <w:p>
      <w:pPr>
        <w:spacing w:after="0" w:line="184"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b w:val="1"/>
          <w:bCs w:val="1"/>
          <w:u w:val="single" w:color="auto"/>
          <w:color w:val="auto"/>
        </w:rPr>
        <w:t>Statement of Estimated Building Direct Expenses</w:t>
      </w:r>
      <w:r>
        <w:rPr>
          <w:rFonts w:ascii="Arial" w:cs="Arial" w:eastAsia="Arial" w:hAnsi="Arial"/>
          <w:sz w:val="17"/>
          <w:szCs w:val="17"/>
          <w:color w:val="auto"/>
        </w:rPr>
        <w:t>. In addition, Landlord shall endeavor to give Tenant a yearly expense estimate statement (the “</w:t>
      </w:r>
      <w:r>
        <w:rPr>
          <w:rFonts w:ascii="Arial" w:cs="Arial" w:eastAsia="Arial" w:hAnsi="Arial"/>
          <w:sz w:val="17"/>
          <w:szCs w:val="17"/>
          <w:b w:val="1"/>
          <w:bCs w:val="1"/>
          <w:color w:val="auto"/>
        </w:rPr>
        <w:t>Estimate Statement</w:t>
      </w:r>
      <w:r>
        <w:rPr>
          <w:rFonts w:ascii="Arial" w:cs="Arial" w:eastAsia="Arial" w:hAnsi="Arial"/>
          <w:sz w:val="17"/>
          <w:szCs w:val="17"/>
          <w:color w:val="auto"/>
        </w:rPr>
        <w:t>”) which shall set forth Landlord’s reasonable estimate (the “</w:t>
      </w:r>
      <w:r>
        <w:rPr>
          <w:rFonts w:ascii="Arial" w:cs="Arial" w:eastAsia="Arial" w:hAnsi="Arial"/>
          <w:sz w:val="17"/>
          <w:szCs w:val="17"/>
          <w:b w:val="1"/>
          <w:bCs w:val="1"/>
          <w:color w:val="auto"/>
        </w:rPr>
        <w:t>Estimate</w:t>
      </w:r>
      <w:r>
        <w:rPr>
          <w:rFonts w:ascii="Arial" w:cs="Arial" w:eastAsia="Arial" w:hAnsi="Arial"/>
          <w:sz w:val="17"/>
          <w:szCs w:val="17"/>
          <w:color w:val="auto"/>
        </w:rPr>
        <w:t>”) of what the total amount of Building Direct Expenses for the then-current Expense Year shall be and the estimated amount of Tenant’s Share of Building Direct Expenses (the “</w:t>
      </w:r>
      <w:r>
        <w:rPr>
          <w:rFonts w:ascii="Arial" w:cs="Arial" w:eastAsia="Arial" w:hAnsi="Arial"/>
          <w:sz w:val="17"/>
          <w:szCs w:val="17"/>
          <w:b w:val="1"/>
          <w:bCs w:val="1"/>
          <w:color w:val="auto"/>
        </w:rPr>
        <w:t>Estimated</w:t>
      </w:r>
      <w:r>
        <w:rPr>
          <w:rFonts w:ascii="Arial" w:cs="Arial" w:eastAsia="Arial" w:hAnsi="Arial"/>
          <w:sz w:val="17"/>
          <w:szCs w:val="17"/>
          <w:color w:val="auto"/>
        </w:rPr>
        <w:t xml:space="preserve"> </w:t>
      </w:r>
      <w:r>
        <w:rPr>
          <w:rFonts w:ascii="Arial" w:cs="Arial" w:eastAsia="Arial" w:hAnsi="Arial"/>
          <w:sz w:val="17"/>
          <w:szCs w:val="17"/>
          <w:b w:val="1"/>
          <w:bCs w:val="1"/>
          <w:color w:val="auto"/>
        </w:rPr>
        <w:t>Building Direct Expenses</w:t>
      </w:r>
      <w:r>
        <w:rPr>
          <w:rFonts w:ascii="Arial" w:cs="Arial" w:eastAsia="Arial" w:hAnsi="Arial"/>
          <w:sz w:val="17"/>
          <w:szCs w:val="17"/>
          <w:color w:val="auto"/>
        </w:rPr>
        <w:t>”). The failure of Landlord to timely furnish the Estimate Statement for any Expense Year shall not preclude Landlord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enforcing its rights to collect any Estimated Building Direct Expenses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nor shall Landlord be prohibited from revising any Estimate Statement or Estimated Building Direct Expenses theretofore delivered to the extent necessary. Thereafter, Tenant shall pay, with its next installment of Base Rent due, a fraction of the Estimated Building Direct Expenses for the then-current Expense Year (reduced by any amounts paid pursuant to the last sentence of this </w:t>
      </w:r>
      <w:r>
        <w:rPr>
          <w:rFonts w:ascii="Arial" w:cs="Arial" w:eastAsia="Arial" w:hAnsi="Arial"/>
          <w:sz w:val="17"/>
          <w:szCs w:val="17"/>
          <w:u w:val="single" w:color="auto"/>
          <w:color w:val="auto"/>
        </w:rPr>
        <w:t>Section 4.4.2</w:t>
      </w:r>
      <w:r>
        <w:rPr>
          <w:rFonts w:ascii="Arial" w:cs="Arial" w:eastAsia="Arial" w:hAnsi="Arial"/>
          <w:sz w:val="17"/>
          <w:szCs w:val="17"/>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Building Direct Expenses set forth in the previous Estimate Statement delivered by Landlord to Tenant.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7" w:name="page548"/>
    <w:bookmarkEnd w:id="547"/>
    <w:p>
      <w:pPr>
        <w:ind w:left="660"/>
        <w:spacing w:after="0"/>
        <w:tabs>
          <w:tab w:leader="none" w:pos="13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u w:val="single" w:color="auto"/>
          <w:color w:val="auto"/>
        </w:rPr>
        <w:t>Taxes and Other Charges for Which Tenant Is Directly Responsible</w:t>
      </w:r>
      <w:r>
        <w:rPr>
          <w:rFonts w:ascii="Arial" w:cs="Arial" w:eastAsia="Arial" w:hAnsi="Arial"/>
          <w:sz w:val="16"/>
          <w:szCs w:val="16"/>
          <w:color w:val="auto"/>
        </w:rPr>
        <w:t>.</w:t>
      </w:r>
    </w:p>
    <w:p>
      <w:pPr>
        <w:spacing w:after="0" w:line="229" w:lineRule="exact"/>
        <w:rPr>
          <w:sz w:val="20"/>
          <w:szCs w:val="20"/>
          <w:color w:val="auto"/>
        </w:rPr>
      </w:pPr>
    </w:p>
    <w:p>
      <w:pPr>
        <w:ind w:right="80" w:firstLine="1296"/>
        <w:spacing w:after="0" w:line="254" w:lineRule="auto"/>
        <w:rPr>
          <w:sz w:val="20"/>
          <w:szCs w:val="20"/>
          <w:color w:val="auto"/>
        </w:rPr>
      </w:pPr>
      <w:r>
        <w:rPr>
          <w:rFonts w:ascii="Arial" w:cs="Arial" w:eastAsia="Arial" w:hAnsi="Arial"/>
          <w:sz w:val="18"/>
          <w:szCs w:val="18"/>
          <w:color w:val="auto"/>
        </w:rPr>
        <w:t>4.5.1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19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4.5.2 If the tenant improvements in the Premises, whether installed and/or paid for by Landlord or Tenant and whether or not affixed to the real property so as to become a part thereof, are assessed for real property tax purposes at a valuation higher than the valuation at which tenant improvements conforming to Landlord’s “</w:t>
      </w:r>
      <w:r>
        <w:rPr>
          <w:rFonts w:ascii="Arial" w:cs="Arial" w:eastAsia="Arial" w:hAnsi="Arial"/>
          <w:sz w:val="18"/>
          <w:szCs w:val="18"/>
          <w:b w:val="1"/>
          <w:bCs w:val="1"/>
          <w:color w:val="auto"/>
        </w:rPr>
        <w:t>building standard</w:t>
      </w:r>
      <w:r>
        <w:rPr>
          <w:rFonts w:ascii="Arial" w:cs="Arial" w:eastAsia="Arial" w:hAnsi="Arial"/>
          <w:sz w:val="18"/>
          <w:szCs w:val="18"/>
          <w:color w:val="auto"/>
        </w:rPr>
        <w:t xml:space="preserve">”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Arial" w:cs="Arial" w:eastAsia="Arial" w:hAnsi="Arial"/>
          <w:sz w:val="18"/>
          <w:szCs w:val="18"/>
          <w:u w:val="single" w:color="auto"/>
          <w:color w:val="auto"/>
        </w:rPr>
        <w:t>Section 4.5.1</w:t>
      </w:r>
      <w:r>
        <w:rPr>
          <w:rFonts w:ascii="Arial" w:cs="Arial" w:eastAsia="Arial" w:hAnsi="Arial"/>
          <w:sz w:val="18"/>
          <w:szCs w:val="18"/>
          <w:color w:val="auto"/>
        </w:rPr>
        <w:t>, above.</w:t>
      </w:r>
    </w:p>
    <w:p>
      <w:pPr>
        <w:spacing w:after="0" w:line="188"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4.5.3 Notwithstanding any contrary provision herein, Tenant shall pay prior to delinquency any (i) rent tax or sales tax, service tax, transfer tax or value added tax, or any other applicable tax on the rent or services herein or otherwise respecting this Lease, (ii) taxes assessed upon or with respect to the possession, leasing, operation, management, maintenance, alteration, repair, use or occupancy by Tenant of the Premises or any portion of the Project, including the Project parking facility; or (iii) taxes assessed upon this transaction or any document to which Tenant is a party creating or transferring an interest or an estate in the Premises.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USE OF PREMISES</w:t>
      </w:r>
    </w:p>
    <w:p>
      <w:pPr>
        <w:spacing w:after="0" w:line="2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Permitted Use</w:t>
      </w:r>
      <w:r>
        <w:rPr>
          <w:rFonts w:ascii="Arial" w:cs="Arial" w:eastAsia="Arial" w:hAnsi="Arial"/>
          <w:sz w:val="18"/>
          <w:szCs w:val="18"/>
          <w:color w:val="auto"/>
        </w:rPr>
        <w:t xml:space="preserve">. Tenant shall use the Premises solely for the Permitted Use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 Subject to the terms of this Lease and Rules and Regulations set forth in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and such security measures that Landlord may reasonably deem necessary or desirable for the safety and security of the Project, the Building or the Premises, Tenant shall have access to the Building and the Premises twenty-four (24) hours per day, seven (7) days per week, subject to full or partial closures which may be required from time to time for construction, maintenance, repairs, actual or threatened emergency or other events or circumstances which make it reasonably necessary to temporarily restrict or limit access.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Prohibited Uses</w:t>
      </w:r>
      <w:r>
        <w:rPr>
          <w:rFonts w:ascii="Arial" w:cs="Arial" w:eastAsia="Arial" w:hAnsi="Arial"/>
          <w:sz w:val="17"/>
          <w:szCs w:val="17"/>
          <w:color w:val="auto"/>
        </w:rPr>
        <w:t xml:space="preserve">. Tenant further covenants and agrees that Tenant shall not use, or suffer or permit any person or persons to use, the Premises or any part thereof for any use or purpose contrary to the provisions of the Rules and Regulations set forth in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Tenant shall not allow occupancy density of use of the Premises which is greater than one (1) person per one hundred fifty (150) rentable square feet of the Premises. Tenant shall not do or permit anything to be done in or about the Premises which will in any way damage the reputation of the Project or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 provided that, with respect to all easements, covenants, conditions, and restrictions recorded after the date of this Lease, in no event shall any such documents recorded after the date hereof materially adversely affect Tenant’s use or occupancy of or access to the Premises.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8" w:name="page549"/>
    <w:bookmarkEnd w:id="548"/>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SERVICES AND UTILITIES</w:t>
      </w:r>
    </w:p>
    <w:p>
      <w:pPr>
        <w:spacing w:after="0" w:line="22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u w:val="single" w:color="auto"/>
          <w:color w:val="auto"/>
        </w:rPr>
        <w:t>Standard Tenant Services</w:t>
      </w:r>
      <w:r>
        <w:rPr>
          <w:rFonts w:ascii="Arial" w:cs="Arial" w:eastAsia="Arial" w:hAnsi="Arial"/>
          <w:sz w:val="16"/>
          <w:szCs w:val="16"/>
          <w:color w:val="auto"/>
        </w:rPr>
        <w:t>. Landlord shall provide the following services on all days (unless otherwise stated below) during the 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11" w:lineRule="exact"/>
        <w:rPr>
          <w:sz w:val="20"/>
          <w:szCs w:val="20"/>
          <w:color w:val="auto"/>
        </w:rPr>
      </w:pPr>
    </w:p>
    <w:p>
      <w:pPr>
        <w:ind w:right="20" w:firstLine="1296"/>
        <w:spacing w:after="0" w:line="257" w:lineRule="auto"/>
        <w:rPr>
          <w:sz w:val="20"/>
          <w:szCs w:val="20"/>
          <w:color w:val="auto"/>
        </w:rPr>
      </w:pPr>
      <w:r>
        <w:rPr>
          <w:rFonts w:ascii="Arial" w:cs="Arial" w:eastAsia="Arial" w:hAnsi="Arial"/>
          <w:sz w:val="18"/>
          <w:szCs w:val="18"/>
          <w:color w:val="auto"/>
        </w:rPr>
        <w:t>6.1.1 Subject to limitations imposed by all governmental rules, regulations and guidelines applicable thereto, Landlord shall provide heating and air conditioning (“</w:t>
      </w:r>
      <w:r>
        <w:rPr>
          <w:rFonts w:ascii="Arial" w:cs="Arial" w:eastAsia="Arial" w:hAnsi="Arial"/>
          <w:sz w:val="18"/>
          <w:szCs w:val="18"/>
          <w:b w:val="1"/>
          <w:bCs w:val="1"/>
          <w:color w:val="auto"/>
        </w:rPr>
        <w:t>HVAC</w:t>
      </w:r>
      <w:r>
        <w:rPr>
          <w:rFonts w:ascii="Arial" w:cs="Arial" w:eastAsia="Arial" w:hAnsi="Arial"/>
          <w:sz w:val="18"/>
          <w:szCs w:val="18"/>
          <w:color w:val="auto"/>
        </w:rPr>
        <w:t>”) when necessary for normal comfort for normal office use in the Premises, as determined by Landlord, from 8:00 A.M. to 6:00 P.M. Monday through Friday (collectively, the “</w:t>
      </w:r>
      <w:r>
        <w:rPr>
          <w:rFonts w:ascii="Arial" w:cs="Arial" w:eastAsia="Arial" w:hAnsi="Arial"/>
          <w:sz w:val="18"/>
          <w:szCs w:val="18"/>
          <w:b w:val="1"/>
          <w:bCs w:val="1"/>
          <w:color w:val="auto"/>
        </w:rPr>
        <w:t>Building Hours</w:t>
      </w:r>
      <w:r>
        <w:rPr>
          <w:rFonts w:ascii="Arial" w:cs="Arial" w:eastAsia="Arial" w:hAnsi="Arial"/>
          <w:sz w:val="18"/>
          <w:szCs w:val="18"/>
          <w:color w:val="auto"/>
        </w:rPr>
        <w:t>”), except for the dates of observation of New Year’s Day, Independence Day, Labor Day, Memorial Day, Thanksgiving Day, Christmas Day and, at Landlord’s discretion, other locally or nationally recognized holidays which are observed by other Comparable Buildings (collectively, the “</w:t>
      </w:r>
      <w:r>
        <w:rPr>
          <w:rFonts w:ascii="Arial" w:cs="Arial" w:eastAsia="Arial" w:hAnsi="Arial"/>
          <w:sz w:val="18"/>
          <w:szCs w:val="18"/>
          <w:b w:val="1"/>
          <w:bCs w:val="1"/>
          <w:color w:val="auto"/>
        </w:rPr>
        <w:t>Holidays</w:t>
      </w:r>
      <w:r>
        <w:rPr>
          <w:rFonts w:ascii="Arial" w:cs="Arial" w:eastAsia="Arial" w:hAnsi="Arial"/>
          <w:sz w:val="18"/>
          <w:szCs w:val="18"/>
          <w:color w:val="auto"/>
        </w:rPr>
        <w:t>”).</w:t>
      </w:r>
    </w:p>
    <w:p>
      <w:pPr>
        <w:spacing w:after="0" w:line="188"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6.1.2 Landlord shall provide, seven (7) days per week, twenty-four (24) hours per day, adequate electrical wiring and facilities for connection to Tenant’s lighting fixtures and incidental use equipment that are, as reasonably determined by Landlord, customarily furnished in Comparable Buildings for the Permitted Use of the Premises. Tenant shall bear the cost of replacement of lamps, starters and ballasts for non-Building standard lighting fixtures within the Premises.</w:t>
      </w:r>
    </w:p>
    <w:p>
      <w:pPr>
        <w:spacing w:after="0" w:line="187"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6.1.3 Landlord shall provide, seven (7) days per week, twenty-four (24) hours per day, city water from the regular Building outlets for drinking, lavatory and toilet purposes in the Building Common Areas, and for normal office use within the Premises.</w:t>
      </w:r>
    </w:p>
    <w:p>
      <w:pPr>
        <w:spacing w:after="0" w:line="170" w:lineRule="exact"/>
        <w:rPr>
          <w:sz w:val="20"/>
          <w:szCs w:val="20"/>
          <w:color w:val="auto"/>
        </w:rPr>
      </w:pPr>
    </w:p>
    <w:p>
      <w:pPr>
        <w:ind w:right="220" w:firstLine="1296"/>
        <w:spacing w:after="0" w:line="308" w:lineRule="auto"/>
        <w:rPr>
          <w:sz w:val="20"/>
          <w:szCs w:val="20"/>
          <w:color w:val="auto"/>
        </w:rPr>
      </w:pPr>
      <w:r>
        <w:rPr>
          <w:rFonts w:ascii="Arial" w:cs="Arial" w:eastAsia="Arial" w:hAnsi="Arial"/>
          <w:sz w:val="17"/>
          <w:szCs w:val="17"/>
          <w:color w:val="auto"/>
        </w:rPr>
        <w:t>6.1.4 Landlord shall provide janitorial services to the Premises, except for weekends and the date of observation of the Holidays, in and about the Premises and window washing services in a manner consistent with other comparable buildings in the vicinity of the Building.</w:t>
      </w:r>
    </w:p>
    <w:p>
      <w:pPr>
        <w:spacing w:after="0" w:line="146" w:lineRule="exact"/>
        <w:rPr>
          <w:sz w:val="20"/>
          <w:szCs w:val="20"/>
          <w:color w:val="auto"/>
        </w:rPr>
      </w:pPr>
    </w:p>
    <w:p>
      <w:pPr>
        <w:ind w:right="160" w:firstLine="1296"/>
        <w:spacing w:after="0" w:line="263" w:lineRule="auto"/>
        <w:rPr>
          <w:sz w:val="20"/>
          <w:szCs w:val="20"/>
          <w:color w:val="auto"/>
        </w:rPr>
      </w:pPr>
      <w:r>
        <w:rPr>
          <w:rFonts w:ascii="Arial" w:cs="Arial" w:eastAsia="Arial" w:hAnsi="Arial"/>
          <w:sz w:val="18"/>
          <w:szCs w:val="18"/>
          <w:color w:val="auto"/>
        </w:rPr>
        <w:t>6.1.5 Landlord shall provide nonexclusive, non-attended automatic passenger elevator service during the Building Hours, shall have one elevator available at all other times, including on the Holidays, and shall provide nonexclusive, non-attended automatic passenger escalator service during Building Hours only.</w:t>
      </w:r>
    </w:p>
    <w:p>
      <w:pPr>
        <w:spacing w:after="0" w:line="18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color w:val="auto"/>
        </w:rPr>
        <w:t>Landlord shall provide nonexclusive freight elevator service subject to scheduling by Landlord.</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Tenant shall cooperate fully with Landlord at all times and abide by all regulations and requirements that Landlord may reasonably prescribe for the proper functioning and protection of the HVAC, electrical, mechanical and plumbing systems. Tenant acknowledges that Landlord may be required in the future to disclose information concerning Tenant’s energy usage to certain third parties, including, without limitation, prospective purchasers, lenders and tenants of the Building (“</w:t>
      </w:r>
      <w:r>
        <w:rPr>
          <w:rFonts w:ascii="Arial" w:cs="Arial" w:eastAsia="Arial" w:hAnsi="Arial"/>
          <w:sz w:val="16"/>
          <w:szCs w:val="16"/>
          <w:b w:val="1"/>
          <w:bCs w:val="1"/>
          <w:color w:val="auto"/>
        </w:rPr>
        <w:t>Tenant Energy Use Disclosure</w:t>
      </w:r>
      <w:r>
        <w:rPr>
          <w:rFonts w:ascii="Arial" w:cs="Arial" w:eastAsia="Arial" w:hAnsi="Arial"/>
          <w:sz w:val="16"/>
          <w:szCs w:val="16"/>
          <w:color w:val="auto"/>
        </w:rPr>
        <w:t>”). Tenant shall cooperate with Landlord with respect to any Tenant Energy Use Disclosure. Without limiting the generality of the foregoing, Tenant shall, within ten (10) business days following request from Landlord, disclose to Landlord all information requested by Landlord in connection with such Tenant Energy Use Disclosure, including, but not limited to, the amount of power or other utilities consumed within the Premises for which the meters for such utilities are in Tenant’s name, the number of employees working within the Premises, the operating hours for Tenant’s business in the Premises, and the type and number of equipment operated by Tenant in the Premises. Tenant acknowledges that this information shall be provided on a non-confidential basis and may be provided by Landlord to the applicable utility providers, the California Energy Commission (and other governmental entities having jurisdiction), and any third parties to whom Landlord is required to make any Tenant Energy Use Disclosure. Tenant hereby (A) consents to all such Tenant Energy Use Disclosures, and (B) acknowledges that Landlord shall not be required to notify Tenant of any Tenant Energy Use Disclosure. Tenant agrees that none of the “Landlord Parties,” as that term is defined in Section 10.1, below, shall be liable for, and Tenant hereby releases the Landlord Parties from, any and all loss, cost, damage, expense and liability relating to, arising out of and/or resulting from any Tenant Energy Use Disclosure. In addition, Tenant represents to Landlord that any and all information provided by Tenant to Landlord pursuant to this paragraph shall be, to Tenant’s actual knowledge, true and correct in all material respects, Tenant acknowledges that Landlord shall rely on such information, and Tenant shall indemnify, defend and hold harmless the Landlord Parties from and against all claims, demands, liabilities, damages, losses, costs and expenses, including, without limitation, reasonable attorneys’ fees, incurred in connection with or arising from any breach of the foregoing representation and/or Tenant’s failure to timely provide any information requested by Landlord pursuant to this paragraph. The terms of this paragraph shall survive the expiration or earlier termination of this Lease.</w:t>
      </w:r>
    </w:p>
    <w:p>
      <w:pPr>
        <w:spacing w:after="0" w:line="16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Overstandard Tenant Use</w:t>
      </w:r>
      <w:r>
        <w:rPr>
          <w:rFonts w:ascii="Arial" w:cs="Arial" w:eastAsia="Arial" w:hAnsi="Arial"/>
          <w:sz w:val="18"/>
          <w:szCs w:val="18"/>
          <w:color w:val="auto"/>
        </w:rPr>
        <w:t>. Tenant shall not, without Landlord’s prior written consent, use heat-generating machines, machines other than normal fractional horsepower office machines,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9" w:name="page550"/>
    <w:bookmarkEnd w:id="549"/>
    <w:p>
      <w:pPr>
        <w:ind w:right="20"/>
        <w:spacing w:after="0" w:line="285" w:lineRule="auto"/>
        <w:rPr>
          <w:sz w:val="20"/>
          <w:szCs w:val="20"/>
          <w:color w:val="auto"/>
        </w:rPr>
      </w:pPr>
      <w:r>
        <w:rPr>
          <w:rFonts w:ascii="Arial" w:cs="Arial" w:eastAsia="Arial" w:hAnsi="Arial"/>
          <w:sz w:val="16"/>
          <w:szCs w:val="16"/>
          <w:color w:val="auto"/>
        </w:rPr>
        <w:t xml:space="preserve">equipment or lighting other than Building standard lights in the Premises, which may affect the temperature otherwise maintained by the air conditioning system or increase the water normally furnished for the Premises by Landlord pursuant to the terms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this Lease. If Tenant uses water, heat or air conditioning in excess of that supplied by Landlord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this Lease, or if Tenant uses electricity in excess of that customarily used by other tenants of the Building or Project, as reasonably determined by Landlord, then Tenant shall pay to Landlord, upon billing, the actual cost of such excess consumption, the cost of the installation, operation, and maintenance of equipment, if any, which is installed in order to supply such excess consumption, and the cost of the increased wear and tear on existing equipment caused by such excess consumption; and Landlord may install devices to separately meter any increased use and in such event Tenant shall pay the increased cost directly to Landlord, on demand, at the rates charged by the public utility company furnishing the same, including the cost of installing, testing and maintaining of such additional metering devices. Tenant’s use of electricity shall never exceed the capacity of the feeders to the Project or the risers or wiring installation, and subject to the terms of </w:t>
      </w:r>
      <w:r>
        <w:rPr>
          <w:rFonts w:ascii="Arial" w:cs="Arial" w:eastAsia="Arial" w:hAnsi="Arial"/>
          <w:sz w:val="16"/>
          <w:szCs w:val="16"/>
          <w:u w:val="single" w:color="auto"/>
          <w:color w:val="auto"/>
        </w:rPr>
        <w:t>Section 29.32</w:t>
      </w:r>
      <w:r>
        <w:rPr>
          <w:rFonts w:ascii="Arial" w:cs="Arial" w:eastAsia="Arial" w:hAnsi="Arial"/>
          <w:sz w:val="16"/>
          <w:szCs w:val="16"/>
          <w:color w:val="auto"/>
        </w:rPr>
        <w:t xml:space="preserve"> below, Tenant shall not install or use or permit the installation or use of any computer or electronic data processing equipment in the Premises, without the prior written consent of Landlord; provided that the foregoing restriction shall not apply to the installation or use of general office computer equipment used in the ordinary course in Comparable Buildings, including, without limitation, a server room for use in connection with Tenant’s internal operations in the Premises. If Tenant desires to use heat, ventilation or air conditioning during hours other than those for which Landlord is obligated to supply such utilities pursuant to the terms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of this Lease, Tenant shall give Landlord such prior notice, if any, as Landlord shall from time to time establish as appropriate, of Tenant’s desired use in order to supply such utilities, and Landlord shall supply such utilities to Tenant at such hourly cost to Tenant (which shall be treated as Additional Rent) as Landlord shall from time to time reasonably establish.</w:t>
      </w:r>
    </w:p>
    <w:p>
      <w:pPr>
        <w:spacing w:after="0" w:line="17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Interruption of Use</w:t>
      </w:r>
      <w:r>
        <w:rPr>
          <w:rFonts w:ascii="Arial" w:cs="Arial" w:eastAsia="Arial" w:hAnsi="Arial"/>
          <w:sz w:val="16"/>
          <w:szCs w:val="16"/>
          <w:color w:val="auto"/>
        </w:rPr>
        <w:t xml:space="preserv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u w:val="single" w:color="auto"/>
          <w:color w:val="auto"/>
        </w:rPr>
        <w:t>Rent Abatement</w:t>
      </w:r>
      <w:r>
        <w:rPr>
          <w:rFonts w:ascii="Arial" w:cs="Arial" w:eastAsia="Arial" w:hAnsi="Arial"/>
          <w:sz w:val="17"/>
          <w:szCs w:val="17"/>
          <w:color w:val="auto"/>
        </w:rPr>
        <w:t>. If Landlord fails to perform the obligations required of Landlord under the terms of this Lease and such failure causes all or a portion of the Premises to be untenantable and unusable by Tenant and such failure relates to the nonfunctioning of the heat, ventilation, and air conditioning system in the Premises, the electricity in the Premises, the nonfunctioning of the elevator service to the Premises, or a failure to provide access to the Premises, Tenant shall give Landlord notice (the “</w:t>
      </w:r>
      <w:r>
        <w:rPr>
          <w:rFonts w:ascii="Arial" w:cs="Arial" w:eastAsia="Arial" w:hAnsi="Arial"/>
          <w:sz w:val="17"/>
          <w:szCs w:val="17"/>
          <w:b w:val="1"/>
          <w:bCs w:val="1"/>
          <w:color w:val="auto"/>
        </w:rPr>
        <w:t>Initial Notice</w:t>
      </w:r>
      <w:r>
        <w:rPr>
          <w:rFonts w:ascii="Arial" w:cs="Arial" w:eastAsia="Arial" w:hAnsi="Arial"/>
          <w:sz w:val="17"/>
          <w:szCs w:val="17"/>
          <w:color w:val="auto"/>
        </w:rPr>
        <w:t>”), specifying such failure to perform by Landlord (the “</w:t>
      </w:r>
      <w:r>
        <w:rPr>
          <w:rFonts w:ascii="Arial" w:cs="Arial" w:eastAsia="Arial" w:hAnsi="Arial"/>
          <w:sz w:val="17"/>
          <w:szCs w:val="17"/>
          <w:b w:val="1"/>
          <w:bCs w:val="1"/>
          <w:color w:val="auto"/>
        </w:rPr>
        <w:t>Landlord Default</w:t>
      </w:r>
      <w:r>
        <w:rPr>
          <w:rFonts w:ascii="Arial" w:cs="Arial" w:eastAsia="Arial" w:hAnsi="Arial"/>
          <w:sz w:val="17"/>
          <w:szCs w:val="17"/>
          <w:color w:val="auto"/>
        </w:rPr>
        <w:t>”). If Landlord has not cured such Landlord Default within five (5) business days after the receipt of the Initial Notice (the “</w:t>
      </w:r>
      <w:r>
        <w:rPr>
          <w:rFonts w:ascii="Arial" w:cs="Arial" w:eastAsia="Arial" w:hAnsi="Arial"/>
          <w:sz w:val="17"/>
          <w:szCs w:val="17"/>
          <w:b w:val="1"/>
          <w:bCs w:val="1"/>
          <w:color w:val="auto"/>
        </w:rPr>
        <w:t>Eligibility Period</w:t>
      </w:r>
      <w:r>
        <w:rPr>
          <w:rFonts w:ascii="Arial" w:cs="Arial" w:eastAsia="Arial" w:hAnsi="Arial"/>
          <w:sz w:val="17"/>
          <w:szCs w:val="17"/>
          <w:color w:val="auto"/>
        </w:rPr>
        <w:t>”), Tenant may deliver an additional notice to Landlord (the “</w:t>
      </w:r>
      <w:r>
        <w:rPr>
          <w:rFonts w:ascii="Arial" w:cs="Arial" w:eastAsia="Arial" w:hAnsi="Arial"/>
          <w:sz w:val="17"/>
          <w:szCs w:val="17"/>
          <w:b w:val="1"/>
          <w:bCs w:val="1"/>
          <w:color w:val="auto"/>
        </w:rPr>
        <w:t>Additional Notice</w:t>
      </w:r>
      <w:r>
        <w:rPr>
          <w:rFonts w:ascii="Arial" w:cs="Arial" w:eastAsia="Arial" w:hAnsi="Arial"/>
          <w:sz w:val="17"/>
          <w:szCs w:val="17"/>
          <w:color w:val="auto"/>
        </w:rPr>
        <w:t xml:space="preserve">”), specifying such Landlord Default and Tenant’s intention to abate the payment of Rent under this Lease. If Landlord does not cure such Landlord Default within five (5) business days of receipt of the Additional Notice, Tenant may, upon written notice to Landlord, immediately abate Rent payable under this Lease for that portion of the Premises rendered untenantable and not used by Tenant, for the period beginning on the date five (5) business days after the Initial Notice to the earlier of the date Landlord cures such Landlord Default or the date Tenant recommences the use of such portion of the Premises. Such right to abate Rent shall be Tenant’s sole and exclusive remedy at law or in equity for a Landlord Default. Except as expressly provided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nothing contained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be interpreted to mean that Tenant is excused from paying Rent due hereunder.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REPAIRS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Tenant shall, at Tenant’s own expense, keep the Premises, including all improvements, fixtures and furnishings therein, and the floor covering of the Building on which the Premises are located, in good order, repair and condition at all times during the Lease Term. In addition, Tenant shall, at Tenant’s own expense, but under the supervision and subject to the prior approval of Landlord, and within any reasonable period of time specified by Landlord, promptly and adequately repair all damage to the Premises and replace or repair all damaged, broken, or worn fixtures and appurtenances, except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0" w:name="page551"/>
    <w:bookmarkEnd w:id="550"/>
    <w:p>
      <w:pPr>
        <w:ind w:right="20"/>
        <w:spacing w:after="0" w:line="287" w:lineRule="auto"/>
        <w:rPr>
          <w:sz w:val="20"/>
          <w:szCs w:val="20"/>
          <w:color w:val="auto"/>
        </w:rPr>
      </w:pPr>
      <w:r>
        <w:rPr>
          <w:rFonts w:ascii="Arial" w:cs="Arial" w:eastAsia="Arial" w:hAnsi="Arial"/>
          <w:sz w:val="16"/>
          <w:szCs w:val="16"/>
          <w:color w:val="auto"/>
        </w:rPr>
        <w:t>damage caused by ordinary wear and tear or beyond the reasonable control of Tenant; provided however, that, at Landlord’s option, or if Tenant fails to make such repairs, Landlord may, but need not, make such repairs and replacements, and Tenant shall pay Landlord the cost thereof, including a percentage of the cost thereof (to be uniformly established for the Building and/or the Project) sufficient to reimburse Landlord for all overhead, general conditions, fees and other costs or expenses arising from Landlord’s involvement with such repairs and replacements forthwith upon being billed for same. Notwithstanding the foregoing, Landlord shall be responsible for repairs to the exterior walls, foundation and roof of the Building, the structural portions of the floors of the Building, and the systems and equipment of the Building, except to the extent that such repairs are required due to the negligence or willful misconduct of Tenant; provided, however, that if such repairs are due to the negligence or willful misconduct of Tenant, Landlord shall nevertheless make such repairs at Tenant’s expense, or, if covered by Landlord’s insurance, Tenant shall only be obligated to pay any deductible in connection therewith. Landlord may, but shall not be required to, enter the Premises at all reasonable times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ADDITIONS AND ALTERATIONS</w:t>
      </w:r>
    </w:p>
    <w:p>
      <w:pPr>
        <w:spacing w:after="0" w:line="221" w:lineRule="exact"/>
        <w:rPr>
          <w:sz w:val="20"/>
          <w:szCs w:val="20"/>
          <w:color w:val="auto"/>
        </w:rPr>
      </w:pPr>
    </w:p>
    <w:p>
      <w:pPr>
        <w:ind w:right="200" w:firstLine="648"/>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Landlord’s Consent to Alterations</w:t>
      </w:r>
      <w:r>
        <w:rPr>
          <w:rFonts w:ascii="Arial" w:cs="Arial" w:eastAsia="Arial" w:hAnsi="Arial"/>
          <w:sz w:val="16"/>
          <w:szCs w:val="16"/>
          <w:color w:val="auto"/>
        </w:rPr>
        <w:t xml:space="preserve">. Except as expressly provided in this </w:t>
      </w:r>
      <w:r>
        <w:rPr>
          <w:rFonts w:ascii="Arial" w:cs="Arial" w:eastAsia="Arial" w:hAnsi="Arial"/>
          <w:sz w:val="16"/>
          <w:szCs w:val="16"/>
          <w:u w:val="single" w:color="auto"/>
          <w:color w:val="auto"/>
        </w:rPr>
        <w:t>Article 8</w:t>
      </w:r>
      <w:r>
        <w:rPr>
          <w:rFonts w:ascii="Arial" w:cs="Arial" w:eastAsia="Arial" w:hAnsi="Arial"/>
          <w:sz w:val="16"/>
          <w:szCs w:val="16"/>
          <w:color w:val="auto"/>
        </w:rPr>
        <w:t>, Tenant may not make any improvements, alterations, additions or changes to the Premises or any mechanical, plumbing or HVAC facilities or systems pertaining to the Premises (collectively, the “</w:t>
      </w:r>
      <w:r>
        <w:rPr>
          <w:rFonts w:ascii="Arial" w:cs="Arial" w:eastAsia="Arial" w:hAnsi="Arial"/>
          <w:sz w:val="16"/>
          <w:szCs w:val="16"/>
          <w:b w:val="1"/>
          <w:bCs w:val="1"/>
          <w:color w:val="auto"/>
        </w:rPr>
        <w:t>Alterations</w:t>
      </w:r>
      <w:r>
        <w:rPr>
          <w:rFonts w:ascii="Arial" w:cs="Arial" w:eastAsia="Arial" w:hAnsi="Arial"/>
          <w:sz w:val="16"/>
          <w:szCs w:val="16"/>
          <w:color w:val="auto"/>
        </w:rPr>
        <w:t>”) without first procuring the prior written consent of Landlord to such Alterations, which consent shall be requested by Tenant not less than thirty (30)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w:t>
      </w:r>
    </w:p>
    <w:p>
      <w:pPr>
        <w:spacing w:after="0" w:line="3" w:lineRule="exact"/>
        <w:rPr>
          <w:sz w:val="20"/>
          <w:szCs w:val="20"/>
          <w:color w:val="auto"/>
        </w:rPr>
      </w:pPr>
    </w:p>
    <w:p>
      <w:pPr>
        <w:jc w:val="both"/>
        <w:ind w:right="340" w:firstLine="8"/>
        <w:spacing w:after="0" w:line="255" w:lineRule="auto"/>
        <w:tabs>
          <w:tab w:leader="none" w:pos="34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business days’ notice to Landlord, but without Landlord’s prior consent, to the extent that such Alterations are decorative only (</w:t>
      </w:r>
      <w:r>
        <w:rPr>
          <w:rFonts w:ascii="Arial" w:cs="Arial" w:eastAsia="Arial" w:hAnsi="Arial"/>
          <w:sz w:val="18"/>
          <w:szCs w:val="18"/>
          <w:i w:val="1"/>
          <w:iCs w:val="1"/>
          <w:color w:val="auto"/>
        </w:rPr>
        <w:t>i.e.</w:t>
      </w:r>
      <w:r>
        <w:rPr>
          <w:rFonts w:ascii="Arial" w:cs="Arial" w:eastAsia="Arial" w:hAnsi="Arial"/>
          <w:sz w:val="18"/>
          <w:szCs w:val="18"/>
          <w:color w:val="auto"/>
        </w:rPr>
        <w:t xml:space="preserve">, installation of carpeting or painting of the Premises). The construction of the initial improvements to the Premises shall be governed by the terms of the Tenant Work Letter and not the terms of this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186"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Manner of Construction</w:t>
      </w:r>
      <w:r>
        <w:rPr>
          <w:rFonts w:ascii="Arial" w:cs="Arial" w:eastAsia="Arial" w:hAnsi="Arial"/>
          <w:sz w:val="16"/>
          <w:szCs w:val="16"/>
          <w:color w:val="auto"/>
        </w:rPr>
        <w:t>. Landlord may impose, as a condition of its consent to any and all Alterations or repairs of the Premises or about the Premises, such requirements as Landlord in its reasonable discretion may deem desirable, including, but not limited to, the requirement that Tenant utilize for such purposes only contractors, subcontractors, materials, mechanics and materialmen selected by Tenant from a list provided and approved by Landlord, and the requirement that upon Landlord’s request,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of Sunnyvale, all in conformance with Landlord’s construction rules and regulations; provided, however, that prior to commencing to construct any Alteration, Tenant shall meet with Landlord to discuss Landlord’s design parameters and code compliance issues. In the event Tenant performs any Alterations in the Premises which require or give rise to governmentally required changes to the “Base Building,” as that term is defined below, then Landlord shall, at Tenant’s expense, make such changes to the Base Building. The “</w:t>
      </w:r>
      <w:r>
        <w:rPr>
          <w:rFonts w:ascii="Arial" w:cs="Arial" w:eastAsia="Arial" w:hAnsi="Arial"/>
          <w:sz w:val="16"/>
          <w:szCs w:val="16"/>
          <w:b w:val="1"/>
          <w:bCs w:val="1"/>
          <w:color w:val="auto"/>
        </w:rPr>
        <w:t>Base Building</w:t>
      </w:r>
      <w:r>
        <w:rPr>
          <w:rFonts w:ascii="Arial" w:cs="Arial" w:eastAsia="Arial" w:hAnsi="Arial"/>
          <w:sz w:val="16"/>
          <w:szCs w:val="16"/>
          <w:color w:val="auto"/>
        </w:rPr>
        <w:t xml:space="preserve">” shall include the structural portions of the Building, and the public restrooms, elevators, exit stairwells and the systems and equipment located in the internal core of the Building on the floor or floors on which the Premises are located. In performing the work of any such Alterations, Tenant shall have the work performed in such manner so as not to obstruct access to the Project or any portion thereof, by any other tenant of the Project, and so as not to obstruct the business of Landlord or other tenants in the Project.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In addition to Tenant’s obligations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Lease, upon completion of any Alterations, Tenant agrees to cause a Notice of Completion to be recorded in the office of the Recorder of the County of San Mateo in accordance with Section 8182 of the California Civil Code or any successor statute and furnish a copy thereof to Landlord upon recordation, and Tenant shall deliver to the Project construction manager</w:t>
      </w:r>
    </w:p>
    <w:p>
      <w:pPr>
        <w:spacing w:after="0" w:line="1" w:lineRule="exact"/>
        <w:rPr>
          <w:sz w:val="20"/>
          <w:szCs w:val="20"/>
          <w:color w:val="auto"/>
        </w:rPr>
      </w:pPr>
    </w:p>
    <w:p>
      <w:pPr>
        <w:ind w:right="100" w:firstLine="8"/>
        <w:spacing w:after="0" w:line="302" w:lineRule="auto"/>
        <w:tabs>
          <w:tab w:leader="none" w:pos="295" w:val="left"/>
        </w:tabs>
        <w:numPr>
          <w:ilvl w:val="0"/>
          <w:numId w:val="503"/>
        </w:numPr>
        <w:rPr>
          <w:rFonts w:ascii="Arial" w:cs="Arial" w:eastAsia="Arial" w:hAnsi="Arial"/>
          <w:sz w:val="16"/>
          <w:szCs w:val="16"/>
          <w:color w:val="auto"/>
        </w:rPr>
      </w:pPr>
      <w:r>
        <w:rPr>
          <w:rFonts w:ascii="Arial" w:cs="Arial" w:eastAsia="Arial" w:hAnsi="Arial"/>
          <w:sz w:val="16"/>
          <w:szCs w:val="16"/>
          <w:color w:val="auto"/>
        </w:rPr>
        <w:t>a reproducible print copy, and (B) an electronic CAD file, of the “as built” drawings of the Alterations as well as all permits, approvals and other documents issued by any governmental agency in connection with the Alterations. Based upon such “as built” drawings and other documents provided by Tenant, Landlord shall, at Tenant’s expense, update Landlord’s “as-built” master plans for the floor(s) on which the Premises are located, if any, including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1" w:name="page552"/>
    <w:bookmarkEnd w:id="551"/>
    <w:p>
      <w:pPr>
        <w:ind w:right="200"/>
        <w:spacing w:after="0" w:line="277" w:lineRule="auto"/>
        <w:rPr>
          <w:sz w:val="20"/>
          <w:szCs w:val="20"/>
          <w:color w:val="auto"/>
        </w:rPr>
      </w:pPr>
      <w:r>
        <w:rPr>
          <w:rFonts w:ascii="Arial" w:cs="Arial" w:eastAsia="Arial" w:hAnsi="Arial"/>
          <w:sz w:val="18"/>
          <w:szCs w:val="18"/>
          <w:color w:val="auto"/>
        </w:rPr>
        <w:t>updated vellums and electronic CAD files, all of which may be modified by Landlord from time-to-time, and the current versions of which shall be made available to Tenant upon Tenant’s request.</w:t>
      </w:r>
    </w:p>
    <w:p>
      <w:pPr>
        <w:spacing w:after="0" w:line="16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Payment for Improvements</w:t>
      </w:r>
      <w:r>
        <w:rPr>
          <w:rFonts w:ascii="Arial" w:cs="Arial" w:eastAsia="Arial" w:hAnsi="Arial"/>
          <w:sz w:val="16"/>
          <w:szCs w:val="16"/>
          <w:color w:val="auto"/>
        </w:rPr>
        <w:t>. If payment is made directly to contractors, Tenant shall (i) comply with Landlord’s requirements for final lien releases and waivers in connection with Tenant’s payment for work to contractors, and (ii) sign Landlord’s standard contractor’s rules and regulations. If Tenant orders any work directly from Landlord, Tenant shall pay to Landlord, in cash prior to the commencement of construction by Landlord, all costs of such work, including an amount equal to five percent (5%) of the cost of such work to compensate Landlord for all overhead, general conditions, fees and other costs and expenses arising from Landlord’s involvement with such work (collectively, the “</w:t>
      </w:r>
      <w:r>
        <w:rPr>
          <w:rFonts w:ascii="Arial" w:cs="Arial" w:eastAsia="Arial" w:hAnsi="Arial"/>
          <w:sz w:val="16"/>
          <w:szCs w:val="16"/>
          <w:b w:val="1"/>
          <w:bCs w:val="1"/>
          <w:color w:val="auto"/>
        </w:rPr>
        <w:t>Alteration Costs</w:t>
      </w:r>
      <w:r>
        <w:rPr>
          <w:rFonts w:ascii="Arial" w:cs="Arial" w:eastAsia="Arial" w:hAnsi="Arial"/>
          <w:sz w:val="16"/>
          <w:szCs w:val="16"/>
          <w:color w:val="auto"/>
        </w:rPr>
        <w:t>”); provided, however, to the extent that Landlord provides Tenant with a monetary allowance in connection with such work, Tenant shall only be required to pay to Landlord the amount by which the Alteration Costs exceed such allowance. If Tenant does not order any work directly from Landlord, Tenant shall reimburse Landlord for Landlord’s reasonable, actual, out-of-pocket costs and expenses actually incurred in connection with Landlord’s review of such work.</w:t>
      </w:r>
    </w:p>
    <w:p>
      <w:pPr>
        <w:spacing w:after="0" w:line="15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u w:val="single" w:color="auto"/>
          <w:color w:val="auto"/>
        </w:rPr>
        <w:t>Construction Insurance</w:t>
      </w:r>
      <w:r>
        <w:rPr>
          <w:rFonts w:ascii="Arial" w:cs="Arial" w:eastAsia="Arial" w:hAnsi="Arial"/>
          <w:sz w:val="16"/>
          <w:szCs w:val="16"/>
          <w:color w:val="auto"/>
        </w:rPr>
        <w:t xml:space="preserve">. In addition to the requirements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in the event that Tenant makes any Alterations, prior to the commencement of such Alterations, Tenant shall provide Landlord with evidence that Tenant carries “Builder’s All Risk” insurance in an amount approved by Landlord (which shall in no event be less than the amount actually carried by Tenant) covering the construction of such Alterations, and such other insurance as Landlord may reasonably require, it being understood and agreed that all of such Alterations shall be insured by Tenant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immediately upon completion thereof. In addition, Tenant shall obtain and deliver to Landlord certificates of insurance and applicable endorsements from all Third Party Contractors (defined below) at least seven (7) business days prior to the commencement of work in or about the Premises by any vendor or any other third-party contractor (each, a “</w:t>
      </w:r>
      <w:r>
        <w:rPr>
          <w:rFonts w:ascii="Arial" w:cs="Arial" w:eastAsia="Arial" w:hAnsi="Arial"/>
          <w:sz w:val="16"/>
          <w:szCs w:val="16"/>
          <w:b w:val="1"/>
          <w:bCs w:val="1"/>
          <w:color w:val="auto"/>
        </w:rPr>
        <w:t>Third Party Contractor</w:t>
      </w:r>
      <w:r>
        <w:rPr>
          <w:rFonts w:ascii="Arial" w:cs="Arial" w:eastAsia="Arial" w:hAnsi="Arial"/>
          <w:sz w:val="16"/>
          <w:szCs w:val="16"/>
          <w:color w:val="auto"/>
        </w:rPr>
        <w:t xml:space="preserve">”). All such insurance shall (a) name Landlord, and any other party that Landlord so specifies, as an additional insured under such party’s liability policies (including, without limitation, with respect to premises operations and product-completed operations coverages) as required by </w:t>
      </w:r>
      <w:r>
        <w:rPr>
          <w:rFonts w:ascii="Arial" w:cs="Arial" w:eastAsia="Arial" w:hAnsi="Arial"/>
          <w:sz w:val="16"/>
          <w:szCs w:val="16"/>
          <w:u w:val="single" w:color="auto"/>
          <w:color w:val="auto"/>
        </w:rPr>
        <w:t>Section 10.3.1</w:t>
      </w:r>
      <w:r>
        <w:rPr>
          <w:rFonts w:ascii="Arial" w:cs="Arial" w:eastAsia="Arial" w:hAnsi="Arial"/>
          <w:sz w:val="16"/>
          <w:szCs w:val="16"/>
          <w:color w:val="auto"/>
        </w:rPr>
        <w:t xml:space="preserve"> below and this </w:t>
      </w:r>
      <w:r>
        <w:rPr>
          <w:rFonts w:ascii="Arial" w:cs="Arial" w:eastAsia="Arial" w:hAnsi="Arial"/>
          <w:sz w:val="16"/>
          <w:szCs w:val="16"/>
          <w:u w:val="single" w:color="auto"/>
          <w:color w:val="auto"/>
        </w:rPr>
        <w:t>Section 8.4</w:t>
      </w:r>
      <w:r>
        <w:rPr>
          <w:rFonts w:ascii="Arial" w:cs="Arial" w:eastAsia="Arial" w:hAnsi="Arial"/>
          <w:sz w:val="16"/>
          <w:szCs w:val="16"/>
          <w:color w:val="auto"/>
        </w:rPr>
        <w:t>, (b) provide a waiver of subrogation in favor of Landlord under each such Third Party Contractor’s commercial general liability insurance, (c) be primary and any insurance carried by Landlord shall be excess and non-contributing, and (d) comply with Landlord’s minimum insurance requirements, with coverage amounts as reasonably required by Landlord, which shall in no event be less than the amount actually carried by any such Third Party Contractor. In addition, Landlord may, in its discretion, require Tenant to obtain a lien and completion bond or some alternate form of security satisfactory to Landlord in an amount sufficient to ensure the lien-free completion of such Alterations and naming Landlord as a co-obligee.</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Landlord’s Property</w:t>
      </w:r>
      <w:r>
        <w:rPr>
          <w:rFonts w:ascii="Arial" w:cs="Arial" w:eastAsia="Arial" w:hAnsi="Arial"/>
          <w:sz w:val="16"/>
          <w:szCs w:val="16"/>
          <w:color w:val="auto"/>
        </w:rPr>
        <w:t xml:space="preserve">. All Alterations, improvements, fixtures, equipment and/or appurtenances which may be installed or placed in or about the Premises, from time to time, shall be at the sole cost of Tenant and shall be and become the property of Landlord, except that Tenant may remove any Alterations, improvements, fixtures and/or equipment which Tenant can substantiate to Landlord have not been paid for with any Tenant improvement allowance funds provided to Tenant by Landlord, provided Tenant repairs any damage to the Premises and Building caused by such removal and returns the affected portion of the Premises to a building standard tenant improved condition as determined by Landlord. Furthermore, Landlord may, by written notice to Tenant either prior to or following the end of the Lease Term, or given following any earlier termination of this Lease, require Tenant, at Tenant’s expense, to remove any Alterations or improvements and to repair any damage to the Premises and Building caused by such removal and return the affected portion of the Premises to a building standard tenant improved condition as determined by Landlord; provided, however, notwithstanding the foregoing, upon request by Tenant at the time of Tenant’s request for Landlord’s consent to any Alterations or improvements, Landlord shall notify Tenant whether the applicable Alterations or improvements will be required to be removed pursuant to the terms of this </w:t>
      </w:r>
      <w:r>
        <w:rPr>
          <w:rFonts w:ascii="Arial" w:cs="Arial" w:eastAsia="Arial" w:hAnsi="Arial"/>
          <w:sz w:val="16"/>
          <w:szCs w:val="16"/>
          <w:u w:val="single" w:color="auto"/>
          <w:color w:val="auto"/>
        </w:rPr>
        <w:t>Section 8.5</w:t>
      </w:r>
      <w:r>
        <w:rPr>
          <w:rFonts w:ascii="Arial" w:cs="Arial" w:eastAsia="Arial" w:hAnsi="Arial"/>
          <w:sz w:val="16"/>
          <w:szCs w:val="16"/>
          <w:color w:val="auto"/>
        </w:rPr>
        <w:t>. If Tenant fails to complete such removal and/or to repair any damage caused by the removal of any Alterations or improvements in the Premises and return the affected portion of the Premises to a building standard tenant improved condition as reasonably determined by Landlord, Landlord may do so and may charge the cost thereof to Tenant. Tenant hereby protects, defends, indemnifies and holds Landlord harmless from any liability, cost, obligation, expense or claim of lien in any manner relating to Tenant’s installation, placement, removal or financing of any such Alterations, improvements, fixtures and/or equipment in, on or about the Premises, which obligations of Tenant shall survive the expiration or earlier termination of this Lease.</w:t>
      </w:r>
    </w:p>
    <w:p>
      <w:pPr>
        <w:spacing w:after="0" w:line="16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Tenant’s Security System</w:t>
      </w:r>
      <w:r>
        <w:rPr>
          <w:rFonts w:ascii="Arial" w:cs="Arial" w:eastAsia="Arial" w:hAnsi="Arial"/>
          <w:sz w:val="18"/>
          <w:szCs w:val="18"/>
          <w:color w:val="auto"/>
        </w:rPr>
        <w:t>. Tenant may, at its own expense, install its own security system (“</w:t>
      </w:r>
      <w:r>
        <w:rPr>
          <w:rFonts w:ascii="Arial" w:cs="Arial" w:eastAsia="Arial" w:hAnsi="Arial"/>
          <w:sz w:val="18"/>
          <w:szCs w:val="18"/>
          <w:b w:val="1"/>
          <w:bCs w:val="1"/>
          <w:color w:val="auto"/>
        </w:rPr>
        <w:t>Tenant’s Security System</w:t>
      </w:r>
      <w:r>
        <w:rPr>
          <w:rFonts w:ascii="Arial" w:cs="Arial" w:eastAsia="Arial" w:hAnsi="Arial"/>
          <w:sz w:val="18"/>
          <w:szCs w:val="18"/>
          <w:color w:val="auto"/>
        </w:rPr>
        <w:t>”) in the Premises, subject to Landlord’s prior written consent, which consent shall not be unreasonably withheld, conditioned or delayed; provided, however, that in the event Tenant’s Security System ties into the Building security system, Tenant shall coordinate the installation and operation of Tenant’s Security System with Landlord to assure that Tenant’s Security System is compatible with the Building security system and the systems and equipment of the Building and to the extent that Tenant’s Security System is not compatible with the Building security system or the systems and equipment of the Building, Tenant shall not be entitled to install or operate it. Subject to the terms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2" w:name="page553"/>
    <w:bookmarkEnd w:id="552"/>
    <w:p>
      <w:pPr>
        <w:ind w:right="80"/>
        <w:spacing w:after="0" w:line="289" w:lineRule="auto"/>
        <w:rPr>
          <w:sz w:val="20"/>
          <w:szCs w:val="20"/>
          <w:color w:val="auto"/>
        </w:rPr>
      </w:pPr>
      <w:r>
        <w:rPr>
          <w:rFonts w:ascii="Arial" w:cs="Arial" w:eastAsia="Arial" w:hAnsi="Arial"/>
          <w:sz w:val="16"/>
          <w:szCs w:val="16"/>
          <w:color w:val="auto"/>
        </w:rPr>
        <w:t>this Section 8.5, Tenant’s Security System may include a biometric locking security system (with upgrades from time to time) on all entry doors to the Premises (including an intercom installed at the main entrance to the Premises provided the same is, in Landlord’s sole but good faith discretion, aesthetically consistent with the Building), and provided that such system does not prevent Landlord from having access to the Premises that is as effective as use of Landlord’s master key to the Building. Tenant shall be solely responsible, at Tenant’s sole cost and expense, for the monitoring, operation and removal of Tenant’s Security System. Tenant shall provide Landlord with any information reasonably required regarding Tenant’s Security System in the event access to the Premises is necessary in an emergency. Upon the expiration or earlier termination of the Lease Term (unless Landlord elects otherwise in writing), Tenant shall remove Tenant’s Security System and repair all damage to the Building resulting from such removal, at Tenant’s sole cost and expense. The work to install Tenant’s Security System (to the extent not covered by the Tenant Work Letter) shall be considered to be an Alteration for all purposes under this Lease and Tenant shall comply with all of the terms and conditions of this Lease with respect thereto.</w:t>
      </w:r>
    </w:p>
    <w:p>
      <w:pPr>
        <w:spacing w:after="0" w:line="166"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Interconnecting Doorways with Suites 302 &amp; 300</w:t>
      </w:r>
      <w:r>
        <w:rPr>
          <w:rFonts w:ascii="Arial" w:cs="Arial" w:eastAsia="Arial" w:hAnsi="Arial"/>
          <w:sz w:val="17"/>
          <w:szCs w:val="17"/>
          <w:color w:val="auto"/>
        </w:rPr>
        <w:t xml:space="preserve">. Tenant is currently in occupancy of certain premises in the Building known as Suite 302 and </w:t>
      </w:r>
      <w:r>
        <w:rPr>
          <w:rFonts w:ascii="Arial" w:cs="Arial" w:eastAsia="Arial" w:hAnsi="Arial"/>
          <w:sz w:val="17"/>
          <w:szCs w:val="17"/>
          <w:b w:val="1"/>
          <w:bCs w:val="1"/>
          <w:color w:val="auto"/>
        </w:rPr>
        <w:t>Suite</w:t>
      </w:r>
      <w:r>
        <w:rPr>
          <w:rFonts w:ascii="Arial" w:cs="Arial" w:eastAsia="Arial" w:hAnsi="Arial"/>
          <w:sz w:val="17"/>
          <w:szCs w:val="17"/>
          <w:color w:val="auto"/>
        </w:rPr>
        <w:t xml:space="preserve"> 300 (“</w:t>
      </w:r>
      <w:r>
        <w:rPr>
          <w:rFonts w:ascii="Arial" w:cs="Arial" w:eastAsia="Arial" w:hAnsi="Arial"/>
          <w:sz w:val="17"/>
          <w:szCs w:val="17"/>
          <w:b w:val="1"/>
          <w:bCs w:val="1"/>
          <w:color w:val="auto"/>
        </w:rPr>
        <w:t>Suites 302 &amp; 300</w:t>
      </w:r>
      <w:r>
        <w:rPr>
          <w:rFonts w:ascii="Arial" w:cs="Arial" w:eastAsia="Arial" w:hAnsi="Arial"/>
          <w:sz w:val="17"/>
          <w:szCs w:val="17"/>
          <w:color w:val="auto"/>
        </w:rPr>
        <w:t>”) pursuant to existing sublease agreements (the “</w:t>
      </w:r>
      <w:r>
        <w:rPr>
          <w:rFonts w:ascii="Arial" w:cs="Arial" w:eastAsia="Arial" w:hAnsi="Arial"/>
          <w:sz w:val="17"/>
          <w:szCs w:val="17"/>
          <w:b w:val="1"/>
          <w:bCs w:val="1"/>
          <w:color w:val="auto"/>
        </w:rPr>
        <w:t>Existing Subleases</w:t>
      </w:r>
      <w:r>
        <w:rPr>
          <w:rFonts w:ascii="Arial" w:cs="Arial" w:eastAsia="Arial" w:hAnsi="Arial"/>
          <w:sz w:val="17"/>
          <w:szCs w:val="17"/>
          <w:color w:val="auto"/>
        </w:rPr>
        <w:t>”) with the current tenants of Suites 302 &amp; 300. Suites 302 &amp; 300 are adjacent to the Premises. The term of the Existing Sublease for Suite 302 is scheduled to expire on June 30, 2020. Landlord consented to the Existing Sublease for Suite 302 pursuant to that certain Consent to Sublease Agreement dated November 17, 2016. Tenant may, at its own expense, install a Building standard doorway which provides for access between the Premises and Suite 302 and/or between Suites 302 and 300 (the “</w:t>
      </w:r>
      <w:r>
        <w:rPr>
          <w:rFonts w:ascii="Arial" w:cs="Arial" w:eastAsia="Arial" w:hAnsi="Arial"/>
          <w:sz w:val="17"/>
          <w:szCs w:val="17"/>
          <w:b w:val="1"/>
          <w:bCs w:val="1"/>
          <w:color w:val="auto"/>
        </w:rPr>
        <w:t>Interconnecting Doorways</w:t>
      </w:r>
      <w:r>
        <w:rPr>
          <w:rFonts w:ascii="Arial" w:cs="Arial" w:eastAsia="Arial" w:hAnsi="Arial"/>
          <w:sz w:val="17"/>
          <w:szCs w:val="17"/>
          <w:color w:val="auto"/>
        </w:rPr>
        <w:t>”), subject to (i) Landlord’s prior written consent, which consent shall not be unreasonably withheld, conditioned or delayed, (ii) the prior written consent of the “sublandlord” under the Existing Subleases, as applicable, and (iii) compliance with any Applicable Laws, including, without limitation, code requirements regarding exiting. Upon the earlier to occur of the (x) the expiration or earlier termination of the Existing Subleases, or (y) the expiration or earlier termination of the Lease Term (unless Landlord elects otherwise in writing), as applicable, Tenant shall remove the Interconnecting Doorways,, as applicable, restore the affected area(s) to the condition existing prior to the installation thereof and repair all damage to the Building resulting from such removal, at Tenant’s sole cost and expense. The work to install the Interconnecting Doorways (to the extent not covered by the Tenant Work Letter) shall be considered to be an Alteration for all purposes under this Lease and Tenant shall comply with all of the terms and conditions of this Lease with respect thereto.</w:t>
      </w:r>
    </w:p>
    <w:p>
      <w:pPr>
        <w:spacing w:after="0" w:line="18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Rooftop Rights</w:t>
      </w:r>
      <w:r>
        <w:rPr>
          <w:rFonts w:ascii="Arial" w:cs="Arial" w:eastAsia="Arial" w:hAnsi="Arial"/>
          <w:sz w:val="16"/>
          <w:szCs w:val="16"/>
          <w:color w:val="auto"/>
        </w:rPr>
        <w:t xml:space="preserve">. Tenant is hereby granted, subject to the Tenant Work Letter (if such work is to performed as a part of the Tenant Improvements) or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Lease (if such work is not to performed as a part of the Tenant Improvements) and such other reasonable requirements as shall be imposed by Landlord, the right to install, secure, maintain, replace and operate on the roof (the “</w:t>
      </w:r>
      <w:r>
        <w:rPr>
          <w:rFonts w:ascii="Arial" w:cs="Arial" w:eastAsia="Arial" w:hAnsi="Arial"/>
          <w:sz w:val="16"/>
          <w:szCs w:val="16"/>
          <w:b w:val="1"/>
          <w:bCs w:val="1"/>
          <w:color w:val="auto"/>
        </w:rPr>
        <w:t>Roof</w:t>
      </w:r>
      <w:r>
        <w:rPr>
          <w:rFonts w:ascii="Arial" w:cs="Arial" w:eastAsia="Arial" w:hAnsi="Arial"/>
          <w:sz w:val="16"/>
          <w:szCs w:val="16"/>
          <w:color w:val="auto"/>
        </w:rPr>
        <w:t>”) of the Building in an area designated by Landlord in its sole discretion (the “</w:t>
      </w:r>
      <w:r>
        <w:rPr>
          <w:rFonts w:ascii="Arial" w:cs="Arial" w:eastAsia="Arial" w:hAnsi="Arial"/>
          <w:sz w:val="16"/>
          <w:szCs w:val="16"/>
          <w:b w:val="1"/>
          <w:bCs w:val="1"/>
          <w:color w:val="auto"/>
        </w:rPr>
        <w:t>Roof Space</w:t>
      </w:r>
      <w:r>
        <w:rPr>
          <w:rFonts w:ascii="Arial" w:cs="Arial" w:eastAsia="Arial" w:hAnsi="Arial"/>
          <w:sz w:val="16"/>
          <w:szCs w:val="16"/>
          <w:color w:val="auto"/>
        </w:rPr>
        <w:t>”), the Rooftop Equipment (defined below). “</w:t>
      </w:r>
      <w:r>
        <w:rPr>
          <w:rFonts w:ascii="Arial" w:cs="Arial" w:eastAsia="Arial" w:hAnsi="Arial"/>
          <w:sz w:val="16"/>
          <w:szCs w:val="16"/>
          <w:b w:val="1"/>
          <w:bCs w:val="1"/>
          <w:color w:val="auto"/>
        </w:rPr>
        <w:t>Rooftop Equipment</w:t>
      </w:r>
      <w:r>
        <w:rPr>
          <w:rFonts w:ascii="Arial" w:cs="Arial" w:eastAsia="Arial" w:hAnsi="Arial"/>
          <w:sz w:val="16"/>
          <w:szCs w:val="16"/>
          <w:color w:val="auto"/>
        </w:rPr>
        <w:t xml:space="preserve">” shall mean either a microwave transmitter-receiver, satellite dish or antenna or other equipment acceptable to Landlord in its reasonable discretion. The Rooftop Equipment shall be of a weight, height and width reasonably acceptable to Landlord and as reasonably necessary for Tenant’s use of the Premises and the conduct of its business therein. In addition, also subject to the Tenant Work Letter or </w:t>
      </w:r>
      <w:r>
        <w:rPr>
          <w:rFonts w:ascii="Arial" w:cs="Arial" w:eastAsia="Arial" w:hAnsi="Arial"/>
          <w:sz w:val="16"/>
          <w:szCs w:val="16"/>
          <w:u w:val="single" w:color="auto"/>
          <w:color w:val="auto"/>
        </w:rPr>
        <w:t>Article 8</w:t>
      </w:r>
      <w:r>
        <w:rPr>
          <w:rFonts w:ascii="Arial" w:cs="Arial" w:eastAsia="Arial" w:hAnsi="Arial"/>
          <w:sz w:val="16"/>
          <w:szCs w:val="16"/>
          <w:color w:val="auto"/>
        </w:rPr>
        <w:t>, as the case may be, Tenant shall have the right to install cables leading from the Rooftop Equipment to the Premises at Tenant’s sole cost and expense and in a location, manner, material and size as shall be reasonably approved by Landlord. Landlord shall have the right to require that Tenant install screening around the Rooftop Equipment.</w:t>
      </w:r>
    </w:p>
    <w:p>
      <w:pPr>
        <w:spacing w:after="0" w:line="166"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8.8.1 The Rooftop Equipment shall be used solely and exclusively by Tenant for communication with other offices of Tenant and with clients and vendors of Tenant or for receipt of television, cable or satellite programming. The transmission or receipt of signals for any other purpose or by or for any other person or entity shall constitute a prohibited use of the Rooftop Equipment and a default under this Lease. Tenant shall diligently service, repair, paint and maintain the Rooftop Equipment, including, without limitation, all electrical wires, guide wires and conduits related thereto. No signs, whether temporary or permanent, shall be affixed, installed or attached to the Rooftop Equipment or the Roof other than those required by Applicable Laws (as defined below). All signs required, if any, and the location thereof, shall be first approved in writing by Landlord. In the performance of any installation, alteration, repair, maintenance, removal and/or any other work with respect to the Roof Space or the Rooftop Equipment, Tenant shall comply with all of the applicable provisions of this Lease, including, without limitation, those set forth in the Tenant Work Letter, if applicable, this Article 8 (if applicable), and Article 10 of this Lease, and such provisions of this Lease shall be applicable to the Roof Space as if the Roof Space was part of the Premises.</w:t>
      </w:r>
    </w:p>
    <w:p>
      <w:pPr>
        <w:spacing w:after="0" w:line="194" w:lineRule="exact"/>
        <w:rPr>
          <w:sz w:val="20"/>
          <w:szCs w:val="20"/>
          <w:color w:val="auto"/>
        </w:rPr>
      </w:pPr>
    </w:p>
    <w:p>
      <w:pPr>
        <w:ind w:right="240" w:firstLine="1296"/>
        <w:spacing w:after="0" w:line="286" w:lineRule="auto"/>
        <w:rPr>
          <w:sz w:val="20"/>
          <w:szCs w:val="20"/>
          <w:color w:val="auto"/>
        </w:rPr>
      </w:pPr>
      <w:r>
        <w:rPr>
          <w:rFonts w:ascii="Arial" w:cs="Arial" w:eastAsia="Arial" w:hAnsi="Arial"/>
          <w:sz w:val="17"/>
          <w:szCs w:val="17"/>
          <w:color w:val="auto"/>
        </w:rPr>
        <w:t>8.8.2 Any and all taxes, filing fees, charges or license fees imposed upon Landlord by virtue of the existence and/or use of the Rooftop Equipment (including those shown to be specifically related to any increase in the assessed valuation of the Building attributable to the Rooftop Equipment), whether imposed by any local, state and/or federal government or any agency thereof, shall be exclusively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3" w:name="page554"/>
    <w:bookmarkEnd w:id="553"/>
    <w:p>
      <w:pPr>
        <w:ind w:right="660"/>
        <w:spacing w:after="0" w:line="277" w:lineRule="auto"/>
        <w:rPr>
          <w:sz w:val="20"/>
          <w:szCs w:val="20"/>
          <w:color w:val="auto"/>
        </w:rPr>
      </w:pPr>
      <w:r>
        <w:rPr>
          <w:rFonts w:ascii="Arial" w:cs="Arial" w:eastAsia="Arial" w:hAnsi="Arial"/>
          <w:sz w:val="18"/>
          <w:szCs w:val="18"/>
          <w:color w:val="auto"/>
        </w:rPr>
        <w:t>borne by Tenant. Landlord agrees to cooperate reasonably with Tenant in any necessary applications for any necessary license or permits provided Landlord incurs no expense or liability in so doing.</w:t>
      </w:r>
    </w:p>
    <w:p>
      <w:pPr>
        <w:spacing w:after="0" w:line="170" w:lineRule="exact"/>
        <w:rPr>
          <w:sz w:val="20"/>
          <w:szCs w:val="20"/>
          <w:color w:val="auto"/>
        </w:rPr>
      </w:pPr>
    </w:p>
    <w:p>
      <w:pPr>
        <w:ind w:right="20" w:firstLine="1296"/>
        <w:spacing w:after="0" w:line="290" w:lineRule="auto"/>
        <w:rPr>
          <w:sz w:val="20"/>
          <w:szCs w:val="20"/>
          <w:color w:val="auto"/>
        </w:rPr>
      </w:pPr>
      <w:r>
        <w:rPr>
          <w:rFonts w:ascii="Arial" w:cs="Arial" w:eastAsia="Arial" w:hAnsi="Arial"/>
          <w:sz w:val="16"/>
          <w:szCs w:val="16"/>
          <w:color w:val="auto"/>
        </w:rPr>
        <w:t xml:space="preserve">8.8.3 Between the hours of 8:00 a.m. and 5:00 p.m. and upon reasonable advance notice to Landlord, Monday through Friday (exclusive of Holidays), Tenant may have access to the Roof Space for the sole purpose of servicing and maintaining the Rooftop Equipment. Landlord shall have the right (in its sole discretion) to have its representative(s) accompany Tenant whenever it services or maintains the Rooftop Equipment. At all other times, Landlord may keep the entrances to the Roof Space locked. Tenant shall not have any tools and/or materials stored in the Roof Space, and Tenant’s employees and independent contractors shall close and lock the entrance door to the Roof when leaving the same. If Tenant shall require access to any of the Roof Space at times other than those specified in the first sentence of this </w:t>
      </w:r>
      <w:r>
        <w:rPr>
          <w:rFonts w:ascii="Arial" w:cs="Arial" w:eastAsia="Arial" w:hAnsi="Arial"/>
          <w:sz w:val="16"/>
          <w:szCs w:val="16"/>
          <w:u w:val="single" w:color="auto"/>
          <w:color w:val="auto"/>
        </w:rPr>
        <w:t>Section 8.8.8</w:t>
      </w:r>
      <w:r>
        <w:rPr>
          <w:rFonts w:ascii="Arial" w:cs="Arial" w:eastAsia="Arial" w:hAnsi="Arial"/>
          <w:sz w:val="16"/>
          <w:szCs w:val="16"/>
          <w:color w:val="auto"/>
        </w:rPr>
        <w:t>, then except in the case of an emergency, Tenant shall give Landlord at least two (2) full business days prior written notice of such requirement and shall pay all reasonable costs incurred by Landlord in connection therewith, including, without limitation, any overtime compensation paid to Building employees or any independent contractors of Landlord.</w:t>
      </w:r>
    </w:p>
    <w:p>
      <w:pPr>
        <w:spacing w:after="0" w:line="165"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8.8.4 Upon the expiration or earlier termination of the Lease Term, Tenant shall remove the Rooftop Equipment and any associated cabling from the Roof Space and the Building, and restore the Roof Space and the Building to the condition existing prior to such installation. Throughout the duration of this Lease, Tenant shall inspect the Rooftop Equipment at least once a month. Tenant shall be solely responsible for preserving the water tight integrity of the Roof as may be caused by, or relates to, the installation, maintenance, operation and repair of the Rooftop Equipment. Tenant shall be responsible for all leaks in the Roof arising out of or connected to its installation. Tenant’s Rooftop Equipment shall not exceed the applicable load-bearing capacity of the Roof Space.</w:t>
      </w:r>
    </w:p>
    <w:p>
      <w:pPr>
        <w:spacing w:after="0" w:line="192" w:lineRule="exact"/>
        <w:rPr>
          <w:sz w:val="20"/>
          <w:szCs w:val="20"/>
          <w:color w:val="auto"/>
        </w:rPr>
      </w:pPr>
    </w:p>
    <w:p>
      <w:pPr>
        <w:ind w:firstLine="1296"/>
        <w:spacing w:after="0" w:line="290" w:lineRule="auto"/>
        <w:rPr>
          <w:sz w:val="20"/>
          <w:szCs w:val="20"/>
          <w:color w:val="auto"/>
        </w:rPr>
      </w:pPr>
      <w:r>
        <w:rPr>
          <w:rFonts w:ascii="Arial" w:cs="Arial" w:eastAsia="Arial" w:hAnsi="Arial"/>
          <w:sz w:val="16"/>
          <w:szCs w:val="16"/>
          <w:color w:val="auto"/>
        </w:rPr>
        <w:t>8.8.5 If, at any time during the Lease Term, Landlord, in its judgment, shall determine that it is necessary to move the Rooftop Equipment to another area of the Roof Space, then Landlord may give notice thereof to Tenant (which notice shall have annexed thereto a plan on which such other area of the Roof Space (the “</w:t>
      </w:r>
      <w:r>
        <w:rPr>
          <w:rFonts w:ascii="Arial" w:cs="Arial" w:eastAsia="Arial" w:hAnsi="Arial"/>
          <w:sz w:val="16"/>
          <w:szCs w:val="16"/>
          <w:b w:val="1"/>
          <w:bCs w:val="1"/>
          <w:color w:val="auto"/>
        </w:rPr>
        <w:t>Substitute Space</w:t>
      </w:r>
      <w:r>
        <w:rPr>
          <w:rFonts w:ascii="Arial" w:cs="Arial" w:eastAsia="Arial" w:hAnsi="Arial"/>
          <w:sz w:val="16"/>
          <w:szCs w:val="16"/>
          <w:color w:val="auto"/>
        </w:rPr>
        <w:t>”) shall be substantially identified by hatching or otherwise). The Substitute Space with respect to the Rooftop Equipment shall not be located in an area of the Roof in which the Rooftop Equipment’s reception would differ in a materially adverse way from the Rooftop Equipment’s reception in the initial Roof Space. Within thirty (30) days of receipt of Landlord’s notice (or, if a governmental permit is required to be obtained for installation of the Rooftop Equipment on the Substitute Space, then, within thirty (30) days of the obtaining of such permit (which Tenant shall make prompt application for, with Landlord’s reasonable cooperation), Landlord, at its sole cost shall move the Rooftop Equipment to the Substitute Space which shall then become the Roof Space hereunder and the original Roof Space shall be deleted from the coverage of this Lease.</w:t>
      </w:r>
    </w:p>
    <w:p>
      <w:pPr>
        <w:spacing w:after="0" w:line="16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8.8.6</w:t>
      </w:r>
      <w:r>
        <w:rPr>
          <w:sz w:val="20"/>
          <w:szCs w:val="20"/>
          <w:color w:val="auto"/>
        </w:rPr>
        <w:tab/>
      </w:r>
      <w:r>
        <w:rPr>
          <w:rFonts w:ascii="Arial" w:cs="Arial" w:eastAsia="Arial" w:hAnsi="Arial"/>
          <w:sz w:val="16"/>
          <w:szCs w:val="16"/>
          <w:color w:val="auto"/>
        </w:rPr>
        <w:t>Tenant’s operation or use of the Rooftop Equipment shall not prevent or interfere with the operation or use of any equipment of</w:t>
      </w:r>
    </w:p>
    <w:p>
      <w:pPr>
        <w:spacing w:after="0" w:line="23" w:lineRule="exact"/>
        <w:rPr>
          <w:sz w:val="20"/>
          <w:szCs w:val="20"/>
          <w:color w:val="auto"/>
        </w:rPr>
      </w:pPr>
    </w:p>
    <w:p>
      <w:pPr>
        <w:ind w:left="220" w:hanging="212"/>
        <w:spacing w:after="0"/>
        <w:tabs>
          <w:tab w:leader="none" w:pos="220" w:val="left"/>
        </w:tabs>
        <w:numPr>
          <w:ilvl w:val="0"/>
          <w:numId w:val="504"/>
        </w:numPr>
        <w:rPr>
          <w:rFonts w:ascii="Arial" w:cs="Arial" w:eastAsia="Arial" w:hAnsi="Arial"/>
          <w:sz w:val="17"/>
          <w:szCs w:val="17"/>
          <w:color w:val="auto"/>
        </w:rPr>
      </w:pPr>
      <w:r>
        <w:rPr>
          <w:rFonts w:ascii="Arial" w:cs="Arial" w:eastAsia="Arial" w:hAnsi="Arial"/>
          <w:sz w:val="17"/>
          <w:szCs w:val="17"/>
          <w:color w:val="auto"/>
        </w:rPr>
        <w:t>any present or future tenant or occupant of the Building, whose equipment was installed prior to the installation of the Rooftop Equipment, or</w:t>
      </w:r>
    </w:p>
    <w:p>
      <w:pPr>
        <w:spacing w:after="0" w:line="20" w:lineRule="exact"/>
        <w:rPr>
          <w:rFonts w:ascii="Arial" w:cs="Arial" w:eastAsia="Arial" w:hAnsi="Arial"/>
          <w:sz w:val="17"/>
          <w:szCs w:val="17"/>
          <w:color w:val="auto"/>
        </w:rPr>
      </w:pPr>
    </w:p>
    <w:p>
      <w:pPr>
        <w:ind w:right="140" w:firstLine="8"/>
        <w:spacing w:after="0" w:line="270" w:lineRule="auto"/>
        <w:tabs>
          <w:tab w:leader="none" w:pos="265" w:val="left"/>
        </w:tabs>
        <w:numPr>
          <w:ilvl w:val="0"/>
          <w:numId w:val="504"/>
        </w:numPr>
        <w:rPr>
          <w:rFonts w:ascii="Arial" w:cs="Arial" w:eastAsia="Arial" w:hAnsi="Arial"/>
          <w:sz w:val="17"/>
          <w:szCs w:val="17"/>
          <w:color w:val="auto"/>
        </w:rPr>
      </w:pPr>
      <w:r>
        <w:rPr>
          <w:rFonts w:ascii="Arial" w:cs="Arial" w:eastAsia="Arial" w:hAnsi="Arial"/>
          <w:sz w:val="17"/>
          <w:szCs w:val="17"/>
          <w:color w:val="auto"/>
        </w:rPr>
        <w:t>Landlord. If, at any time during the Lease Term, Landlord shall reasonably determine that the Rooftop Equipment causes interference with equipment of any such present or future tenant or occupant or of Landlord, then Landlord may so notify Tenant, and Landlord may require Tenant to replace the Rooftop Equipment with other antennas which would not cause such interference (the “</w:t>
      </w:r>
      <w:r>
        <w:rPr>
          <w:rFonts w:ascii="Arial" w:cs="Arial" w:eastAsia="Arial" w:hAnsi="Arial"/>
          <w:sz w:val="17"/>
          <w:szCs w:val="17"/>
          <w:b w:val="1"/>
          <w:bCs w:val="1"/>
          <w:color w:val="auto"/>
        </w:rPr>
        <w:t>Replacement</w:t>
      </w:r>
      <w:r>
        <w:rPr>
          <w:rFonts w:ascii="Arial" w:cs="Arial" w:eastAsia="Arial" w:hAnsi="Arial"/>
          <w:sz w:val="17"/>
          <w:szCs w:val="17"/>
          <w:color w:val="auto"/>
        </w:rPr>
        <w:t>”). Tenant, within thirty (30) days of receipt of such notice or, if a government permit is required to install the Replacement, then within thirty (30) days of the obtaining of such permit (which Tenant shall make prompt application for, with Landlord’s cooperation but at no cost to Landlord), shall replace the Rooftop Equipment with the new non-interfering Replacement which shall then be deemed to be the Rooftop Equipment hereunder.</w:t>
      </w:r>
    </w:p>
    <w:p>
      <w:pPr>
        <w:spacing w:after="0" w:line="178" w:lineRule="exact"/>
        <w:rPr>
          <w:sz w:val="20"/>
          <w:szCs w:val="20"/>
          <w:color w:val="auto"/>
        </w:rPr>
      </w:pPr>
    </w:p>
    <w:p>
      <w:pPr>
        <w:jc w:val="both"/>
        <w:ind w:right="60" w:firstLine="1296"/>
        <w:spacing w:after="0" w:line="263" w:lineRule="auto"/>
        <w:rPr>
          <w:sz w:val="20"/>
          <w:szCs w:val="20"/>
          <w:color w:val="auto"/>
        </w:rPr>
      </w:pPr>
      <w:r>
        <w:rPr>
          <w:rFonts w:ascii="Arial" w:cs="Arial" w:eastAsia="Arial" w:hAnsi="Arial"/>
          <w:sz w:val="18"/>
          <w:szCs w:val="18"/>
          <w:color w:val="auto"/>
        </w:rPr>
        <w:t>8.8.7 Tenant agrees that Landlord has made no warranties or representations as to the condition or suitability of the Roof Space or the Building (or the electricity available to the Roof Space) for the installation, use, maintenance or operation of the Rooftop Equipment, and Tenant agrees to accept same in its “as is” condition and without any work or alterations to be made by Landlord.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 AGAINST LIENS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ten (10) business days after notice by Landlord, and if Tenant shall fail to do so, Landlord may pay the amount necessary to remove such lien or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4" w:name="page555"/>
    <w:bookmarkEnd w:id="554"/>
    <w:p>
      <w:pPr>
        <w:ind w:right="80"/>
        <w:spacing w:after="0" w:line="273" w:lineRule="auto"/>
        <w:rPr>
          <w:sz w:val="20"/>
          <w:szCs w:val="20"/>
          <w:color w:val="auto"/>
        </w:rPr>
      </w:pPr>
      <w:r>
        <w:rPr>
          <w:rFonts w:ascii="Arial" w:cs="Arial" w:eastAsia="Arial" w:hAnsi="Arial"/>
          <w:sz w:val="17"/>
          <w:szCs w:val="17"/>
          <w:color w:val="auto"/>
        </w:rPr>
        <w:t>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INSURANCE</w:t>
      </w:r>
    </w:p>
    <w:p>
      <w:pPr>
        <w:spacing w:after="0" w:line="221"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and Waiver</w:t>
      </w:r>
      <w:r>
        <w:rPr>
          <w:rFonts w:ascii="Arial" w:cs="Arial" w:eastAsia="Arial" w:hAnsi="Arial"/>
          <w:sz w:val="16"/>
          <w:szCs w:val="16"/>
          <w:color w:val="auto"/>
        </w:rPr>
        <w:t>. Tenant hereby assumes all risk of damage to property or injury to persons in, upon or about the Premises from any cause whatsoever (including, but not limited to, any personal injuries resulting from a slip and fall in, upon or about the Premises) and agrees that Landlord, its subsidiaries, affiliates, partners, subpartners, members and their respective officers, directors, shareholders, partners, agents, servants, employees, and independent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shall not be liable for, and are hereby released from any responsibility for, any damage either to person or property or resulting from the loss of use thereof, which damage is sustained by Tenant or by other persons claiming through Tenant. Tenant shall indemnify, defend, protect, and hold harmless the Landlord Parties from any and all loss, cost, damage, expense and liability (including without limitation court costs and reasonable attorneys’ fees) incurred in connection with or arising from any cause in, on or about the Premises (including, but not limited to, a slip and fall), any acts, omissions or negligence of Tenant or of any person claiming by, through or under Tenant, or of the contractors, agents, servants, employees, invitees, guests or licensees of Tenant or any such person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in, on or about the Project or any breach of the terms of this Lease, either prior to, during, or after the expiration of the Lease Term, provided that the terms of the foregoing indemnity shall not apply to the negligence or willful misconduct of Landlord.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The provisions of this</w:t>
      </w:r>
    </w:p>
    <w:p>
      <w:pPr>
        <w:spacing w:after="0" w:line="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survive the expiration or sooner termination of this Lease with respect to any claims or liability arising in connection with any event occurring prior to such expiration or termination. Notwithstanding anything to the contrary contained in this Lease, nothing in this Lease shall impose any obligations on Tenant or Landlord to be responsible or liable for, and each hereby releases the other from all liability for, consequential damages other than those consequential damages incurred by Landlord in connection with a holdover of the Premises by Tenant after the expiration or earlier termination of this Lease or incurred by Landlord in connection with any repair, physical construction or improvement work performed by or on behalf of Tenant in the Project.</w:t>
      </w:r>
    </w:p>
    <w:p>
      <w:pPr>
        <w:spacing w:after="0" w:line="190" w:lineRule="exact"/>
        <w:rPr>
          <w:sz w:val="20"/>
          <w:szCs w:val="20"/>
          <w:color w:val="auto"/>
        </w:rPr>
      </w:pPr>
    </w:p>
    <w:p>
      <w:pPr>
        <w:ind w:right="120" w:firstLine="648"/>
        <w:spacing w:after="0" w:line="303"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u w:val="single" w:color="auto"/>
          <w:color w:val="auto"/>
        </w:rPr>
        <w:t>Tenant’s Compliance With Landlord’s Fire and Casualty Insurance</w:t>
      </w:r>
      <w:r>
        <w:rPr>
          <w:rFonts w:ascii="Arial" w:cs="Arial" w:eastAsia="Arial" w:hAnsi="Arial"/>
          <w:sz w:val="16"/>
          <w:szCs w:val="16"/>
          <w:color w:val="auto"/>
        </w:rPr>
        <w:t>. Tenant shall, at Tenant’s expense, comply with 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15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u w:val="single" w:color="auto"/>
          <w:color w:val="auto"/>
        </w:rPr>
        <w:t>Tenant’s Insurance</w:t>
      </w:r>
      <w:r>
        <w:rPr>
          <w:rFonts w:ascii="Arial" w:cs="Arial" w:eastAsia="Arial" w:hAnsi="Arial"/>
          <w:sz w:val="16"/>
          <w:szCs w:val="16"/>
          <w:color w:val="auto"/>
        </w:rPr>
        <w:t>. Tenant shall maintain the following coverages in the following amounts.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40" w:firstLine="1296"/>
        <w:spacing w:after="0" w:line="301" w:lineRule="auto"/>
        <w:rPr>
          <w:sz w:val="20"/>
          <w:szCs w:val="20"/>
          <w:color w:val="auto"/>
        </w:rPr>
      </w:pPr>
      <w:r>
        <w:rPr>
          <w:rFonts w:ascii="Arial" w:cs="Arial" w:eastAsia="Arial" w:hAnsi="Arial"/>
          <w:sz w:val="16"/>
          <w:szCs w:val="16"/>
          <w:color w:val="auto"/>
        </w:rPr>
        <w:t>10.3.1 Commercial General Liability Insurance on an occurrence form covering the insured against claims of bodily injury, personal injury (including death of a person or persons) and property damage (including loss of use thereof) arising out of Tenant’s operations, Tenant’s use or occupancy of the Premises, or (without implying any consent by Landlord for installation thereof) the installation, operation, maintenance, repair or removal of Tenant’s off-Premises equipment, for limits of liability not less than that actually carried by Tenant, which shall be no less than:</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Bodily Injury and</w:t>
            </w:r>
          </w:p>
        </w:tc>
        <w:tc>
          <w:tcPr>
            <w:tcW w:w="70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$1,000,000 each occurrence</w:t>
            </w:r>
          </w:p>
        </w:tc>
      </w:tr>
      <w:tr>
        <w:trPr>
          <w:trHeight w:val="23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Property Damage Liability</w:t>
            </w:r>
          </w:p>
        </w:tc>
        <w:tc>
          <w:tcPr>
            <w:tcW w:w="70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$2,000,000 annual aggregate</w:t>
            </w:r>
          </w:p>
        </w:tc>
      </w:tr>
      <w:tr>
        <w:trPr>
          <w:trHeight w:val="216"/>
        </w:trPr>
        <w:tc>
          <w:tcPr>
            <w:tcW w:w="34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Personal Injury Liability</w:t>
            </w:r>
          </w:p>
        </w:tc>
        <w:tc>
          <w:tcPr>
            <w:tcW w:w="7000" w:type="dxa"/>
            <w:vAlign w:val="bottom"/>
            <w:shd w:val="clear" w:color="auto" w:fill="CCEEFF"/>
          </w:tcPr>
          <w:p>
            <w:pPr>
              <w:ind w:left="1520"/>
              <w:spacing w:after="0" w:line="201" w:lineRule="exact"/>
              <w:rPr>
                <w:sz w:val="20"/>
                <w:szCs w:val="20"/>
                <w:color w:val="auto"/>
              </w:rPr>
            </w:pPr>
            <w:r>
              <w:rPr>
                <w:rFonts w:ascii="Arial" w:cs="Arial" w:eastAsia="Arial" w:hAnsi="Arial"/>
                <w:sz w:val="18"/>
                <w:szCs w:val="18"/>
                <w:color w:val="auto"/>
              </w:rPr>
              <w:t>$1,000,000 each occurrence</w:t>
            </w:r>
          </w:p>
        </w:tc>
      </w:tr>
      <w:tr>
        <w:trPr>
          <w:trHeight w:val="216"/>
        </w:trPr>
        <w:tc>
          <w:tcPr>
            <w:tcW w:w="3440" w:type="dxa"/>
            <w:vAlign w:val="bottom"/>
            <w:shd w:val="clear" w:color="auto" w:fill="CCEEFF"/>
          </w:tcPr>
          <w:p>
            <w:pPr>
              <w:spacing w:after="0"/>
              <w:rPr>
                <w:sz w:val="18"/>
                <w:szCs w:val="18"/>
                <w:color w:val="auto"/>
              </w:rPr>
            </w:pPr>
          </w:p>
        </w:tc>
        <w:tc>
          <w:tcPr>
            <w:tcW w:w="70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$2,000,000 annual aggregate</w:t>
            </w:r>
          </w:p>
        </w:tc>
      </w:tr>
      <w:tr>
        <w:trPr>
          <w:trHeight w:val="230"/>
        </w:trPr>
        <w:tc>
          <w:tcPr>
            <w:tcW w:w="3440" w:type="dxa"/>
            <w:vAlign w:val="bottom"/>
            <w:shd w:val="clear" w:color="auto" w:fill="CCEEFF"/>
          </w:tcPr>
          <w:p>
            <w:pPr>
              <w:spacing w:after="0"/>
              <w:rPr>
                <w:sz w:val="20"/>
                <w:szCs w:val="20"/>
                <w:color w:val="auto"/>
              </w:rPr>
            </w:pPr>
          </w:p>
        </w:tc>
        <w:tc>
          <w:tcPr>
            <w:tcW w:w="70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0% Insured’s participation</w:t>
            </w:r>
          </w:p>
        </w:tc>
      </w:tr>
    </w:tbl>
    <w:p>
      <w:pPr>
        <w:spacing w:after="0" w:line="20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Tenant’s commercial general liability insurance policy described above shall also provide for an additional $5,000,000 per occurrence and $5,000,000 annual aggregate on a per location basis in umbrella/excess liability coverage.</w:t>
      </w:r>
    </w:p>
    <w:p>
      <w:pPr>
        <w:spacing w:after="0" w:line="170" w:lineRule="exact"/>
        <w:rPr>
          <w:sz w:val="20"/>
          <w:szCs w:val="20"/>
          <w:color w:val="auto"/>
        </w:rPr>
      </w:pPr>
    </w:p>
    <w:p>
      <w:pPr>
        <w:ind w:right="320" w:firstLine="1296"/>
        <w:spacing w:after="0" w:line="259" w:lineRule="auto"/>
        <w:rPr>
          <w:sz w:val="20"/>
          <w:szCs w:val="20"/>
          <w:color w:val="auto"/>
        </w:rPr>
      </w:pPr>
      <w:r>
        <w:rPr>
          <w:rFonts w:ascii="Arial" w:cs="Arial" w:eastAsia="Arial" w:hAnsi="Arial"/>
          <w:sz w:val="18"/>
          <w:szCs w:val="18"/>
          <w:color w:val="auto"/>
        </w:rPr>
        <w:t>If the use and occupancy of the Premises include any activity or matter that is or may be excluded from coverage under a commercial general liability policy (e.g., the sale, service or consumption 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w:t>
      </w:r>
    </w:p>
    <w:p>
      <w:pPr>
        <w:spacing w:after="0" w:line="187" w:lineRule="exact"/>
        <w:rPr>
          <w:sz w:val="20"/>
          <w:szCs w:val="20"/>
          <w:color w:val="auto"/>
        </w:rPr>
      </w:pPr>
    </w:p>
    <w:p>
      <w:pPr>
        <w:ind w:right="100" w:firstLine="1296"/>
        <w:spacing w:after="0" w:line="269" w:lineRule="auto"/>
        <w:rPr>
          <w:sz w:val="20"/>
          <w:szCs w:val="20"/>
          <w:color w:val="auto"/>
        </w:rPr>
      </w:pPr>
      <w:r>
        <w:rPr>
          <w:rFonts w:ascii="Arial" w:cs="Arial" w:eastAsia="Arial" w:hAnsi="Arial"/>
          <w:sz w:val="17"/>
          <w:szCs w:val="17"/>
          <w:color w:val="auto"/>
        </w:rPr>
        <w:t>10.3.2 Physical Damage Insurance covering (i) all office furniture, business and trade fixtures, office equipment, free-standing cabinet work, movable partitions, merchandise and all other items of personal property (including the property of Tenant or others) in the Premises or otherwise placed or installed in the Project by, for, or at the expense of Tenant or any of the Tenant Parties (including Tenant’s off-Premises equipment), (ii) the “Tenant Improvements,” as that term is defined in the Tenant Work Letter, and any other improvements which exist in the Premises as of the Lease Commencement Date (excluding the Base Building) (the “</w:t>
      </w:r>
      <w:r>
        <w:rPr>
          <w:rFonts w:ascii="Arial" w:cs="Arial" w:eastAsia="Arial" w:hAnsi="Arial"/>
          <w:sz w:val="17"/>
          <w:szCs w:val="17"/>
          <w:b w:val="1"/>
          <w:bCs w:val="1"/>
          <w:color w:val="auto"/>
        </w:rPr>
        <w:t>Original Improvements</w:t>
      </w:r>
      <w:r>
        <w:rPr>
          <w:rFonts w:ascii="Arial" w:cs="Arial" w:eastAsia="Arial" w:hAnsi="Arial"/>
          <w:sz w:val="17"/>
          <w:szCs w:val="17"/>
          <w:color w:val="auto"/>
        </w:rPr>
        <w:t>”), and (iii) all other improvements, alterations, betterments and additions to the Premises. Such insurance shall be written on a causes of loss-special risk form (formerly “all-risk”) or its equivalent,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ordinance and law, vandalism and malicious mischief, theft, earthquake, windstorm, collapse, explosion, flood and water damage of any type, including sprinkler leakage, bursting or stoppage of pipes and sewer back-up.</w:t>
      </w:r>
    </w:p>
    <w:p>
      <w:pPr>
        <w:spacing w:after="0" w:line="185"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10.3.3 Worker’s Compensation Insurance with statutory limits required by the state in which the Premises are located, including provisions for voluntary benefits as required in labor agreements, if applicable (or such larger amount if required by local statute) and Employer’s Liability Insurance of $1,000,000.</w:t>
      </w:r>
    </w:p>
    <w:p>
      <w:pPr>
        <w:sectPr>
          <w:pgSz w:w="11900" w:h="16838" w:orient="portrait"/>
          <w:cols w:equalWidth="0" w:num="1">
            <w:col w:w="11240"/>
          </w:cols>
          <w:pgMar w:left="320" w:top="341" w:right="339" w:bottom="0" w:gutter="0" w:footer="0" w:header="0"/>
        </w:sectPr>
      </w:pPr>
    </w:p>
    <w:bookmarkStart w:id="555" w:name="page556"/>
    <w:bookmarkEnd w:id="555"/>
    <w:p>
      <w:pPr>
        <w:ind w:right="80" w:firstLine="1296"/>
        <w:spacing w:after="0" w:line="263" w:lineRule="auto"/>
        <w:rPr>
          <w:sz w:val="20"/>
          <w:szCs w:val="20"/>
          <w:color w:val="auto"/>
        </w:rPr>
      </w:pPr>
      <w:r>
        <w:rPr>
          <w:rFonts w:ascii="Arial" w:cs="Arial" w:eastAsia="Arial" w:hAnsi="Arial"/>
          <w:sz w:val="18"/>
          <w:szCs w:val="18"/>
          <w:color w:val="auto"/>
        </w:rPr>
        <w:t xml:space="preserve">10.3.4 Contractual Liability Insurance sufficient to cover Tenant’s liability and obligations under this Lease (including, but not limited to, Tenant’s indemnity obligations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Lease), but only if such contractual liability insurance is not already included in Tenant’s commercial general liability insurance policy and umbrella/excess liability insurance policy.</w:t>
      </w:r>
    </w:p>
    <w:p>
      <w:pPr>
        <w:spacing w:after="0" w:line="184" w:lineRule="exact"/>
        <w:rPr>
          <w:sz w:val="20"/>
          <w:szCs w:val="20"/>
          <w:color w:val="auto"/>
        </w:rPr>
      </w:pPr>
    </w:p>
    <w:p>
      <w:pPr>
        <w:ind w:right="300" w:firstLine="1296"/>
        <w:spacing w:after="0" w:line="342" w:lineRule="auto"/>
        <w:rPr>
          <w:sz w:val="20"/>
          <w:szCs w:val="20"/>
          <w:color w:val="auto"/>
        </w:rPr>
      </w:pPr>
      <w:r>
        <w:rPr>
          <w:rFonts w:ascii="Arial" w:cs="Arial" w:eastAsia="Arial" w:hAnsi="Arial"/>
          <w:sz w:val="16"/>
          <w:szCs w:val="16"/>
          <w:color w:val="auto"/>
        </w:rPr>
        <w:t>10.3.5 Commercial Auto Liability Insurance (if applicable) covering automobiles owned, hired or used by Tenant in carrying on its business with limits not less than $1,000,000 combined single limit for each accident, and scheduled to the umbrella/excess liability insurance policy.</w:t>
      </w:r>
    </w:p>
    <w:p>
      <w:pPr>
        <w:spacing w:after="0" w:line="124"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10.3.6 Business Interruption Insurance in an amount not less than twelve (12) months of Base Rent, Additional Rent and any other amounts due under this Lease.</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Form of Policies</w:t>
      </w:r>
      <w:r>
        <w:rPr>
          <w:rFonts w:ascii="Arial" w:cs="Arial" w:eastAsia="Arial" w:hAnsi="Arial"/>
          <w:sz w:val="18"/>
          <w:szCs w:val="18"/>
          <w:color w:val="auto"/>
        </w:rPr>
        <w:t>. The minimum limits of policies of insurance required of Tenant under this Lease shall in no event limit the liability of Tenant under this Lease. Such insurance shall (i) name Landlord, and any other parties the Landlord so specifies (including Landlord’s subsidiaries, Landlord’s property management company, Landlord’s asset management company, J.P. Morgan Investment Management Inc. (“</w:t>
      </w:r>
      <w:r>
        <w:rPr>
          <w:rFonts w:ascii="Arial" w:cs="Arial" w:eastAsia="Arial" w:hAnsi="Arial"/>
          <w:sz w:val="18"/>
          <w:szCs w:val="18"/>
          <w:b w:val="1"/>
          <w:bCs w:val="1"/>
          <w:color w:val="auto"/>
        </w:rPr>
        <w:t>JPMIMI</w:t>
      </w:r>
      <w:r>
        <w:rPr>
          <w:rFonts w:ascii="Arial" w:cs="Arial" w:eastAsia="Arial" w:hAnsi="Arial"/>
          <w:sz w:val="18"/>
          <w:szCs w:val="18"/>
          <w:color w:val="auto"/>
        </w:rPr>
        <w:t>”), and, if requested by Landlord in writing, Landlord’s mortgagee), as additional named insureds (or, in the case of Tenant’s physical damage insurance, as additional loss-payees as their interests may appear); (ii) be issued by an insurance company having a rating of A-X or better in Best’s Insurance Guide or which is otherwise acceptable to Landlord and licensed to do business in the State of California; (iii) be primary and non-contributory when any policy issued to Landlord provides duplicate or similar coverage, and in such circumstance Landlord’s policy will be excess over Tenant’s policy(ies); and (iv) be in form and content reasonably acceptable to Landlord. Tenant shall provide Landlord (and any other parties Landlord has specified as additional insureds or additional loss-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6" w:name="page557"/>
    <w:bookmarkEnd w:id="556"/>
    <w:p>
      <w:pPr>
        <w:ind w:right="60"/>
        <w:spacing w:after="0" w:line="269" w:lineRule="auto"/>
        <w:rPr>
          <w:sz w:val="20"/>
          <w:szCs w:val="20"/>
          <w:color w:val="auto"/>
        </w:rPr>
      </w:pPr>
      <w:r>
        <w:rPr>
          <w:rFonts w:ascii="Arial" w:cs="Arial" w:eastAsia="Arial" w:hAnsi="Arial"/>
          <w:sz w:val="17"/>
          <w:szCs w:val="17"/>
          <w:color w:val="auto"/>
        </w:rPr>
        <w:t>payees) with not less than thirty (30) days’ prior written notice of any cancellation of, termination of or material change to any insurance required to be carried by Tenant hereunder. Tenant shall deliver said policy or policies or certificates thereof (and such other evidence satisfactory to Landlord of the maintenance of such insurance) to Landlord at least ten (10) days prior to the earlier of the Lease Commencement Date or the date Tenant enters or occupies the Premises (in any event, within ten (10) days of the effective date of coverage) and at least fifteen (15) days prior to each renewal of said insurance. In the event Tenant shall fail to procure such insurance, or to deliver such policies or certificates (and such other evidence satisfactory to Landlord of the maintenance of such insurance), Landlord, in addition to any other remedy available pursuant to this Lease or otherwise, may, at its option, procure such policies for the account of Tenant, and the cost thereof shall be paid to Landlord within five (5) days after delivery to Tenant of bills therefor, plus an administrative fee of fifteen percent (15%) of such cost. Tenant shall require any vendors or contractors that it shall hire to perform work and/or services on the Premises to procure similar insurance, as required by Landlord of Tenant in this Lease, including naming as additional insureds or additional loss payees, as applicable, Landlord and its subsidiaries, Landlord’s property management company, Landlord’s asset management company, JPMIMI, and, if requested in writing by Landlord, Landlord’s mortgagee.</w:t>
      </w:r>
    </w:p>
    <w:p>
      <w:pPr>
        <w:spacing w:after="0" w:line="178"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u w:val="single" w:color="auto"/>
          <w:color w:val="auto"/>
        </w:rPr>
        <w:t>Subrogation</w:t>
      </w:r>
      <w:r>
        <w:rPr>
          <w:rFonts w:ascii="Arial" w:cs="Arial" w:eastAsia="Arial" w:hAnsi="Arial"/>
          <w:sz w:val="16"/>
          <w:szCs w:val="16"/>
          <w:color w:val="auto"/>
        </w:rPr>
        <w:t>. Landlord and Tenant intend that their respective property loss risks shall be borne by reasonable insurance carriers to the extent above provided,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of the insured to recover thereunder. The parties agree that their respective insurance policies are now, or shall be, endorsed such that the waiver of subrogation shall not affect the right of the insured to recover thereunder, so long as no material additional premium is charged therefor.</w:t>
      </w:r>
    </w:p>
    <w:p>
      <w:pPr>
        <w:spacing w:after="0" w:line="160" w:lineRule="exact"/>
        <w:rPr>
          <w:sz w:val="20"/>
          <w:szCs w:val="20"/>
          <w:color w:val="auto"/>
        </w:rPr>
      </w:pPr>
    </w:p>
    <w:p>
      <w:pPr>
        <w:ind w:right="160" w:firstLine="648"/>
        <w:spacing w:after="0" w:line="281"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Additional Insurance Obligations</w:t>
      </w:r>
      <w:r>
        <w:rPr>
          <w:rFonts w:ascii="Arial" w:cs="Arial" w:eastAsia="Arial" w:hAnsi="Arial"/>
          <w:sz w:val="17"/>
          <w:szCs w:val="17"/>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such other reasonable types of insurance coverage and in such reasonable amounts covering the Premises and Tenant’s operations therein, as may be reasonably requested by Landlord, but in no event in excess of the amounts and types of insurance then being required by prudent landlords of other Comparable Buildings.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DAMAGE AND DESTRUCTION</w:t>
      </w:r>
    </w:p>
    <w:p>
      <w:pPr>
        <w:spacing w:after="0" w:line="22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Repair of Damage to Premises by Landlord</w:t>
      </w:r>
      <w:r>
        <w:rPr>
          <w:rFonts w:ascii="Arial" w:cs="Arial" w:eastAsia="Arial" w:hAnsi="Arial"/>
          <w:sz w:val="16"/>
          <w:szCs w:val="16"/>
          <w:color w:val="auto"/>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and any common restrooms serving the Premises shall not be materially impaired. Upon the occurrence of any damage to the Premises, upon notice (the “</w:t>
      </w:r>
      <w:r>
        <w:rPr>
          <w:rFonts w:ascii="Arial" w:cs="Arial" w:eastAsia="Arial" w:hAnsi="Arial"/>
          <w:sz w:val="16"/>
          <w:szCs w:val="16"/>
          <w:b w:val="1"/>
          <w:bCs w:val="1"/>
          <w:color w:val="auto"/>
        </w:rPr>
        <w:t>Landlord Repair Notice</w:t>
      </w:r>
      <w:r>
        <w:rPr>
          <w:rFonts w:ascii="Arial" w:cs="Arial" w:eastAsia="Arial" w:hAnsi="Arial"/>
          <w:sz w:val="16"/>
          <w:szCs w:val="16"/>
          <w:color w:val="auto"/>
        </w:rPr>
        <w:t xml:space="preserve">”) to Tenant from Landlord, Tenant shall assign to Landlord (or to any party designated by Landlord) all insurance proceeds payable to Tenant under Tenant’s insurance required under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of this Lease, and Landlord shall repair any injury or damage to the Tenant Improvements and the Original Improvements installed in the Premises and shall return such Tenant Improvements and Original Improvements to their original condition; provided that if the cost of such repair by Landlord exceeds the amount of insurance proceeds received by Landlord from Tenant’s insurance carrier, as assigned by Tenant, the cost of such repairs shall be paid by Tenant to Landlord prior to Landlord’s commencement of repair of the damage. In the event that Landlord does not deliver the Landlord Repair Notice within sixty</w:t>
      </w:r>
    </w:p>
    <w:p>
      <w:pPr>
        <w:spacing w:after="0" w:line="6" w:lineRule="exact"/>
        <w:rPr>
          <w:sz w:val="20"/>
          <w:szCs w:val="20"/>
          <w:color w:val="auto"/>
        </w:rPr>
      </w:pPr>
    </w:p>
    <w:p>
      <w:pPr>
        <w:ind w:right="40" w:firstLine="8"/>
        <w:spacing w:after="0" w:line="251" w:lineRule="auto"/>
        <w:tabs>
          <w:tab w:leader="none" w:pos="345" w:val="left"/>
        </w:tabs>
        <w:numPr>
          <w:ilvl w:val="0"/>
          <w:numId w:val="505"/>
        </w:numPr>
        <w:rPr>
          <w:rFonts w:ascii="Arial" w:cs="Arial" w:eastAsia="Arial" w:hAnsi="Arial"/>
          <w:sz w:val="18"/>
          <w:szCs w:val="18"/>
          <w:color w:val="auto"/>
        </w:rPr>
      </w:pPr>
      <w:r>
        <w:rPr>
          <w:rFonts w:ascii="Arial" w:cs="Arial" w:eastAsia="Arial" w:hAnsi="Arial"/>
          <w:sz w:val="18"/>
          <w:szCs w:val="18"/>
          <w:color w:val="auto"/>
        </w:rPr>
        <w:t>days following the date the casualty becomes known to Landlord, Tenant shall, at its sole cost and expense, repair any injury or damage to the Tenant Improvements and the Original Improvements installed in the Premises and shall return such Tenant Improvements and Original Improvements to their original condition. Whether or not Landlord delivers a Landlord Repair Notice, prior to the commencement of construction, Tenant shall submit to Landlord, for Landlord’s review and approval, all plans, specifications and working drawings relating thereto,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Premises are unfit for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7" w:name="page558"/>
    <w:bookmarkEnd w:id="557"/>
    <w:p>
      <w:pPr>
        <w:ind w:right="60"/>
        <w:spacing w:after="0" w:line="301" w:lineRule="auto"/>
        <w:rPr>
          <w:sz w:val="20"/>
          <w:szCs w:val="20"/>
          <w:color w:val="auto"/>
        </w:rPr>
      </w:pPr>
      <w:r>
        <w:rPr>
          <w:rFonts w:ascii="Arial" w:cs="Arial" w:eastAsia="Arial" w:hAnsi="Arial"/>
          <w:sz w:val="16"/>
          <w:szCs w:val="16"/>
          <w:color w:val="auto"/>
        </w:rPr>
        <w:t>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which is reasonably determined by Landlord to be the date Tenant should have completed repairs to the Premises assuming Tenant used reasonable due diligence in connection therewith.</w:t>
      </w:r>
    </w:p>
    <w:p>
      <w:pPr>
        <w:spacing w:after="0" w:line="15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u w:val="single" w:color="auto"/>
          <w:color w:val="auto"/>
        </w:rPr>
        <w:t>Landlord’s Option to Repair</w:t>
      </w:r>
      <w:r>
        <w:rPr>
          <w:rFonts w:ascii="Arial" w:cs="Arial" w:eastAsia="Arial" w:hAnsi="Arial"/>
          <w:sz w:val="16"/>
          <w:szCs w:val="16"/>
          <w:color w:val="auto"/>
        </w:rPr>
        <w:t>. Notwithstanding the terms of</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11.1</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this Lease, Landlord may elect not to rebuild and/or restore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Premises, Building and/or Project, and instead terminate this Lease, by notifying Tenant in writing of such termination within sixty (60) days after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discovery of the damage, such notice to include a termination date giving Tenant sixty (60) days to vacate the Premises, but Landlord may so elect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the Building or Project shall be damaged by fire or other casualty or cause, whether or not the Premises are affected, and one or more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following conditions is present: (i) in Landlord’s reasonable judgment, repairs cannot reasonably be completed within two hundred seventy (270) days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date of discovery of the damage (when such repairs are made without the payment of overtime or other premiums); (ii) the holder of any mortgage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Building or Project or ground lessor with respect to the Building or Project shall require that the insurance proceeds or any portion thereof be used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retire the mortgage debt, or shall terminate the ground lease, as the case may be; (iii) the damage is not fully covered by Landlord’s insurance policies; (iv)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decides to rebuild the Building or Common Areas so that they will be substantially different structurally or architecturally; (v) the damage occurs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last twelve (12) months of the Lease Term; or (vi) any owner of any other portion of the Project, other than Landlord, does not intend to repair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damage to such portion of the Project; provided, however, that if Landlord does not elect to terminate this Lease pursuant to Landlord’s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as provided above, and the repairs cannot, in the reasonable opinion of Landlord, be completed within two hundred seventy (270) days after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commenced (or sixty (60) days if the damage occurs during the last twelve (12) months of the Lease Term), Tenant may elect, no earlier than sixty (60)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after the date of the damage and not later than ninety (90) days after the date of such damage, to terminate this Lease by written notice to Landlord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the date specified in the notice, which date shall not be less than thirty (30) days nor more than sixty (60) days after the date such notice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given by Tenant. Furthermore, if neither Landlord nor Tenant has terminated this Lease, and the repairs are not actually completed within two hundred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seventy (270) days after being commenced or such longer period as Landlord’s contractor had estimated would be required to complete such repairs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(subject to extension for delays caused by Force Majeure and delays caused by Tenant), Tenant shall have the right to terminate this Lease during the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five (5) business days of each calendar month following the end of such period until such time as the repairs are complete, by notice to Landlord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Damage Termination Notice</w:t>
      </w:r>
      <w:r>
        <w:rPr>
          <w:rFonts w:ascii="Arial" w:cs="Arial" w:eastAsia="Arial" w:hAnsi="Arial"/>
          <w:sz w:val="16"/>
          <w:szCs w:val="16"/>
          <w:color w:val="auto"/>
        </w:rPr>
        <w:t>”), effective as of a date set forth in the Damage Termination Notice (the “</w:t>
      </w:r>
      <w:r>
        <w:rPr>
          <w:rFonts w:ascii="Arial" w:cs="Arial" w:eastAsia="Arial" w:hAnsi="Arial"/>
          <w:sz w:val="16"/>
          <w:szCs w:val="16"/>
          <w:b w:val="1"/>
          <w:bCs w:val="1"/>
          <w:color w:val="auto"/>
        </w:rPr>
        <w:t>Damage Termination Date</w:t>
      </w:r>
      <w:r>
        <w:rPr>
          <w:rFonts w:ascii="Arial" w:cs="Arial" w:eastAsia="Arial" w:hAnsi="Arial"/>
          <w:sz w:val="16"/>
          <w:szCs w:val="16"/>
          <w:color w:val="auto"/>
        </w:rPr>
        <w:t>”), which Damage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Date shall not be less than ten (10) business days following the end of each such month. Notwithstanding the foregoing, if Tenant delivers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 Termination Notice to Landlord, then Landlord shall have the right to suspend the occurrence of the Damage Termination Date for a period 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thirty (30) days after the Damage Termination Date set forth in the Damage Termination Notice by delivering to Tenant, within five (5) business days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Landlord’s receipt of the Damage Termination Notice, a certificate of Landlord’s contractor responsible for the repair of the damage certifying that it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such contractor’s good faith judgment that the repairs shall be substantially completed within thirty (30) days after the Damage Termination Date. If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repairs shall be substantially completed prior to the expiration of such thirty-day period, then the Damage Termination Notice shall be of no force or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if the repairs shall not be substantially completed within such thirty-day period, then this Lease shall terminate upon the expiration of such thirty-day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At any time, from time to time, after the date occurring sixty (60) days after the date of the damage, Tenant may request that Landlord inform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Tenant of Landlord’s reasonable opinion of the date of completion of the repairs and Landlord shall respond to such request within five (5) business days.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Notwithstanding the provisions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Tenant shall have the right to terminate this Lease under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only if each of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is satisfied: (a) the damage to the Project by fire or other casualty was not caused by the gross negligence or intentional act of Tenant or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 or subpartners and their respective officers, agents, servants, employees, and independent contractors; (b) Tenant is not then in Default; (c)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the damage, Tenant cannot reasonably conduct substantial business from the Premises; and, (d) as a result of the damage to the Project, Tenant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does not occupy or use the Premises at all.</w:t>
      </w:r>
    </w:p>
    <w:p>
      <w:pPr>
        <w:spacing w:after="0" w:line="207"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Waiver of Statutory Provisions</w:t>
      </w:r>
      <w:r>
        <w:rPr>
          <w:rFonts w:ascii="Arial" w:cs="Arial" w:eastAsia="Arial" w:hAnsi="Arial"/>
          <w:sz w:val="16"/>
          <w:szCs w:val="16"/>
          <w:color w:val="auto"/>
        </w:rPr>
        <w:t xml:space="preserve">. The provisions of this Lease, including this </w:t>
      </w:r>
      <w:r>
        <w:rPr>
          <w:rFonts w:ascii="Arial" w:cs="Arial" w:eastAsia="Arial" w:hAnsi="Arial"/>
          <w:sz w:val="16"/>
          <w:szCs w:val="16"/>
          <w:u w:val="single" w:color="auto"/>
          <w:color w:val="auto"/>
        </w:rPr>
        <w:t>Article 11</w:t>
      </w:r>
      <w:r>
        <w:rPr>
          <w:rFonts w:ascii="Arial" w:cs="Arial" w:eastAsia="Arial" w:hAnsi="Arial"/>
          <w:sz w:val="16"/>
          <w:szCs w:val="16"/>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8" w:name="page559"/>
    <w:bookmarkEnd w:id="558"/>
    <w:p>
      <w:pPr>
        <w:jc w:val="center"/>
        <w:ind w:right="-19"/>
        <w:spacing w:after="0"/>
        <w:rPr>
          <w:sz w:val="20"/>
          <w:szCs w:val="20"/>
          <w:color w:val="auto"/>
        </w:rPr>
      </w:pPr>
      <w:r>
        <w:rPr>
          <w:rFonts w:ascii="Arial" w:cs="Arial" w:eastAsia="Arial" w:hAnsi="Arial"/>
          <w:sz w:val="18"/>
          <w:szCs w:val="18"/>
          <w:b w:val="1"/>
          <w:bCs w:val="1"/>
          <w:u w:val="single" w:color="auto"/>
          <w:color w:val="auto"/>
        </w:rPr>
        <w:t>ARTICLE 12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NONWAIVER</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CONDEMNATION</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If more than twenty-five percent (25%) of the rentable square feet of the Premises is taken, or if access to the Premises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7"/>
          <w:szCs w:val="17"/>
          <w:u w:val="single" w:color="auto"/>
          <w:color w:val="auto"/>
        </w:rPr>
        <w:t>Article 13</w:t>
      </w:r>
      <w:r>
        <w:rPr>
          <w:rFonts w:ascii="Arial" w:cs="Arial" w:eastAsia="Arial" w:hAnsi="Arial"/>
          <w:sz w:val="17"/>
          <w:szCs w:val="17"/>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14</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ASSIGNMENT AND SUBLETTING</w:t>
      </w:r>
    </w:p>
    <w:p>
      <w:pPr>
        <w:spacing w:after="0" w:line="22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u w:val="single" w:color="auto"/>
          <w:color w:val="auto"/>
        </w:rPr>
        <w:t>Transfers</w:t>
      </w:r>
      <w:r>
        <w:rPr>
          <w:rFonts w:ascii="Arial" w:cs="Arial" w:eastAsia="Arial" w:hAnsi="Arial"/>
          <w:sz w:val="17"/>
          <w:szCs w:val="17"/>
          <w:color w:val="auto"/>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7"/>
          <w:szCs w:val="17"/>
          <w:b w:val="1"/>
          <w:bCs w:val="1"/>
          <w:color w:val="auto"/>
        </w:rPr>
        <w:t>Transfers</w:t>
      </w:r>
      <w:r>
        <w:rPr>
          <w:rFonts w:ascii="Arial" w:cs="Arial" w:eastAsia="Arial" w:hAnsi="Arial"/>
          <w:sz w:val="17"/>
          <w:szCs w:val="17"/>
          <w:color w:val="auto"/>
        </w:rPr>
        <w:t>” and any person to whom any Transfer is made or sought to be made is hereinafter sometimes referred to as a “</w:t>
      </w:r>
      <w:r>
        <w:rPr>
          <w:rFonts w:ascii="Arial" w:cs="Arial" w:eastAsia="Arial" w:hAnsi="Arial"/>
          <w:sz w:val="17"/>
          <w:szCs w:val="17"/>
          <w:b w:val="1"/>
          <w:bCs w:val="1"/>
          <w:color w:val="auto"/>
        </w:rPr>
        <w:t>Transferee</w:t>
      </w:r>
      <w:r>
        <w:rPr>
          <w:rFonts w:ascii="Arial" w:cs="Arial" w:eastAsia="Arial" w:hAnsi="Arial"/>
          <w:sz w:val="17"/>
          <w:szCs w:val="17"/>
          <w:color w:val="auto"/>
        </w:rPr>
        <w:t>”). If Tenant desires Landlord’s consent to any Transfer, Tenant shall notify Landlord in writing, which notice (the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shall include (i) the proposed effective date of the Transfer, which shall not be less than thirty (30) days nor more than one hundred eighty (180)</w:t>
      </w:r>
      <w:r>
        <w:rPr>
          <w:rFonts w:ascii="Arial" w:cs="Arial" w:eastAsia="Arial" w:hAnsi="Arial"/>
          <w:sz w:val="17"/>
          <w:szCs w:val="17"/>
          <w:b w:val="1"/>
          <w:bCs w:val="1"/>
          <w:color w:val="auto"/>
        </w:rPr>
        <w:t xml:space="preserve"> </w:t>
      </w:r>
      <w:r>
        <w:rPr>
          <w:rFonts w:ascii="Arial" w:cs="Arial" w:eastAsia="Arial" w:hAnsi="Arial"/>
          <w:sz w:val="17"/>
          <w:szCs w:val="17"/>
          <w:color w:val="auto"/>
        </w:rPr>
        <w:t>days after the date of delivery of the Transfer Notice, (ii) a description of the portion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9" w:name="page560"/>
    <w:bookmarkEnd w:id="559"/>
    <w:p>
      <w:pPr>
        <w:spacing w:after="0" w:line="286" w:lineRule="auto"/>
        <w:rPr>
          <w:sz w:val="20"/>
          <w:szCs w:val="20"/>
          <w:color w:val="auto"/>
        </w:rPr>
      </w:pPr>
      <w:r>
        <w:rPr>
          <w:rFonts w:ascii="Arial" w:cs="Arial" w:eastAsia="Arial" w:hAnsi="Arial"/>
          <w:sz w:val="16"/>
          <w:szCs w:val="16"/>
          <w:color w:val="auto"/>
        </w:rPr>
        <w:t>of the Premises to be transferred (the “</w:t>
      </w:r>
      <w:r>
        <w:rPr>
          <w:rFonts w:ascii="Arial" w:cs="Arial" w:eastAsia="Arial" w:hAnsi="Arial"/>
          <w:sz w:val="16"/>
          <w:szCs w:val="16"/>
          <w:b w:val="1"/>
          <w:bCs w:val="1"/>
          <w:color w:val="auto"/>
        </w:rPr>
        <w:t>Subject Space</w:t>
      </w:r>
      <w:r>
        <w:rPr>
          <w:rFonts w:ascii="Arial" w:cs="Arial" w:eastAsia="Arial" w:hAnsi="Arial"/>
          <w:sz w:val="16"/>
          <w:szCs w:val="16"/>
          <w:color w:val="auto"/>
        </w:rPr>
        <w:t xml:space="preserve">”), (iii) all of the terms of the proposed Transfer and the consideration therefor, including calculation of the “Transfer Premium”, as that term is defined in </w:t>
      </w:r>
      <w:r>
        <w:rPr>
          <w:rFonts w:ascii="Arial" w:cs="Arial" w:eastAsia="Arial" w:hAnsi="Arial"/>
          <w:sz w:val="16"/>
          <w:szCs w:val="16"/>
          <w:u w:val="single" w:color="auto"/>
          <w:color w:val="auto"/>
        </w:rPr>
        <w:t>Section 14.3</w:t>
      </w:r>
      <w:r>
        <w:rPr>
          <w:rFonts w:ascii="Arial" w:cs="Arial" w:eastAsia="Arial" w:hAnsi="Arial"/>
          <w:sz w:val="16"/>
          <w:szCs w:val="16"/>
          <w:color w:val="auto"/>
        </w:rPr>
        <w:t xml:space="preserve"> below, in connection with such Transfer,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provided that Landlord shall have the right to require Tenant to utilize Landlord’s standard Transfer documents in connection with the documentation of such Transfer,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and (v) an executed estoppel certificate from Tenant in the form attached hereto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within thirty (30) days after written request by Landlord, in an amount not to exceed Two Thousand Five Hundred and No/100 Dollars ($2,500.00) in the aggregate, but such limitation of fees shall only apply to the extent such Transfer is in the ordinary course of business. Landlord and Tenant hereby agree that a proposed Transfer shall not be considered “in the ordinary course of business” if such Transfer involves the review of documentation by Landlord on more than two (2) occasions.</w:t>
      </w:r>
    </w:p>
    <w:p>
      <w:pPr>
        <w:spacing w:after="0" w:line="167"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b w:val="1"/>
          <w:bCs w:val="1"/>
          <w:u w:val="single" w:color="auto"/>
          <w:color w:val="auto"/>
        </w:rPr>
        <w:t>Landlord’s Consent</w:t>
      </w:r>
      <w:r>
        <w:rPr>
          <w:rFonts w:ascii="Arial" w:cs="Arial" w:eastAsia="Arial" w:hAnsi="Arial"/>
          <w:sz w:val="16"/>
          <w:szCs w:val="16"/>
          <w:color w:val="auto"/>
        </w:rPr>
        <w:t>. Landlord shall not unreasonably withhold or delay its consent to any proposed Transfer of the Subject Space to the Transferee on the terms specified in the Transfer Notice. Landlord shall, by notice to Tenant delivered not less than forty-five (45) days after Landlord receives a Transfer Notice, accept or decline the proposed Transfer. If Landlord declines the proposed Transfer, such notice shall include a statement of the reasons therefor.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58"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14.2.1 The Transferee is of a character or reputation or engaged in a business which is not consistent with the quality of the Building or the Project, or would be a significantly less prestigious occupant of the Building than Tenant;</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The Transferee intends to use the Subject Space for purposes which are not permitted under this Lease;</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6"/>
          <w:szCs w:val="16"/>
          <w:color w:val="auto"/>
        </w:rPr>
        <w:t>The Transferee is either a governmental agency or instrumentality thereof;</w:t>
      </w:r>
    </w:p>
    <w:p>
      <w:pPr>
        <w:spacing w:after="0" w:line="225" w:lineRule="exact"/>
        <w:rPr>
          <w:sz w:val="20"/>
          <w:szCs w:val="20"/>
          <w:color w:val="auto"/>
        </w:rPr>
      </w:pPr>
    </w:p>
    <w:p>
      <w:pPr>
        <w:ind w:right="680" w:firstLine="1296"/>
        <w:spacing w:after="0" w:line="277" w:lineRule="auto"/>
        <w:rPr>
          <w:sz w:val="20"/>
          <w:szCs w:val="20"/>
          <w:color w:val="auto"/>
        </w:rPr>
      </w:pPr>
      <w:r>
        <w:rPr>
          <w:rFonts w:ascii="Arial" w:cs="Arial" w:eastAsia="Arial" w:hAnsi="Arial"/>
          <w:sz w:val="18"/>
          <w:szCs w:val="18"/>
          <w:color w:val="auto"/>
        </w:rPr>
        <w:t>14.2.4 The Transferee is not a party of reasonable financial worth and/or financial stability in light of the responsibilities to be undertaken in connection with the Transfer on the date consent is requested;</w:t>
      </w:r>
    </w:p>
    <w:p>
      <w:pPr>
        <w:spacing w:after="0" w:line="170" w:lineRule="exact"/>
        <w:rPr>
          <w:sz w:val="20"/>
          <w:szCs w:val="20"/>
          <w:color w:val="auto"/>
        </w:rPr>
      </w:pPr>
    </w:p>
    <w:p>
      <w:pPr>
        <w:ind w:right="540" w:firstLine="1296"/>
        <w:spacing w:after="0" w:line="277" w:lineRule="auto"/>
        <w:rPr>
          <w:sz w:val="20"/>
          <w:szCs w:val="20"/>
          <w:color w:val="auto"/>
        </w:rPr>
      </w:pPr>
      <w:r>
        <w:rPr>
          <w:rFonts w:ascii="Arial" w:cs="Arial" w:eastAsia="Arial" w:hAnsi="Arial"/>
          <w:sz w:val="18"/>
          <w:szCs w:val="18"/>
          <w:color w:val="auto"/>
        </w:rPr>
        <w:t>14.2.5 The proposed Transfer would cause a violation of another lease for space in the Project, or would give an occupant of the Project a right to cancel its lease;</w:t>
      </w:r>
    </w:p>
    <w:p>
      <w:pPr>
        <w:spacing w:after="0" w:line="170" w:lineRule="exact"/>
        <w:rPr>
          <w:sz w:val="20"/>
          <w:szCs w:val="20"/>
          <w:color w:val="auto"/>
        </w:rPr>
      </w:pPr>
    </w:p>
    <w:p>
      <w:pPr>
        <w:ind w:right="380" w:firstLine="1296"/>
        <w:spacing w:after="0" w:line="308" w:lineRule="auto"/>
        <w:rPr>
          <w:sz w:val="20"/>
          <w:szCs w:val="20"/>
          <w:color w:val="auto"/>
        </w:rPr>
      </w:pPr>
      <w:r>
        <w:rPr>
          <w:rFonts w:ascii="Arial" w:cs="Arial" w:eastAsia="Arial" w:hAnsi="Arial"/>
          <w:sz w:val="17"/>
          <w:szCs w:val="17"/>
          <w:color w:val="auto"/>
        </w:rPr>
        <w:t>14.2.6 The terms of the proposed Transfer will allow the Transferee to exercise a right of renewal, right of expansion, right of first offer, or other similar right held by Tenant (or will allow the Transferee to occupy space leased by Tenant pursuant to any such right);</w:t>
      </w:r>
    </w:p>
    <w:p>
      <w:pPr>
        <w:spacing w:after="0" w:line="146" w:lineRule="exact"/>
        <w:rPr>
          <w:sz w:val="20"/>
          <w:szCs w:val="20"/>
          <w:color w:val="auto"/>
        </w:rPr>
      </w:pPr>
    </w:p>
    <w:p>
      <w:pPr>
        <w:ind w:right="120" w:firstLine="1296"/>
        <w:spacing w:after="0" w:line="259" w:lineRule="auto"/>
        <w:rPr>
          <w:sz w:val="20"/>
          <w:szCs w:val="20"/>
          <w:color w:val="auto"/>
        </w:rPr>
      </w:pPr>
      <w:r>
        <w:rPr>
          <w:rFonts w:ascii="Arial" w:cs="Arial" w:eastAsia="Arial" w:hAnsi="Arial"/>
          <w:sz w:val="18"/>
          <w:szCs w:val="18"/>
          <w:color w:val="auto"/>
        </w:rPr>
        <w:t>14.2.7 Either the proposed Transferee, or any person or entity which directly or indirectly, controls, is controlled by, or is under common control with, the proposed Transferee, (i) occupies space in the Project at the time of the request for consent, or (ii) is negotiating with Landlord, or has negotiated with Landlord during the twelve (12) month period immediately preceding the date Landlord receives the Transfer Notice, to lease space in the Project; or</w:t>
      </w:r>
    </w:p>
    <w:p>
      <w:pPr>
        <w:sectPr>
          <w:pgSz w:w="11900" w:h="16838" w:orient="portrait"/>
          <w:cols w:equalWidth="0" w:num="1">
            <w:col w:w="11240"/>
          </w:cols>
          <w:pgMar w:left="320" w:top="337" w:right="339" w:bottom="1440" w:gutter="0" w:footer="0" w:header="0"/>
        </w:sectPr>
      </w:pP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the term of the Transfer.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Transferee does not intend to occupy the entire Premises and conduct its business therefrom for a substantial portion of</w:t>
      </w:r>
    </w:p>
    <w:p>
      <w:pPr>
        <w:spacing w:after="0" w:line="430" w:lineRule="exact"/>
        <w:rPr>
          <w:sz w:val="20"/>
          <w:szCs w:val="20"/>
          <w:color w:val="auto"/>
        </w:rPr>
      </w:pPr>
    </w:p>
    <w:p>
      <w:pPr>
        <w:sectPr>
          <w:pgSz w:w="11900" w:h="16838" w:orient="portrait"/>
          <w:cols w:equalWidth="0" w:num="2">
            <w:col w:w="1760" w:space="580"/>
            <w:col w:w="8900"/>
          </w:cols>
          <w:pgMar w:left="320" w:top="337" w:right="339" w:bottom="1440" w:gutter="0" w:footer="0" w:header="0"/>
          <w:type w:val="continuous"/>
        </w:sectPr>
      </w:pPr>
    </w:p>
    <w:p>
      <w:pPr>
        <w:spacing w:after="0" w:line="34" w:lineRule="exact"/>
        <w:rPr>
          <w:sz w:val="20"/>
          <w:szCs w:val="20"/>
          <w:color w:val="auto"/>
        </w:rPr>
      </w:pPr>
    </w:p>
    <w:p>
      <w:pPr>
        <w:ind w:right="340" w:firstLine="648"/>
        <w:spacing w:after="0" w:line="296" w:lineRule="auto"/>
        <w:rPr>
          <w:sz w:val="20"/>
          <w:szCs w:val="20"/>
          <w:color w:val="auto"/>
        </w:rPr>
      </w:pPr>
      <w:r>
        <w:rPr>
          <w:rFonts w:ascii="Arial" w:cs="Arial" w:eastAsia="Arial" w:hAnsi="Arial"/>
          <w:sz w:val="16"/>
          <w:szCs w:val="16"/>
          <w:color w:val="auto"/>
        </w:rPr>
        <w:t xml:space="preserve">If Landlord consents to any Transfer pursuant to the terms of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(and does not exercise any recapture rights Landlord may have under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of this Lease, provided that if there are any changes in the terms and conditions from those specified in the Transfer Notice (i) such that Landlord would initially have been entitled to refuse its consent to such Transfer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60" w:name="page561"/>
    <w:bookmarkEnd w:id="560"/>
    <w:p>
      <w:pPr>
        <w:ind w:right="80"/>
        <w:spacing w:after="0" w:line="271" w:lineRule="auto"/>
        <w:rPr>
          <w:sz w:val="20"/>
          <w:szCs w:val="20"/>
          <w:color w:val="auto"/>
        </w:rPr>
      </w:pPr>
      <w:r>
        <w:rPr>
          <w:rFonts w:ascii="Arial" w:cs="Arial" w:eastAsia="Arial" w:hAnsi="Arial"/>
          <w:sz w:val="17"/>
          <w:szCs w:val="17"/>
          <w:color w:val="auto"/>
        </w:rPr>
        <w:t xml:space="preserve">under this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or (ii) which would cause the proposed Transfer to be materially more favorable to the Transferee than the terms set forth in Tenant’s original Transfer Notice, Tenant shall again submit the Transfer to Landlord for its approval and other action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(including Landlord’s right of recapture, if any, under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7"/>
          <w:szCs w:val="17"/>
          <w:u w:val="single" w:color="auto"/>
          <w:color w:val="auto"/>
        </w:rPr>
        <w:t>Section 14.2</w:t>
      </w:r>
      <w:r>
        <w:rPr>
          <w:rFonts w:ascii="Arial" w:cs="Arial" w:eastAsia="Arial" w:hAnsi="Arial"/>
          <w:sz w:val="17"/>
          <w:szCs w:val="17"/>
          <w:color w:val="auto"/>
        </w:rPr>
        <w:t xml:space="preserve"> or otherwise has breached or acted unreasonably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b w:val="1"/>
          <w:bCs w:val="1"/>
          <w:u w:val="single" w:color="auto"/>
          <w:color w:val="auto"/>
        </w:rPr>
        <w:t>Transfer Premium</w:t>
      </w:r>
      <w:r>
        <w:rPr>
          <w:rFonts w:ascii="Arial" w:cs="Arial" w:eastAsia="Arial" w:hAnsi="Arial"/>
          <w:sz w:val="16"/>
          <w:szCs w:val="16"/>
          <w:color w:val="auto"/>
        </w:rPr>
        <w:t>. If Landlord consents to a Transfer, as a condition thereto which the parties hereby agree is reasonable, Tenant shall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pay to Landlord fifty percent (50%) of any “Transfer Premium,” as that term is defined in this </w:t>
      </w:r>
      <w:r>
        <w:rPr>
          <w:rFonts w:ascii="Arial" w:cs="Arial" w:eastAsia="Arial" w:hAnsi="Arial"/>
          <w:sz w:val="17"/>
          <w:szCs w:val="17"/>
          <w:u w:val="single" w:color="auto"/>
          <w:color w:val="auto"/>
        </w:rPr>
        <w:t>Section 14.3</w:t>
      </w:r>
      <w:r>
        <w:rPr>
          <w:rFonts w:ascii="Arial" w:cs="Arial" w:eastAsia="Arial" w:hAnsi="Arial"/>
          <w:sz w:val="17"/>
          <w:szCs w:val="17"/>
          <w:color w:val="auto"/>
        </w:rPr>
        <w:t>, received by Tenant from such Transferee.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Premium</w:t>
      </w:r>
      <w:r>
        <w:rPr>
          <w:rFonts w:ascii="Arial" w:cs="Arial" w:eastAsia="Arial" w:hAnsi="Arial"/>
          <w:sz w:val="16"/>
          <w:szCs w:val="16"/>
          <w:color w:val="auto"/>
        </w:rPr>
        <w:t>” shall mean all rent, additional rent or other consideration payable by such Transferee in connection with the Transfer in excess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Rent and Additional Rent payable by Tenant under this Lease during the term of the Transfer on a per rentable square foot basis if less than all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Premises is transferred, less (i) the cost of any changes, alterations and improvements to the Premises in connection with the Transfer, (ii) any brokerage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commissions in connection with the Transfer, (iii) reasonable attorneys’ fees incurred by Tenant in connection with the Transfer, and (iv) any improvement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allowance paid by Tenant to Transferee. “</w:t>
      </w:r>
      <w:r>
        <w:rPr>
          <w:rFonts w:ascii="Arial" w:cs="Arial" w:eastAsia="Arial" w:hAnsi="Arial"/>
          <w:sz w:val="17"/>
          <w:szCs w:val="17"/>
          <w:b w:val="1"/>
          <w:bCs w:val="1"/>
          <w:color w:val="auto"/>
        </w:rPr>
        <w:t>Transfer Premium</w:t>
      </w:r>
      <w:r>
        <w:rPr>
          <w:rFonts w:ascii="Arial" w:cs="Arial" w:eastAsia="Arial" w:hAnsi="Arial"/>
          <w:sz w:val="17"/>
          <w:szCs w:val="17"/>
          <w:color w:val="auto"/>
        </w:rPr>
        <w:t>” shall also include, but not be limited to, key money, bonus money or other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paid by Transferee to Tenant in connection with such Transfer, any debt relief benefiting Tenant in connection with such Transfer,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in excess of fair market value for services rendered by Tenant to Transferee or for assets, fixtures, inventory, equipment, or furniture transferred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 to Transferee in connection with such Transfer. The determination of the amount of Landlord’s applicable share of the Transfer Premium shall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made on a monthly basis as rent or other consideration is received by Tenant under the Transfer.</w:t>
      </w:r>
    </w:p>
    <w:p>
      <w:pPr>
        <w:spacing w:after="0" w:line="20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u w:val="single" w:color="auto"/>
          <w:color w:val="auto"/>
        </w:rPr>
        <w:t>Landlord’s Option as to Subject Space</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 the event Tenant contemplates a Transfer of all or more than fifty percent (50%) of the Premises (or in the event of any other Transfer or Transfers entered into by Tenant as a subterfuge in order to avoid the terms of this </w:t>
      </w:r>
      <w:r>
        <w:rPr>
          <w:rFonts w:ascii="Arial" w:cs="Arial" w:eastAsia="Arial" w:hAnsi="Arial"/>
          <w:sz w:val="16"/>
          <w:szCs w:val="16"/>
          <w:u w:val="single" w:color="auto"/>
          <w:color w:val="auto"/>
        </w:rPr>
        <w:t>Section 14.4</w:t>
      </w:r>
      <w:r>
        <w:rPr>
          <w:rFonts w:ascii="Arial" w:cs="Arial" w:eastAsia="Arial" w:hAnsi="Arial"/>
          <w:sz w:val="16"/>
          <w:szCs w:val="16"/>
          <w:color w:val="auto"/>
        </w:rPr>
        <w:t>), Tenant shall give Landlord notice (the “</w:t>
      </w:r>
      <w:r>
        <w:rPr>
          <w:rFonts w:ascii="Arial" w:cs="Arial" w:eastAsia="Arial" w:hAnsi="Arial"/>
          <w:sz w:val="16"/>
          <w:szCs w:val="16"/>
          <w:b w:val="1"/>
          <w:bCs w:val="1"/>
          <w:color w:val="auto"/>
        </w:rPr>
        <w:t>Intention to Transfer Notice</w:t>
      </w:r>
      <w:r>
        <w:rPr>
          <w:rFonts w:ascii="Arial" w:cs="Arial" w:eastAsia="Arial" w:hAnsi="Arial"/>
          <w:sz w:val="16"/>
          <w:szCs w:val="16"/>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6"/>
          <w:szCs w:val="16"/>
          <w:b w:val="1"/>
          <w:bCs w:val="1"/>
          <w:color w:val="auto"/>
        </w:rPr>
        <w:t>Contemplated Transfer Space</w:t>
      </w:r>
      <w:r>
        <w:rPr>
          <w:rFonts w:ascii="Arial" w:cs="Arial" w:eastAsia="Arial" w:hAnsi="Arial"/>
          <w:sz w:val="16"/>
          <w:szCs w:val="16"/>
          <w:color w:val="auto"/>
        </w:rPr>
        <w:t>”), the contemplated date of commencement of the Contemplated Transfer (the “</w:t>
      </w:r>
      <w:r>
        <w:rPr>
          <w:rFonts w:ascii="Arial" w:cs="Arial" w:eastAsia="Arial" w:hAnsi="Arial"/>
          <w:sz w:val="16"/>
          <w:szCs w:val="16"/>
          <w:b w:val="1"/>
          <w:bCs w:val="1"/>
          <w:color w:val="auto"/>
        </w:rPr>
        <w:t>Contemplated Effective Date</w:t>
      </w:r>
      <w:r>
        <w:rPr>
          <w:rFonts w:ascii="Arial" w:cs="Arial" w:eastAsia="Arial" w:hAnsi="Arial"/>
          <w:sz w:val="16"/>
          <w:szCs w:val="16"/>
          <w:color w:val="auto"/>
        </w:rPr>
        <w:t xml:space="preserve">”), and the contemplated length of the term of such contemplated Transfer, and shall specify that such Intention to Transfer Notice is delivered to Landlord pursuant to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in order to allow Landlord to elect to recapture the Contemplated Transfer Space for the term set forth in the Intention to Transfer Notice. Thereafter, Landlord shall have the option, by giving written notice to Tenant within thirty (30) days after receipt of any Intention to Transfer Notice, to recapture the Contemplated Transfer Space unless Tenant, within five (5) business days after receipt of Landlord’s notice of intent to recapture, delivers written notice to Landlord of Tenant’s rescission of its Intention to Transfer Notice.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then, subject to the other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for a period of nine (9) months (the “</w:t>
      </w:r>
      <w:r>
        <w:rPr>
          <w:rFonts w:ascii="Arial" w:cs="Arial" w:eastAsia="Arial" w:hAnsi="Arial"/>
          <w:sz w:val="16"/>
          <w:szCs w:val="16"/>
          <w:b w:val="1"/>
          <w:bCs w:val="1"/>
          <w:color w:val="auto"/>
        </w:rPr>
        <w:t>Nine Month Period</w:t>
      </w:r>
      <w:r>
        <w:rPr>
          <w:rFonts w:ascii="Arial" w:cs="Arial" w:eastAsia="Arial" w:hAnsi="Arial"/>
          <w:sz w:val="16"/>
          <w:szCs w:val="16"/>
          <w:color w:val="auto"/>
        </w:rPr>
        <w:t xml:space="preserve">”) commencing on the last day of such thirty (30)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If such a Transfer is not so consummated within the Nine Month Period (or if a 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6"/>
          <w:szCs w:val="16"/>
          <w:u w:val="single" w:color="auto"/>
          <w:color w:val="auto"/>
        </w:rPr>
        <w:t>Section 14.4</w:t>
      </w:r>
      <w:r>
        <w:rPr>
          <w:rFonts w:ascii="Arial" w:cs="Arial" w:eastAsia="Arial" w:hAnsi="Arial"/>
          <w:sz w:val="16"/>
          <w:szCs w:val="16"/>
          <w:color w:val="auto"/>
        </w:rPr>
        <w:t>.</w:t>
      </w:r>
    </w:p>
    <w:p>
      <w:pPr>
        <w:spacing w:after="0" w:line="39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b w:val="1"/>
          <w:bCs w:val="1"/>
          <w:u w:val="single" w:color="auto"/>
          <w:color w:val="auto"/>
        </w:rPr>
        <w:t>Effect of Transfer</w:t>
      </w:r>
      <w:r>
        <w:rPr>
          <w:rFonts w:ascii="Arial" w:cs="Arial" w:eastAsia="Arial" w:hAnsi="Arial"/>
          <w:sz w:val="16"/>
          <w:szCs w:val="16"/>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w:t>
      </w:r>
    </w:p>
    <w:p>
      <w:pPr>
        <w:spacing w:after="0" w:line="2" w:lineRule="exact"/>
        <w:rPr>
          <w:sz w:val="20"/>
          <w:szCs w:val="20"/>
          <w:color w:val="auto"/>
        </w:rPr>
      </w:pPr>
    </w:p>
    <w:p>
      <w:pPr>
        <w:ind w:left="320" w:hanging="312"/>
        <w:spacing w:after="0"/>
        <w:tabs>
          <w:tab w:leader="none" w:pos="32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Tenant shall furnish upon Landlord’s request a complete statement, certified by an independent certified public accountant, or Tenant’s chief financial</w:t>
      </w:r>
    </w:p>
    <w:p>
      <w:pPr>
        <w:spacing w:after="0" w:line="23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1" w:name="page562"/>
    <w:bookmarkEnd w:id="561"/>
    <w:p>
      <w:pPr>
        <w:ind w:right="20"/>
        <w:spacing w:after="0" w:line="293" w:lineRule="auto"/>
        <w:rPr>
          <w:sz w:val="20"/>
          <w:szCs w:val="20"/>
          <w:color w:val="auto"/>
        </w:rPr>
      </w:pPr>
      <w:r>
        <w:rPr>
          <w:rFonts w:ascii="Arial" w:cs="Arial" w:eastAsia="Arial" w:hAnsi="Arial"/>
          <w:sz w:val="16"/>
          <w:szCs w:val="16"/>
          <w:color w:val="auto"/>
        </w:rPr>
        <w:t>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five percent (5%), Tenant shall pay Landlord’s reasonable costs of such audit.</w:t>
      </w:r>
    </w:p>
    <w:p>
      <w:pPr>
        <w:spacing w:after="0" w:line="16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u w:val="single" w:color="auto"/>
          <w:color w:val="auto"/>
        </w:rPr>
        <w:t>Additional Transfers</w:t>
      </w:r>
      <w:r>
        <w:rPr>
          <w:rFonts w:ascii="Arial" w:cs="Arial" w:eastAsia="Arial" w:hAnsi="Arial"/>
          <w:sz w:val="16"/>
          <w:szCs w:val="16"/>
          <w:color w:val="auto"/>
        </w:rPr>
        <w:t>. For purposes of this Lease and except as provided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14.8</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above, the term “</w:t>
      </w:r>
      <w:r>
        <w:rPr>
          <w:rFonts w:ascii="Arial" w:cs="Arial" w:eastAsia="Arial" w:hAnsi="Arial"/>
          <w:sz w:val="16"/>
          <w:szCs w:val="16"/>
          <w:b w:val="1"/>
          <w:bCs w:val="1"/>
          <w:color w:val="auto"/>
        </w:rPr>
        <w:t>Transfer</w:t>
      </w:r>
      <w:r>
        <w:rPr>
          <w:rFonts w:ascii="Arial" w:cs="Arial" w:eastAsia="Arial" w:hAnsi="Arial"/>
          <w:sz w:val="16"/>
          <w:szCs w:val="16"/>
          <w:color w:val="auto"/>
        </w:rPr>
        <w:t>” shall also include</w:t>
      </w:r>
    </w:p>
    <w:p>
      <w:pPr>
        <w:spacing w:after="0" w:line="27" w:lineRule="exact"/>
        <w:rPr>
          <w:sz w:val="20"/>
          <w:szCs w:val="20"/>
          <w:color w:val="auto"/>
        </w:rPr>
      </w:pPr>
    </w:p>
    <w:p>
      <w:pPr>
        <w:ind w:right="60" w:firstLine="8"/>
        <w:spacing w:after="0" w:line="251" w:lineRule="auto"/>
        <w:tabs>
          <w:tab w:leader="none" w:pos="215" w:val="left"/>
        </w:tabs>
        <w:numPr>
          <w:ilvl w:val="0"/>
          <w:numId w:val="507"/>
        </w:numPr>
        <w:rPr>
          <w:rFonts w:ascii="Arial" w:cs="Arial" w:eastAsia="Arial" w:hAnsi="Arial"/>
          <w:sz w:val="18"/>
          <w:szCs w:val="18"/>
          <w:color w:val="auto"/>
        </w:rPr>
      </w:pPr>
      <w:r>
        <w:rPr>
          <w:rFonts w:ascii="Arial" w:cs="Arial" w:eastAsia="Arial" w:hAnsi="Arial"/>
          <w:sz w:val="18"/>
          <w:szCs w:val="18"/>
          <w:color w:val="auto"/>
        </w:rPr>
        <w:t>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 and (ii) if Tenant is a closely held corporation (</w:t>
      </w:r>
      <w:r>
        <w:rPr>
          <w:rFonts w:ascii="Arial" w:cs="Arial" w:eastAsia="Arial" w:hAnsi="Arial"/>
          <w:sz w:val="18"/>
          <w:szCs w:val="18"/>
          <w:i w:val="1"/>
          <w:iCs w:val="1"/>
          <w:color w:val="auto"/>
        </w:rPr>
        <w:t>i.e.</w:t>
      </w:r>
      <w:r>
        <w:rPr>
          <w:rFonts w:ascii="Arial" w:cs="Arial" w:eastAsia="Arial" w:hAnsi="Arial"/>
          <w:sz w:val="18"/>
          <w:szCs w:val="18"/>
          <w:color w:val="auto"/>
        </w:rPr>
        <w:t xml:space="preserve">, whose stock is not publicly held and not traded through an exchange or over the counter), (A) the dissolution, merger, consolidation or other reorganization of Tenant or (B) the sale or other transfer of an aggregate of fifty percent (50%) or more of the voting shares of Tenant (other than to immediate family members by reason of gift or death), within a twelve (12)-month period, or (C) the sale, mortgage, hypothecation or pledge of an aggregate of fifty percent (50%) or more of the value of the unencumbered assets of Tenant within a twelve (12)-month period. Notwithstanding the foregoing, the terms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shall not apply in connection with a Transfer permitted pursuant to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below.</w:t>
      </w:r>
    </w:p>
    <w:p>
      <w:pPr>
        <w:spacing w:after="0" w:line="19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b w:val="1"/>
          <w:bCs w:val="1"/>
          <w:u w:val="single" w:color="auto"/>
          <w:color w:val="auto"/>
        </w:rPr>
        <w:t>Occurrence of Default</w:t>
      </w:r>
      <w:r>
        <w:rPr>
          <w:rFonts w:ascii="Arial" w:cs="Arial" w:eastAsia="Arial" w:hAnsi="Arial"/>
          <w:sz w:val="17"/>
          <w:szCs w:val="17"/>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7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b w:val="1"/>
          <w:bCs w:val="1"/>
          <w:u w:val="single" w:color="auto"/>
          <w:color w:val="auto"/>
        </w:rPr>
        <w:t>Permitted-Transfers</w:t>
      </w:r>
      <w:r>
        <w:rPr>
          <w:rFonts w:ascii="Arial" w:cs="Arial" w:eastAsia="Arial" w:hAnsi="Arial"/>
          <w:sz w:val="17"/>
          <w:szCs w:val="17"/>
          <w:color w:val="auto"/>
        </w:rPr>
        <w:t xml:space="preserve">. Notwithstanding anything to the contrary contained in this Lease, (A) an assignment or subletting of all or a portion of the Premises to an affiliate of Tenant (i.e., an entity which is controlled by, controls, or is under common control with, Tenant as of the date of this Lease), (B) a sale of corporate shares of capital stock in Tenant in connection with an initial public offering of Tenant’s stock on a nationally-recognized stock exchange, (C) an assignment of the Lease to an entity which acquires all or substantially all of the stock or assets of Tenant, or (D) an assignment of the Lease to an entity which is the resulting entity of a merger or consolidation of Tenant during the Lease Term, shall not be deemed a Transfer requiring Landlord’s consent under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(any such assignee or sublessee described in items (A) through (D) of this </w:t>
      </w:r>
      <w:r>
        <w:rPr>
          <w:rFonts w:ascii="Arial" w:cs="Arial" w:eastAsia="Arial" w:hAnsi="Arial"/>
          <w:sz w:val="17"/>
          <w:szCs w:val="17"/>
          <w:u w:val="single" w:color="auto"/>
          <w:color w:val="auto"/>
        </w:rPr>
        <w:t>Section 14.8</w:t>
      </w:r>
      <w:r>
        <w:rPr>
          <w:rFonts w:ascii="Arial" w:cs="Arial" w:eastAsia="Arial" w:hAnsi="Arial"/>
          <w:sz w:val="17"/>
          <w:szCs w:val="17"/>
          <w:color w:val="auto"/>
        </w:rPr>
        <w:t xml:space="preserve"> hereinafter referred to as a “</w:t>
      </w:r>
      <w:r>
        <w:rPr>
          <w:rFonts w:ascii="Arial" w:cs="Arial" w:eastAsia="Arial" w:hAnsi="Arial"/>
          <w:sz w:val="17"/>
          <w:szCs w:val="17"/>
          <w:b w:val="1"/>
          <w:bCs w:val="1"/>
          <w:color w:val="auto"/>
        </w:rPr>
        <w:t>Permitted Transferee</w:t>
      </w:r>
      <w:r>
        <w:rPr>
          <w:rFonts w:ascii="Arial" w:cs="Arial" w:eastAsia="Arial" w:hAnsi="Arial"/>
          <w:sz w:val="17"/>
          <w:szCs w:val="17"/>
          <w:color w:val="auto"/>
        </w:rPr>
        <w:t>”), provided that (i) Tenant notifies Landlord at least thirty (30) days prior to the effective date of any such assignment or sublease and promptly supplies Landlord with any documents or information reasonably requested by Landlord regarding such Transfer or Permitted Transferee as set forth above, (ii) Tenant is not in Default, and such assignment or sublease is not a subterfuge by Tenant to avoid its obligations under this Lease, (iii) such Permitted Transferee shall be of a character and reputation consistent with the quality of the Building, (iv) such Permitted Transferee shall have a tangible net worth (not including goodwill as an asset) computed in accordance with generally accepted accounting principles (“</w:t>
      </w:r>
      <w:r>
        <w:rPr>
          <w:rFonts w:ascii="Arial" w:cs="Arial" w:eastAsia="Arial" w:hAnsi="Arial"/>
          <w:sz w:val="17"/>
          <w:szCs w:val="17"/>
          <w:b w:val="1"/>
          <w:bCs w:val="1"/>
          <w:color w:val="auto"/>
        </w:rPr>
        <w:t>Net Worth</w:t>
      </w:r>
      <w:r>
        <w:rPr>
          <w:rFonts w:ascii="Arial" w:cs="Arial" w:eastAsia="Arial" w:hAnsi="Arial"/>
          <w:sz w:val="17"/>
          <w:szCs w:val="17"/>
          <w:color w:val="auto"/>
        </w:rPr>
        <w:t>”) at least equal to the greater of (1) the Net Worth of the original Tenant on the date of this Lease, or (2) the Net Worth of Tenant on the day immediately preceding the effective date of such assignment or sublease, (v) no assignment or sublease relating to this Lease, whether with or without Landlord’s consent, shall relieve Tenant from any liability under this Lease, and (vi) the liability of such Permitted Transferee under either an assignment or sublease shall be joint and several with Tenant. “</w:t>
      </w:r>
      <w:r>
        <w:rPr>
          <w:rFonts w:ascii="Arial" w:cs="Arial" w:eastAsia="Arial" w:hAnsi="Arial"/>
          <w:sz w:val="17"/>
          <w:szCs w:val="17"/>
          <w:b w:val="1"/>
          <w:bCs w:val="1"/>
          <w:color w:val="auto"/>
        </w:rPr>
        <w:t>Control</w:t>
      </w:r>
      <w:r>
        <w:rPr>
          <w:rFonts w:ascii="Arial" w:cs="Arial" w:eastAsia="Arial" w:hAnsi="Arial"/>
          <w:sz w:val="17"/>
          <w:szCs w:val="17"/>
          <w:color w:val="auto"/>
        </w:rPr>
        <w:t xml:space="preserve"> ,” as used in this </w:t>
      </w:r>
      <w:r>
        <w:rPr>
          <w:rFonts w:ascii="Arial" w:cs="Arial" w:eastAsia="Arial" w:hAnsi="Arial"/>
          <w:sz w:val="17"/>
          <w:szCs w:val="17"/>
          <w:u w:val="single" w:color="auto"/>
          <w:color w:val="auto"/>
        </w:rPr>
        <w:t>Section 14.8</w:t>
      </w:r>
      <w:r>
        <w:rPr>
          <w:rFonts w:ascii="Arial" w:cs="Arial" w:eastAsia="Arial" w:hAnsi="Arial"/>
          <w:sz w:val="17"/>
          <w:szCs w:val="17"/>
          <w:color w:val="auto"/>
        </w:rPr>
        <w:t>, shall mean the ownership, directly or indirectly, of more than fifty percent (50%) of the voting securities of, or possession of the right to vote, in the ordinary direction of its affairs, of more than fifty percent (50%) of the voting interest in, any person or entity.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2" w:name="page563"/>
    <w:bookmarkEnd w:id="562"/>
    <w:p>
      <w:pPr>
        <w:jc w:val="center"/>
        <w:spacing w:after="0"/>
        <w:rPr>
          <w:sz w:val="20"/>
          <w:szCs w:val="20"/>
          <w:color w:val="auto"/>
        </w:rPr>
      </w:pPr>
      <w:r>
        <w:rPr>
          <w:rFonts w:ascii="Arial" w:cs="Arial" w:eastAsia="Arial" w:hAnsi="Arial"/>
          <w:sz w:val="18"/>
          <w:szCs w:val="18"/>
          <w:b w:val="1"/>
          <w:bCs w:val="1"/>
          <w:u w:val="single" w:color="auto"/>
          <w:color w:val="auto"/>
        </w:rPr>
        <w:t>ARTICLE 15</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SURRENDER OF PREMISES; OWNERSHIP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REMOVAL OF TRADE FIXTURES</w:t>
      </w:r>
    </w:p>
    <w:p>
      <w:pPr>
        <w:spacing w:after="0" w:line="207"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6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u w:val="single" w:color="auto"/>
          <w:color w:val="auto"/>
        </w:rPr>
        <w:t>Removal of Tenant Property by Tenant</w:t>
      </w:r>
      <w:r>
        <w:rPr>
          <w:rFonts w:ascii="Arial" w:cs="Arial" w:eastAsia="Arial" w:hAnsi="Arial"/>
          <w:sz w:val="17"/>
          <w:szCs w:val="17"/>
          <w:color w:val="auto"/>
        </w:rPr>
        <w:t xml:space="preserve">. Upon the expiration of the Lease Term, or upon any earlier termination of this Lease, Tenant shall, subject to the provisions of this </w:t>
      </w:r>
      <w:r>
        <w:rPr>
          <w:rFonts w:ascii="Arial" w:cs="Arial" w:eastAsia="Arial" w:hAnsi="Arial"/>
          <w:sz w:val="17"/>
          <w:szCs w:val="17"/>
          <w:u w:val="single" w:color="auto"/>
          <w:color w:val="auto"/>
        </w:rPr>
        <w:t>Article 15</w:t>
      </w:r>
      <w:r>
        <w:rPr>
          <w:rFonts w:ascii="Arial" w:cs="Arial" w:eastAsia="Arial" w:hAnsi="Arial"/>
          <w:sz w:val="17"/>
          <w:szCs w:val="17"/>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(the notification of which may be provided to Tenant either prior to or following the expiration or earlier termination of this Lease), and Tenant shall repair at its own expense all damage to the Premises and Building resulting from such removal.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HOLDING OVER</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If Tenant holds over after the expiration of the Lease Term or earlier termination thereof, with or without the express or implied consent of Landlord, such tenancy shall be a tenancy at sufferance, and shall not constitute a renewal hereof or an extension for any further term, and in such case Rent shall be payable at a monthly rate equal to the product of (i) the Rent applicable during the last rental period of the Lease Term under this Lease, and</w:t>
      </w:r>
    </w:p>
    <w:p>
      <w:pPr>
        <w:spacing w:after="0" w:line="2" w:lineRule="exact"/>
        <w:rPr>
          <w:sz w:val="20"/>
          <w:szCs w:val="20"/>
          <w:color w:val="auto"/>
        </w:rPr>
      </w:pPr>
    </w:p>
    <w:p>
      <w:pPr>
        <w:ind w:firstLine="8"/>
        <w:spacing w:after="0" w:line="251" w:lineRule="auto"/>
        <w:tabs>
          <w:tab w:leader="none" w:pos="26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a percentage equal to 150% during the first two (2) months immediately following the expiration or earlier termination of the Lease Term, and 200% thereafter. Such tenancy shall be subject to every other applicable term, covenant and agreement contained herein. Nothing contained in this </w:t>
      </w:r>
      <w:r>
        <w:rPr>
          <w:rFonts w:ascii="Arial" w:cs="Arial" w:eastAsia="Arial" w:hAnsi="Arial"/>
          <w:sz w:val="18"/>
          <w:szCs w:val="18"/>
          <w:u w:val="single" w:color="auto"/>
          <w:color w:val="auto"/>
        </w:rPr>
        <w:t>Article 16</w:t>
      </w:r>
      <w:r>
        <w:rPr>
          <w:rFonts w:ascii="Arial" w:cs="Arial" w:eastAsia="Arial" w:hAnsi="Arial"/>
          <w:sz w:val="18"/>
          <w:szCs w:val="18"/>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18"/>
          <w:szCs w:val="18"/>
          <w:u w:val="single" w:color="auto"/>
          <w:color w:val="auto"/>
        </w:rPr>
        <w:t>Article 16</w:t>
      </w:r>
      <w:r>
        <w:rPr>
          <w:rFonts w:ascii="Arial" w:cs="Arial" w:eastAsia="Arial" w:hAnsi="Arial"/>
          <w:sz w:val="18"/>
          <w:szCs w:val="18"/>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ESTOPPEL CERTIFICATES</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Within ten (10) business days following a request in writing by Landlord, Tenant shall execute, acknowledge and deliver to Landlord an estoppel certificate, which, as submitted by Landlord, shall be substantially in the form of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Landlord (but not more often than once every twelve (12) months unless in connection with a sale or refinancing of the Building), may require Tenant to provide Landlord with a current financial statement and financial statements of the two (2) years prior to the current financial statement year, on condition that Landlord, prior to delivery of such financial statements, Landlord shall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3" w:name="page564"/>
    <w:bookmarkEnd w:id="563"/>
    <w:p>
      <w:pPr>
        <w:ind w:right="420"/>
        <w:spacing w:after="0" w:line="301" w:lineRule="auto"/>
        <w:rPr>
          <w:sz w:val="20"/>
          <w:szCs w:val="20"/>
          <w:color w:val="auto"/>
        </w:rPr>
      </w:pPr>
      <w:r>
        <w:rPr>
          <w:rFonts w:ascii="Arial" w:cs="Arial" w:eastAsia="Arial" w:hAnsi="Arial"/>
          <w:sz w:val="16"/>
          <w:szCs w:val="16"/>
          <w:color w:val="auto"/>
        </w:rPr>
        <w:t>execute and deliver to Tenant a standard non-disclosure/confidentiality agreement.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18</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SUBORDINATION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(including without limitation, any liability for the previous Landlord’s acts or omissions, any rent prepaid to the previous Landlord more than thirty (30) days in advance of the due date thereof, or any modifications to the Lease made without the consent of the Building’s mortgagee or ground lessor (as applicable), to the extent such consent was required under the applicable mortgage or ground lease),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DEFAULTS; REMEDIES</w:t>
      </w:r>
    </w:p>
    <w:p>
      <w:pPr>
        <w:spacing w:after="0" w:line="22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color w:val="auto"/>
        </w:rPr>
        <w:t>. The occurrence of any of the following shall constitute a default of this Lease by Tenant (a “</w:t>
      </w:r>
      <w:r>
        <w:rPr>
          <w:rFonts w:ascii="Arial" w:cs="Arial" w:eastAsia="Arial" w:hAnsi="Arial"/>
          <w:sz w:val="16"/>
          <w:szCs w:val="16"/>
          <w:b w:val="1"/>
          <w:bCs w:val="1"/>
          <w:color w:val="auto"/>
        </w:rPr>
        <w:t>Default</w:t>
      </w:r>
      <w:r>
        <w:rPr>
          <w:rFonts w:ascii="Arial" w:cs="Arial" w:eastAsia="Arial" w:hAnsi="Arial"/>
          <w:sz w:val="16"/>
          <w:szCs w:val="16"/>
          <w:color w:val="auto"/>
        </w:rPr>
        <w:t>”):</w:t>
      </w:r>
    </w:p>
    <w:p>
      <w:pPr>
        <w:spacing w:after="0" w:line="229"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19.1.1 Any failure by Tenant to pay any Rent or any other charge required to be paid under this Lease, or any part thereof, when due unless such failure is cured within five (5) business days after notice; or</w:t>
      </w:r>
    </w:p>
    <w:p>
      <w:pPr>
        <w:spacing w:after="0" w:line="170"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8"/>
          <w:szCs w:val="18"/>
          <w:u w:val="single" w:color="auto"/>
          <w:color w:val="auto"/>
        </w:rPr>
        <w:t>Section 19.1.2</w:t>
      </w:r>
      <w:r>
        <w:rPr>
          <w:rFonts w:ascii="Arial" w:cs="Arial" w:eastAsia="Arial" w:hAnsi="Arial"/>
          <w:sz w:val="18"/>
          <w:szCs w:val="18"/>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19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19.1.3</w:t>
      </w:r>
      <w:r>
        <w:rPr>
          <w:sz w:val="20"/>
          <w:szCs w:val="20"/>
          <w:color w:val="auto"/>
        </w:rPr>
        <w:tab/>
      </w:r>
      <w:r>
        <w:rPr>
          <w:rFonts w:ascii="Arial" w:cs="Arial" w:eastAsia="Arial" w:hAnsi="Arial"/>
          <w:sz w:val="16"/>
          <w:szCs w:val="16"/>
          <w:color w:val="auto"/>
        </w:rPr>
        <w:t>Abandonment of all or a substantial portion of the Premises by Tenant without Tenant’s payment of Rent in accordance with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Lease; or</w:t>
      </w:r>
    </w:p>
    <w:p>
      <w:pPr>
        <w:spacing w:after="0" w:line="211" w:lineRule="exact"/>
        <w:rPr>
          <w:sz w:val="20"/>
          <w:szCs w:val="20"/>
          <w:color w:val="auto"/>
        </w:rPr>
      </w:pPr>
    </w:p>
    <w:p>
      <w:pPr>
        <w:ind w:right="380" w:firstLine="1296"/>
        <w:spacing w:after="0" w:line="277" w:lineRule="auto"/>
        <w:rPr>
          <w:sz w:val="20"/>
          <w:szCs w:val="20"/>
          <w:color w:val="auto"/>
        </w:rPr>
      </w:pPr>
      <w:r>
        <w:rPr>
          <w:rFonts w:ascii="Arial" w:cs="Arial" w:eastAsia="Arial" w:hAnsi="Arial"/>
          <w:sz w:val="18"/>
          <w:szCs w:val="18"/>
          <w:color w:val="auto"/>
        </w:rPr>
        <w:t xml:space="preserve">19.1.4 The failure by Tenant to observe or perform according to the provisions of </w:t>
      </w:r>
      <w:r>
        <w:rPr>
          <w:rFonts w:ascii="Arial" w:cs="Arial" w:eastAsia="Arial" w:hAnsi="Arial"/>
          <w:sz w:val="18"/>
          <w:szCs w:val="18"/>
          <w:u w:val="single" w:color="auto"/>
          <w:color w:val="auto"/>
        </w:rPr>
        <w:t>Articles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of this Lease where such failure continues for more than five (5) business days after notice from Landlord.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periods provided herein are in lieu of, and not in addition to, any notice periods provided by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4" w:name="page565"/>
    <w:bookmarkEnd w:id="564"/>
    <w:p>
      <w:pPr>
        <w:spacing w:after="0" w:line="3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u w:val="single" w:color="auto"/>
          <w:color w:val="auto"/>
        </w:rPr>
        <w:t>Remedies Upon Default</w:t>
      </w:r>
      <w:r>
        <w:rPr>
          <w:rFonts w:ascii="Arial" w:cs="Arial" w:eastAsia="Arial" w:hAnsi="Arial"/>
          <w:sz w:val="18"/>
          <w:szCs w:val="18"/>
          <w:color w:val="auto"/>
        </w:rPr>
        <w:t>. Upon the occurrence of any event of Default,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80"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187" w:lineRule="exact"/>
        <w:rPr>
          <w:sz w:val="20"/>
          <w:szCs w:val="20"/>
          <w:color w:val="auto"/>
        </w:rPr>
      </w:pPr>
    </w:p>
    <w:p>
      <w:pPr>
        <w:ind w:left="2660" w:hanging="708"/>
        <w:spacing w:after="0"/>
        <w:tabs>
          <w:tab w:leader="none" w:pos="2660"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worth at the time of award of the unpaid rent which has been earned at the time of such termination; plus</w:t>
      </w:r>
    </w:p>
    <w:p>
      <w:pPr>
        <w:spacing w:after="0" w:line="236" w:lineRule="exact"/>
        <w:rPr>
          <w:rFonts w:ascii="Arial" w:cs="Arial" w:eastAsia="Arial" w:hAnsi="Arial"/>
          <w:sz w:val="17"/>
          <w:szCs w:val="17"/>
          <w:color w:val="auto"/>
        </w:rPr>
      </w:pPr>
    </w:p>
    <w:p>
      <w:pPr>
        <w:jc w:val="both"/>
        <w:ind w:left="660" w:right="820" w:firstLine="1292"/>
        <w:spacing w:after="0" w:line="342" w:lineRule="auto"/>
        <w:tabs>
          <w:tab w:leader="none" w:pos="2671" w:val="left"/>
        </w:tabs>
        <w:numPr>
          <w:ilvl w:val="0"/>
          <w:numId w:val="509"/>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23" w:lineRule="exact"/>
        <w:rPr>
          <w:rFonts w:ascii="Arial" w:cs="Arial" w:eastAsia="Arial" w:hAnsi="Arial"/>
          <w:sz w:val="16"/>
          <w:szCs w:val="16"/>
          <w:color w:val="auto"/>
        </w:rPr>
      </w:pPr>
    </w:p>
    <w:p>
      <w:pPr>
        <w:ind w:left="660" w:right="360" w:firstLine="1292"/>
        <w:spacing w:after="0" w:line="308" w:lineRule="auto"/>
        <w:tabs>
          <w:tab w:leader="none" w:pos="2676" w:val="left"/>
        </w:tabs>
        <w:numPr>
          <w:ilvl w:val="0"/>
          <w:numId w:val="509"/>
        </w:numPr>
        <w:rPr>
          <w:rFonts w:ascii="Arial" w:cs="Arial" w:eastAsia="Arial" w:hAnsi="Arial"/>
          <w:sz w:val="17"/>
          <w:szCs w:val="17"/>
          <w:color w:val="auto"/>
        </w:rPr>
      </w:pPr>
      <w:r>
        <w:rPr>
          <w:rFonts w:ascii="Arial" w:cs="Arial" w:eastAsia="Arial" w:hAnsi="Arial"/>
          <w:sz w:val="17"/>
          <w:szCs w:val="17"/>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46" w:lineRule="exact"/>
        <w:rPr>
          <w:rFonts w:ascii="Arial" w:cs="Arial" w:eastAsia="Arial" w:hAnsi="Arial"/>
          <w:sz w:val="17"/>
          <w:szCs w:val="17"/>
          <w:color w:val="auto"/>
        </w:rPr>
      </w:pPr>
    </w:p>
    <w:p>
      <w:pPr>
        <w:ind w:left="660" w:firstLine="1292"/>
        <w:spacing w:after="0" w:line="279" w:lineRule="auto"/>
        <w:tabs>
          <w:tab w:leader="none" w:pos="2666" w:val="left"/>
        </w:tabs>
        <w:numPr>
          <w:ilvl w:val="0"/>
          <w:numId w:val="509"/>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71" w:lineRule="exact"/>
        <w:rPr>
          <w:rFonts w:ascii="Arial" w:cs="Arial" w:eastAsia="Arial" w:hAnsi="Arial"/>
          <w:sz w:val="17"/>
          <w:szCs w:val="17"/>
          <w:color w:val="auto"/>
        </w:rPr>
      </w:pPr>
    </w:p>
    <w:p>
      <w:pPr>
        <w:ind w:left="2660" w:hanging="708"/>
        <w:spacing w:after="0"/>
        <w:tabs>
          <w:tab w:leader="none" w:pos="266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time by applicable law.</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term “rent” as used in this </w:t>
      </w:r>
      <w:r>
        <w:rPr>
          <w:rFonts w:ascii="Arial" w:cs="Arial" w:eastAsia="Arial" w:hAnsi="Arial"/>
          <w:sz w:val="18"/>
          <w:szCs w:val="18"/>
          <w:u w:val="single" w:color="auto"/>
          <w:color w:val="auto"/>
        </w:rPr>
        <w:t>Section 19.2</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Sections 19.2.1(i)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 “worth at the time of award” shall be computed by allowing interest at the rate set forth in </w:t>
      </w:r>
      <w:r>
        <w:rPr>
          <w:rFonts w:ascii="Arial" w:cs="Arial" w:eastAsia="Arial" w:hAnsi="Arial"/>
          <w:sz w:val="18"/>
          <w:szCs w:val="18"/>
          <w:u w:val="single" w:color="auto"/>
          <w:color w:val="auto"/>
        </w:rPr>
        <w:t>Article 25</w:t>
      </w:r>
      <w:r>
        <w:rPr>
          <w:rFonts w:ascii="Arial" w:cs="Arial" w:eastAsia="Arial" w:hAnsi="Arial"/>
          <w:sz w:val="18"/>
          <w:szCs w:val="18"/>
          <w:color w:val="auto"/>
        </w:rPr>
        <w:t xml:space="preserve"> of this Lease, but in no case greater than the maximum amount of such interest permitted by law. As used in </w:t>
      </w:r>
      <w:r>
        <w:rPr>
          <w:rFonts w:ascii="Arial" w:cs="Arial" w:eastAsia="Arial" w:hAnsi="Arial"/>
          <w:sz w:val="18"/>
          <w:szCs w:val="18"/>
          <w:u w:val="single" w:color="auto"/>
          <w:color w:val="auto"/>
        </w:rPr>
        <w:t>Section 19.2.1(iii)</w:t>
      </w:r>
      <w:r>
        <w:rPr>
          <w:rFonts w:ascii="Arial" w:cs="Arial" w:eastAsia="Arial" w:hAnsi="Arial"/>
          <w:sz w:val="18"/>
          <w:szCs w:val="18"/>
          <w:color w:val="auto"/>
        </w:rPr>
        <w:t xml:space="preserve"> above, the “worth at the time of award” shall be computed by discounting such amount at the discount rate of the Federal Reserve Bank of San Francisco at the time of award plus one percent (1%).</w:t>
      </w:r>
    </w:p>
    <w:p>
      <w:pPr>
        <w:spacing w:after="0" w:line="188" w:lineRule="exact"/>
        <w:rPr>
          <w:sz w:val="20"/>
          <w:szCs w:val="20"/>
          <w:color w:val="auto"/>
        </w:rPr>
      </w:pPr>
    </w:p>
    <w:p>
      <w:pPr>
        <w:ind w:right="380" w:firstLine="1296"/>
        <w:spacing w:after="0" w:line="301" w:lineRule="auto"/>
        <w:rPr>
          <w:sz w:val="20"/>
          <w:szCs w:val="20"/>
          <w:color w:val="auto"/>
        </w:rPr>
      </w:pPr>
      <w:r>
        <w:rPr>
          <w:rFonts w:ascii="Arial" w:cs="Arial" w:eastAsia="Arial" w:hAnsi="Arial"/>
          <w:sz w:val="16"/>
          <w:szCs w:val="16"/>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 Landlord may, from time to time, without terminating this Lease, enforce all of its rights and remedies under this Lease, including the right to recover all rent as it becomes due.</w:t>
      </w:r>
    </w:p>
    <w:p>
      <w:pPr>
        <w:spacing w:after="0" w:line="157"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8"/>
          <w:szCs w:val="18"/>
          <w:u w:val="single" w:color="auto"/>
          <w:color w:val="auto"/>
        </w:rPr>
        <w:t>Sections 19.2.1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19.2.2</w:t>
      </w:r>
      <w:r>
        <w:rPr>
          <w:rFonts w:ascii="Arial" w:cs="Arial" w:eastAsia="Arial" w:hAnsi="Arial"/>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8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color w:val="auto"/>
        </w:rPr>
        <w:t xml:space="preserve">. If Landlord elects to terminate this Lease on account of any default by Tenant, as set forth in this </w:t>
      </w:r>
      <w:r>
        <w:rPr>
          <w:rFonts w:ascii="Arial" w:cs="Arial" w:eastAsia="Arial" w:hAnsi="Arial"/>
          <w:sz w:val="16"/>
          <w:szCs w:val="16"/>
          <w:u w:val="single" w:color="auto"/>
          <w:color w:val="auto"/>
        </w:rPr>
        <w:t>Article 19</w:t>
      </w:r>
      <w:r>
        <w:rPr>
          <w:rFonts w:ascii="Arial" w:cs="Arial" w:eastAsia="Arial" w:hAnsi="Arial"/>
          <w:sz w:val="16"/>
          <w:szCs w:val="16"/>
          <w:color w:val="auto"/>
        </w:rPr>
        <w:t>, then, except to the extent Landlord has agreed to recognize such subleases, licenses, concessions or other consensual arrangements, Landlord shall have the right, at Landlord’s option in its sole discretion, (i) to terminate any and all subleases, licenses, concessions or other consensual arrangements for possession entered into by Tenant and affecting the Premises, in which event Landlord shall have the right to repossess such affected portions of the Premises by any lawful means, or (ii) to succeed to Tenant’s interest in any or all such subleases, licenses, concessions or arrangements, in which event Landlord may require any sublessees, licensees or other parties thereunder to attorn to and recognize Landlord as its sublessor, licensor, concessionaire or transferor thereunder.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u w:val="single" w:color="auto"/>
          <w:color w:val="auto"/>
        </w:rPr>
        <w:t>Efforts to Relet</w:t>
      </w:r>
      <w:r>
        <w:rPr>
          <w:rFonts w:ascii="Arial" w:cs="Arial" w:eastAsia="Arial" w:hAnsi="Arial"/>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 OF QUIET ENJOYMENT</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LETTER OF CREDIT</w:t>
      </w:r>
    </w:p>
    <w:p>
      <w:pPr>
        <w:spacing w:after="0" w:line="221" w:lineRule="exact"/>
        <w:rPr>
          <w:sz w:val="20"/>
          <w:szCs w:val="20"/>
          <w:color w:val="auto"/>
        </w:rPr>
      </w:pPr>
    </w:p>
    <w:p>
      <w:pPr>
        <w:ind w:right="220" w:firstLine="648"/>
        <w:spacing w:after="0" w:line="34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u w:val="single" w:color="auto"/>
          <w:color w:val="auto"/>
        </w:rPr>
        <w:t>Delivery of Letter of Credit</w:t>
      </w:r>
      <w:r>
        <w:rPr>
          <w:rFonts w:ascii="Arial" w:cs="Arial" w:eastAsia="Arial" w:hAnsi="Arial"/>
          <w:sz w:val="16"/>
          <w:szCs w:val="16"/>
          <w:color w:val="auto"/>
        </w:rPr>
        <w:t>. Tenant shall deliver to Landlord, concurrently with Tenant’s execution of this Lease, an unconditional, clean, irrevocable letter of credit (the “</w:t>
      </w:r>
      <w:r>
        <w:rPr>
          <w:rFonts w:ascii="Arial" w:cs="Arial" w:eastAsia="Arial" w:hAnsi="Arial"/>
          <w:sz w:val="16"/>
          <w:szCs w:val="16"/>
          <w:b w:val="1"/>
          <w:bCs w:val="1"/>
          <w:color w:val="auto"/>
        </w:rPr>
        <w:t>L-C</w:t>
      </w:r>
      <w:r>
        <w:rPr>
          <w:rFonts w:ascii="Arial" w:cs="Arial" w:eastAsia="Arial" w:hAnsi="Arial"/>
          <w:sz w:val="16"/>
          <w:szCs w:val="16"/>
          <w:color w:val="auto"/>
        </w:rPr>
        <w:t xml:space="preserve">”) in the amount set forth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below (the “</w:t>
      </w:r>
      <w:r>
        <w:rPr>
          <w:rFonts w:ascii="Arial" w:cs="Arial" w:eastAsia="Arial" w:hAnsi="Arial"/>
          <w:sz w:val="16"/>
          <w:szCs w:val="16"/>
          <w:b w:val="1"/>
          <w:bCs w:val="1"/>
          <w:color w:val="auto"/>
        </w:rPr>
        <w:t>L-C Amount</w:t>
      </w:r>
      <w:r>
        <w:rPr>
          <w:rFonts w:ascii="Arial" w:cs="Arial" w:eastAsia="Arial" w:hAnsi="Arial"/>
          <w:sz w:val="16"/>
          <w:szCs w:val="16"/>
          <w:color w:val="auto"/>
        </w:rPr>
        <w:t>”), which L-C shall be issued by a money-</w:t>
      </w:r>
    </w:p>
    <w:p>
      <w:pPr>
        <w:sectPr>
          <w:pgSz w:w="11900" w:h="16878" w:orient="portrait"/>
          <w:cols w:equalWidth="0" w:num="1">
            <w:col w:w="11240"/>
          </w:cols>
          <w:pgMar w:left="320" w:top="337" w:right="339" w:bottom="0" w:gutter="0" w:footer="0" w:header="0"/>
        </w:sectPr>
      </w:pPr>
    </w:p>
    <w:bookmarkStart w:id="565" w:name="page566"/>
    <w:bookmarkEnd w:id="565"/>
    <w:p>
      <w:pPr>
        <w:spacing w:after="0" w:line="284" w:lineRule="auto"/>
        <w:rPr>
          <w:sz w:val="20"/>
          <w:szCs w:val="20"/>
          <w:color w:val="auto"/>
        </w:rPr>
      </w:pPr>
      <w:r>
        <w:rPr>
          <w:rFonts w:ascii="Arial" w:cs="Arial" w:eastAsia="Arial" w:hAnsi="Arial"/>
          <w:sz w:val="16"/>
          <w:szCs w:val="16"/>
          <w:color w:val="auto"/>
        </w:rPr>
        <w:t>center, solvent and nationally recognized bank (a bank which accepts deposits, maintains accounts, has a local office in the City of Sunnyvale, City of San Jose or City of San Francisco that will negotiate a letter of credit, and whose deposits are insured by the FDIC) reasonably acceptable to Landlord (such approved, issuing bank being referred to herein as the “</w:t>
      </w:r>
      <w:r>
        <w:rPr>
          <w:rFonts w:ascii="Arial" w:cs="Arial" w:eastAsia="Arial" w:hAnsi="Arial"/>
          <w:sz w:val="16"/>
          <w:szCs w:val="16"/>
          <w:b w:val="1"/>
          <w:bCs w:val="1"/>
          <w:color w:val="auto"/>
        </w:rPr>
        <w:t>Bank</w:t>
      </w:r>
      <w:r>
        <w:rPr>
          <w:rFonts w:ascii="Arial" w:cs="Arial" w:eastAsia="Arial" w:hAnsi="Arial"/>
          <w:sz w:val="16"/>
          <w:szCs w:val="16"/>
          <w:color w:val="auto"/>
        </w:rPr>
        <w:t>”), which Bank must have a short term Fitch Rating which is not less than “F1”, and a long term Fitch Rating which is not less than “A” (or in the event such Fitch Ratings are no longer available, a comparable rating from Standard and Poor’s Professional Rating Service or Moody’s Professional Rating Service) (collectively, the “</w:t>
      </w:r>
      <w:r>
        <w:rPr>
          <w:rFonts w:ascii="Arial" w:cs="Arial" w:eastAsia="Arial" w:hAnsi="Arial"/>
          <w:sz w:val="16"/>
          <w:szCs w:val="16"/>
          <w:b w:val="1"/>
          <w:bCs w:val="1"/>
          <w:color w:val="auto"/>
        </w:rPr>
        <w:t>Bank’s Credit Rating Threshold</w:t>
      </w:r>
      <w:r>
        <w:rPr>
          <w:rFonts w:ascii="Arial" w:cs="Arial" w:eastAsia="Arial" w:hAnsi="Arial"/>
          <w:sz w:val="16"/>
          <w:szCs w:val="16"/>
          <w:color w:val="auto"/>
        </w:rPr>
        <w:t xml:space="preserve">”), and which L-C shall be in the form of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attached hereto. In no event may an L-C be provided by JPMorgan Chase Bank, Bank One, or any affiliate of either. Tenant shall pay all expenses, points and/or fees incurred by Tenant in obtaining the L-C. The L-C shall (i) be “callable” at sight, irrevocable and unconditional, (ii) be maintained in effect, whether through renewal or extension, for the period commencing on the date of this Lease and continuing until the date (the “</w:t>
      </w:r>
      <w:r>
        <w:rPr>
          <w:rFonts w:ascii="Arial" w:cs="Arial" w:eastAsia="Arial" w:hAnsi="Arial"/>
          <w:sz w:val="16"/>
          <w:szCs w:val="16"/>
          <w:b w:val="1"/>
          <w:bCs w:val="1"/>
          <w:color w:val="auto"/>
        </w:rPr>
        <w:t>L-C</w:t>
      </w:r>
      <w:r>
        <w:rPr>
          <w:rFonts w:ascii="Arial" w:cs="Arial" w:eastAsia="Arial" w:hAnsi="Arial"/>
          <w:sz w:val="16"/>
          <w:szCs w:val="16"/>
          <w:color w:val="auto"/>
        </w:rPr>
        <w:t xml:space="preserve"> </w:t>
      </w:r>
      <w:r>
        <w:rPr>
          <w:rFonts w:ascii="Arial" w:cs="Arial" w:eastAsia="Arial" w:hAnsi="Arial"/>
          <w:sz w:val="16"/>
          <w:szCs w:val="16"/>
          <w:b w:val="1"/>
          <w:bCs w:val="1"/>
          <w:color w:val="auto"/>
        </w:rPr>
        <w:t>Expiration Date</w:t>
      </w:r>
      <w:r>
        <w:rPr>
          <w:rFonts w:ascii="Arial" w:cs="Arial" w:eastAsia="Arial" w:hAnsi="Arial"/>
          <w:sz w:val="16"/>
          <w:szCs w:val="16"/>
          <w:color w:val="auto"/>
        </w:rPr>
        <w:t>”) that is no less than one hundred twenty (120) days after the expiration of the Lease Term. as the same may be extended,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deliver a new L-C or certificate of renewal or extension to Landlord at least sixty (60) days prior to the expiration of the L-C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or (B) Tenant has filed a voluntary petition under the U. S. Bankruptcy Code or any state bankruptcy code (collectively, “</w:t>
      </w:r>
      <w:r>
        <w:rPr>
          <w:rFonts w:ascii="Arial" w:cs="Arial" w:eastAsia="Arial" w:hAnsi="Arial"/>
          <w:sz w:val="16"/>
          <w:szCs w:val="16"/>
          <w:b w:val="1"/>
          <w:bCs w:val="1"/>
          <w:color w:val="auto"/>
        </w:rPr>
        <w:t>Bankruptcy Code</w:t>
      </w:r>
      <w:r>
        <w:rPr>
          <w:rFonts w:ascii="Arial" w:cs="Arial" w:eastAsia="Arial" w:hAnsi="Arial"/>
          <w:sz w:val="16"/>
          <w:szCs w:val="16"/>
          <w:color w:val="auto"/>
        </w:rPr>
        <w:t xml:space="preserve">”), or (C) an involuntary petition has been filed against Tenant under the Bankruptcy Code, or (D) the Bank has notified Landlord that the L-C will not be renewed or extended through the L-C Expiration Date, or (E) Tenant is placed into receivership or conservatorship, or becomes subject to similar proceedings under Federal or State law, or (F) Tenant executes an assignment for the benefit of creditors, or (G) if (1) any of the Bank’s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(including, but not limited to, the requirements placed on the issuing Bank more particularly set forth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above), in the amount of the applicable L-C Amount, within ten (10)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6"/>
          <w:szCs w:val="16"/>
          <w:b w:val="1"/>
          <w:bCs w:val="1"/>
          <w:color w:val="auto"/>
        </w:rPr>
        <w:t>L-C Draw Event</w:t>
      </w:r>
      <w:r>
        <w:rPr>
          <w:rFonts w:ascii="Arial" w:cs="Arial" w:eastAsia="Arial" w:hAnsi="Arial"/>
          <w:sz w:val="16"/>
          <w:szCs w:val="16"/>
          <w:color w:val="auto"/>
        </w:rPr>
        <w:t xml:space="preserve">”). The L-C shall be honored by the Bank regardless of whether Tenant disputes Landlord’s right to draw upon the L-C. In addition, in the event the Bank is placed into receivership or conservatorship by the Federal Deposit Insurance Corporation or any successor or similar entity, then, effective as of the date such receivership or conservatorship occurs, said L-C shall be deemed to fail to meet the requirements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and, within ten (10) days following Landlord’s notice to Tenant of such receivership or conservatorship (the “</w:t>
      </w:r>
      <w:r>
        <w:rPr>
          <w:rFonts w:ascii="Arial" w:cs="Arial" w:eastAsia="Arial" w:hAnsi="Arial"/>
          <w:sz w:val="16"/>
          <w:szCs w:val="16"/>
          <w:b w:val="1"/>
          <w:bCs w:val="1"/>
          <w:color w:val="auto"/>
        </w:rPr>
        <w:t>L-C FDIC Replacement Notice</w:t>
      </w:r>
      <w:r>
        <w:rPr>
          <w:rFonts w:ascii="Arial" w:cs="Arial" w:eastAsia="Arial" w:hAnsi="Arial"/>
          <w:sz w:val="16"/>
          <w:szCs w:val="16"/>
          <w:color w:val="auto"/>
        </w:rPr>
        <w:t>”), Tenant shall replace such L-C with a substitute letter of credit from a different issuer (which issuer shall meet or exceed the Bank’s Credit Rating Threshold and shall otherwise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6" w:name="page567"/>
    <w:bookmarkEnd w:id="566"/>
    <w:p>
      <w:pPr>
        <w:ind w:right="20"/>
        <w:spacing w:after="0" w:line="255" w:lineRule="auto"/>
        <w:rPr>
          <w:sz w:val="20"/>
          <w:szCs w:val="20"/>
          <w:color w:val="auto"/>
        </w:rPr>
      </w:pPr>
      <w:r>
        <w:rPr>
          <w:rFonts w:ascii="Arial" w:cs="Arial" w:eastAsia="Arial" w:hAnsi="Arial"/>
          <w:sz w:val="18"/>
          <w:szCs w:val="18"/>
          <w:color w:val="auto"/>
        </w:rPr>
        <w:t xml:space="preserve">be acceptable to Landlord in its reasonable discretion) and that complies in all respects with the requirements of this </w:t>
      </w:r>
      <w:r>
        <w:rPr>
          <w:rFonts w:ascii="Arial" w:cs="Arial" w:eastAsia="Arial" w:hAnsi="Arial"/>
          <w:sz w:val="18"/>
          <w:szCs w:val="18"/>
          <w:u w:val="single" w:color="auto"/>
          <w:color w:val="auto"/>
        </w:rPr>
        <w:t>Article 21</w:t>
      </w:r>
      <w:r>
        <w:rPr>
          <w:rFonts w:ascii="Arial" w:cs="Arial" w:eastAsia="Arial" w:hAnsi="Arial"/>
          <w:sz w:val="18"/>
          <w:szCs w:val="18"/>
          <w:color w:val="auto"/>
        </w:rPr>
        <w:t xml:space="preserve">. If Tenant fails to replace such L-C with such conforming, substitute letter of credit pursuant to the terms and conditions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costs incurred with the review of any replacement L-C (including without limitation Landlord’s reasonable attorneys’ fees), which replacement is required pursuant to this Section or is otherwise requested by Tenant.</w:t>
      </w:r>
    </w:p>
    <w:p>
      <w:pPr>
        <w:spacing w:after="0" w:line="188"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b w:val="1"/>
          <w:bCs w:val="1"/>
          <w:u w:val="single" w:color="auto"/>
          <w:color w:val="auto"/>
        </w:rPr>
        <w:t>Application of L</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C</w:t>
      </w:r>
      <w:r>
        <w:rPr>
          <w:rFonts w:ascii="Arial" w:cs="Arial" w:eastAsia="Arial" w:hAnsi="Arial"/>
          <w:sz w:val="16"/>
          <w:szCs w:val="16"/>
          <w:color w:val="auto"/>
        </w:rPr>
        <w:t>.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draw upon the L-C, in part or in whole, to cure any such L-C Draw Event and/or to compensate Landlord for any and all damages of any kind or nature sustained or which Landlord reasonably estimates that it will sustain resulting from a Default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Tenant agrees not to interfere in any way with payment to Landlord of the proceeds of the L-C, either prior to or following a “draw” by Landlord of any portion of the L-C, regardless of whether any dispute exists between Tenant and Landlord as to Landlord’s right to draw upon the L-C. No condition or term of this Lease shall be deemed to render the L-C conditional to justify the issuer of the L-C in failing to honor a drawing upon such L-C in a timely manner. Tenant agrees and acknowledges that (i) the L-C constitutes a separate and independent contract between Landlord and the Bank, (ii) Tenant is not a third party beneficiary of such contract, (iii) Tenant has no property interest whatsoever in the L-C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 S. Bankruptcy Code or otherwise. In the event of an assignment by Tenant of its interest in this Lease (and irrespective of whether Landlord’s consent is required for such assignment), the acceptance of any replacement or substitute L-C by Landlord from the assignee shall be subject to Landlord’s prior written approval, in Landlord’s reasonable discretion, and the actual and reasonable attorney’s fees incurred by Landlord in connection with such determination shall be payable by Tenant to Landlord within ten (10) days of billing.</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u w:val="single" w:color="auto"/>
          <w:color w:val="auto"/>
        </w:rPr>
        <w:t>L-C Amount; Maintenance of L-C by Tenant; Liquidated Damages</w:t>
      </w:r>
      <w:r>
        <w:rPr>
          <w:rFonts w:ascii="Arial" w:cs="Arial" w:eastAsia="Arial" w:hAnsi="Arial"/>
          <w:sz w:val="16"/>
          <w:szCs w:val="16"/>
          <w:color w:val="auto"/>
        </w:rPr>
        <w:t>.</w:t>
      </w:r>
    </w:p>
    <w:p>
      <w:pPr>
        <w:spacing w:after="0" w:line="225" w:lineRule="exact"/>
        <w:rPr>
          <w:sz w:val="20"/>
          <w:szCs w:val="20"/>
          <w:color w:val="auto"/>
        </w:rPr>
      </w:pPr>
    </w:p>
    <w:p>
      <w:pPr>
        <w:ind w:right="40" w:firstLine="1296"/>
        <w:spacing w:after="0" w:line="271" w:lineRule="auto"/>
        <w:rPr>
          <w:sz w:val="20"/>
          <w:szCs w:val="20"/>
          <w:color w:val="auto"/>
        </w:rPr>
      </w:pPr>
      <w:r>
        <w:rPr>
          <w:rFonts w:ascii="Arial" w:cs="Arial" w:eastAsia="Arial" w:hAnsi="Arial"/>
          <w:sz w:val="17"/>
          <w:szCs w:val="17"/>
          <w:color w:val="auto"/>
        </w:rPr>
        <w:t xml:space="preserve">21.3.1 </w:t>
      </w:r>
      <w:r>
        <w:rPr>
          <w:rFonts w:ascii="Arial" w:cs="Arial" w:eastAsia="Arial" w:hAnsi="Arial"/>
          <w:sz w:val="17"/>
          <w:szCs w:val="17"/>
          <w:b w:val="1"/>
          <w:bCs w:val="1"/>
          <w:u w:val="single" w:color="auto"/>
          <w:color w:val="auto"/>
        </w:rPr>
        <w:t>L-C Amount; Reduction in L-C Amount</w:t>
      </w:r>
      <w:r>
        <w:rPr>
          <w:rFonts w:ascii="Arial" w:cs="Arial" w:eastAsia="Arial" w:hAnsi="Arial"/>
          <w:sz w:val="17"/>
          <w:szCs w:val="17"/>
          <w:color w:val="auto"/>
        </w:rPr>
        <w:t xml:space="preserve">. The L-C Amount shall be equal to the amount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the Summary. Notwithstanding anything to the contrary set forth herein, provided that no Default has occurred and is continuing under this Lease as of the L-C Reduction Effective Date (as defined below), then the L-C Amount shall be reduced to $200,977.35 on the L-C Reduction Effective Date. The “</w:t>
      </w:r>
      <w:r>
        <w:rPr>
          <w:rFonts w:ascii="Arial" w:cs="Arial" w:eastAsia="Arial" w:hAnsi="Arial"/>
          <w:sz w:val="17"/>
          <w:szCs w:val="17"/>
          <w:b w:val="1"/>
          <w:bCs w:val="1"/>
          <w:color w:val="auto"/>
        </w:rPr>
        <w:t>L-C</w:t>
      </w:r>
      <w:r>
        <w:rPr>
          <w:rFonts w:ascii="Arial" w:cs="Arial" w:eastAsia="Arial" w:hAnsi="Arial"/>
          <w:sz w:val="17"/>
          <w:szCs w:val="17"/>
          <w:color w:val="auto"/>
        </w:rPr>
        <w:t xml:space="preserve"> </w:t>
      </w:r>
      <w:r>
        <w:rPr>
          <w:rFonts w:ascii="Arial" w:cs="Arial" w:eastAsia="Arial" w:hAnsi="Arial"/>
          <w:sz w:val="17"/>
          <w:szCs w:val="17"/>
          <w:b w:val="1"/>
          <w:bCs w:val="1"/>
          <w:color w:val="auto"/>
        </w:rPr>
        <w:t>Reduction Effective Date</w:t>
      </w:r>
      <w:r>
        <w:rPr>
          <w:rFonts w:ascii="Arial" w:cs="Arial" w:eastAsia="Arial" w:hAnsi="Arial"/>
          <w:sz w:val="17"/>
          <w:szCs w:val="17"/>
          <w:color w:val="auto"/>
        </w:rPr>
        <w:t>” is the first day of Lease Month 29. In the event that the L-C Amount is reduced pursuant to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21.3.1</w:t>
      </w:r>
      <w:r>
        <w:rPr>
          <w:rFonts w:ascii="Arial" w:cs="Arial" w:eastAsia="Arial" w:hAnsi="Arial"/>
          <w:sz w:val="17"/>
          <w:szCs w:val="17"/>
          <w:color w:val="auto"/>
        </w:rPr>
        <w:t>, then, at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time after the L-C Reduction Effective Date, Tenant shall have the right to tender to Landlord a replacement L-C or a certificate of amendment to the existing L-C, conforming in all respects to the requirements of this </w:t>
      </w:r>
      <w:r>
        <w:rPr>
          <w:rFonts w:ascii="Arial" w:cs="Arial" w:eastAsia="Arial" w:hAnsi="Arial"/>
          <w:sz w:val="17"/>
          <w:szCs w:val="17"/>
          <w:u w:val="single" w:color="auto"/>
          <w:color w:val="auto"/>
        </w:rPr>
        <w:t>Article 21</w:t>
      </w:r>
      <w:r>
        <w:rPr>
          <w:rFonts w:ascii="Arial" w:cs="Arial" w:eastAsia="Arial" w:hAnsi="Arial"/>
          <w:sz w:val="17"/>
          <w:szCs w:val="17"/>
          <w:color w:val="auto"/>
        </w:rPr>
        <w:t>, in the amount of the reduced L-C Amount, in which event Landlord shall exchange the L-C then held by Landlord, if applicable, for the replacement or amended L-C tendered by Tenant. If Tenant tenders a replacement L-C to Landlord, then Landlord shall, within a commercially reasonable period of time, return the existing L-C to Tenant. Tenant shall pay all expenses, points and fees incurred by Tenant or Landlord in connection with the replacement or amended L-C.</w:t>
      </w:r>
    </w:p>
    <w:p>
      <w:pPr>
        <w:spacing w:after="0" w:line="174"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b w:val="1"/>
          <w:bCs w:val="1"/>
          <w:u w:val="single" w:color="auto"/>
          <w:color w:val="auto"/>
        </w:rPr>
        <w:t>In General</w:t>
      </w:r>
      <w:r>
        <w:rPr>
          <w:rFonts w:ascii="Arial" w:cs="Arial" w:eastAsia="Arial" w:hAnsi="Arial"/>
          <w:sz w:val="18"/>
          <w:szCs w:val="18"/>
          <w:color w:val="auto"/>
        </w:rPr>
        <w:t xml:space="preserve">. If, as a result of any drawing by Landlord of all or any portion of the L-C, the amount of the L-C shall be less than the L-C Amount, Tenant shall, within five (5) days thereafter, provide Landlord with additional letter(s) of credit in an amount equal to the deficiency, and any such additional letter(s) of credit shall comply with all of the provisions of this </w:t>
      </w:r>
      <w:r>
        <w:rPr>
          <w:rFonts w:ascii="Arial" w:cs="Arial" w:eastAsia="Arial" w:hAnsi="Arial"/>
          <w:sz w:val="18"/>
          <w:szCs w:val="18"/>
          <w:u w:val="single" w:color="auto"/>
          <w:color w:val="auto"/>
        </w:rPr>
        <w:t>Article 21</w:t>
      </w:r>
      <w:r>
        <w:rPr>
          <w:rFonts w:ascii="Arial" w:cs="Arial" w:eastAsia="Arial" w:hAnsi="Arial"/>
          <w:sz w:val="18"/>
          <w:szCs w:val="18"/>
          <w:color w:val="auto"/>
        </w:rPr>
        <w:t xml:space="preserve">, and if Tenant fails to comply with the foregoing, the same shall be subject to the terms of </w:t>
      </w:r>
      <w:r>
        <w:rPr>
          <w:rFonts w:ascii="Arial" w:cs="Arial" w:eastAsia="Arial" w:hAnsi="Arial"/>
          <w:sz w:val="18"/>
          <w:szCs w:val="18"/>
          <w:u w:val="single" w:color="auto"/>
          <w:color w:val="auto"/>
        </w:rPr>
        <w:t>Section 21.3.3</w:t>
      </w:r>
      <w:r>
        <w:rPr>
          <w:rFonts w:ascii="Arial" w:cs="Arial" w:eastAsia="Arial" w:hAnsi="Arial"/>
          <w:sz w:val="18"/>
          <w:szCs w:val="18"/>
          <w:color w:val="auto"/>
        </w:rPr>
        <w:t xml:space="preserve"> below.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ninety (90) days prior to the expiration of the L-C), which shall be irrevocable and automatically renewable as above provided through the L-C Expiration Date upon the same terms as the expiring L-C or such other</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67" w:name="page568"/>
    <w:bookmarkEnd w:id="567"/>
    <w:p>
      <w:pPr>
        <w:spacing w:after="0" w:line="285" w:lineRule="auto"/>
        <w:rPr>
          <w:sz w:val="20"/>
          <w:szCs w:val="20"/>
          <w:color w:val="auto"/>
        </w:rPr>
      </w:pPr>
      <w:r>
        <w:rPr>
          <w:rFonts w:ascii="Arial" w:cs="Arial" w:eastAsia="Arial" w:hAnsi="Arial"/>
          <w:sz w:val="16"/>
          <w:szCs w:val="16"/>
          <w:color w:val="auto"/>
        </w:rPr>
        <w:t xml:space="preserve">terms as may be acceptable to Landlord in its sole discretion. If Tenant exercises its option to extend the Lease Term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this Lease then, not later than one hundred twenty (120) days prior to the commencement of the Option Term, Tenant shall deliver to Landlord a new L-C or certificate of renewal or extension evidencing the L-C Expiration Date as one hundred twenty (120) days after the expiration of the Option Term. However, if the L-C is not timely renewed, or if Tenant fails to maintain the L-C in the amount and in accordance with the terms set forth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Landlord shall have the right to either (x) present the L-C to the Bank in accordance with the terms of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and the proceeds of the L-C may be applied by Landlord against any Rent payable by Tenant under this Lease that is not paid when due and/or to pay for all losses and damages that Landlord has suffered or that Landlord reasonably estimates that it will suffer as a result of any Default , or (y) pursue its remedy under </w:t>
      </w:r>
      <w:r>
        <w:rPr>
          <w:rFonts w:ascii="Arial" w:cs="Arial" w:eastAsia="Arial" w:hAnsi="Arial"/>
          <w:sz w:val="16"/>
          <w:szCs w:val="16"/>
          <w:u w:val="single" w:color="auto"/>
          <w:color w:val="auto"/>
        </w:rPr>
        <w:t>Section 21.3.3</w:t>
      </w:r>
      <w:r>
        <w:rPr>
          <w:rFonts w:ascii="Arial" w:cs="Arial" w:eastAsia="Arial" w:hAnsi="Arial"/>
          <w:sz w:val="16"/>
          <w:szCs w:val="16"/>
          <w:color w:val="auto"/>
        </w:rPr>
        <w:t xml:space="preserve"> below. In the event Landlord elects to exercise its rights under the foregoing item (x), (I) any unused proceeds shall constitute the property of Landlord (and not Tenant’s property or, in the event of a receivership, conservatorship, or a bankruptcy filing by Tenant, property of such receivership, conservatorship or Tenant’s bankruptcy estate) and need not be segregated from Landlord’s other assets, and (II) 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Default ;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spacing w:after="0" w:line="391" w:lineRule="exact"/>
        <w:rPr>
          <w:sz w:val="20"/>
          <w:szCs w:val="20"/>
          <w:color w:val="auto"/>
        </w:rPr>
      </w:pPr>
    </w:p>
    <w:p>
      <w:pPr>
        <w:ind w:firstLine="1296"/>
        <w:spacing w:after="0" w:line="266" w:lineRule="auto"/>
        <w:rPr>
          <w:sz w:val="20"/>
          <w:szCs w:val="20"/>
          <w:color w:val="auto"/>
        </w:rPr>
      </w:pPr>
      <w:r>
        <w:rPr>
          <w:rFonts w:ascii="Arial" w:cs="Arial" w:eastAsia="Arial" w:hAnsi="Arial"/>
          <w:sz w:val="17"/>
          <w:szCs w:val="17"/>
          <w:color w:val="auto"/>
        </w:rPr>
        <w:t xml:space="preserve">21.3.3 </w:t>
      </w:r>
      <w:r>
        <w:rPr>
          <w:rFonts w:ascii="Arial" w:cs="Arial" w:eastAsia="Arial" w:hAnsi="Arial"/>
          <w:sz w:val="17"/>
          <w:szCs w:val="17"/>
          <w:b w:val="1"/>
          <w:bCs w:val="1"/>
          <w:u w:val="single" w:color="auto"/>
          <w:color w:val="auto"/>
        </w:rPr>
        <w:t>FAILURE TO MAINTAIN; REPLACE AND/OR REINSTATE L-C; LIQUIDATED DAMAGES</w:t>
      </w:r>
      <w:r>
        <w:rPr>
          <w:rFonts w:ascii="Arial" w:cs="Arial" w:eastAsia="Arial" w:hAnsi="Arial"/>
          <w:sz w:val="17"/>
          <w:szCs w:val="17"/>
          <w:color w:val="auto"/>
        </w:rPr>
        <w:t xml:space="preserve">. IN THE EVENT THAT TENANT FAILS, AFTER NOTICE FROM LANDLORD AND LAPSE OF FIVE (5) DAYS TO CURE, WITHIN (I) THAT PERIOD SET FORTH IN </w:t>
      </w:r>
      <w:r>
        <w:rPr>
          <w:rFonts w:ascii="Arial" w:cs="Arial" w:eastAsia="Arial" w:hAnsi="Arial"/>
          <w:sz w:val="17"/>
          <w:szCs w:val="17"/>
          <w:u w:val="single" w:color="auto"/>
          <w:color w:val="auto"/>
        </w:rPr>
        <w:t>SECTION 21.3.2</w:t>
      </w:r>
      <w:r>
        <w:rPr>
          <w:rFonts w:ascii="Arial" w:cs="Arial" w:eastAsia="Arial" w:hAnsi="Arial"/>
          <w:sz w:val="17"/>
          <w:szCs w:val="17"/>
          <w:color w:val="auto"/>
        </w:rPr>
        <w:t xml:space="preserve"> ABOVE, OR (II) THAT PERIOD SET FORTH IN THE L-C FDIC REPLACEMENT NOTICE, TO PROVIDE LANDLORD WITH ADDITIONAL L-C(S) IN AN AMOUNT EQUAL TO THE DEFICIENCY OR A REPLACEMENT L-C (AS APPLICABLE), THEN TENANT’S MONTHLY INSTALLMENT OF BASE RENT SHALL BE INCREASED BY ONE HUNDRED FIFTY PERCENT (150%) OF ITS THEN EXISTING LEVEL DURING THE PERIOD COMMENCING ON THE DATE WHICH IS THE LAST DAY OF THE PERIOD IDENTIFIED IN </w:t>
      </w:r>
      <w:r>
        <w:rPr>
          <w:rFonts w:ascii="Arial" w:cs="Arial" w:eastAsia="Arial" w:hAnsi="Arial"/>
          <w:sz w:val="17"/>
          <w:szCs w:val="17"/>
          <w:u w:val="single" w:color="auto"/>
          <w:color w:val="auto"/>
        </w:rPr>
        <w:t>SECTION 21.3.2</w:t>
      </w:r>
      <w:r>
        <w:rPr>
          <w:rFonts w:ascii="Arial" w:cs="Arial" w:eastAsia="Arial" w:hAnsi="Arial"/>
          <w:sz w:val="17"/>
          <w:szCs w:val="17"/>
          <w:color w:val="auto"/>
        </w:rPr>
        <w:t xml:space="preserve"> OR THE L-C FDIC REPLACEMENT NOTICE (AS APPLICABLE), AND ENDING ON THE EARLIER TO OCCUR OF (X) THE DATE TENANT PROVIDES LANDLORD WITH ADDITIONAL L-C(S) IN AN AMOUNT EQUAL TO THE DEFICIENCY AS CONTEMPLATED BY THE TERMS OF </w:t>
      </w:r>
      <w:r>
        <w:rPr>
          <w:rFonts w:ascii="Arial" w:cs="Arial" w:eastAsia="Arial" w:hAnsi="Arial"/>
          <w:sz w:val="17"/>
          <w:szCs w:val="17"/>
          <w:u w:val="single" w:color="auto"/>
          <w:color w:val="auto"/>
        </w:rPr>
        <w:t>SECTION 21.3.2</w:t>
      </w:r>
      <w:r>
        <w:rPr>
          <w:rFonts w:ascii="Arial" w:cs="Arial" w:eastAsia="Arial" w:hAnsi="Arial"/>
          <w:sz w:val="17"/>
          <w:szCs w:val="17"/>
          <w:color w:val="auto"/>
        </w:rPr>
        <w:t xml:space="preserve"> ABOVE, OR THE L-C FDIC REPLACEMENT NOTICE (AS APPLICABLE), OR (Y) THE DATE WHICH IS NINETY (90) DAYS AFTER THE LAST DAY OF THE PERIOD IDENTIFIED IN </w:t>
      </w:r>
      <w:r>
        <w:rPr>
          <w:rFonts w:ascii="Arial" w:cs="Arial" w:eastAsia="Arial" w:hAnsi="Arial"/>
          <w:sz w:val="17"/>
          <w:szCs w:val="17"/>
          <w:u w:val="single" w:color="auto"/>
          <w:color w:val="auto"/>
        </w:rPr>
        <w:t>SECTION 21.3.2</w:t>
      </w:r>
      <w:r>
        <w:rPr>
          <w:rFonts w:ascii="Arial" w:cs="Arial" w:eastAsia="Arial" w:hAnsi="Arial"/>
          <w:sz w:val="17"/>
          <w:szCs w:val="17"/>
          <w:color w:val="auto"/>
        </w:rPr>
        <w:t xml:space="preserve"> OR THE L-C FDIC REPLACEMENT NOTICE (AS APPLICABLE). IN THE EVENT THAT TENANT FAILS, DURING SUCH NINETY (90) DAY PERIOD FOLLOWING THE LAST DAY OF THE PERIOD IDENTIFIED IN </w:t>
      </w:r>
      <w:r>
        <w:rPr>
          <w:rFonts w:ascii="Arial" w:cs="Arial" w:eastAsia="Arial" w:hAnsi="Arial"/>
          <w:sz w:val="17"/>
          <w:szCs w:val="17"/>
          <w:u w:val="single" w:color="auto"/>
          <w:color w:val="auto"/>
        </w:rPr>
        <w:t>SECTION 21.3.2</w:t>
      </w:r>
      <w:r>
        <w:rPr>
          <w:rFonts w:ascii="Arial" w:cs="Arial" w:eastAsia="Arial" w:hAnsi="Arial"/>
          <w:sz w:val="17"/>
          <w:szCs w:val="17"/>
          <w:color w:val="auto"/>
        </w:rPr>
        <w:t xml:space="preserve"> OR THE L-C FDIC REPLACEMENT NOTICE (AS APPLICABLE), TO PROVIDE LANDLORD WITH ADDITIONAL L-C(S) IN AN AMOUNT EQUAL TO THE DEFICIENCY OR A REPLACEMENT L-C (AS APPLICABLE), THEN TENANT’S MONTHLY INSTALLMENT OF BASE RENT SHALL BE INCREASED BY TWO HUNDRED PERCENT (200%) OF ITS THEN EXISTING LEVEL DURING THE PERIOD COMMENCING ON THE DATE WHICH IS NINETY (90) DAYS AFTER THE LAST DAY OF THE PERIOD IDENTIFIED IN </w:t>
      </w:r>
      <w:r>
        <w:rPr>
          <w:rFonts w:ascii="Arial" w:cs="Arial" w:eastAsia="Arial" w:hAnsi="Arial"/>
          <w:sz w:val="17"/>
          <w:szCs w:val="17"/>
          <w:u w:val="single" w:color="auto"/>
          <w:color w:val="auto"/>
        </w:rPr>
        <w:t>SECTION 21.3.2</w:t>
      </w:r>
      <w:r>
        <w:rPr>
          <w:rFonts w:ascii="Arial" w:cs="Arial" w:eastAsia="Arial" w:hAnsi="Arial"/>
          <w:sz w:val="17"/>
          <w:szCs w:val="17"/>
          <w:color w:val="auto"/>
        </w:rPr>
        <w:t xml:space="preserve"> OR THE L-C FDIC REPLACEMENT NOTICE (AS APPLICABLE) AND ENDING ON THE DATE SUCH ADDITIONAL L-C(S) ARE ISSUED IN AN AMOUNT EQUAL TO THE DEFICIENCY OR SUCH A REPLACEMENT L-C IS ISSUED (AS APPLICABLE) PURSUANT TO THE TERMS OF </w:t>
      </w:r>
      <w:r>
        <w:rPr>
          <w:rFonts w:ascii="Arial" w:cs="Arial" w:eastAsia="Arial" w:hAnsi="Arial"/>
          <w:sz w:val="17"/>
          <w:szCs w:val="17"/>
          <w:u w:val="single" w:color="auto"/>
          <w:color w:val="auto"/>
        </w:rPr>
        <w:t>SECTION 21.3.2</w:t>
      </w:r>
      <w:r>
        <w:rPr>
          <w:rFonts w:ascii="Arial" w:cs="Arial" w:eastAsia="Arial" w:hAnsi="Arial"/>
          <w:sz w:val="17"/>
          <w:szCs w:val="17"/>
          <w:color w:val="auto"/>
        </w:rPr>
        <w:t xml:space="preserve"> OR THE L-C FDIC REPLACEMENT NOTICE (AS APPLICABLE). THE PARTIES AGREE THAT IT WOULD BE IMPRACTICABLE AND EXTREMELY DIFFICULT TO ASCERTAIN THE ACTUAL DAMAGES SUFFERED BY LANDLORD AS A RESULT OF TENANT’S FAILURE TO TIMELY PROVIDE LANDLORD WITH ADDITIONAL L-C(S) IN AN AMOUNT EQUAL TO THE DEFICIENCY AS REQUIRED IN </w:t>
      </w:r>
      <w:r>
        <w:rPr>
          <w:rFonts w:ascii="Arial" w:cs="Arial" w:eastAsia="Arial" w:hAnsi="Arial"/>
          <w:sz w:val="17"/>
          <w:szCs w:val="17"/>
          <w:u w:val="single" w:color="auto"/>
          <w:color w:val="auto"/>
        </w:rPr>
        <w:t>SECTION 21.3.2</w:t>
      </w:r>
      <w:r>
        <w:rPr>
          <w:rFonts w:ascii="Arial" w:cs="Arial" w:eastAsia="Arial" w:hAnsi="Arial"/>
          <w:sz w:val="17"/>
          <w:szCs w:val="17"/>
          <w:color w:val="auto"/>
        </w:rPr>
        <w:t xml:space="preserve">, OR A REPLACEMENT L-C AS CONTEMPLATED BY THE L-C FDIC REPLACEMENT NOTICE (AS APPLICABLE), AND THAT UNDER THE CIRCUMSTANCES EXISTING AS OF THE DATE OF THIS LEASE, THE LIQUIDATED DAMAGES PROVIDED FOR IN THIS </w:t>
      </w:r>
      <w:r>
        <w:rPr>
          <w:rFonts w:ascii="Arial" w:cs="Arial" w:eastAsia="Arial" w:hAnsi="Arial"/>
          <w:sz w:val="17"/>
          <w:szCs w:val="17"/>
          <w:u w:val="single" w:color="auto"/>
          <w:color w:val="auto"/>
        </w:rPr>
        <w:t>SECTION 21.3.3</w:t>
      </w:r>
      <w:r>
        <w:rPr>
          <w:rFonts w:ascii="Arial" w:cs="Arial" w:eastAsia="Arial" w:hAnsi="Arial"/>
          <w:sz w:val="17"/>
          <w:szCs w:val="17"/>
          <w:color w:val="auto"/>
        </w:rPr>
        <w:t xml:space="preserve"> REPRESENT A REASONABLE ESTIMATE OF THE DAMAGES WHICH LANDLORD WILL INCUR AS A RESULT OF SUCH FAILURE, PROVIDED, HOWEVER, THAT THIS PROVISION SHALL NOT WAIVE OR AFFECT LANDLORD’S RIGHTS AND TENANT’S INDEMNITY OBLIGATIONS UNDER OTHER SECTIONS OF THIS LEASE (EXCEPT THAT THE PARTIES SPECIFICALLY AGREE THAT THE FOREGOING PROVISION WAS AGREED TO IN LIEU OF MAKING FAILURE TO PROVIDE LANDLORD WITH ADDITIONAL L-C(S) IN AN AMOUNT EQUAL TO THE DEFICIENCY OR A REPLACEMENT L-C (AS APPLICABLE) A DEFAULT UNDER THIS LEASE). THE PARTIES ACKNOWLEDGE THAT THE PAYMENT OF SUCH LIQUIDATED DAMAGES IS NOT INTENDED AS A FORFEITURE OR PENALTY WITHIN THE MEANING OF CALIFORNIA CIVIL CODE SECTION 3275 OR 3369, BUT IS INTENDED TO CONSTITUTE LIQUIDATED DAMAGES TO LANDLORD PURSUANT TO CALIFORNIA CIVIL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8" w:name="page569"/>
    <w:bookmarkEnd w:id="568"/>
    <w:p>
      <w:pPr>
        <w:ind w:right="920"/>
        <w:spacing w:after="0" w:line="277" w:lineRule="auto"/>
        <w:rPr>
          <w:sz w:val="20"/>
          <w:szCs w:val="20"/>
          <w:color w:val="auto"/>
        </w:rPr>
      </w:pPr>
      <w:r>
        <w:rPr>
          <w:rFonts w:ascii="Arial" w:cs="Arial" w:eastAsia="Arial" w:hAnsi="Arial"/>
          <w:sz w:val="18"/>
          <w:szCs w:val="18"/>
          <w:color w:val="auto"/>
        </w:rPr>
        <w:t xml:space="preserve">CODE SECTION 1671. THE PARTIES HAVE SET FORTH THEIR INITIALS BELOW TO INDICATE THEIR AGREEMENT WITH THE LIQUIDATED DAMAGES PROVISION CONTAINED IN THIS </w:t>
      </w:r>
      <w:r>
        <w:rPr>
          <w:rFonts w:ascii="Arial" w:cs="Arial" w:eastAsia="Arial" w:hAnsi="Arial"/>
          <w:sz w:val="18"/>
          <w:szCs w:val="18"/>
          <w:u w:val="single" w:color="auto"/>
          <w:color w:val="auto"/>
        </w:rPr>
        <w:t>SECTION 21.3.3</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254635</wp:posOffset>
            </wp:positionV>
            <wp:extent cx="498919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220"/>
        <w:spacing w:after="0"/>
        <w:tabs>
          <w:tab w:leader="none" w:pos="6760" w:val="left"/>
        </w:tabs>
        <w:rPr>
          <w:sz w:val="20"/>
          <w:szCs w:val="20"/>
          <w:color w:val="auto"/>
        </w:rPr>
      </w:pPr>
      <w:r>
        <w:rPr>
          <w:rFonts w:ascii="Arial" w:cs="Arial" w:eastAsia="Arial" w:hAnsi="Arial"/>
          <w:sz w:val="18"/>
          <w:szCs w:val="18"/>
          <w:color w:val="auto"/>
        </w:rPr>
        <w:t>LANDLORD’S INITIALS</w:t>
      </w:r>
      <w:r>
        <w:rPr>
          <w:sz w:val="20"/>
          <w:szCs w:val="20"/>
          <w:color w:val="auto"/>
        </w:rPr>
        <w:tab/>
      </w:r>
      <w:r>
        <w:rPr>
          <w:rFonts w:ascii="Arial" w:cs="Arial" w:eastAsia="Arial" w:hAnsi="Arial"/>
          <w:sz w:val="18"/>
          <w:szCs w:val="18"/>
          <w:color w:val="auto"/>
        </w:rPr>
        <w:t>TENANT’S INITIALS</w:t>
      </w:r>
    </w:p>
    <w:p>
      <w:pPr>
        <w:spacing w:after="0" w:line="22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b w:val="1"/>
          <w:bCs w:val="1"/>
          <w:u w:val="single" w:color="auto"/>
          <w:color w:val="auto"/>
        </w:rPr>
        <w:t>Transfer and Encumbrance</w:t>
      </w:r>
      <w:r>
        <w:rPr>
          <w:rFonts w:ascii="Arial" w:cs="Arial" w:eastAsia="Arial" w:hAnsi="Arial"/>
          <w:sz w:val="16"/>
          <w:szCs w:val="16"/>
          <w:color w:val="auto"/>
        </w:rPr>
        <w:t>. The L-C shall also provide that Landlord may, at any time and without notice to Tenant and without first obtaining Tenant’s consent thereto, transfer (one or more times) all or any portion of its interest in and to the L-C to another party, person or entity, regardless of whether or not such transfer is from or as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w:t>
      </w:r>
    </w:p>
    <w:p>
      <w:pPr>
        <w:spacing w:after="0" w:line="15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b w:val="1"/>
          <w:bCs w:val="1"/>
          <w:u w:val="single" w:color="auto"/>
          <w:color w:val="auto"/>
        </w:rPr>
        <w:t>L-C Not a Security Deposit</w:t>
      </w:r>
      <w:r>
        <w:rPr>
          <w:rFonts w:ascii="Arial" w:cs="Arial" w:eastAsia="Arial" w:hAnsi="Arial"/>
          <w:sz w:val="16"/>
          <w:szCs w:val="16"/>
          <w:color w:val="auto"/>
        </w:rPr>
        <w:t>.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6"/>
          <w:szCs w:val="16"/>
          <w:b w:val="1"/>
          <w:bCs w:val="1"/>
          <w:color w:val="auto"/>
        </w:rPr>
        <w:t>Security Deposit Laws</w:t>
      </w:r>
      <w:r>
        <w:rPr>
          <w:rFonts w:ascii="Arial" w:cs="Arial" w:eastAsia="Arial" w:hAnsi="Arial"/>
          <w:sz w:val="16"/>
          <w:szCs w:val="16"/>
          <w:u w:val="single" w:color="auto"/>
          <w:color w:val="auto"/>
        </w:rPr>
        <w:t>”</w:t>
      </w:r>
      <w:r>
        <w:rPr>
          <w:rFonts w:ascii="Arial" w:cs="Arial" w:eastAsia="Arial" w:hAnsi="Arial"/>
          <w:sz w:val="16"/>
          <w:szCs w:val="16"/>
          <w:color w:val="auto"/>
        </w:rPr>
        <w:t>), (2) acknowledge and agree that the L-C (including any renewal thereof or substitute therefor or any proceeds thereof) is not intended to serve as a security deposit, and the Security Deposit Laws shall have no applicability or relevancy thereto, and (c)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statue, and all other provisions of law, now or hereafter in effect</w:t>
      </w:r>
      <w:r>
        <w:rPr>
          <w:rFonts w:ascii="Arial" w:cs="Arial" w:eastAsia="Arial" w:hAnsi="Arial"/>
          <w:sz w:val="16"/>
          <w:szCs w:val="16"/>
          <w:i w:val="1"/>
          <w:iCs w:val="1"/>
          <w:color w:val="auto"/>
        </w:rPr>
        <w:t>,</w:t>
      </w:r>
      <w:r>
        <w:rPr>
          <w:rFonts w:ascii="Arial" w:cs="Arial" w:eastAsia="Arial" w:hAnsi="Arial"/>
          <w:sz w:val="16"/>
          <w:szCs w:val="16"/>
          <w:color w:val="auto"/>
        </w:rPr>
        <w:t xml:space="preserve">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and/or those sums reasonably necessary to (a) compensate Landlord for any loss or damage caused by Tenant’s breach of this Lease, including any damages Landlord suffers following termination of this Lease</w:t>
      </w:r>
      <w:r>
        <w:rPr>
          <w:rFonts w:ascii="Arial" w:cs="Arial" w:eastAsia="Arial" w:hAnsi="Arial"/>
          <w:sz w:val="16"/>
          <w:szCs w:val="16"/>
          <w:i w:val="1"/>
          <w:iCs w:val="1"/>
          <w:color w:val="auto"/>
        </w:rPr>
        <w:t>,</w:t>
      </w:r>
      <w:r>
        <w:rPr>
          <w:rFonts w:ascii="Arial" w:cs="Arial" w:eastAsia="Arial" w:hAnsi="Arial"/>
          <w:sz w:val="16"/>
          <w:szCs w:val="16"/>
          <w:color w:val="auto"/>
        </w:rPr>
        <w:t xml:space="preserve"> and/or (b) compensate Landlord for any and all damages arising out of, or incurred in connection with, the termination of this Lease, including, without limitation, those specifically identified in Section 1951.2 of the California Civil Code</w:t>
      </w:r>
      <w:r>
        <w:rPr>
          <w:rFonts w:ascii="Arial" w:cs="Arial" w:eastAsia="Arial" w:hAnsi="Arial"/>
          <w:sz w:val="16"/>
          <w:szCs w:val="16"/>
          <w:i w:val="1"/>
          <w:iCs w:val="1"/>
          <w:color w:val="auto"/>
        </w:rPr>
        <w:t>.</w:t>
      </w:r>
    </w:p>
    <w:p>
      <w:pPr>
        <w:spacing w:after="0" w:line="16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u w:val="single" w:color="auto"/>
          <w:color w:val="auto"/>
        </w:rPr>
        <w:t>Non-Interference By Tenant</w:t>
      </w:r>
      <w:r>
        <w:rPr>
          <w:rFonts w:ascii="Arial" w:cs="Arial" w:eastAsia="Arial" w:hAnsi="Arial"/>
          <w:sz w:val="18"/>
          <w:szCs w:val="18"/>
          <w:color w:val="auto"/>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u w:val="single" w:color="auto"/>
          <w:color w:val="auto"/>
        </w:rPr>
        <w:t>Waiver of Certain Relief</w:t>
      </w:r>
      <w:r>
        <w:rPr>
          <w:rFonts w:ascii="Arial" w:cs="Arial" w:eastAsia="Arial" w:hAnsi="Arial"/>
          <w:sz w:val="18"/>
          <w:szCs w:val="18"/>
          <w:color w:val="auto"/>
        </w:rPr>
        <w:t>. Tenant unconditionally and irrevocably waives (and as an independent covenant hereunder, covenants not to assert) any right to claim or obtain any of the following relief in connection with the L-C:</w:t>
      </w:r>
    </w:p>
    <w:p>
      <w:pPr>
        <w:spacing w:after="0" w:line="166"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21.7.1 A temporary restraining order, temporary injunction, permanent injunction, or other order that would prevent, restrain or restrict the presentment of sight drafts drawn under any L-C or the Bank’s honoring or payment of sight draft(s); or</w:t>
      </w:r>
    </w:p>
    <w:p>
      <w:pPr>
        <w:spacing w:after="0" w:line="170"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21.7.2 Any attachment, garnishment, or levy in any manner upon either the proceeds of any L-C or the obligations of the Bank (either before or after the presentment to the Bank of sight drafts drawn under such L-C) based on any theory whatever.</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b w:val="1"/>
          <w:bCs w:val="1"/>
          <w:u w:val="single" w:color="auto"/>
          <w:color w:val="auto"/>
        </w:rPr>
        <w:t>Remedy for Improper Drafts</w:t>
      </w:r>
      <w:r>
        <w:rPr>
          <w:rFonts w:ascii="Arial" w:cs="Arial" w:eastAsia="Arial" w:hAnsi="Arial"/>
          <w:sz w:val="17"/>
          <w:szCs w:val="17"/>
          <w:color w:val="auto"/>
        </w:rPr>
        <w:t>. Tenant’s sole remedy in connection with the improper presentment or payment of sight drafts drawn under any L-C shall be the right to obtain from Landlord a refund of the amount of any sight draft(s) that were improperly presented or the proceeds of which were misapplied, together with interest at the Interest Rate and reasonable actual out-of-pocket attorneys’ fees, provided that at the time of such refund, Tenant increases the amount of such L-C to the amount (if any) then required under the applicable provisions of this Lease. Tenant acknowledges that the presentment of sight drafts drawn under any L-C, or the Bank’s payment of sight drafts drawn under such L-C, could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9" w:name="page570"/>
    <w:bookmarkEnd w:id="569"/>
    <w:p>
      <w:pPr>
        <w:ind w:right="60"/>
        <w:spacing w:after="0" w:line="259" w:lineRule="auto"/>
        <w:rPr>
          <w:sz w:val="20"/>
          <w:szCs w:val="20"/>
          <w:color w:val="auto"/>
        </w:rPr>
      </w:pPr>
      <w:r>
        <w:rPr>
          <w:rFonts w:ascii="Arial" w:cs="Arial" w:eastAsia="Arial" w:hAnsi="Arial"/>
          <w:sz w:val="18"/>
          <w:szCs w:val="18"/>
          <w:color w:val="auto"/>
        </w:rPr>
        <w:t>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spacing w:after="0" w:line="183" w:lineRule="exact"/>
        <w:rPr>
          <w:sz w:val="20"/>
          <w:szCs w:val="20"/>
          <w:color w:val="auto"/>
        </w:rPr>
      </w:pPr>
    </w:p>
    <w:p>
      <w:pPr>
        <w:jc w:val="center"/>
        <w:ind w:left="400"/>
        <w:spacing w:after="0"/>
        <w:tabs>
          <w:tab w:leader="none" w:pos="3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u w:val="single" w:color="auto"/>
          <w:color w:val="auto"/>
        </w:rPr>
        <w:t>Notices to Bank</w:t>
      </w:r>
      <w:r>
        <w:rPr>
          <w:rFonts w:ascii="Arial" w:cs="Arial" w:eastAsia="Arial" w:hAnsi="Arial"/>
          <w:sz w:val="16"/>
          <w:szCs w:val="16"/>
          <w:color w:val="auto"/>
        </w:rPr>
        <w:t>. Tenant shall not request or instruct the Bank of any L-C to refrain from paying sight draft(s) drawn under such 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INTENTIONALLY OMITTED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23</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SIGNS</w:t>
      </w:r>
    </w:p>
    <w:p>
      <w:pPr>
        <w:spacing w:after="0" w:line="221"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u w:val="single" w:color="auto"/>
          <w:color w:val="auto"/>
        </w:rPr>
        <w:t>Full Floors</w:t>
      </w:r>
      <w:r>
        <w:rPr>
          <w:rFonts w:ascii="Arial" w:cs="Arial" w:eastAsia="Arial" w:hAnsi="Arial"/>
          <w:sz w:val="18"/>
          <w:szCs w:val="18"/>
          <w:color w:val="auto"/>
        </w:rPr>
        <w:t>. Subject to Landlord’s prior written approval, in its sole discretion, and provided all signs are in keeping with the quality, design and style of the Building and Project, Tenant, if the Premises comprise an entire floor of the Building, at its sole cost and expense, may install identification signage anywhere in the Premises including in the elevator lobby of the Premises, provided that such signs must not be visible from the exterior of the Building.</w:t>
      </w:r>
    </w:p>
    <w:p>
      <w:pPr>
        <w:spacing w:after="0" w:line="18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u w:val="single" w:color="auto"/>
          <w:color w:val="auto"/>
        </w:rPr>
        <w:t>Multi-Tenant Floors</w:t>
      </w:r>
      <w:r>
        <w:rPr>
          <w:rFonts w:ascii="Arial" w:cs="Arial" w:eastAsia="Arial" w:hAnsi="Arial"/>
          <w:sz w:val="18"/>
          <w:szCs w:val="18"/>
          <w:color w:val="auto"/>
        </w:rPr>
        <w:t>. If other tenants occupy space on the floor on which the Premises is located, Tenant’s identifying signage shall be provided by Landlord, at Tenant’s cost, and such signage shall be comparable to that used by Landlord for other similar floors in the Building and shall comply with Landlord’s then-current Building standard signage program.</w:t>
      </w:r>
    </w:p>
    <w:p>
      <w:pPr>
        <w:spacing w:after="0" w:line="176"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u w:val="single" w:color="auto"/>
          <w:color w:val="auto"/>
        </w:rPr>
        <w:t>Prohibited Signage and Other Items</w:t>
      </w:r>
      <w:r>
        <w:rPr>
          <w:rFonts w:ascii="Arial" w:cs="Arial" w:eastAsia="Arial" w:hAnsi="Arial"/>
          <w:sz w:val="18"/>
          <w:szCs w:val="18"/>
          <w:color w:val="auto"/>
        </w:rPr>
        <w:t>. Any signs, notices, logos, pictures, names or advertisements which are installed and that have not been separately approved by Landlord may be removed without notice by Landlord at the sole expense of Tenant.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83"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u w:val="single" w:color="auto"/>
          <w:color w:val="auto"/>
        </w:rPr>
        <w:t>Building Directory</w:t>
      </w:r>
      <w:r>
        <w:rPr>
          <w:rFonts w:ascii="Arial" w:cs="Arial" w:eastAsia="Arial" w:hAnsi="Arial"/>
          <w:sz w:val="18"/>
          <w:szCs w:val="18"/>
          <w:color w:val="auto"/>
        </w:rPr>
        <w:t>. A building directory will be located in the lobby of the Building. Tenant shall have the right, at Tenant’s sole cost and expense, to designate name strips to be displayed under Tenant’s entry in such directory at the rate of one (1) strip per each 1,000 rentable square feet of the Premises. In the event that Landlord elects, in its sole discretion, to replace the currently existing fixed Building directory with an electronic directory, Tenant shall have the right, at Tenant’s sole cost and expense, to designate listings to be displayed under Tenant’s entry in such electronic directory at the rate of one (1) listing per each 1,000 rentable square feet of the Premises.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24</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COMPLIANCE WITH LAW</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24.1 Tenant shall not do anything or suffer anything to be done in or about the Premises or the Project which will in any way conflict with any law, statute, ordinance or other governmental rule, regulation or requirement now in force or which may hereafter be enacted or promulgated. At its sole cost and expense, Tenant shall promptly comply with all such governmental measures (collectively, “</w:t>
      </w:r>
      <w:r>
        <w:rPr>
          <w:rFonts w:ascii="Arial" w:cs="Arial" w:eastAsia="Arial" w:hAnsi="Arial"/>
          <w:sz w:val="17"/>
          <w:szCs w:val="17"/>
          <w:b w:val="1"/>
          <w:bCs w:val="1"/>
          <w:color w:val="auto"/>
        </w:rPr>
        <w:t>Applicable Laws</w:t>
      </w:r>
      <w:r>
        <w:rPr>
          <w:rFonts w:ascii="Arial" w:cs="Arial" w:eastAsia="Arial" w:hAnsi="Arial"/>
          <w:sz w:val="17"/>
          <w:szCs w:val="17"/>
          <w:color w:val="auto"/>
        </w:rPr>
        <w:t xml:space="preserve">”). At its sole cost and expense, Tenant shall promptly comply with all Applicable Laws that relate to (i) Tenant’s use of the Premises, (ii) any Alterations made by Tenant to the Premises, and any improvements in the Premises, and (iii) the Base Building, but as to the Base Building, only to the extent such obligations are triggered by Alterations made by Tenant to the Premises to the extent such Alterations are not normal and customary business office improvements, or Tenant’s use of the Premises for non-general office use.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Except as expressly provided in this </w:t>
      </w:r>
      <w:r>
        <w:rPr>
          <w:rFonts w:ascii="Arial" w:cs="Arial" w:eastAsia="Arial" w:hAnsi="Arial"/>
          <w:sz w:val="17"/>
          <w:szCs w:val="17"/>
          <w:u w:val="single" w:color="auto"/>
          <w:color w:val="auto"/>
        </w:rPr>
        <w:t>Article 24</w:t>
      </w:r>
      <w:r>
        <w:rPr>
          <w:rFonts w:ascii="Arial" w:cs="Arial" w:eastAsia="Arial" w:hAnsi="Arial"/>
          <w:sz w:val="17"/>
          <w:szCs w:val="17"/>
          <w:color w:val="auto"/>
        </w:rPr>
        <w:t xml:space="preserve">, Tenant shall be responsible, at its sole cost and expense, to make all alterations to the Premises as are required to comply with the governmental rules, regulations, requirements or standards described in this </w:t>
      </w:r>
      <w:r>
        <w:rPr>
          <w:rFonts w:ascii="Arial" w:cs="Arial" w:eastAsia="Arial" w:hAnsi="Arial"/>
          <w:sz w:val="17"/>
          <w:szCs w:val="17"/>
          <w:u w:val="single" w:color="auto"/>
          <w:color w:val="auto"/>
        </w:rPr>
        <w:t>Article 24</w:t>
      </w:r>
      <w:r>
        <w:rPr>
          <w:rFonts w:ascii="Arial" w:cs="Arial" w:eastAsia="Arial" w:hAnsi="Arial"/>
          <w:sz w:val="17"/>
          <w:szCs w:val="17"/>
          <w:color w:val="auto"/>
        </w:rPr>
        <w:t>. The judgment of any court of competent jurisdiction or the admission of Tenant in any judicial action, regardless of whether Landlord is a party thereto, that Tenant has violated any of said governmental measures, shall be conclusive of that fact as between Landlord and Tenant. For purposes of Section 1938 of the California Civil Code, Landlord hereby discloses to Tenant, and Tenant hereby acknowledges, that the Premises have not undergone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70" w:name="page571"/>
    <w:bookmarkEnd w:id="570"/>
    <w:p>
      <w:pPr>
        <w:spacing w:after="0" w:line="287" w:lineRule="auto"/>
        <w:rPr>
          <w:sz w:val="20"/>
          <w:szCs w:val="20"/>
          <w:color w:val="auto"/>
        </w:rPr>
      </w:pPr>
      <w:r>
        <w:rPr>
          <w:rFonts w:ascii="Arial" w:cs="Arial" w:eastAsia="Arial" w:hAnsi="Arial"/>
          <w:sz w:val="16"/>
          <w:szCs w:val="16"/>
          <w:color w:val="auto"/>
        </w:rPr>
        <w:t xml:space="preserve">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designated by Landlord; and (b) pursuant to the terms of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hereof, Tenant, at its cost, is responsible for making any repairs within the Premises to correct violations of construction-related accessibility standards; and, if anything done by or for Tenant in its use or occupancy of the Premises shall require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25</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LATE CHARGES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any installment of Rent or any other sum due from Tenant shall not be received by Landlord or Landlord’s designee within five (5) business days after Tenant’s receipt of written notice from Landlord that said amount is due, then Tenant shall pay to Landlord a late charge equal to five percent (5%) of the overdue amount plus any reasonable attorneys’ fees incurred by Landlord by reason of Tenant’s failure to pay Rent and/or other charges when due hereunder.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“Bank Prime Loan” rate cited in the Federal Reserve Statistical Release Publication H.15(519), published weekly (or such other comparable index as Landlord and Tenant shall reasonably agree upon if such rate ceases to be published) plus two (2) percentage points, and (ii) the highest rate permitted by applicable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26</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LANDLORD’S RIGHT TO CURE DEFAULT; PAYMENTS BY TENANT</w:t>
      </w:r>
    </w:p>
    <w:p>
      <w:pPr>
        <w:spacing w:after="0" w:line="221"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b w:val="1"/>
          <w:bCs w:val="1"/>
          <w:u w:val="single" w:color="auto"/>
          <w:color w:val="auto"/>
        </w:rPr>
        <w:t>Landlord’s Cure</w:t>
      </w:r>
      <w:r>
        <w:rPr>
          <w:rFonts w:ascii="Arial" w:cs="Arial" w:eastAsia="Arial" w:hAnsi="Arial"/>
          <w:sz w:val="16"/>
          <w:szCs w:val="16"/>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6"/>
          <w:szCs w:val="16"/>
          <w:u w:val="single" w:color="auto"/>
          <w:color w:val="auto"/>
        </w:rPr>
        <w:t>Section 19.1.2</w:t>
      </w:r>
      <w:r>
        <w:rPr>
          <w:rFonts w:ascii="Arial" w:cs="Arial" w:eastAsia="Arial" w:hAnsi="Arial"/>
          <w:sz w:val="16"/>
          <w:szCs w:val="16"/>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u w:val="single" w:color="auto"/>
          <w:color w:val="auto"/>
        </w:rPr>
        <w:t>Tenant’s Reimbursement</w:t>
      </w:r>
      <w:r>
        <w:rPr>
          <w:rFonts w:ascii="Arial" w:cs="Arial" w:eastAsia="Arial" w:hAnsi="Arial"/>
          <w:sz w:val="18"/>
          <w:szCs w:val="18"/>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Defaults pursuant to the provisions of </w:t>
      </w:r>
      <w:r>
        <w:rPr>
          <w:rFonts w:ascii="Arial" w:cs="Arial" w:eastAsia="Arial" w:hAnsi="Arial"/>
          <w:sz w:val="18"/>
          <w:szCs w:val="18"/>
          <w:u w:val="single" w:color="auto"/>
          <w:color w:val="auto"/>
        </w:rPr>
        <w:t>Section 26.1</w:t>
      </w:r>
      <w:r>
        <w:rPr>
          <w:rFonts w:ascii="Arial" w:cs="Arial" w:eastAsia="Arial" w:hAnsi="Arial"/>
          <w:sz w:val="18"/>
          <w:szCs w:val="18"/>
          <w:color w:val="auto"/>
        </w:rPr>
        <w:t xml:space="preserve">; (ii) sums equal to all losses, costs, liabilities, damages and expenses referred to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shall survive the expiration or sooner termination of the Lease Term.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27</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ENTRY BY LANDLORD</w:t>
      </w:r>
    </w:p>
    <w:p>
      <w:pPr>
        <w:spacing w:after="0" w:line="22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Landlord reserves the right at all reasonable times and upon not less than twenty-four (24) hours prior notice to Tenant (except in the case of an emergency) to enter the Premises to (i) inspect them; (ii) show the Premises to prospective purchasers, or to current or prospective mortgagees, ground or underlying lessors or insurers or, during the last twelve (12) months of the Lease Term, to prospective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1" w:name="page572"/>
    <w:bookmarkEnd w:id="571"/>
    <w:p>
      <w:pPr>
        <w:spacing w:after="0" w:line="284" w:lineRule="auto"/>
        <w:rPr>
          <w:sz w:val="20"/>
          <w:szCs w:val="20"/>
          <w:color w:val="auto"/>
        </w:rPr>
      </w:pPr>
      <w:r>
        <w:rPr>
          <w:rFonts w:ascii="Arial" w:cs="Arial" w:eastAsia="Arial" w:hAnsi="Arial"/>
          <w:sz w:val="16"/>
          <w:szCs w:val="16"/>
          <w:color w:val="auto"/>
        </w:rPr>
        <w:t xml:space="preserve">tenants; (iii) post notices of nonresponsibility; or (iv) alter, improve or repair the Premises or the Building, or for structural alterations, repairs or improvements to the Building or the Building’s systems and equipment. Notwithstanding anything to the contrary contained in this </w:t>
      </w:r>
      <w:r>
        <w:rPr>
          <w:rFonts w:ascii="Arial" w:cs="Arial" w:eastAsia="Arial" w:hAnsi="Arial"/>
          <w:sz w:val="16"/>
          <w:szCs w:val="16"/>
          <w:u w:val="single" w:color="auto"/>
          <w:color w:val="auto"/>
        </w:rPr>
        <w:t>Article 27</w:t>
      </w:r>
      <w:r>
        <w:rPr>
          <w:rFonts w:ascii="Arial" w:cs="Arial" w:eastAsia="Arial" w:hAnsi="Arial"/>
          <w:sz w:val="16"/>
          <w:szCs w:val="16"/>
          <w:color w:val="auto"/>
        </w:rPr>
        <w:t>, Landlord may enter the Premises at any time to (A) perform services required of Landlord, including janitorial service; (B) take possession due to any breach of this Lease in the manner provided herein; and (C) perform any covenants of Tenant which Tenant fails to perform. Tenant, at its own expense, may provide its own locks to an area within the Premises (“</w:t>
      </w:r>
      <w:r>
        <w:rPr>
          <w:rFonts w:ascii="Arial" w:cs="Arial" w:eastAsia="Arial" w:hAnsi="Arial"/>
          <w:sz w:val="16"/>
          <w:szCs w:val="16"/>
          <w:b w:val="1"/>
          <w:bCs w:val="1"/>
          <w:color w:val="auto"/>
        </w:rPr>
        <w:t>Secured Area</w:t>
      </w:r>
      <w:r>
        <w:rPr>
          <w:rFonts w:ascii="Arial" w:cs="Arial" w:eastAsia="Arial" w:hAnsi="Arial"/>
          <w:sz w:val="16"/>
          <w:szCs w:val="16"/>
          <w:color w:val="auto"/>
        </w:rPr>
        <w:t>”). Tenant need not furnish Landlord with a key, but upon the Lease Expiration Date or earlier expiration or termination of Tenant’s right to possession, Tenant shall surrender all such keys to Landlord. If Landlord must gain access to a Secured Area in a non-emergency situation, Landlord shall contact Tenant, and Landlord and Tenant shall arrange a mutually agreed upon time for Landlord to have such access. Landlord shall comply with all reasonable security measures pertaining to the Secured Area. If Landlord determines in its sole discretion that an emergency in the Building or the Premises, including, without limitation, a suspected fire or flood, requires Landlord to gain access to the Secured Area, Tenant hereby authorizes Landlord to forcibly enter the Secured Area. In such event, Landlord shall have no liability whatsoever to Tenant, and Tenant shall pay all reasonable expenses incurred by Landlord in repairing or reconstructing any entrance, corridor, door or other portions of the Premises damaged as a result of a forcible entry by Landlord. Landlord shall have no obligation to provide either janitorial service or cleaning in the Secured Area. Landlord may make any such entries without the abatement of Rent, except as otherwise provided in this Lease, and may take such reasonable steps as required to accomplish the stated purposes. Except as expressly provided in this Lease,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(or other comparable means)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TENANT PARKING</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Commencing on the Lease Commencement Date, Tenant shall have the right to use up to the amount of parking passes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the Summary, on a monthly basis throughout the Lease Term, which parking passes shall pertain to the Project parking facility. Tenant shall be responsible for the full amount of any taxes imposed by any governmental authority in connection with the use of such parking passes by Tenant or the use of the parking facility by Tenant. Tenant’s continued right to use the parking passes is conditioned upon Tenant abiding by all rules and regulations which are prescribed from time to time for the orderly operation and use of the parking facility where the parking passes are located, including any sticker or other identification system established by Landlord, Tenant’s cooperation in seeing that Tenant’s employees and visitors also comply with such rules and regulations and Tenant not being in Default. Landlord specifically reserves the right to change the size, configuration, design, layout and all other aspects of the Project parking facility at any time and Tenant acknowledges and agrees that Landlord may, without incurring any liability to Tenant and without any abatement of Rent under this Lease, from time to time, temporarily close-off or restrict access to the Project parking facility for purposes of permitting or facilitating any such construction, alteration or improvements. Landlord may, at any time, institute valet assisted parking, tandem parking stalls, “stack” parking, or other parking program within the Project parking facility, and Landlord may, at any time, designate all or any portion of Tenant’s unreserved parking passes for the use of parking in an offsite parking facility reasonably designated by Landlord, and Tenant and its employees shall comply with any such measures. Landlord may delegate its responsibilities hereunder to a parking operator in which case such parking operator shall have all the rights of control attributed hereby to the Landlord. The parking passes rented by Tenant pursuant to this </w:t>
      </w:r>
      <w:r>
        <w:rPr>
          <w:rFonts w:ascii="Arial" w:cs="Arial" w:eastAsia="Arial" w:hAnsi="Arial"/>
          <w:sz w:val="16"/>
          <w:szCs w:val="16"/>
          <w:u w:val="single" w:color="auto"/>
          <w:color w:val="auto"/>
        </w:rPr>
        <w:t>Article 28</w:t>
      </w:r>
      <w:r>
        <w:rPr>
          <w:rFonts w:ascii="Arial" w:cs="Arial" w:eastAsia="Arial" w:hAnsi="Arial"/>
          <w:sz w:val="16"/>
          <w:szCs w:val="16"/>
          <w:color w:val="auto"/>
        </w:rPr>
        <w:t xml:space="preserve"> are provided to Tenant solely for use by Tenant’s own personnel and such passes may not be transferred, assigned, subleased or otherwise alienated by Tenant except to a Transferee approved by Landlord in accordance with </w:t>
      </w:r>
      <w:r>
        <w:rPr>
          <w:rFonts w:ascii="Arial" w:cs="Arial" w:eastAsia="Arial" w:hAnsi="Arial"/>
          <w:sz w:val="16"/>
          <w:szCs w:val="16"/>
          <w:u w:val="single" w:color="auto"/>
          <w:color w:val="auto"/>
        </w:rPr>
        <w:t>Article 14</w:t>
      </w:r>
      <w:r>
        <w:rPr>
          <w:rFonts w:ascii="Arial" w:cs="Arial" w:eastAsia="Arial" w:hAnsi="Arial"/>
          <w:sz w:val="16"/>
          <w:szCs w:val="16"/>
          <w:color w:val="auto"/>
        </w:rPr>
        <w:t>, without Landlord’s prior approval. Tenant may validate visitor parking by such method or methods as the Landlord may establish, at the validation rate from time to time generally applicable to visitor parking. The Project parking facility includes an underground parking facility (the “</w:t>
      </w:r>
      <w:r>
        <w:rPr>
          <w:rFonts w:ascii="Arial" w:cs="Arial" w:eastAsia="Arial" w:hAnsi="Arial"/>
          <w:sz w:val="16"/>
          <w:szCs w:val="16"/>
          <w:b w:val="1"/>
          <w:bCs w:val="1"/>
          <w:color w:val="auto"/>
        </w:rPr>
        <w:t>City</w:t>
      </w:r>
      <w:r>
        <w:rPr>
          <w:rFonts w:ascii="Arial" w:cs="Arial" w:eastAsia="Arial" w:hAnsi="Arial"/>
          <w:sz w:val="16"/>
          <w:szCs w:val="16"/>
          <w:color w:val="auto"/>
        </w:rPr>
        <w:t xml:space="preserve"> </w:t>
      </w:r>
      <w:r>
        <w:rPr>
          <w:rFonts w:ascii="Arial" w:cs="Arial" w:eastAsia="Arial" w:hAnsi="Arial"/>
          <w:sz w:val="16"/>
          <w:szCs w:val="16"/>
          <w:b w:val="1"/>
          <w:bCs w:val="1"/>
          <w:color w:val="auto"/>
        </w:rPr>
        <w:t>Parking Access Area</w:t>
      </w:r>
      <w:r>
        <w:rPr>
          <w:rFonts w:ascii="Arial" w:cs="Arial" w:eastAsia="Arial" w:hAnsi="Arial"/>
          <w:sz w:val="16"/>
          <w:szCs w:val="16"/>
          <w:color w:val="auto"/>
        </w:rPr>
        <w:t>”), which is available for public parking as set forth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28</w:t>
      </w:r>
      <w:r>
        <w:rPr>
          <w:rFonts w:ascii="Arial" w:cs="Arial" w:eastAsia="Arial" w:hAnsi="Arial"/>
          <w:sz w:val="16"/>
          <w:szCs w:val="16"/>
          <w:color w:val="auto"/>
        </w:rPr>
        <w:t>. The City of Sunnyvale has the right, pursuant 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Declaration of Covenants, Conditions, and Restrictions and Reciprocal Easement Agreement (Downtown Sunnyvale Parking Structures) dated as of November 15, 2000 and recorded November 22, 2000, as Instrument Number 15470449 in the Official Records of Santa Clara County, California, to use 320 parking spaces in the City Parking Access Area for public parking during the hours of 6:00 PM and 6:00 AM, Monday through Friday, and at all times on Saturdays and Sundays and to use the entire Project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2" w:name="page573"/>
    <w:bookmarkEnd w:id="572"/>
    <w:p>
      <w:pPr>
        <w:ind w:right="20"/>
        <w:spacing w:after="0" w:line="255" w:lineRule="auto"/>
        <w:rPr>
          <w:sz w:val="20"/>
          <w:szCs w:val="20"/>
          <w:color w:val="auto"/>
        </w:rPr>
      </w:pPr>
      <w:r>
        <w:rPr>
          <w:rFonts w:ascii="Arial" w:cs="Arial" w:eastAsia="Arial" w:hAnsi="Arial"/>
          <w:sz w:val="18"/>
          <w:szCs w:val="18"/>
          <w:color w:val="auto"/>
        </w:rPr>
        <w:t>parking facility for public parking for “special events” during evening and weekend hours up to eight (8) times per year as specified by the City of Sunnyvale (collectively, the “</w:t>
      </w:r>
      <w:r>
        <w:rPr>
          <w:rFonts w:ascii="Arial" w:cs="Arial" w:eastAsia="Arial" w:hAnsi="Arial"/>
          <w:sz w:val="18"/>
          <w:szCs w:val="18"/>
          <w:b w:val="1"/>
          <w:bCs w:val="1"/>
          <w:color w:val="auto"/>
        </w:rPr>
        <w:t>City Parking Rights</w:t>
      </w:r>
      <w:r>
        <w:rPr>
          <w:rFonts w:ascii="Arial" w:cs="Arial" w:eastAsia="Arial" w:hAnsi="Arial"/>
          <w:sz w:val="18"/>
          <w:szCs w:val="18"/>
          <w:color w:val="auto"/>
        </w:rPr>
        <w:t xml:space="preserve">”). All parking rights of Tenant under this Lease are subject to the City Parking Rights, including without limitation the right of the City of Sunnyvale to collect fees for parking in the City Parking Access Area during the hours of 6:00 PM and 6:00 AM, Monday through Friday, and at all times on Saturdays and Sundays. Landlord shall have the right to make reasonable modifications to the City Parking Rights, or to create, accept or adopt additional City Parking Rights, so long as they do not materially adversely affect Tenant’s parking rights as provided in this </w:t>
      </w:r>
      <w:r>
        <w:rPr>
          <w:rFonts w:ascii="Arial" w:cs="Arial" w:eastAsia="Arial" w:hAnsi="Arial"/>
          <w:sz w:val="18"/>
          <w:szCs w:val="18"/>
          <w:u w:val="single" w:color="auto"/>
          <w:color w:val="auto"/>
        </w:rPr>
        <w:t>Article 28</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29</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 PROVISIONS</w:t>
      </w:r>
    </w:p>
    <w:p>
      <w:pPr>
        <w:spacing w:after="0" w:line="221"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b w:val="1"/>
          <w:bCs w:val="1"/>
          <w:u w:val="single" w:color="auto"/>
          <w:color w:val="auto"/>
        </w:rPr>
        <w:t>Terms; Captions</w:t>
      </w:r>
      <w:r>
        <w:rPr>
          <w:rFonts w:ascii="Arial" w:cs="Arial" w:eastAsia="Arial" w:hAnsi="Arial"/>
          <w:sz w:val="18"/>
          <w:szCs w:val="18"/>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80"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142" w:lineRule="exact"/>
        <w:rPr>
          <w:sz w:val="20"/>
          <w:szCs w:val="20"/>
          <w:color w:val="auto"/>
        </w:rPr>
      </w:pPr>
    </w:p>
    <w:p>
      <w:pPr>
        <w:jc w:val="both"/>
        <w:ind w:right="480" w:firstLine="648"/>
        <w:spacing w:after="0" w:line="261"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b w:val="1"/>
          <w:bCs w:val="1"/>
          <w:u w:val="single" w:color="auto"/>
          <w:color w:val="auto"/>
        </w:rPr>
        <w:t>No Air Rights</w:t>
      </w:r>
      <w:r>
        <w:rPr>
          <w:rFonts w:ascii="Arial" w:cs="Arial" w:eastAsia="Arial" w:hAnsi="Arial"/>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8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b w:val="1"/>
          <w:bCs w:val="1"/>
          <w:u w:val="single" w:color="auto"/>
          <w:color w:val="auto"/>
        </w:rPr>
        <w:t>Modification of Lease</w:t>
      </w:r>
      <w:r>
        <w:rPr>
          <w:rFonts w:ascii="Arial" w:cs="Arial" w:eastAsia="Arial" w:hAnsi="Arial"/>
          <w:sz w:val="18"/>
          <w:szCs w:val="18"/>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187"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 xml:space="preserve">29.5 </w:t>
      </w:r>
      <w:r>
        <w:rPr>
          <w:rFonts w:ascii="Arial" w:cs="Arial" w:eastAsia="Arial" w:hAnsi="Arial"/>
          <w:sz w:val="18"/>
          <w:szCs w:val="18"/>
          <w:b w:val="1"/>
          <w:bCs w:val="1"/>
          <w:u w:val="single" w:color="auto"/>
          <w:color w:val="auto"/>
        </w:rPr>
        <w:t>Transfer of Landlord’s Interest</w:t>
      </w:r>
      <w:r>
        <w:rPr>
          <w:rFonts w:ascii="Arial" w:cs="Arial" w:eastAsia="Arial" w:hAnsi="Arial"/>
          <w:sz w:val="18"/>
          <w:szCs w:val="18"/>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spacing w:after="0" w:line="18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b w:val="1"/>
          <w:bCs w:val="1"/>
          <w:u w:val="single" w:color="auto"/>
          <w:color w:val="auto"/>
        </w:rPr>
        <w:t>Prohibition Against Recording</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29.4</w:t>
      </w:r>
      <w:r>
        <w:rPr>
          <w:rFonts w:ascii="Arial" w:cs="Arial" w:eastAsia="Arial" w:hAnsi="Arial"/>
          <w:sz w:val="18"/>
          <w:szCs w:val="18"/>
          <w:color w:val="auto"/>
        </w:rPr>
        <w:t xml:space="preserve"> of this Lease, neither this Lease, nor any memorandum, affidavit or other writing with respect thereto, shall be recorded by Tenant or by anyone acting through, under or on behalf of Tenant.</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b w:val="1"/>
          <w:bCs w:val="1"/>
          <w:u w:val="single" w:color="auto"/>
          <w:color w:val="auto"/>
        </w:rPr>
        <w:t>Landlord’s Title</w:t>
      </w:r>
      <w:r>
        <w:rPr>
          <w:rFonts w:ascii="Arial" w:cs="Arial" w:eastAsia="Arial" w:hAnsi="Arial"/>
          <w:sz w:val="18"/>
          <w:szCs w:val="18"/>
          <w:color w:val="auto"/>
        </w:rPr>
        <w:t>. Landlord’s title is and always shall be paramount to the title of Tenant. Nothing herein contained shall empower Tenant to do any act which can, shall or may encumber the title of Landlord.</w:t>
      </w:r>
    </w:p>
    <w:p>
      <w:pPr>
        <w:spacing w:after="0" w:line="1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b w:val="1"/>
          <w:bCs w:val="1"/>
          <w:u w:val="single" w:color="auto"/>
          <w:color w:val="auto"/>
        </w:rPr>
        <w:t>Relationship of Parties</w:t>
      </w:r>
      <w:r>
        <w:rPr>
          <w:rFonts w:ascii="Arial" w:cs="Arial" w:eastAsia="Arial" w:hAnsi="Arial"/>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color w:val="auto"/>
        </w:rPr>
        <w:t xml:space="preserve">29.9 </w:t>
      </w:r>
      <w:r>
        <w:rPr>
          <w:rFonts w:ascii="Arial" w:cs="Arial" w:eastAsia="Arial" w:hAnsi="Arial"/>
          <w:sz w:val="18"/>
          <w:szCs w:val="18"/>
          <w:b w:val="1"/>
          <w:bCs w:val="1"/>
          <w:u w:val="single" w:color="auto"/>
          <w:color w:val="auto"/>
        </w:rPr>
        <w:t>Application of Payments</w:t>
      </w:r>
      <w:r>
        <w:rPr>
          <w:rFonts w:ascii="Arial" w:cs="Arial" w:eastAsia="Arial" w:hAnsi="Arial"/>
          <w:sz w:val="18"/>
          <w:szCs w:val="18"/>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17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 xml:space="preserve">29.10 </w:t>
      </w:r>
      <w:r>
        <w:rPr>
          <w:rFonts w:ascii="Arial" w:cs="Arial" w:eastAsia="Arial" w:hAnsi="Arial"/>
          <w:sz w:val="18"/>
          <w:szCs w:val="18"/>
          <w:b w:val="1"/>
          <w:bCs w:val="1"/>
          <w:u w:val="single" w:color="auto"/>
          <w:color w:val="auto"/>
        </w:rPr>
        <w:t>Time of Essence</w:t>
      </w:r>
      <w:r>
        <w:rPr>
          <w:rFonts w:ascii="Arial" w:cs="Arial" w:eastAsia="Arial" w:hAnsi="Arial"/>
          <w:sz w:val="18"/>
          <w:szCs w:val="18"/>
          <w:color w:val="auto"/>
        </w:rPr>
        <w:t>. Time is of the essence with respect to the performance of every provision of this Lease in which time of performance is a factor.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3" w:name="page574"/>
    <w:bookmarkEnd w:id="573"/>
    <w:p>
      <w:pPr>
        <w:ind w:right="140" w:firstLine="648"/>
        <w:spacing w:after="0" w:line="261"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b w:val="1"/>
          <w:bCs w:val="1"/>
          <w:u w:val="single" w:color="auto"/>
          <w:color w:val="auto"/>
        </w:rPr>
        <w:t>No Warranty</w:t>
      </w:r>
      <w:r>
        <w:rPr>
          <w:rFonts w:ascii="Arial" w:cs="Arial" w:eastAsia="Arial" w:hAnsi="Arial"/>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8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29.13 </w:t>
      </w:r>
      <w:r>
        <w:rPr>
          <w:rFonts w:ascii="Arial" w:cs="Arial" w:eastAsia="Arial" w:hAnsi="Arial"/>
          <w:sz w:val="16"/>
          <w:szCs w:val="16"/>
          <w:b w:val="1"/>
          <w:bCs w:val="1"/>
          <w:u w:val="single" w:color="auto"/>
          <w:color w:val="auto"/>
        </w:rPr>
        <w:t>Landlord Exculpation</w:t>
      </w:r>
      <w:r>
        <w:rPr>
          <w:rFonts w:ascii="Arial" w:cs="Arial" w:eastAsia="Arial" w:hAnsi="Arial"/>
          <w:sz w:val="16"/>
          <w:szCs w:val="16"/>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(a) the interest of Landlord in the Project, or (b) the equity interest Landlord would have in the Project if the Project were encumbered by third-party debt in an amount equal to eighty percent (80%) of the value of the Project (as such value is determined by Landlord).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6"/>
          <w:szCs w:val="16"/>
          <w:u w:val="single" w:color="auto"/>
          <w:color w:val="auto"/>
        </w:rPr>
        <w:t>Section 29.13</w:t>
      </w:r>
      <w:r>
        <w:rPr>
          <w:rFonts w:ascii="Arial" w:cs="Arial" w:eastAsia="Arial" w:hAnsi="Arial"/>
          <w:sz w:val="16"/>
          <w:szCs w:val="16"/>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w:t>
      </w:r>
    </w:p>
    <w:p>
      <w:pPr>
        <w:spacing w:after="0" w:line="16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color w:val="auto"/>
        </w:rPr>
        <w:t xml:space="preserve">29.14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68" w:lineRule="exact"/>
        <w:rPr>
          <w:sz w:val="20"/>
          <w:szCs w:val="20"/>
          <w:color w:val="auto"/>
        </w:rPr>
      </w:pPr>
    </w:p>
    <w:p>
      <w:pPr>
        <w:jc w:val="both"/>
        <w:ind w:right="200" w:firstLine="648"/>
        <w:spacing w:after="0" w:line="289" w:lineRule="auto"/>
        <w:rPr>
          <w:sz w:val="20"/>
          <w:szCs w:val="20"/>
          <w:color w:val="auto"/>
        </w:rPr>
      </w:pPr>
      <w:r>
        <w:rPr>
          <w:rFonts w:ascii="Arial" w:cs="Arial" w:eastAsia="Arial" w:hAnsi="Arial"/>
          <w:sz w:val="17"/>
          <w:szCs w:val="17"/>
          <w:color w:val="auto"/>
        </w:rPr>
        <w:t xml:space="preserve">29.15 </w:t>
      </w:r>
      <w:r>
        <w:rPr>
          <w:rFonts w:ascii="Arial" w:cs="Arial" w:eastAsia="Arial" w:hAnsi="Arial"/>
          <w:sz w:val="17"/>
          <w:szCs w:val="17"/>
          <w:b w:val="1"/>
          <w:bCs w:val="1"/>
          <w:u w:val="single" w:color="auto"/>
          <w:color w:val="auto"/>
        </w:rPr>
        <w:t>Right to Lease</w:t>
      </w:r>
      <w:r>
        <w:rPr>
          <w:rFonts w:ascii="Arial" w:cs="Arial" w:eastAsia="Arial" w:hAnsi="Arial"/>
          <w:sz w:val="17"/>
          <w:szCs w:val="17"/>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5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29.16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a “</w:t>
      </w:r>
      <w:r>
        <w:rPr>
          <w:rFonts w:ascii="Arial" w:cs="Arial" w:eastAsia="Arial" w:hAnsi="Arial"/>
          <w:sz w:val="18"/>
          <w:szCs w:val="18"/>
          <w:b w:val="1"/>
          <w:bCs w:val="1"/>
          <w:color w:val="auto"/>
        </w:rPr>
        <w:t>Force Majeure</w:t>
      </w:r>
      <w:r>
        <w:rPr>
          <w:rFonts w:ascii="Arial" w:cs="Arial" w:eastAsia="Arial" w:hAnsi="Arial"/>
          <w:sz w:val="18"/>
          <w:szCs w:val="18"/>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89"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29.17 </w:t>
      </w:r>
      <w:r>
        <w:rPr>
          <w:rFonts w:ascii="Arial" w:cs="Arial" w:eastAsia="Arial" w:hAnsi="Arial"/>
          <w:sz w:val="18"/>
          <w:szCs w:val="18"/>
          <w:b w:val="1"/>
          <w:bCs w:val="1"/>
          <w:u w:val="single" w:color="auto"/>
          <w:color w:val="auto"/>
        </w:rPr>
        <w:t>Waiver of Redemption by Tenant</w:t>
      </w:r>
      <w:r>
        <w:rPr>
          <w:rFonts w:ascii="Arial" w:cs="Arial" w:eastAsia="Arial" w:hAnsi="Arial"/>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7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 xml:space="preserve">29.18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demands, statements, designations, approvals or other communications (collectively, “</w:t>
      </w:r>
      <w:r>
        <w:rPr>
          <w:rFonts w:ascii="Arial" w:cs="Arial" w:eastAsia="Arial" w:hAnsi="Arial"/>
          <w:sz w:val="17"/>
          <w:szCs w:val="17"/>
          <w:b w:val="1"/>
          <w:bCs w:val="1"/>
          <w:color w:val="auto"/>
        </w:rPr>
        <w:t>Notices</w:t>
      </w:r>
      <w:r>
        <w:rPr>
          <w:rFonts w:ascii="Arial" w:cs="Arial" w:eastAsia="Arial" w:hAnsi="Arial"/>
          <w:sz w:val="17"/>
          <w:szCs w:val="17"/>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7"/>
          <w:szCs w:val="17"/>
          <w:b w:val="1"/>
          <w:bCs w:val="1"/>
          <w:color w:val="auto"/>
        </w:rPr>
        <w:t>Mail</w:t>
      </w:r>
      <w:r>
        <w:rPr>
          <w:rFonts w:ascii="Arial" w:cs="Arial" w:eastAsia="Arial" w:hAnsi="Arial"/>
          <w:sz w:val="17"/>
          <w:szCs w:val="17"/>
          <w:color w:val="auto"/>
        </w:rPr>
        <w:t xml:space="preserve">”), (B) delivered by a nationally recognized overnight courier, or (C) delivered personally. Any Notice shall be sent, or delivered, as the case may be, to Tenant at the appropriate address set forth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the Summary, or to such other place as Tenant may from time to time designate in a Notice to Landlord, or to Landlord at the addresses set forth below, or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4" w:name="page575"/>
    <w:bookmarkEnd w:id="574"/>
    <w:p>
      <w:pPr>
        <w:ind w:right="20"/>
        <w:spacing w:after="0" w:line="263" w:lineRule="auto"/>
        <w:rPr>
          <w:sz w:val="20"/>
          <w:szCs w:val="20"/>
          <w:color w:val="auto"/>
        </w:rPr>
      </w:pPr>
      <w:r>
        <w:rPr>
          <w:rFonts w:ascii="Arial" w:cs="Arial" w:eastAsia="Arial" w:hAnsi="Arial"/>
          <w:sz w:val="18"/>
          <w:szCs w:val="18"/>
          <w:color w:val="auto"/>
        </w:rPr>
        <w:t>such other places as Landlord may from time to time designate in a Notice to Tenant. Any Notice will be deemed given (i) three (3) days after the date it is posted if sent by Mail, (ii) the date the overnight courier delivery is made, or (iii) the date personal delivery is made. As of the date of this Lease, any Notices to Landlord must be sent or delivered, as the case may be, to the following addresses:</w:t>
      </w:r>
    </w:p>
    <w:p>
      <w:pPr>
        <w:spacing w:after="0" w:line="18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RiverRock Real Estate Group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Sunnyvale City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100 Mathilda Place, Suite 101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Sunnyvale, California 94086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Bill Moyer, RPA, General Manager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J.P. Morgan Investment Management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2029 Century Park East, Suite 4150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Christine Kang, Vice President</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Allen Matkins Leck Gamble Mallory &amp; Natsis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1901 Avenue of the Stars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1800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Anton N. Natsis, Esq.</w:t>
      </w:r>
    </w:p>
    <w:p>
      <w:pPr>
        <w:spacing w:after="0" w:line="20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29.19</w:t>
      </w:r>
      <w:r>
        <w:rPr>
          <w:sz w:val="20"/>
          <w:szCs w:val="20"/>
          <w:color w:val="auto"/>
        </w:rPr>
        <w:tab/>
      </w:r>
      <w:r>
        <w:rPr>
          <w:rFonts w:ascii="Arial" w:cs="Arial" w:eastAsia="Arial" w:hAnsi="Arial"/>
          <w:sz w:val="16"/>
          <w:szCs w:val="16"/>
          <w:b w:val="1"/>
          <w:bCs w:val="1"/>
          <w:u w:val="single" w:color="auto"/>
          <w:color w:val="auto"/>
        </w:rPr>
        <w:t>Joint and Several</w:t>
      </w:r>
      <w:r>
        <w:rPr>
          <w:rFonts w:ascii="Arial" w:cs="Arial" w:eastAsia="Arial" w:hAnsi="Arial"/>
          <w:sz w:val="16"/>
          <w:szCs w:val="16"/>
          <w:color w:val="auto"/>
        </w:rPr>
        <w:t>. If there is more than one Tenant, the obligations imposed upon Tenant under this Lease shall be joint and several.</w:t>
      </w:r>
    </w:p>
    <w:p>
      <w:pPr>
        <w:spacing w:after="0" w:line="225"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color w:val="auto"/>
        </w:rPr>
        <w:t xml:space="preserve">29.20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If Tenant is a corporation, trust or partnership, each individual executing this Lease on behalf of Tenant hereby represents and warrants that Tenant is a duly formed and existing entity qualified to do business in California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California.</w:t>
      </w:r>
    </w:p>
    <w:p>
      <w:pPr>
        <w:spacing w:after="0" w:line="154"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29.21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8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29.22 </w:t>
      </w:r>
      <w:r>
        <w:rPr>
          <w:rFonts w:ascii="Arial" w:cs="Arial" w:eastAsia="Arial" w:hAnsi="Arial"/>
          <w:sz w:val="18"/>
          <w:szCs w:val="18"/>
          <w:b w:val="1"/>
          <w:bCs w:val="1"/>
          <w:u w:val="single" w:color="auto"/>
          <w:color w:val="auto"/>
        </w:rPr>
        <w:t>Governing Law; WAIVER OF TRIAL BY JURY</w:t>
      </w:r>
      <w:r>
        <w:rPr>
          <w:rFonts w:ascii="Arial" w:cs="Arial" w:eastAsia="Arial" w:hAnsi="Arial"/>
          <w:sz w:val="18"/>
          <w:szCs w:val="18"/>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92" w:lineRule="exact"/>
        <w:rPr>
          <w:sz w:val="20"/>
          <w:szCs w:val="20"/>
          <w:color w:val="auto"/>
        </w:rPr>
      </w:pPr>
    </w:p>
    <w:p>
      <w:pPr>
        <w:ind w:right="60" w:firstLine="648"/>
        <w:spacing w:after="0" w:line="312" w:lineRule="auto"/>
        <w:rPr>
          <w:sz w:val="20"/>
          <w:szCs w:val="20"/>
          <w:color w:val="auto"/>
        </w:rPr>
      </w:pPr>
      <w:r>
        <w:rPr>
          <w:rFonts w:ascii="Arial" w:cs="Arial" w:eastAsia="Arial" w:hAnsi="Arial"/>
          <w:sz w:val="17"/>
          <w:szCs w:val="17"/>
          <w:color w:val="auto"/>
        </w:rPr>
        <w:t xml:space="preserve">29.23 </w:t>
      </w:r>
      <w:r>
        <w:rPr>
          <w:rFonts w:ascii="Arial" w:cs="Arial" w:eastAsia="Arial" w:hAnsi="Arial"/>
          <w:sz w:val="17"/>
          <w:szCs w:val="17"/>
          <w:b w:val="1"/>
          <w:bCs w:val="1"/>
          <w:u w:val="single" w:color="auto"/>
          <w:color w:val="auto"/>
        </w:rPr>
        <w:t>Submission of Lease</w:t>
      </w:r>
      <w:r>
        <w:rPr>
          <w:rFonts w:ascii="Arial" w:cs="Arial" w:eastAsia="Arial" w:hAnsi="Arial"/>
          <w:sz w:val="17"/>
          <w:szCs w:val="17"/>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4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29.24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Summary (the “</w:t>
      </w:r>
      <w:r>
        <w:rPr>
          <w:rFonts w:ascii="Arial" w:cs="Arial" w:eastAsia="Arial" w:hAnsi="Arial"/>
          <w:sz w:val="18"/>
          <w:szCs w:val="18"/>
          <w:b w:val="1"/>
          <w:bCs w:val="1"/>
          <w:color w:val="auto"/>
        </w:rPr>
        <w:t>Brokers</w:t>
      </w:r>
      <w:r>
        <w:rPr>
          <w:rFonts w:ascii="Arial" w:cs="Arial" w:eastAsia="Arial" w:hAnsi="Arial"/>
          <w:sz w:val="18"/>
          <w:szCs w:val="18"/>
          <w:color w:val="auto"/>
        </w:rPr>
        <w:t>”), and that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they know of no other real estate broker or agent who is entitled to a commission in connection with this Lease. Landlord shall pay the commission due to the Brokers by separate agreement and Tenant shall have no liability therefor.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w:t>
      </w:r>
    </w:p>
    <w:p>
      <w:pPr>
        <w:spacing w:after="0" w:line="172" w:lineRule="exact"/>
        <w:rPr>
          <w:sz w:val="20"/>
          <w:szCs w:val="20"/>
          <w:color w:val="auto"/>
        </w:rPr>
      </w:pPr>
    </w:p>
    <w:p>
      <w:pPr>
        <w:jc w:val="both"/>
        <w:ind w:right="100" w:firstLine="648"/>
        <w:spacing w:after="0" w:line="261" w:lineRule="auto"/>
        <w:rPr>
          <w:sz w:val="20"/>
          <w:szCs w:val="20"/>
          <w:color w:val="auto"/>
        </w:rPr>
      </w:pPr>
      <w:r>
        <w:rPr>
          <w:rFonts w:ascii="Arial" w:cs="Arial" w:eastAsia="Arial" w:hAnsi="Arial"/>
          <w:sz w:val="18"/>
          <w:szCs w:val="18"/>
          <w:color w:val="auto"/>
        </w:rPr>
        <w:t xml:space="preserve">29.25 </w:t>
      </w:r>
      <w:r>
        <w:rPr>
          <w:rFonts w:ascii="Arial" w:cs="Arial" w:eastAsia="Arial" w:hAnsi="Arial"/>
          <w:sz w:val="18"/>
          <w:szCs w:val="18"/>
          <w:b w:val="1"/>
          <w:bCs w:val="1"/>
          <w:u w:val="single" w:color="auto"/>
          <w:color w:val="auto"/>
        </w:rPr>
        <w:t>Independent Covenants</w:t>
      </w:r>
      <w:r>
        <w:rPr>
          <w:rFonts w:ascii="Arial" w:cs="Arial" w:eastAsia="Arial" w:hAnsi="Arial"/>
          <w:sz w:val="18"/>
          <w:szCs w:val="18"/>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80"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color w:val="auto"/>
        </w:rPr>
        <w:t xml:space="preserve">29.26 </w:t>
      </w:r>
      <w:r>
        <w:rPr>
          <w:rFonts w:ascii="Arial" w:cs="Arial" w:eastAsia="Arial" w:hAnsi="Arial"/>
          <w:sz w:val="16"/>
          <w:szCs w:val="16"/>
          <w:b w:val="1"/>
          <w:bCs w:val="1"/>
          <w:u w:val="single" w:color="auto"/>
          <w:color w:val="auto"/>
        </w:rPr>
        <w:t>Project or Building Name and Signage</w:t>
      </w:r>
      <w:r>
        <w:rPr>
          <w:rFonts w:ascii="Arial" w:cs="Arial" w:eastAsia="Arial" w:hAnsi="Arial"/>
          <w:sz w:val="16"/>
          <w:szCs w:val="16"/>
          <w:color w:val="auto"/>
        </w:rPr>
        <w:t>. Landlord shall have the right at any time to change the name of the Project or Building and to install, affix and maintain any and all signs on the exterior and on the interior of the Project or Building as Landlord may, in Landlord’s sole discretion, desire. Tenant shall not use the words “Sunnyvale City Center” or the name of the Project or Building or use pictures or illustrations of the Project or</w:t>
      </w:r>
    </w:p>
    <w:p>
      <w:pPr>
        <w:sectPr>
          <w:pgSz w:w="11900" w:h="16838" w:orient="portrait"/>
          <w:cols w:equalWidth="0" w:num="1">
            <w:col w:w="11200"/>
          </w:cols>
          <w:pgMar w:left="320" w:top="341" w:right="379" w:bottom="0" w:gutter="0" w:footer="0" w:header="0"/>
        </w:sectPr>
      </w:pPr>
    </w:p>
    <w:bookmarkStart w:id="575" w:name="page576"/>
    <w:bookmarkEnd w:id="575"/>
    <w:p>
      <w:pPr>
        <w:ind w:right="260"/>
        <w:spacing w:after="0" w:line="277" w:lineRule="auto"/>
        <w:rPr>
          <w:sz w:val="20"/>
          <w:szCs w:val="20"/>
          <w:color w:val="auto"/>
        </w:rPr>
      </w:pPr>
      <w:r>
        <w:rPr>
          <w:rFonts w:ascii="Arial" w:cs="Arial" w:eastAsia="Arial" w:hAnsi="Arial"/>
          <w:sz w:val="18"/>
          <w:szCs w:val="18"/>
          <w:color w:val="auto"/>
        </w:rPr>
        <w:t>Building in advertising or other publicity or for any purpose other than as the address of the business to be conducted by Tenant in the Premises, without the prior written consent of Landlord.</w:t>
      </w:r>
    </w:p>
    <w:p>
      <w:pPr>
        <w:spacing w:after="0" w:line="166"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 xml:space="preserve">29.27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Lease may be executed in counterparts with the same effect as if both parties hereto had executed the same document. Both counterparts shall be construed together and shall constitute a single lease.</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29.28 </w:t>
      </w: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Tenant acknowledges that the content of this Lease and any related documents are confidential information. Tenant shall keep such confidential information strictly confidential and shall not disclose such confidential information to any person or entity other than Tenant’s financial, legal, and space planning consultants. Notwithstanding the foregoing, Landlord acknowledges and agrees that, if Tenant becomes a U.S. publically traded company, this Section shall not apply to the extent that Tenant is required to disclose this Lease in compliance with U.S. securities laws and regulations and stock exchange rules.</w:t>
      </w:r>
    </w:p>
    <w:p>
      <w:pPr>
        <w:spacing w:after="0" w:line="18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29.29</w:t>
      </w:r>
      <w:r>
        <w:rPr>
          <w:sz w:val="20"/>
          <w:szCs w:val="20"/>
          <w:color w:val="auto"/>
        </w:rPr>
        <w:tab/>
      </w:r>
      <w:r>
        <w:rPr>
          <w:rFonts w:ascii="Arial" w:cs="Arial" w:eastAsia="Arial" w:hAnsi="Arial"/>
          <w:sz w:val="16"/>
          <w:szCs w:val="16"/>
          <w:b w:val="1"/>
          <w:bCs w:val="1"/>
          <w:u w:val="single" w:color="auto"/>
          <w:color w:val="auto"/>
        </w:rPr>
        <w:t>Development of the Project</w:t>
      </w:r>
      <w:r>
        <w:rPr>
          <w:rFonts w:ascii="Arial" w:cs="Arial" w:eastAsia="Arial" w:hAnsi="Arial"/>
          <w:sz w:val="16"/>
          <w:szCs w:val="16"/>
          <w:color w:val="auto"/>
        </w:rPr>
        <w:t>.</w:t>
      </w:r>
    </w:p>
    <w:p>
      <w:pPr>
        <w:spacing w:after="0" w:line="225" w:lineRule="exact"/>
        <w:rPr>
          <w:sz w:val="20"/>
          <w:szCs w:val="20"/>
          <w:color w:val="auto"/>
        </w:rPr>
      </w:pPr>
    </w:p>
    <w:p>
      <w:pPr>
        <w:ind w:right="20" w:firstLine="1296"/>
        <w:spacing w:after="0" w:line="266" w:lineRule="auto"/>
        <w:rPr>
          <w:sz w:val="20"/>
          <w:szCs w:val="20"/>
          <w:color w:val="auto"/>
        </w:rPr>
      </w:pPr>
      <w:r>
        <w:rPr>
          <w:rFonts w:ascii="Arial" w:cs="Arial" w:eastAsia="Arial" w:hAnsi="Arial"/>
          <w:sz w:val="18"/>
          <w:szCs w:val="18"/>
          <w:color w:val="auto"/>
        </w:rPr>
        <w:t xml:space="preserve">29.29.1 </w:t>
      </w:r>
      <w:r>
        <w:rPr>
          <w:rFonts w:ascii="Arial" w:cs="Arial" w:eastAsia="Arial" w:hAnsi="Arial"/>
          <w:sz w:val="18"/>
          <w:szCs w:val="18"/>
          <w:b w:val="1"/>
          <w:bCs w:val="1"/>
          <w:u w:val="single" w:color="auto"/>
          <w:color w:val="auto"/>
        </w:rPr>
        <w:t>Subdivision</w:t>
      </w:r>
      <w:r>
        <w:rPr>
          <w:rFonts w:ascii="Arial" w:cs="Arial" w:eastAsia="Arial" w:hAnsi="Arial"/>
          <w:sz w:val="18"/>
          <w:szCs w:val="18"/>
          <w:color w:val="auto"/>
        </w:rPr>
        <w:t>. Landlord reserves the right to further subdivide all or a portion of the Project. Tenant agrees to execute and deliver, upon demand by Landlord and in the form requested by Landlord, any additional documents needed to conform this Lease to the circumstances resulting from such subdivision.</w:t>
      </w:r>
    </w:p>
    <w:p>
      <w:pPr>
        <w:spacing w:after="0" w:line="176" w:lineRule="exact"/>
        <w:rPr>
          <w:sz w:val="20"/>
          <w:szCs w:val="20"/>
          <w:color w:val="auto"/>
        </w:rPr>
      </w:pPr>
    </w:p>
    <w:p>
      <w:pPr>
        <w:ind w:right="120" w:firstLine="1296"/>
        <w:spacing w:after="0" w:line="254" w:lineRule="auto"/>
        <w:rPr>
          <w:sz w:val="20"/>
          <w:szCs w:val="20"/>
          <w:color w:val="auto"/>
        </w:rPr>
      </w:pPr>
      <w:r>
        <w:rPr>
          <w:rFonts w:ascii="Arial" w:cs="Arial" w:eastAsia="Arial" w:hAnsi="Arial"/>
          <w:sz w:val="18"/>
          <w:szCs w:val="18"/>
          <w:color w:val="auto"/>
        </w:rPr>
        <w:t xml:space="preserve">29.29.2 </w:t>
      </w:r>
      <w:r>
        <w:rPr>
          <w:rFonts w:ascii="Arial" w:cs="Arial" w:eastAsia="Arial" w:hAnsi="Arial"/>
          <w:sz w:val="18"/>
          <w:szCs w:val="18"/>
          <w:b w:val="1"/>
          <w:bCs w:val="1"/>
          <w:u w:val="single" w:color="auto"/>
          <w:color w:val="auto"/>
        </w:rPr>
        <w:t>The Other Improvements</w:t>
      </w:r>
      <w:r>
        <w:rPr>
          <w:rFonts w:ascii="Arial" w:cs="Arial" w:eastAsia="Arial" w:hAnsi="Arial"/>
          <w:sz w:val="18"/>
          <w:szCs w:val="18"/>
          <w:color w:val="auto"/>
        </w:rPr>
        <w:t>. If portions of the Project or property adjacent to the Project (collectively, the “</w:t>
      </w:r>
      <w:r>
        <w:rPr>
          <w:rFonts w:ascii="Arial" w:cs="Arial" w:eastAsia="Arial" w:hAnsi="Arial"/>
          <w:sz w:val="18"/>
          <w:szCs w:val="18"/>
          <w:b w:val="1"/>
          <w:b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 are owned by an entity other than Landlord, Landlord, at its option, may enter into an agreement with the owner or owners of any or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Other Improvements to provide (i) for reciprocal rights of access and/or use of the Project and the Other Improvements, (ii) for the common management, operation, maintenance, improvement and/or repair of all or any portion of the Project and the Other Improvements, provided that Tenant’s rights under this Lease are not materially impaired, (iii) for the allocation of a portion of the Direct Expenses to the Other Improvements and the operating expenses and taxes for the Other Improvements to the Project, and (iv) for the use or improvement of the Other Improvements and/or the Project in connection with the improvement, construction, and/or excavation of the Other Improvements and/or the Project. Nothing contained herein shall be deemed or construed to limit or otherwise affect Landlord’s right to convey all or any portion of the Project or any other of Landlord’s rights described in this Lease.</w:t>
      </w:r>
    </w:p>
    <w:p>
      <w:pPr>
        <w:spacing w:after="0" w:line="188" w:lineRule="exact"/>
        <w:rPr>
          <w:sz w:val="20"/>
          <w:szCs w:val="20"/>
          <w:color w:val="auto"/>
        </w:rPr>
      </w:pPr>
    </w:p>
    <w:p>
      <w:pPr>
        <w:ind w:firstLine="1296"/>
        <w:spacing w:after="0" w:line="281" w:lineRule="auto"/>
        <w:rPr>
          <w:sz w:val="20"/>
          <w:szCs w:val="20"/>
          <w:color w:val="auto"/>
        </w:rPr>
      </w:pPr>
      <w:r>
        <w:rPr>
          <w:rFonts w:ascii="Arial" w:cs="Arial" w:eastAsia="Arial" w:hAnsi="Arial"/>
          <w:sz w:val="17"/>
          <w:szCs w:val="17"/>
          <w:color w:val="auto"/>
        </w:rPr>
        <w:t xml:space="preserve">29.29.3 </w:t>
      </w:r>
      <w:r>
        <w:rPr>
          <w:rFonts w:ascii="Arial" w:cs="Arial" w:eastAsia="Arial" w:hAnsi="Arial"/>
          <w:sz w:val="17"/>
          <w:szCs w:val="17"/>
          <w:b w:val="1"/>
          <w:bCs w:val="1"/>
          <w:u w:val="single" w:color="auto"/>
          <w:color w:val="auto"/>
        </w:rPr>
        <w:t>Construction of Project and Other Improvements</w:t>
      </w:r>
      <w:r>
        <w:rPr>
          <w:rFonts w:ascii="Arial" w:cs="Arial" w:eastAsia="Arial" w:hAnsi="Arial"/>
          <w:sz w:val="17"/>
          <w:szCs w:val="17"/>
          <w:color w:val="auto"/>
        </w:rPr>
        <w:t>. Tenant acknowledges that portions of the Project and/or the Other Improvements may be subject to demolition or construction following Tenant’s occupancy of the Premises, and that such construction may temporarily result in levels of noise, dust, obstruction of access, etc. which are in excess of that present in a fully constructed project. Tenant hereby waives any and all rent offsets or claims of constructive eviction which may arise in connection with such demolition or construction.</w:t>
      </w:r>
    </w:p>
    <w:p>
      <w:pPr>
        <w:spacing w:after="0" w:line="165" w:lineRule="exact"/>
        <w:rPr>
          <w:sz w:val="20"/>
          <w:szCs w:val="20"/>
          <w:color w:val="auto"/>
        </w:rPr>
      </w:pPr>
    </w:p>
    <w:p>
      <w:pPr>
        <w:ind w:right="440" w:firstLine="648"/>
        <w:spacing w:after="0" w:line="298" w:lineRule="auto"/>
        <w:rPr>
          <w:sz w:val="20"/>
          <w:szCs w:val="20"/>
          <w:color w:val="auto"/>
        </w:rPr>
      </w:pPr>
      <w:r>
        <w:rPr>
          <w:rFonts w:ascii="Arial" w:cs="Arial" w:eastAsia="Arial" w:hAnsi="Arial"/>
          <w:sz w:val="16"/>
          <w:szCs w:val="16"/>
          <w:color w:val="auto"/>
        </w:rPr>
        <w:t xml:space="preserve">29.30 </w:t>
      </w:r>
      <w:r>
        <w:rPr>
          <w:rFonts w:ascii="Arial" w:cs="Arial" w:eastAsia="Arial" w:hAnsi="Arial"/>
          <w:sz w:val="16"/>
          <w:szCs w:val="16"/>
          <w:b w:val="1"/>
          <w:bCs w:val="1"/>
          <w:u w:val="single" w:color="auto"/>
          <w:color w:val="auto"/>
        </w:rPr>
        <w:t>Building Renovations</w:t>
      </w:r>
      <w:r>
        <w:rPr>
          <w:rFonts w:ascii="Arial" w:cs="Arial" w:eastAsia="Arial" w:hAnsi="Arial"/>
          <w:sz w:val="16"/>
          <w:szCs w:val="16"/>
          <w:color w:val="auto"/>
        </w:rPr>
        <w:t>. It is specifically understood and agreed that Landlord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herein or in the Tenant Work Letter. However, Tenant hereby acknowledges that Landlord is currently renovating or may during the Lease Term renovate, improve, alter, or modify (collectively, the “</w:t>
      </w:r>
      <w:r>
        <w:rPr>
          <w:rFonts w:ascii="Arial" w:cs="Arial" w:eastAsia="Arial" w:hAnsi="Arial"/>
          <w:sz w:val="16"/>
          <w:szCs w:val="16"/>
          <w:b w:val="1"/>
          <w:bCs w:val="1"/>
          <w:color w:val="auto"/>
        </w:rPr>
        <w:t>Renovations</w:t>
      </w:r>
      <w:r>
        <w:rPr>
          <w:rFonts w:ascii="Arial" w:cs="Arial" w:eastAsia="Arial" w:hAnsi="Arial"/>
          <w:sz w:val="16"/>
          <w:szCs w:val="16"/>
          <w:color w:val="auto"/>
        </w:rPr>
        <w:t>”) the Project, the Building and/or the Premises. Tenant hereby agrees that such Renovations shall in no way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6" w:name="page577"/>
    <w:bookmarkEnd w:id="576"/>
    <w:p>
      <w:pPr>
        <w:ind w:right="100"/>
        <w:spacing w:after="0" w:line="301" w:lineRule="auto"/>
        <w:rPr>
          <w:sz w:val="20"/>
          <w:szCs w:val="20"/>
          <w:color w:val="auto"/>
        </w:rPr>
      </w:pPr>
      <w:r>
        <w:rPr>
          <w:rFonts w:ascii="Arial" w:cs="Arial" w:eastAsia="Arial" w:hAnsi="Arial"/>
          <w:sz w:val="16"/>
          <w:szCs w:val="16"/>
          <w:color w:val="auto"/>
        </w:rPr>
        <w:t xml:space="preserve">constitute a constructive eviction of Tenant nor entitle Tenant to any abatement of Rent, except as expressly provided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above. Landlord shall have no responsibility and shall not be liable to Tenant for any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for any inconvenience or annoyance occasioned by such Renovations.</w:t>
      </w:r>
    </w:p>
    <w:p>
      <w:pPr>
        <w:spacing w:after="0" w:line="153"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29.31 </w:t>
      </w:r>
      <w:r>
        <w:rPr>
          <w:rFonts w:ascii="Arial" w:cs="Arial" w:eastAsia="Arial" w:hAnsi="Arial"/>
          <w:sz w:val="18"/>
          <w:szCs w:val="18"/>
          <w:b w:val="1"/>
          <w:bCs w:val="1"/>
          <w:u w:val="single" w:color="auto"/>
          <w:color w:val="auto"/>
        </w:rPr>
        <w:t>No Violation</w:t>
      </w:r>
      <w:r>
        <w:rPr>
          <w:rFonts w:ascii="Arial" w:cs="Arial" w:eastAsia="Arial" w:hAnsi="Arial"/>
          <w:sz w:val="18"/>
          <w:szCs w:val="18"/>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8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29.32 </w:t>
      </w:r>
      <w:r>
        <w:rPr>
          <w:rFonts w:ascii="Arial" w:cs="Arial" w:eastAsia="Arial" w:hAnsi="Arial"/>
          <w:sz w:val="16"/>
          <w:szCs w:val="16"/>
          <w:b w:val="1"/>
          <w:bCs w:val="1"/>
          <w:u w:val="single" w:color="auto"/>
          <w:color w:val="auto"/>
        </w:rPr>
        <w:t>Communications and Computer Lines</w:t>
      </w:r>
      <w:r>
        <w:rPr>
          <w:rFonts w:ascii="Arial" w:cs="Arial" w:eastAsia="Arial" w:hAnsi="Arial"/>
          <w:sz w:val="16"/>
          <w:szCs w:val="16"/>
          <w:color w:val="auto"/>
        </w:rPr>
        <w:t>. Tenant may install, maintain, replace, remove or use any communications or computer wires and cables serving the Premises (collectively, the “</w:t>
      </w:r>
      <w:r>
        <w:rPr>
          <w:rFonts w:ascii="Arial" w:cs="Arial" w:eastAsia="Arial" w:hAnsi="Arial"/>
          <w:sz w:val="16"/>
          <w:szCs w:val="16"/>
          <w:b w:val="1"/>
          <w:bCs w:val="1"/>
          <w:color w:val="auto"/>
        </w:rPr>
        <w:t>Lines</w:t>
      </w:r>
      <w:r>
        <w:rPr>
          <w:rFonts w:ascii="Arial" w:cs="Arial" w:eastAsia="Arial" w:hAnsi="Arial"/>
          <w:sz w:val="16"/>
          <w:szCs w:val="16"/>
          <w:color w:val="auto"/>
        </w:rPr>
        <w:t xml:space="preserve">”), provided that (i) Tenant shall obtain Landlord’s prior written consent, use an experienced and qualified contractor approved in writing by Landlord, and comply with all of the other provisions of </w:t>
      </w:r>
      <w:r>
        <w:rPr>
          <w:rFonts w:ascii="Arial" w:cs="Arial" w:eastAsia="Arial" w:hAnsi="Arial"/>
          <w:sz w:val="16"/>
          <w:szCs w:val="16"/>
          <w:u w:val="single" w:color="auto"/>
          <w:color w:val="auto"/>
        </w:rPr>
        <w:t>Articles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of this Lease, (ii) an acceptable number of spare Lines and space for additional Lines shall be maintained for existing and future occupants of the Project, as determined in Landlord’s reasonable opinion, (iii) the Lines therefor (including riser cables) shall be appropriately insulated to prevent excessive electromagnetic fields or radiation, shall be surrounded by a protective conduit reasonably acceptable to Landlord, and shall be identified in accordance with the “Identification Requirements,” as that term is set forth hereinbelow, (iv) any new or existing Lines servicing the Premises shall comply with all applicable governmental laws and regulations, (v) as a condition to permitting the installation of new Lines, Landlord may require that Tenant remove existing Lines located in or serving the Premises and repair any damage in connection with such removal, and (vi) Tenant shall pay all costs in connection therewith. All Lines shall be clearly marked with adhesive plastic labels (or plastic tags attached to such Lines with wire) to show Tenant’s name, suite 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Arial" w:cs="Arial" w:eastAsia="Arial" w:hAnsi="Arial"/>
          <w:sz w:val="16"/>
          <w:szCs w:val="16"/>
          <w:b w:val="1"/>
          <w:bCs w:val="1"/>
          <w:color w:val="auto"/>
        </w:rPr>
        <w:t>Identification Requirements</w:t>
      </w:r>
      <w:r>
        <w:rPr>
          <w:rFonts w:ascii="Arial" w:cs="Arial" w:eastAsia="Arial" w:hAnsi="Arial"/>
          <w:sz w:val="16"/>
          <w:szCs w:val="16"/>
          <w:color w:val="auto"/>
        </w:rPr>
        <w:t>”). Upon the expiration of the Lease Term, or immediately following any earlier termination of this Lease, Tenant shall, at Tenant’s sole cost and expense, remove all Lines installed by Tenant, and repair any damage caused by such removal. In the event that Tenant fails to complete such removal and/or fails to repair any damage caused by the removal of any Lines, Landlord may do so and may charge the cost thereof to Tenant. In addition, Landlord reserves the right at any time to require that Tenant remove any Lines located in or serving the Premises which are installed in violation of these provisions, or which are at any time in violation of any laws or represent a dangerous or potentially dangerous condition.</w:t>
      </w:r>
    </w:p>
    <w:p>
      <w:pPr>
        <w:spacing w:after="0" w:line="174"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 xml:space="preserve">29.33 </w:t>
      </w:r>
      <w:r>
        <w:rPr>
          <w:rFonts w:ascii="Arial" w:cs="Arial" w:eastAsia="Arial" w:hAnsi="Arial"/>
          <w:sz w:val="18"/>
          <w:szCs w:val="18"/>
          <w:b w:val="1"/>
          <w:bCs w:val="1"/>
          <w:u w:val="single" w:color="auto"/>
          <w:color w:val="auto"/>
        </w:rPr>
        <w:t>Access Control Cards</w:t>
      </w:r>
      <w:r>
        <w:rPr>
          <w:rFonts w:ascii="Arial" w:cs="Arial" w:eastAsia="Arial" w:hAnsi="Arial"/>
          <w:sz w:val="18"/>
          <w:szCs w:val="18"/>
          <w:color w:val="auto"/>
        </w:rPr>
        <w:t>. Landlord shall have the right to institute and or continue the use of access control systems and/or procedures at the Building and/or Project that may include the provision of personal access control cards to individual employees of Tenant. In such event, any such cards shall be personal to each particular employee, and Tenant shall cooperate with Landlord in order to ensure that such cards are used by employees of Tenant only, and are not transferred to any other persons. Tenant shall additionally comply with any other reasonable requirements instituted or already used by Landlord in connection with such systems or procedures.</w:t>
      </w:r>
    </w:p>
    <w:p>
      <w:pPr>
        <w:spacing w:after="0" w:line="183"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29.34 </w:t>
      </w:r>
      <w:r>
        <w:rPr>
          <w:rFonts w:ascii="Arial" w:cs="Arial" w:eastAsia="Arial" w:hAnsi="Arial"/>
          <w:sz w:val="18"/>
          <w:szCs w:val="18"/>
          <w:b w:val="1"/>
          <w:bCs w:val="1"/>
          <w:u w:val="single" w:color="auto"/>
          <w:color w:val="auto"/>
        </w:rPr>
        <w:t>Transportation Management</w:t>
      </w:r>
      <w:r>
        <w:rPr>
          <w:rFonts w:ascii="Arial" w:cs="Arial" w:eastAsia="Arial" w:hAnsi="Arial"/>
          <w:sz w:val="18"/>
          <w:szCs w:val="18"/>
          <w:color w:val="auto"/>
        </w:rPr>
        <w:t>. Tenant shall comply with all future governmentally mandated programs intended to manage parking, transportation or traffic in and around the Project. In connection with such compliance,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8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29.35</w:t>
      </w:r>
      <w:r>
        <w:rPr>
          <w:sz w:val="20"/>
          <w:szCs w:val="20"/>
          <w:color w:val="auto"/>
        </w:rPr>
        <w:tab/>
      </w:r>
      <w:r>
        <w:rPr>
          <w:rFonts w:ascii="Arial" w:cs="Arial" w:eastAsia="Arial" w:hAnsi="Arial"/>
          <w:sz w:val="15"/>
          <w:szCs w:val="15"/>
          <w:b w:val="1"/>
          <w:bCs w:val="1"/>
          <w:u w:val="single" w:color="auto"/>
          <w:color w:val="auto"/>
        </w:rPr>
        <w:t>Wireless Communications</w:t>
      </w:r>
      <w:r>
        <w:rPr>
          <w:rFonts w:ascii="Arial" w:cs="Arial" w:eastAsia="Arial" w:hAnsi="Arial"/>
          <w:sz w:val="15"/>
          <w:szCs w:val="15"/>
          <w:color w:val="auto"/>
        </w:rPr>
        <w:t>.</w:t>
      </w:r>
    </w:p>
    <w:p>
      <w:pPr>
        <w:spacing w:after="0" w:line="225" w:lineRule="exact"/>
        <w:rPr>
          <w:sz w:val="20"/>
          <w:szCs w:val="20"/>
          <w:color w:val="auto"/>
        </w:rPr>
      </w:pPr>
    </w:p>
    <w:p>
      <w:pPr>
        <w:ind w:right="180" w:firstLine="1296"/>
        <w:spacing w:after="0" w:line="261" w:lineRule="auto"/>
        <w:rPr>
          <w:sz w:val="20"/>
          <w:szCs w:val="20"/>
          <w:color w:val="auto"/>
        </w:rPr>
      </w:pPr>
      <w:r>
        <w:rPr>
          <w:rFonts w:ascii="Arial" w:cs="Arial" w:eastAsia="Arial" w:hAnsi="Arial"/>
          <w:sz w:val="18"/>
          <w:szCs w:val="18"/>
          <w:color w:val="auto"/>
        </w:rPr>
        <w:t xml:space="preserve">29.35.1 </w:t>
      </w:r>
      <w:r>
        <w:rPr>
          <w:rFonts w:ascii="Arial" w:cs="Arial" w:eastAsia="Arial" w:hAnsi="Arial"/>
          <w:sz w:val="18"/>
          <w:szCs w:val="18"/>
          <w:b w:val="1"/>
          <w:bCs w:val="1"/>
          <w:u w:val="single" w:color="auto"/>
          <w:color w:val="auto"/>
        </w:rPr>
        <w:t>Landlord’s Wireless Communication Equipment</w:t>
      </w:r>
      <w:r>
        <w:rPr>
          <w:rFonts w:ascii="Arial" w:cs="Arial" w:eastAsia="Arial" w:hAnsi="Arial"/>
          <w:sz w:val="18"/>
          <w:szCs w:val="18"/>
          <w:color w:val="auto"/>
        </w:rPr>
        <w:t>. Tenant acknowledges that Landlord may elect, in its sole and absolute discretion, to install and maintain (either itself or through a third party service provider) certain office and communications services (specifically including, without limitation, wireless communication equipment) in the Building or Project, or any portion thereof (“</w:t>
      </w:r>
      <w:r>
        <w:rPr>
          <w:rFonts w:ascii="Arial" w:cs="Arial" w:eastAsia="Arial" w:hAnsi="Arial"/>
          <w:sz w:val="18"/>
          <w:szCs w:val="18"/>
          <w:b w:val="1"/>
          <w:bCs w:val="1"/>
          <w:color w:val="auto"/>
        </w:rPr>
        <w:t>Landlord’s Communication</w:t>
      </w:r>
      <w:r>
        <w:rPr>
          <w:rFonts w:ascii="Arial" w:cs="Arial" w:eastAsia="Arial" w:hAnsi="Arial"/>
          <w:sz w:val="18"/>
          <w:szCs w:val="18"/>
          <w:color w:val="auto"/>
        </w:rPr>
        <w:t xml:space="preserve"> </w:t>
      </w:r>
      <w:r>
        <w:rPr>
          <w:rFonts w:ascii="Arial" w:cs="Arial" w:eastAsia="Arial" w:hAnsi="Arial"/>
          <w:sz w:val="18"/>
          <w:szCs w:val="18"/>
          <w:b w:val="1"/>
          <w:bCs w:val="1"/>
          <w:color w:val="auto"/>
        </w:rPr>
        <w:t>Equipment</w:t>
      </w:r>
      <w:r>
        <w:rPr>
          <w:rFonts w:ascii="Arial" w:cs="Arial" w:eastAsia="Arial" w:hAnsi="Arial"/>
          <w:sz w:val="18"/>
          <w:szCs w:val="18"/>
          <w:color w:val="auto"/>
        </w:rPr>
        <w:t>”).</w:t>
      </w:r>
    </w:p>
    <w:p>
      <w:pPr>
        <w:spacing w:after="0" w:line="180" w:lineRule="exact"/>
        <w:rPr>
          <w:sz w:val="20"/>
          <w:szCs w:val="20"/>
          <w:color w:val="auto"/>
        </w:rPr>
      </w:pPr>
    </w:p>
    <w:p>
      <w:pPr>
        <w:ind w:right="140" w:firstLine="1296"/>
        <w:spacing w:after="0" w:line="261" w:lineRule="auto"/>
        <w:rPr>
          <w:sz w:val="20"/>
          <w:szCs w:val="20"/>
          <w:color w:val="auto"/>
        </w:rPr>
      </w:pPr>
      <w:r>
        <w:rPr>
          <w:rFonts w:ascii="Arial" w:cs="Arial" w:eastAsia="Arial" w:hAnsi="Arial"/>
          <w:sz w:val="18"/>
          <w:szCs w:val="18"/>
          <w:color w:val="auto"/>
        </w:rPr>
        <w:t xml:space="preserve">29.35.2 </w:t>
      </w:r>
      <w:r>
        <w:rPr>
          <w:rFonts w:ascii="Arial" w:cs="Arial" w:eastAsia="Arial" w:hAnsi="Arial"/>
          <w:sz w:val="18"/>
          <w:szCs w:val="18"/>
          <w:b w:val="1"/>
          <w:bCs w:val="1"/>
          <w:u w:val="single" w:color="auto"/>
          <w:color w:val="auto"/>
        </w:rPr>
        <w:t>Tenant’s Wireless Communication Equipment</w:t>
      </w:r>
      <w:r>
        <w:rPr>
          <w:rFonts w:ascii="Arial" w:cs="Arial" w:eastAsia="Arial" w:hAnsi="Arial"/>
          <w:sz w:val="18"/>
          <w:szCs w:val="18"/>
          <w:color w:val="auto"/>
        </w:rPr>
        <w:t xml:space="preserve">. Subject to Landlord’s prior written approval, which approval shall not be unreasonably withheld, conditioned or delayed, and subject to, in accordance with, and the terms and conditions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29.35,</w:t>
      </w:r>
      <w:r>
        <w:rPr>
          <w:rFonts w:ascii="Arial" w:cs="Arial" w:eastAsia="Arial" w:hAnsi="Arial"/>
          <w:sz w:val="18"/>
          <w:szCs w:val="18"/>
          <w:color w:val="auto"/>
        </w:rPr>
        <w:t xml:space="preserve"> Tenant may install and maintain, at Tenant’s sole cost and expense, wireless communication equipment within the Premises (the “</w:t>
      </w:r>
      <w:r>
        <w:rPr>
          <w:rFonts w:ascii="Arial" w:cs="Arial" w:eastAsia="Arial" w:hAnsi="Arial"/>
          <w:sz w:val="18"/>
          <w:szCs w:val="18"/>
          <w:b w:val="1"/>
          <w:bCs w:val="1"/>
          <w:color w:val="auto"/>
        </w:rPr>
        <w:t>Wireless Communication Equipment</w:t>
      </w:r>
      <w:r>
        <w:rPr>
          <w:rFonts w:ascii="Arial" w:cs="Arial" w:eastAsia="Arial" w:hAnsi="Arial"/>
          <w:sz w:val="18"/>
          <w:szCs w:val="18"/>
          <w:color w:val="auto"/>
        </w:rPr>
        <w:t>”). Such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7" w:name="page578"/>
    <w:bookmarkEnd w:id="577"/>
    <w:p>
      <w:pPr>
        <w:ind w:right="140"/>
        <w:spacing w:after="0" w:line="301" w:lineRule="auto"/>
        <w:rPr>
          <w:sz w:val="20"/>
          <w:szCs w:val="20"/>
          <w:color w:val="auto"/>
        </w:rPr>
      </w:pPr>
      <w:r>
        <w:rPr>
          <w:rFonts w:ascii="Arial" w:cs="Arial" w:eastAsia="Arial" w:hAnsi="Arial"/>
          <w:sz w:val="16"/>
          <w:szCs w:val="16"/>
          <w:color w:val="auto"/>
        </w:rPr>
        <w:t>Wireless Communication Equipment shall be used for wireless communications within the Premises only, and shall be for the servicing of the operations conducted by Tenant from within the Premises. Tenant shall not be entitled to license its Wireless Communication Equipment to any third party, nor shall Tenant be permitted to receive any revenues, fees or any other consideration for the use of such Communication Equipment by any third party. Such Wireless Communication Equipment shall, in all instances, comply with applicable governmental laws, codes, rules and regulations.</w:t>
      </w:r>
    </w:p>
    <w:p>
      <w:pPr>
        <w:spacing w:after="0" w:line="153"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29.35.3 </w:t>
      </w:r>
      <w:r>
        <w:rPr>
          <w:rFonts w:ascii="Arial" w:cs="Arial" w:eastAsia="Arial" w:hAnsi="Arial"/>
          <w:sz w:val="16"/>
          <w:szCs w:val="16"/>
          <w:b w:val="1"/>
          <w:bCs w:val="1"/>
          <w:u w:val="single" w:color="auto"/>
          <w:color w:val="auto"/>
        </w:rPr>
        <w:t>Use of Wireless Equipment</w:t>
      </w:r>
      <w:r>
        <w:rPr>
          <w:rFonts w:ascii="Arial" w:cs="Arial" w:eastAsia="Arial" w:hAnsi="Arial"/>
          <w:sz w:val="16"/>
          <w:szCs w:val="16"/>
          <w:color w:val="auto"/>
        </w:rPr>
        <w:t>. Tenant hereby acknowledges and agrees that its use of the Wireless Communication Equipment (i) shall not be permitted to interfere with any wireless communication equipment or other equipment of any other tenant or occupant of the Building or Project, (ii) shall not be permitted to interfere with any wireless communication equipment or other equipment of any other third-party with whom Landlord has any third-party agreement, and (iii) shall not be permitted to interfere with Landlord’s Communication Equipment. Landlord shall use commercially reasonable efforts to ensure that Landlord’s Communication Equipment does not interfere with Tenant’s Wireless Communication Equipment; provided, however, Tenant hereby acknowledges and agrees that Landlord has made no warranty or representation to Tenant with respect to the suitability of the Premises for any wireless communications, specifically including, without limitation, with respect to the quality and clarity of any receptions and transmissions to or from the Wireless Communication Equipment and the presence of any interference with such signals whether emanating from Landlord’s Communication Equipment, the Building, the Project or otherwise. In no event shall any such interfere with Tenant’s Wireless Communication Equipment have any effect on this Lease or give to Tenant any offset or defense to the full and timely performance of its obligations hereunder, or entitle Tenant to any abatement of rent or additional rent or any other payment required to be made by Tenant hereunder, or constitute any accrual or constructive eviction of Tenant, or otherwise give rise to any other claim of any nature against Landlord.</w:t>
      </w:r>
    </w:p>
    <w:p>
      <w:pPr>
        <w:spacing w:after="0" w:line="168" w:lineRule="exact"/>
        <w:rPr>
          <w:sz w:val="20"/>
          <w:szCs w:val="20"/>
          <w:color w:val="auto"/>
        </w:rPr>
      </w:pPr>
    </w:p>
    <w:p>
      <w:pPr>
        <w:ind w:right="20" w:firstLine="648"/>
        <w:spacing w:after="0" w:line="281" w:lineRule="auto"/>
        <w:rPr>
          <w:sz w:val="20"/>
          <w:szCs w:val="20"/>
          <w:color w:val="auto"/>
        </w:rPr>
      </w:pPr>
      <w:r>
        <w:rPr>
          <w:rFonts w:ascii="Arial" w:cs="Arial" w:eastAsia="Arial" w:hAnsi="Arial"/>
          <w:sz w:val="16"/>
          <w:szCs w:val="16"/>
          <w:color w:val="auto"/>
        </w:rPr>
        <w:t xml:space="preserve">29.36 </w:t>
      </w:r>
      <w:r>
        <w:rPr>
          <w:rFonts w:ascii="Arial" w:cs="Arial" w:eastAsia="Arial" w:hAnsi="Arial"/>
          <w:sz w:val="16"/>
          <w:szCs w:val="16"/>
          <w:b w:val="1"/>
          <w:bCs w:val="1"/>
          <w:u w:val="single" w:color="auto"/>
          <w:color w:val="auto"/>
        </w:rPr>
        <w:t>Fitness Center</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29.36</w:t>
      </w:r>
      <w:r>
        <w:rPr>
          <w:rFonts w:ascii="Arial" w:cs="Arial" w:eastAsia="Arial" w:hAnsi="Arial"/>
          <w:sz w:val="16"/>
          <w:szCs w:val="16"/>
          <w:color w:val="auto"/>
        </w:rPr>
        <w:t>, so long as Tenant is not in Default under this Lease, and provided Tenant’s employees execute Landlord’s standard waiver of liability form, then Tenant’s employees (the “</w:t>
      </w:r>
      <w:r>
        <w:rPr>
          <w:rFonts w:ascii="Arial" w:cs="Arial" w:eastAsia="Arial" w:hAnsi="Arial"/>
          <w:sz w:val="16"/>
          <w:szCs w:val="16"/>
          <w:b w:val="1"/>
          <w:bCs w:val="1"/>
          <w:color w:val="auto"/>
        </w:rPr>
        <w:t>Fitness Center Users</w:t>
      </w:r>
      <w:r>
        <w:rPr>
          <w:rFonts w:ascii="Arial" w:cs="Arial" w:eastAsia="Arial" w:hAnsi="Arial"/>
          <w:sz w:val="16"/>
          <w:szCs w:val="16"/>
          <w:color w:val="auto"/>
        </w:rPr>
        <w:t>”) shall be entitled to use the fitness center in the building located on the first (1</w:t>
      </w:r>
      <w:r>
        <w:rPr>
          <w:rFonts w:ascii="Arial" w:cs="Arial" w:eastAsia="Arial" w:hAnsi="Arial"/>
          <w:sz w:val="20"/>
          <w:szCs w:val="20"/>
          <w:color w:val="auto"/>
          <w:vertAlign w:val="superscript"/>
        </w:rPr>
        <w:t>st</w:t>
      </w:r>
      <w:r>
        <w:rPr>
          <w:rFonts w:ascii="Arial" w:cs="Arial" w:eastAsia="Arial" w:hAnsi="Arial"/>
          <w:sz w:val="16"/>
          <w:szCs w:val="16"/>
          <w:color w:val="auto"/>
        </w:rPr>
        <w:t>) floor of the building located at 100 Mathilda Place, Sunnyvale, California, or similar facilities serving the Project (collectively, the “</w:t>
      </w:r>
      <w:r>
        <w:rPr>
          <w:rFonts w:ascii="Arial" w:cs="Arial" w:eastAsia="Arial" w:hAnsi="Arial"/>
          <w:sz w:val="16"/>
          <w:szCs w:val="16"/>
          <w:b w:val="1"/>
          <w:bCs w:val="1"/>
          <w:color w:val="auto"/>
        </w:rPr>
        <w:t>Fitness Center</w:t>
      </w:r>
      <w:r>
        <w:rPr>
          <w:rFonts w:ascii="Arial" w:cs="Arial" w:eastAsia="Arial" w:hAnsi="Arial"/>
          <w:sz w:val="16"/>
          <w:szCs w:val="16"/>
          <w:color w:val="auto"/>
        </w:rPr>
        <w:t xml:space="preserve">”) during the Lease Term. The costs of operating, maintaining and supplying the Fitness Center shall be included in Operating Expenses. The use of the Fitness Center shall be subject to the rules and regulations that may be established from time to time by Landlord for the Fitness Center. Landlord and Tenant acknowledge that the use of the Fitness Center by the Fitness Center Users shall be at their own risk and that the terms and provisions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Lease shall apply to Tenant and the Fitness Center Users’ use of the Fitness Center. Tenant shall not permit any person other than the Fitness Center Users to use the Fitness Center without the prior written approval of Landlord or Landlord’s representative. All Fitness Center Users and approved guests must have pre-authorized keycards to enter the Fitness Center. Fitness Center Users’ keycards shall not be shared and shall only be used by the individual to whom such keycard was issued. Failure to abide by this rule may result in immediate termination of such Fitness Center User’s right to use the Fitness Center. Tenant acknowledges that the provisions of this </w:t>
      </w:r>
      <w:r>
        <w:rPr>
          <w:rFonts w:ascii="Arial" w:cs="Arial" w:eastAsia="Arial" w:hAnsi="Arial"/>
          <w:sz w:val="16"/>
          <w:szCs w:val="16"/>
          <w:u w:val="single" w:color="auto"/>
          <w:color w:val="auto"/>
        </w:rPr>
        <w:t>Section 29.36</w:t>
      </w:r>
      <w:r>
        <w:rPr>
          <w:rFonts w:ascii="Arial" w:cs="Arial" w:eastAsia="Arial" w:hAnsi="Arial"/>
          <w:sz w:val="16"/>
          <w:szCs w:val="16"/>
          <w:color w:val="auto"/>
        </w:rPr>
        <w:t xml:space="preserve"> shall not be deemed to be a representation by Landlord that Landlord shall continuously maintain the Fitness Center (or any other fitness facility) throughout the Lease Term, and Landlord shall have the right, at Landlord’s sole discretion, to expand, contract, eliminate or otherwise modify the Fitness Center. In addition, in the event that Landlord no longer owns the building(s) in which the Fitness Center is located, the rights of Tenant and the Fitness Center Users to use the Fitness Center may, at Landlord’s option, be terminated. No expansion, contraction, elimination or modification of the Fitness Center, and no termination of Tenant’s or the Fitness Center Users’ right to the Fitness Center shall entitle Tenant to an abatement or reduction in Rent, or constitute a constructive eviction, or result in an event of default by Landlord under this Lease.</w:t>
      </w:r>
    </w:p>
    <w:p>
      <w:pPr>
        <w:spacing w:after="0" w:line="172"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29.37 </w:t>
      </w:r>
      <w:r>
        <w:rPr>
          <w:rFonts w:ascii="Arial" w:cs="Arial" w:eastAsia="Arial" w:hAnsi="Arial"/>
          <w:sz w:val="18"/>
          <w:szCs w:val="18"/>
          <w:b w:val="1"/>
          <w:bCs w:val="1"/>
          <w:u w:val="single" w:color="auto"/>
          <w:color w:val="auto"/>
        </w:rPr>
        <w:t>No Discrimination</w:t>
      </w:r>
      <w:r>
        <w:rPr>
          <w:rFonts w:ascii="Arial" w:cs="Arial" w:eastAsia="Arial" w:hAnsi="Arial"/>
          <w:sz w:val="18"/>
          <w:szCs w:val="18"/>
          <w:color w:val="auto"/>
        </w:rPr>
        <w:t>. There shall be no discrimination against, or segregation of, any person or persons on account of sex, marital status, race, color, religion, creed, national origin, sexual orientation, familial status, disability or ancestry in the Transfer of the Premises, or any portion thereof, nor shall the Tenant itself, or any person claiming under or through it, establish or permit any such practice or practices of discrimination or segregation with reference to the selection, location, number, use or occupancy of tenants, lessees, subtenants, sublessees, or vendees of the Premises, or any portion thereof.</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29.38 </w:t>
      </w:r>
      <w:r>
        <w:rPr>
          <w:rFonts w:ascii="Arial" w:cs="Arial" w:eastAsia="Arial" w:hAnsi="Arial"/>
          <w:sz w:val="18"/>
          <w:szCs w:val="18"/>
          <w:b w:val="1"/>
          <w:bCs w:val="1"/>
          <w:u w:val="single" w:color="auto"/>
          <w:color w:val="auto"/>
        </w:rPr>
        <w:t>Rent from Real Property</w:t>
      </w:r>
      <w:r>
        <w:rPr>
          <w:rFonts w:ascii="Arial" w:cs="Arial" w:eastAsia="Arial" w:hAnsi="Arial"/>
          <w:sz w:val="18"/>
          <w:szCs w:val="18"/>
          <w:color w:val="auto"/>
        </w:rPr>
        <w:t>. Tenant and Landlord intend that all amounts payable by Tenant to Landlord shall qualify as “rents from real property,” and will otherwise not constitute “unrelated business taxable income” or “impermissible tenant services income,” all within the meaning of both Sections 512(b)(3) and 856(d)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the U.S. Department of Treasury Regulations promulgated thereunder (the “</w:t>
      </w:r>
      <w:r>
        <w:rPr>
          <w:rFonts w:ascii="Arial" w:cs="Arial" w:eastAsia="Arial" w:hAnsi="Arial"/>
          <w:sz w:val="18"/>
          <w:szCs w:val="18"/>
          <w:b w:val="1"/>
          <w:bCs w:val="1"/>
          <w:color w:val="auto"/>
        </w:rPr>
        <w:t>Regulations</w:t>
      </w:r>
      <w:r>
        <w:rPr>
          <w:rFonts w:ascii="Arial" w:cs="Arial" w:eastAsia="Arial" w:hAnsi="Arial"/>
          <w:sz w:val="18"/>
          <w:szCs w:val="18"/>
          <w:color w:val="auto"/>
        </w:rPr>
        <w:t>”). In the event that Landlord reasonably determines that there is any risk that any amount payable under this Lease shall not qualify as “rents from real property” or will otherwise constitute unrelated business taxable income or impermissible tenant services income within the meaning of Sections 512(b)(3) or 856(d) of the Code and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8" w:name="page579"/>
    <w:bookmarkEnd w:id="578"/>
    <w:p>
      <w:pPr>
        <w:spacing w:after="0" w:line="285" w:lineRule="auto"/>
        <w:rPr>
          <w:sz w:val="20"/>
          <w:szCs w:val="20"/>
          <w:color w:val="auto"/>
        </w:rPr>
      </w:pPr>
      <w:r>
        <w:rPr>
          <w:rFonts w:ascii="Arial" w:cs="Arial" w:eastAsia="Arial" w:hAnsi="Arial"/>
          <w:sz w:val="16"/>
          <w:szCs w:val="16"/>
          <w:color w:val="auto"/>
        </w:rPr>
        <w:t>the Regulations promulgated thereunder, Tenant agrees (a) to cooperate with Landlord by entering into such amendment or amendments as Landlord deems necessary to qualify all amounts payable under the Lease as “rents from real property” and (b) to permit (and, upon request, to acknowledge in writing) an assignment of certain services under this Lease, and, upon request, to enter into direct agreements with the parties furnishing such services. Notwithstanding the foregoing, Tenant shall not be required to take any action pursuant to the preceding sentence (including acknowledging in writing an assignment of services pursuant thereto) if such action would result in (i) Tenant’s incurring more than de minimis additional liability under the Lease or</w:t>
      </w:r>
    </w:p>
    <w:p>
      <w:pPr>
        <w:spacing w:after="0" w:line="2" w:lineRule="exact"/>
        <w:rPr>
          <w:sz w:val="20"/>
          <w:szCs w:val="20"/>
          <w:color w:val="auto"/>
        </w:rPr>
      </w:pPr>
    </w:p>
    <w:p>
      <w:pPr>
        <w:ind w:right="240" w:firstLine="8"/>
        <w:spacing w:after="0" w:line="292" w:lineRule="auto"/>
        <w:tabs>
          <w:tab w:leader="none" w:pos="265" w:val="left"/>
        </w:tabs>
        <w:numPr>
          <w:ilvl w:val="0"/>
          <w:numId w:val="510"/>
        </w:numPr>
        <w:rPr>
          <w:rFonts w:ascii="Arial" w:cs="Arial" w:eastAsia="Arial" w:hAnsi="Arial"/>
          <w:sz w:val="16"/>
          <w:szCs w:val="16"/>
          <w:color w:val="auto"/>
        </w:rPr>
      </w:pPr>
      <w:r>
        <w:rPr>
          <w:rFonts w:ascii="Arial" w:cs="Arial" w:eastAsia="Arial" w:hAnsi="Arial"/>
          <w:sz w:val="16"/>
          <w:szCs w:val="16"/>
          <w:color w:val="auto"/>
        </w:rPr>
        <w:t>more than a de minimis negative change in the quality or level of Building operations or services rendered to Tenant under this Lease. For the avoidance of doubt, (A) if Tenant does not acknowledge in writing an assignment as described in clause (ii) above (it being agreed that Tenant shall not unreasonably withhold, condition or delay such acknowledgment so long as the criteria in clauses (i) and (ii) are satisfied), then Landlord shall not be released from liability under this Lease with respect to the services so assigned; and (B) nothing in this Section shall limit or otherwise affect Landlord’s ability to assign its entire interest in this Lease to any party as part of a conveyance of Landlord’s ownership interest in the Building.</w:t>
      </w:r>
    </w:p>
    <w:p>
      <w:pPr>
        <w:spacing w:after="0" w:line="158"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color w:val="auto"/>
        </w:rPr>
        <w:t xml:space="preserve">29.39 </w:t>
      </w:r>
      <w:r>
        <w:rPr>
          <w:rFonts w:ascii="Arial" w:cs="Arial" w:eastAsia="Arial" w:hAnsi="Arial"/>
          <w:sz w:val="16"/>
          <w:szCs w:val="16"/>
          <w:b w:val="1"/>
          <w:bCs w:val="1"/>
          <w:u w:val="single" w:color="auto"/>
          <w:color w:val="auto"/>
        </w:rPr>
        <w:t>Services</w:t>
      </w:r>
      <w:r>
        <w:rPr>
          <w:rFonts w:ascii="Arial" w:cs="Arial" w:eastAsia="Arial" w:hAnsi="Arial"/>
          <w:sz w:val="16"/>
          <w:szCs w:val="16"/>
          <w:color w:val="auto"/>
        </w:rPr>
        <w:t>. Any services which Landlord is required to furnish pursuant to the provisions of this Lease may, at Landlord’s option, be furnished from time to time, in whole or in part, by employees of Landlord or Landlord’s managing agent or its employees or by one or more third persons hired by Landlord or the Landlord’s managing agent. Tenant agrees that upon Landlord’s written request it will enter into direct agreements with the Landlord’s managing agent or other parties designated by Landlord for the furnishing of any such services required to be furnished by Landlord hereunder, in the form and content approved by Landlord, provided however that no such contract shall result in Tenant having to pay in the aggregate more money on account of its occupancy of the Premises under the terms of this Lease, and provided further that no such contract shall result in Tenant having materially greater obligations or receiving less services than it is presently obligated for or entitled to receive under this Lease or, services of a lesser quality.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9" w:name="page580"/>
    <w:bookmarkEnd w:id="579"/>
    <w:p>
      <w:pPr>
        <w:spacing w:after="0"/>
        <w:rPr>
          <w:sz w:val="20"/>
          <w:szCs w:val="20"/>
          <w:color w:val="auto"/>
        </w:rPr>
      </w:pPr>
      <w:r>
        <w:rPr>
          <w:rFonts w:ascii="Arial" w:cs="Arial" w:eastAsia="Arial" w:hAnsi="Arial"/>
          <w:sz w:val="16"/>
          <w:szCs w:val="16"/>
          <w:color w:val="auto"/>
        </w:rPr>
        <w:t>IN WITNESS WHEREOF, Landlord and Tenant have caused this Lease to be executed the day and date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SPF MATHILDA,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980"/>
        <w:spacing w:after="0"/>
        <w:tabs>
          <w:tab w:leader="none" w:pos="5480" w:val="left"/>
        </w:tabs>
        <w:rPr>
          <w:sz w:val="20"/>
          <w:szCs w:val="20"/>
          <w:color w:val="auto"/>
        </w:rPr>
      </w:pPr>
      <w:r>
        <w:rPr>
          <w:rFonts w:ascii="Arial" w:cs="Arial" w:eastAsia="Arial" w:hAnsi="Arial"/>
          <w:sz w:val="18"/>
          <w:szCs w:val="18"/>
          <w:color w:val="auto"/>
        </w:rPr>
        <w:t>By:</w:t>
        <w:tab/>
        <w:t>/s/ Lauren B.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322326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5500"/>
        <w:spacing w:after="0"/>
        <w:tabs>
          <w:tab w:leader="none" w:pos="6240" w:val="left"/>
        </w:tabs>
        <w:rPr>
          <w:sz w:val="20"/>
          <w:szCs w:val="20"/>
          <w:color w:val="auto"/>
        </w:rPr>
      </w:pPr>
      <w:r>
        <w:rPr>
          <w:rFonts w:ascii="Arial" w:cs="Arial" w:eastAsia="Arial" w:hAnsi="Arial"/>
          <w:sz w:val="18"/>
          <w:szCs w:val="18"/>
          <w:color w:val="auto"/>
        </w:rPr>
        <w:t>Name:</w:t>
        <w:tab/>
        <w:t>Lauren B.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14605</wp:posOffset>
            </wp:positionV>
            <wp:extent cx="274320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 w:lineRule="exact"/>
        <w:rPr>
          <w:sz w:val="20"/>
          <w:szCs w:val="20"/>
          <w:color w:val="auto"/>
        </w:rPr>
      </w:pPr>
    </w:p>
    <w:p>
      <w:pPr>
        <w:ind w:left="5500"/>
        <w:spacing w:after="0"/>
        <w:tabs>
          <w:tab w:leader="none" w:pos="6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14605</wp:posOffset>
            </wp:positionV>
            <wp:extent cx="274320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CROWDSTRIKE, INC.,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4980"/>
        <w:spacing w:after="0"/>
        <w:tabs>
          <w:tab w:leader="none" w:pos="5480" w:val="left"/>
        </w:tabs>
        <w:rPr>
          <w:sz w:val="20"/>
          <w:szCs w:val="20"/>
          <w:color w:val="auto"/>
        </w:rPr>
      </w:pPr>
      <w:r>
        <w:rPr>
          <w:rFonts w:ascii="Arial" w:cs="Arial" w:eastAsia="Arial" w:hAnsi="Arial"/>
          <w:sz w:val="18"/>
          <w:szCs w:val="18"/>
          <w:color w:val="auto"/>
        </w:rPr>
        <w:t>By:</w:t>
        <w:tab/>
        <w:t>/s/ Burt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322326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3" w:lineRule="exact"/>
        <w:rPr>
          <w:sz w:val="20"/>
          <w:szCs w:val="20"/>
          <w:color w:val="auto"/>
        </w:rPr>
      </w:pPr>
    </w:p>
    <w:p>
      <w:pPr>
        <w:ind w:left="5500"/>
        <w:spacing w:after="0"/>
        <w:tabs>
          <w:tab w:leader="none" w:pos="6240" w:val="left"/>
        </w:tabs>
        <w:rPr>
          <w:sz w:val="20"/>
          <w:szCs w:val="20"/>
          <w:color w:val="auto"/>
        </w:rPr>
      </w:pPr>
      <w:r>
        <w:rPr>
          <w:rFonts w:ascii="Arial" w:cs="Arial" w:eastAsia="Arial" w:hAnsi="Arial"/>
          <w:sz w:val="18"/>
          <w:szCs w:val="18"/>
          <w:color w:val="auto"/>
        </w:rPr>
        <w:t>Name:</w:t>
        <w:tab/>
        <w:t>Burt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14605</wp:posOffset>
            </wp:positionV>
            <wp:extent cx="274320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 w:lineRule="exact"/>
        <w:rPr>
          <w:sz w:val="20"/>
          <w:szCs w:val="20"/>
          <w:color w:val="auto"/>
        </w:rPr>
      </w:pPr>
    </w:p>
    <w:p>
      <w:pPr>
        <w:ind w:left="5500"/>
        <w:spacing w:after="0"/>
        <w:tabs>
          <w:tab w:leader="none" w:pos="6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14605</wp:posOffset>
            </wp:positionV>
            <wp:extent cx="274320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322326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14605</wp:posOffset>
            </wp:positionV>
            <wp:extent cx="274320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5715</wp:posOffset>
            </wp:positionV>
            <wp:extent cx="274320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479"/>
          </w:cols>
          <w:pgMar w:left="980" w:top="341" w:right="1440" w:bottom="1440" w:gutter="0" w:footer="0" w:header="0"/>
        </w:sectPr>
      </w:pPr>
    </w:p>
    <w:bookmarkStart w:id="580" w:name="page581"/>
    <w:bookmarkEnd w:id="58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SUNNYVALE CITY CENTER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154940</wp:posOffset>
            </wp:positionV>
            <wp:extent cx="5349240" cy="45002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349240" cy="450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81" w:name="page582"/>
    <w:bookmarkEnd w:id="581"/>
    <w:p>
      <w:pPr>
        <w:jc w:val="center"/>
        <w:ind w:right="-7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SUNNYVALE CITY CENTER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TENANT WORK LETTER</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This Tenant Work Letter shall set forth the terms and conditions relating to the construction of the tenant improvements in the Premises. This Tenant Work Letter is essentially organized chronologically and addresses the issues of the construction of the Premises, in sequence, as such issues will arise during the actual construction of the Premises. All references in this Tenant Work Letter to Articles or Sections of “this Lease” shall mean the relevant portion of </w:t>
      </w:r>
      <w:r>
        <w:rPr>
          <w:rFonts w:ascii="Arial" w:cs="Arial" w:eastAsia="Arial" w:hAnsi="Arial"/>
          <w:sz w:val="16"/>
          <w:szCs w:val="16"/>
          <w:u w:val="single" w:color="auto"/>
          <w:color w:val="auto"/>
        </w:rPr>
        <w:t>Articles 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29</w:t>
      </w:r>
      <w:r>
        <w:rPr>
          <w:rFonts w:ascii="Arial" w:cs="Arial" w:eastAsia="Arial" w:hAnsi="Arial"/>
          <w:sz w:val="16"/>
          <w:szCs w:val="16"/>
          <w:color w:val="auto"/>
        </w:rPr>
        <w:t xml:space="preserve"> of the Lease to which this Tenant Work Letter is attached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and of which this Tenant Work Letter forms a part, and all references in this Tenant Work Letter to Sections of “this Work Letter” shall mean the relevant portion of </w:t>
      </w:r>
      <w:r>
        <w:rPr>
          <w:rFonts w:ascii="Arial" w:cs="Arial" w:eastAsia="Arial" w:hAnsi="Arial"/>
          <w:sz w:val="16"/>
          <w:szCs w:val="16"/>
          <w:u w:val="single" w:color="auto"/>
          <w:color w:val="auto"/>
        </w:rPr>
        <w:t>Sections 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w:t>
      </w:r>
      <w:r>
        <w:rPr>
          <w:rFonts w:ascii="Arial" w:cs="Arial" w:eastAsia="Arial" w:hAnsi="Arial"/>
          <w:sz w:val="16"/>
          <w:szCs w:val="16"/>
          <w:color w:val="auto"/>
        </w:rPr>
        <w:t xml:space="preserve"> of this Tenant Work Letter.</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SECTION 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DELIVERY OF THE PREMISES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Tenant acknowledges that Tenant has thoroughly examined the Premises. Upon the full execution and delivery of this Lease by Landlord and Tenant, Landlord shall deliver the Premises and Tenant shall accept the Premises from Landlord in their presently existing, “as-is” condition as of the date of this Lease, except as otherwise expressly provided in the Lease.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SECTION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Tenant Improvement Allowance</w:t>
      </w:r>
      <w:r>
        <w:rPr>
          <w:rFonts w:ascii="Arial" w:cs="Arial" w:eastAsia="Arial" w:hAnsi="Arial"/>
          <w:sz w:val="17"/>
          <w:szCs w:val="17"/>
          <w:color w:val="auto"/>
        </w:rPr>
        <w:t>. Tenant shall be entitled to the one-time Tenant Improvement Allowance for the costs relating to the initial design and construction of Tenant’s improvements, which are permanently affixed to the Premises (the “</w:t>
      </w:r>
      <w:r>
        <w:rPr>
          <w:rFonts w:ascii="Arial" w:cs="Arial" w:eastAsia="Arial" w:hAnsi="Arial"/>
          <w:sz w:val="17"/>
          <w:szCs w:val="17"/>
          <w:b w:val="1"/>
          <w:bCs w:val="1"/>
          <w:color w:val="auto"/>
        </w:rPr>
        <w:t>Tenant Improvements</w:t>
      </w:r>
      <w:r>
        <w:rPr>
          <w:rFonts w:ascii="Arial" w:cs="Arial" w:eastAsia="Arial" w:hAnsi="Arial"/>
          <w:sz w:val="17"/>
          <w:szCs w:val="17"/>
          <w:color w:val="auto"/>
        </w:rPr>
        <w:t>”). In no event shall Landlord be obligated to make disbursements pursuant to this Tenant Work Letter in a total amount which exceeds the Tenant Improvement Allowance, except to the extent specifically required by the terms of the Lease and this Tenant Work Letter. All Tenant Improvements for which the Tenant Improvement Allowance has been utilized shall be deemed Landlord’s property under the terms of the Lease. In the event that Tenant shall fail to use the entire Tenant Improvement Allowance within one (1) year following the Delivery Date, such unused amounts shall be the sole property of Landlord and Tenant shall have no claim to any such unused amounts.</w:t>
      </w:r>
    </w:p>
    <w:p>
      <w:pPr>
        <w:spacing w:after="0" w:line="17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Disbursement of the Tenant Improvement Allowance</w:t>
      </w:r>
      <w:r>
        <w:rPr>
          <w:rFonts w:ascii="Arial" w:cs="Arial" w:eastAsia="Arial" w:hAnsi="Arial"/>
          <w:sz w:val="16"/>
          <w:szCs w:val="16"/>
          <w:color w:val="auto"/>
        </w:rPr>
        <w:t>.</w:t>
      </w:r>
    </w:p>
    <w:p>
      <w:pPr>
        <w:spacing w:after="0" w:line="225" w:lineRule="exact"/>
        <w:rPr>
          <w:sz w:val="20"/>
          <w:szCs w:val="20"/>
          <w:color w:val="auto"/>
        </w:rPr>
      </w:pPr>
    </w:p>
    <w:p>
      <w:pPr>
        <w:ind w:right="260" w:firstLine="1296"/>
        <w:spacing w:after="0" w:line="347"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Tenant Improvement Allowance Items</w:t>
      </w:r>
      <w:r>
        <w:rPr>
          <w:rFonts w:ascii="Arial" w:cs="Arial" w:eastAsia="Arial" w:hAnsi="Arial"/>
          <w:sz w:val="16"/>
          <w:szCs w:val="16"/>
          <w:color w:val="auto"/>
        </w:rPr>
        <w:t>. Except as otherwise set forth in this Tenant Work Letter, the Tenant Improvement Allowance shall be disbursed by Landlord only for the following items and costs (collectively the “</w:t>
      </w:r>
      <w:r>
        <w:rPr>
          <w:rFonts w:ascii="Arial" w:cs="Arial" w:eastAsia="Arial" w:hAnsi="Arial"/>
          <w:sz w:val="16"/>
          <w:szCs w:val="16"/>
          <w:b w:val="1"/>
          <w:bCs w:val="1"/>
          <w:color w:val="auto"/>
        </w:rPr>
        <w:t>Tenant Improvement Allowance Items</w:t>
      </w:r>
      <w:r>
        <w:rPr>
          <w:rFonts w:ascii="Arial" w:cs="Arial" w:eastAsia="Arial" w:hAnsi="Arial"/>
          <w:sz w:val="16"/>
          <w:szCs w:val="16"/>
          <w:color w:val="auto"/>
        </w:rPr>
        <w:t>”):</w:t>
      </w:r>
    </w:p>
    <w:p>
      <w:pPr>
        <w:spacing w:after="0" w:line="120" w:lineRule="exact"/>
        <w:rPr>
          <w:sz w:val="20"/>
          <w:szCs w:val="20"/>
          <w:color w:val="auto"/>
        </w:rPr>
      </w:pPr>
    </w:p>
    <w:p>
      <w:pPr>
        <w:jc w:val="both"/>
        <w:ind w:right="40" w:firstLine="1944"/>
        <w:spacing w:after="0" w:line="311" w:lineRule="auto"/>
        <w:rPr>
          <w:sz w:val="20"/>
          <w:szCs w:val="20"/>
          <w:color w:val="auto"/>
        </w:rPr>
      </w:pPr>
      <w:r>
        <w:rPr>
          <w:rFonts w:ascii="Arial" w:cs="Arial" w:eastAsia="Arial" w:hAnsi="Arial"/>
          <w:sz w:val="16"/>
          <w:szCs w:val="16"/>
          <w:color w:val="auto"/>
        </w:rPr>
        <w:t xml:space="preserve">2.2.1.1 Payment of the fees of the “Architect/Space Planner” and the “Engineers,” as those terms are defined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Tenant Work Letter, and payment of the fees incurred by, and the cost of documents and materials supplied by, Landlord and Landlord’s consultants in connection with the preparation and review of the “Construction Documents,” as that term is defined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Tenant Work Letter;</w:t>
      </w:r>
    </w:p>
    <w:p>
      <w:pPr>
        <w:spacing w:after="0" w:line="149"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The payment of plan check, permit and license fees relating to construction of the Tenant Improvements;</w:t>
      </w:r>
    </w:p>
    <w:p>
      <w:pPr>
        <w:spacing w:after="0" w:line="225" w:lineRule="exact"/>
        <w:rPr>
          <w:sz w:val="20"/>
          <w:szCs w:val="20"/>
          <w:color w:val="auto"/>
        </w:rPr>
      </w:pPr>
    </w:p>
    <w:p>
      <w:pPr>
        <w:jc w:val="both"/>
        <w:ind w:right="60" w:firstLine="1944"/>
        <w:spacing w:after="0" w:line="277" w:lineRule="auto"/>
        <w:rPr>
          <w:sz w:val="20"/>
          <w:szCs w:val="20"/>
          <w:color w:val="auto"/>
        </w:rPr>
      </w:pPr>
      <w:r>
        <w:rPr>
          <w:rFonts w:ascii="Arial" w:cs="Arial" w:eastAsia="Arial" w:hAnsi="Arial"/>
          <w:sz w:val="18"/>
          <w:szCs w:val="18"/>
          <w:color w:val="auto"/>
        </w:rPr>
        <w:t>2.2.1.3 The cost of construction of the Tenant Improvements, including, without limitation, demolition, testing and inspection costs, trash removal costs, parking fees, after-hours utilities usage and contractors’ fees and general conditions;</w:t>
      </w:r>
    </w:p>
    <w:p>
      <w:pPr>
        <w:spacing w:after="0" w:line="170" w:lineRule="exact"/>
        <w:rPr>
          <w:sz w:val="20"/>
          <w:szCs w:val="20"/>
          <w:color w:val="auto"/>
        </w:rPr>
      </w:pPr>
    </w:p>
    <w:p>
      <w:pPr>
        <w:ind w:right="20" w:firstLine="1944"/>
        <w:spacing w:after="0" w:line="259" w:lineRule="auto"/>
        <w:rPr>
          <w:sz w:val="20"/>
          <w:szCs w:val="20"/>
          <w:color w:val="auto"/>
        </w:rPr>
      </w:pPr>
      <w:r>
        <w:rPr>
          <w:rFonts w:ascii="Arial" w:cs="Arial" w:eastAsia="Arial" w:hAnsi="Arial"/>
          <w:sz w:val="18"/>
          <w:szCs w:val="18"/>
          <w:color w:val="auto"/>
        </w:rPr>
        <w:t>2.2.1.4 The cost of any changes anywhere in the base building or the floor of the Building on which the Premises is located, when such changes are required by the Construction Documents (including if such changes are due to the fact that such work is prepared on an unoccupied basis) or to comply with applicable governmental regulations or building codes (collectively, the “</w:t>
      </w:r>
      <w:r>
        <w:rPr>
          <w:rFonts w:ascii="Arial" w:cs="Arial" w:eastAsia="Arial" w:hAnsi="Arial"/>
          <w:sz w:val="18"/>
          <w:szCs w:val="18"/>
          <w:b w:val="1"/>
          <w:bCs w:val="1"/>
          <w:color w:val="auto"/>
        </w:rPr>
        <w:t>Code</w:t>
      </w:r>
      <w:r>
        <w:rPr>
          <w:rFonts w:ascii="Arial" w:cs="Arial" w:eastAsia="Arial" w:hAnsi="Arial"/>
          <w:sz w:val="18"/>
          <w:szCs w:val="18"/>
          <w:color w:val="auto"/>
        </w:rPr>
        <w:t>”), such cost to include all direct architectural and/or engineering fees and expenses incurred in connection therewith;</w:t>
      </w:r>
    </w:p>
    <w:p>
      <w:pPr>
        <w:spacing w:after="0" w:line="18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2.2.1.5</w:t>
      </w:r>
      <w:r>
        <w:rPr>
          <w:sz w:val="20"/>
          <w:szCs w:val="20"/>
          <w:color w:val="auto"/>
        </w:rPr>
        <w:tab/>
      </w:r>
      <w:r>
        <w:rPr>
          <w:rFonts w:ascii="Arial" w:cs="Arial" w:eastAsia="Arial" w:hAnsi="Arial"/>
          <w:sz w:val="16"/>
          <w:szCs w:val="16"/>
          <w:color w:val="auto"/>
        </w:rPr>
        <w:t>The cost of any changes to the Construction Documents or Tenant Improvements required by Code;</w:t>
      </w:r>
    </w:p>
    <w:p>
      <w:pPr>
        <w:spacing w:after="0" w:line="225"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2.2.1.6</w:t>
      </w:r>
      <w:r>
        <w:rPr>
          <w:sz w:val="20"/>
          <w:szCs w:val="20"/>
          <w:color w:val="auto"/>
        </w:rPr>
        <w:tab/>
      </w:r>
      <w:r>
        <w:rPr>
          <w:rFonts w:ascii="Arial" w:cs="Arial" w:eastAsia="Arial" w:hAnsi="Arial"/>
          <w:sz w:val="15"/>
          <w:szCs w:val="15"/>
          <w:color w:val="auto"/>
        </w:rPr>
        <w:t>Sales and use taxes and Title 24 fees;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82" w:name="page583"/>
    <w:bookmarkEnd w:id="582"/>
    <w:p>
      <w:pPr>
        <w:ind w:left="1960"/>
        <w:spacing w:after="0"/>
        <w:rPr>
          <w:sz w:val="20"/>
          <w:szCs w:val="20"/>
          <w:color w:val="auto"/>
        </w:rPr>
      </w:pPr>
      <w:r>
        <w:rPr>
          <w:rFonts w:ascii="Arial" w:cs="Arial" w:eastAsia="Arial" w:hAnsi="Arial"/>
          <w:sz w:val="18"/>
          <w:szCs w:val="18"/>
          <w:color w:val="auto"/>
        </w:rPr>
        <w:t xml:space="preserve">2.2.1.7 the “Landlord Coordination Fee,” as that term is defined in </w:t>
      </w:r>
      <w:r>
        <w:rPr>
          <w:rFonts w:ascii="Arial" w:cs="Arial" w:eastAsia="Arial" w:hAnsi="Arial"/>
          <w:sz w:val="18"/>
          <w:szCs w:val="18"/>
          <w:u w:val="single" w:color="auto"/>
          <w:color w:val="auto"/>
        </w:rPr>
        <w:t>Section 4.2.6</w:t>
      </w:r>
      <w:r>
        <w:rPr>
          <w:rFonts w:ascii="Arial" w:cs="Arial" w:eastAsia="Arial" w:hAnsi="Arial"/>
          <w:sz w:val="18"/>
          <w:szCs w:val="18"/>
          <w:color w:val="auto"/>
        </w:rPr>
        <w:t xml:space="preserve"> of this Tenant Work Letter; and</w:t>
      </w:r>
    </w:p>
    <w:p>
      <w:pPr>
        <w:spacing w:after="0" w:line="225" w:lineRule="exact"/>
        <w:rPr>
          <w:sz w:val="20"/>
          <w:szCs w:val="20"/>
          <w:color w:val="auto"/>
        </w:rPr>
      </w:pPr>
    </w:p>
    <w:p>
      <w:pPr>
        <w:ind w:right="100" w:firstLine="1944"/>
        <w:spacing w:after="0" w:line="277" w:lineRule="auto"/>
        <w:rPr>
          <w:sz w:val="20"/>
          <w:szCs w:val="20"/>
          <w:color w:val="auto"/>
        </w:rPr>
      </w:pPr>
      <w:r>
        <w:rPr>
          <w:rFonts w:ascii="Arial" w:cs="Arial" w:eastAsia="Arial" w:hAnsi="Arial"/>
          <w:sz w:val="18"/>
          <w:szCs w:val="18"/>
          <w:color w:val="auto"/>
        </w:rPr>
        <w:t xml:space="preserve">2.2.1.8 the cost of combining the Premises with Tenant’s adjacent space and/or Tenant’s space adjacent thereto, as described in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of the Lease; and</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2.2.1.9 All other costs approved by or expended by Tenant in connection with the construction of the Tenant Improvements.</w:t>
      </w:r>
    </w:p>
    <w:p>
      <w:pPr>
        <w:spacing w:after="0" w:line="244" w:lineRule="exact"/>
        <w:rPr>
          <w:sz w:val="20"/>
          <w:szCs w:val="20"/>
          <w:color w:val="auto"/>
        </w:rPr>
      </w:pPr>
    </w:p>
    <w:p>
      <w:pPr>
        <w:ind w:firstLine="1296"/>
        <w:spacing w:after="0" w:line="26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u w:val="single" w:color="auto"/>
          <w:color w:val="auto"/>
        </w:rPr>
        <w:t>Disbursement of Tenant Improvement Allowance</w:t>
      </w:r>
      <w:r>
        <w:rPr>
          <w:rFonts w:ascii="Arial" w:cs="Arial" w:eastAsia="Arial" w:hAnsi="Arial"/>
          <w:sz w:val="18"/>
          <w:szCs w:val="18"/>
          <w:color w:val="auto"/>
        </w:rPr>
        <w:t>. During the construction of the Tenant Improvements, Landlord shall make monthly disbursements of the Tenant Improvement Allowance for Tenant Improvement Allowance Items for the benefit of Tenant and shall authorize the release of monies for the benefit of Tenant as follows.</w:t>
      </w:r>
    </w:p>
    <w:p>
      <w:pPr>
        <w:spacing w:after="0" w:line="176" w:lineRule="exact"/>
        <w:rPr>
          <w:sz w:val="20"/>
          <w:szCs w:val="20"/>
          <w:color w:val="auto"/>
        </w:rPr>
      </w:pPr>
    </w:p>
    <w:p>
      <w:pPr>
        <w:ind w:right="60" w:firstLine="1944"/>
        <w:spacing w:after="0" w:line="281" w:lineRule="auto"/>
        <w:rPr>
          <w:sz w:val="20"/>
          <w:szCs w:val="20"/>
          <w:color w:val="auto"/>
        </w:rPr>
      </w:pPr>
      <w:r>
        <w:rPr>
          <w:rFonts w:ascii="Arial" w:cs="Arial" w:eastAsia="Arial" w:hAnsi="Arial"/>
          <w:sz w:val="16"/>
          <w:szCs w:val="16"/>
          <w:color w:val="auto"/>
        </w:rPr>
        <w:t xml:space="preserve">2.2.2.1 </w:t>
      </w:r>
      <w:r>
        <w:rPr>
          <w:rFonts w:ascii="Arial" w:cs="Arial" w:eastAsia="Arial" w:hAnsi="Arial"/>
          <w:sz w:val="16"/>
          <w:szCs w:val="16"/>
          <w:b w:val="1"/>
          <w:bCs w:val="1"/>
          <w:u w:val="single" w:color="auto"/>
          <w:color w:val="auto"/>
        </w:rPr>
        <w:t>Monthly Disbursements</w:t>
      </w:r>
      <w:r>
        <w:rPr>
          <w:rFonts w:ascii="Arial" w:cs="Arial" w:eastAsia="Arial" w:hAnsi="Arial"/>
          <w:sz w:val="16"/>
          <w:szCs w:val="16"/>
          <w:color w:val="auto"/>
        </w:rPr>
        <w:t>. On or before the twentieth (20</w:t>
      </w:r>
      <w:r>
        <w:rPr>
          <w:rFonts w:ascii="Arial" w:cs="Arial" w:eastAsia="Arial" w:hAnsi="Arial"/>
          <w:sz w:val="20"/>
          <w:szCs w:val="20"/>
          <w:color w:val="auto"/>
          <w:vertAlign w:val="superscript"/>
        </w:rPr>
        <w:t>th</w:t>
      </w:r>
      <w:r>
        <w:rPr>
          <w:rFonts w:ascii="Arial" w:cs="Arial" w:eastAsia="Arial" w:hAnsi="Arial"/>
          <w:sz w:val="16"/>
          <w:szCs w:val="16"/>
          <w:color w:val="auto"/>
        </w:rPr>
        <w:t>) day of each calendar month during the construction of the Tenant Improvements (the “</w:t>
      </w:r>
      <w:r>
        <w:rPr>
          <w:rFonts w:ascii="Arial" w:cs="Arial" w:eastAsia="Arial" w:hAnsi="Arial"/>
          <w:sz w:val="16"/>
          <w:szCs w:val="16"/>
          <w:b w:val="1"/>
          <w:bCs w:val="1"/>
          <w:color w:val="auto"/>
        </w:rPr>
        <w:t>Submittal Date</w:t>
      </w:r>
      <w:r>
        <w:rPr>
          <w:rFonts w:ascii="Arial" w:cs="Arial" w:eastAsia="Arial" w:hAnsi="Arial"/>
          <w:sz w:val="16"/>
          <w:szCs w:val="16"/>
          <w:color w:val="auto"/>
        </w:rPr>
        <w:t xml:space="preserve">”) (or such other date as Landlord may designate), Tenant shall deliver to Landlord: (i) a request for payment of the “Contractor,” as that term is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this Tenant Work Letter, approved by Tenant showing the schedule, by trade, of percentage of completion of the Tenant Improvements in the Premises; (ii) invoices from all of “Tenant’s Agents,” as that term is defined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this Tenant Work Letter, for labor rendered and materials delivered to the Premises (if such invoice is for the Contractor, the Contractor will need to provide an application and certificate for payment [AIA form G702-1992 or equivalent] signed by the Architect/Space Planner, and a breakdown sheet [AIA form G703-1992 or equivalent]); (iii) an original letter from the Tenant approving such invoices and requesting payment from the Tenant Improvement Allowance; (iv) executed mechanic’s lien releases, which lien releases shall be conditional with respect to the then-requested payment amounts and unconditional with respect to payment amounts previously disbursed by Landlord or Tenant, from all of Tenant’s Agents which shall comply with the appropriate provisions, as reasonably determined by Landlord, of California Civil Code Sections 8132, 8134, 8136 and 8138; and (v) all other information reasonably requested by Landlord. Tenant’s request for payment shall be deemed Tenant’s acceptance and approval of the work furnished and/or the materials supplied as set forth in Tenant’s payment request. On or before the date occurring thirty (30) days after the Submittal Date, and assuming Landlord receives all of the information described in items (i) through (v), above, and subject to Tenant first disbursing any portion of the Over-Allowance Amount (as defined below) in accordance with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Landlord shall deliver a check to Tenant made to Tenant’s Agent (or to Tenant if such invoices were previously paid by the Tenant) in payment of the lesser of: (A) the amounts so requested by Tenant, as set forth in this </w:t>
      </w:r>
      <w:r>
        <w:rPr>
          <w:rFonts w:ascii="Arial" w:cs="Arial" w:eastAsia="Arial" w:hAnsi="Arial"/>
          <w:sz w:val="16"/>
          <w:szCs w:val="16"/>
          <w:u w:val="single" w:color="auto"/>
          <w:color w:val="auto"/>
        </w:rPr>
        <w:t>Section 2.2.2.1</w:t>
      </w:r>
      <w:r>
        <w:rPr>
          <w:rFonts w:ascii="Arial" w:cs="Arial" w:eastAsia="Arial" w:hAnsi="Arial"/>
          <w:sz w:val="16"/>
          <w:szCs w:val="16"/>
          <w:color w:val="auto"/>
        </w:rPr>
        <w:t>, above, less a ten percent (10%) retention (the aggregate amount of such retentions shall be known as the “</w:t>
      </w:r>
      <w:r>
        <w:rPr>
          <w:rFonts w:ascii="Arial" w:cs="Arial" w:eastAsia="Arial" w:hAnsi="Arial"/>
          <w:sz w:val="16"/>
          <w:szCs w:val="16"/>
          <w:b w:val="1"/>
          <w:bCs w:val="1"/>
          <w:color w:val="auto"/>
        </w:rPr>
        <w:t>Final TI Allowance Reimbursement</w:t>
      </w:r>
      <w:r>
        <w:rPr>
          <w:rFonts w:ascii="Arial" w:cs="Arial" w:eastAsia="Arial" w:hAnsi="Arial"/>
          <w:sz w:val="16"/>
          <w:szCs w:val="16"/>
          <w:color w:val="auto"/>
        </w:rPr>
        <w:t xml:space="preserve">”), and (B) the balance of any remaining available portion of the Tenant Improvement Allowance (not including the Final TI Allowance Reimbursement), provided that Landlord does not dispute any request for payment based on non-compliance of any work with the “Approved Construction Documents”, as that term is 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below, or due to any substandard work, or for any other reason as provided in this Lease. Landlord’s payment of such amounts shall not be deemed Landlord’s approval or acceptance of the work furnished or materials supplied as set forth in Tenant’s payment request.</w:t>
      </w:r>
    </w:p>
    <w:p>
      <w:pPr>
        <w:spacing w:after="0" w:line="174" w:lineRule="exact"/>
        <w:rPr>
          <w:sz w:val="20"/>
          <w:szCs w:val="20"/>
          <w:color w:val="auto"/>
        </w:rPr>
      </w:pPr>
    </w:p>
    <w:p>
      <w:pPr>
        <w:ind w:right="80" w:firstLine="1944"/>
        <w:spacing w:after="0" w:line="284" w:lineRule="auto"/>
        <w:rPr>
          <w:sz w:val="20"/>
          <w:szCs w:val="20"/>
          <w:color w:val="auto"/>
        </w:rPr>
      </w:pPr>
      <w:r>
        <w:rPr>
          <w:rFonts w:ascii="Arial" w:cs="Arial" w:eastAsia="Arial" w:hAnsi="Arial"/>
          <w:sz w:val="16"/>
          <w:szCs w:val="16"/>
          <w:color w:val="auto"/>
        </w:rPr>
        <w:t xml:space="preserve">2.2.2.2 </w:t>
      </w:r>
      <w:r>
        <w:rPr>
          <w:rFonts w:ascii="Arial" w:cs="Arial" w:eastAsia="Arial" w:hAnsi="Arial"/>
          <w:sz w:val="16"/>
          <w:szCs w:val="16"/>
          <w:b w:val="1"/>
          <w:bCs w:val="1"/>
          <w:u w:val="single" w:color="auto"/>
          <w:color w:val="auto"/>
        </w:rPr>
        <w:t>Final TI Allowance Reimbursement</w:t>
      </w:r>
      <w:r>
        <w:rPr>
          <w:rFonts w:ascii="Arial" w:cs="Arial" w:eastAsia="Arial" w:hAnsi="Arial"/>
          <w:sz w:val="16"/>
          <w:szCs w:val="16"/>
          <w:color w:val="auto"/>
        </w:rPr>
        <w:t>. Subject to the provisions of this Tenant Work Letter, a check for the Final TI Allowance Reimbursement payable to Tenant shall be delivered by Landlord to Tenant following the completion of construction of the Premises, provided that (i) Tenant delivers to Landlord (a) properly executed, unconditional final mechanic’s lien releases from all of Tenant’s Agents, showing the amounts paid, in compliance with California Civil Code Sections 8132, 8134, 8136 and 8138, (b) Contractor’s last application and certificate for payment (AIA form G702 1992 or equivalent) signed by the Architect/Space Planner, (c) a breakdown sheet (AIA form G703 1992 or equivalent), (d) original stamped building permit plans, (e) copy of the building permit, (f) original stamped building permit inspection card with all final sign-offs, (g) full size bond copies and a CD R disk containing electronic files of the “as built” drawings of the Tenant Improvements in both “dwg” and “pdf” formats, from the Architect/Space Planner for architectural drawings, and from the Contractor for all other trades, (h) air balance reports, (i) excess energy use calculations,</w:t>
      </w:r>
    </w:p>
    <w:p>
      <w:pPr>
        <w:spacing w:after="0" w:line="5" w:lineRule="exact"/>
        <w:rPr>
          <w:sz w:val="20"/>
          <w:szCs w:val="20"/>
          <w:color w:val="auto"/>
        </w:rPr>
      </w:pPr>
    </w:p>
    <w:p>
      <w:pPr>
        <w:ind w:right="40" w:firstLine="8"/>
        <w:spacing w:after="0" w:line="268" w:lineRule="auto"/>
        <w:tabs>
          <w:tab w:leader="none" w:pos="215" w:val="left"/>
        </w:tabs>
        <w:numPr>
          <w:ilvl w:val="0"/>
          <w:numId w:val="511"/>
        </w:numPr>
        <w:rPr>
          <w:rFonts w:ascii="Arial" w:cs="Arial" w:eastAsia="Arial" w:hAnsi="Arial"/>
          <w:sz w:val="17"/>
          <w:szCs w:val="17"/>
          <w:color w:val="auto"/>
        </w:rPr>
      </w:pPr>
      <w:r>
        <w:rPr>
          <w:rFonts w:ascii="Arial" w:cs="Arial" w:eastAsia="Arial" w:hAnsi="Arial"/>
          <w:sz w:val="17"/>
          <w:szCs w:val="17"/>
          <w:color w:val="auto"/>
        </w:rPr>
        <w:t>one year warranty letters from Tenant’s Agents, (k) manufacturer’s warranties and operating instructions, (l) final punchlist completed and signed off by Tenant and the Architect/Space Planner, (m) letters of compliance from the Engineers stating that the Engineers have inspected the Tenant Improvements and that they complies with the Engineers’ drawings and specifications, (n) a copy of the recorded Notice of Completion, and (o) a final list of all contractors/vendors/consultants retained by Tenant in connection with the Tenant Improvements and any other improvements in the Premises pursuant to this Tenant Work Letter, including, but not limited to, the Contractor, other contractors, subcontractors and the remaining Tenant’s Agents, the Architect/Space Planner, the Engineers, systems furniture vendors/ installers, data/telephone cabling/equipment vendors/installers, etc., which final list shall set forth the full legal name, address, contact name (with telephone/fax/e mail addresses) and the total price paid by Tenant for goods and services to each of such contractors/vendors/consultants (collectively, the “</w:t>
      </w:r>
      <w:r>
        <w:rPr>
          <w:rFonts w:ascii="Arial" w:cs="Arial" w:eastAsia="Arial" w:hAnsi="Arial"/>
          <w:sz w:val="17"/>
          <w:szCs w:val="17"/>
          <w:b w:val="1"/>
          <w:bCs w:val="1"/>
          <w:color w:val="auto"/>
        </w:rPr>
        <w:t>Final Close Out Package</w:t>
      </w:r>
      <w:r>
        <w:rPr>
          <w:rFonts w:ascii="Arial" w:cs="Arial" w:eastAsia="Arial" w:hAnsi="Arial"/>
          <w:sz w:val="17"/>
          <w:szCs w:val="17"/>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3" w:name="page584"/>
    <w:bookmarkEnd w:id="583"/>
    <w:p>
      <w:pPr>
        <w:jc w:val="both"/>
        <w:ind w:right="60"/>
        <w:spacing w:after="0" w:line="263" w:lineRule="auto"/>
        <w:rPr>
          <w:sz w:val="20"/>
          <w:szCs w:val="20"/>
          <w:color w:val="auto"/>
        </w:rPr>
      </w:pPr>
      <w:r>
        <w:rPr>
          <w:rFonts w:ascii="Arial" w:cs="Arial" w:eastAsia="Arial" w:hAnsi="Arial"/>
          <w:sz w:val="18"/>
          <w:szCs w:val="18"/>
          <w:color w:val="auto"/>
        </w:rPr>
        <w:t>and (ii) Landlord has determined that no substandard work exists which adversely affects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w:t>
      </w:r>
    </w:p>
    <w:p>
      <w:pPr>
        <w:spacing w:after="0" w:line="180"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Construction Rules, Requirements, Specifications, Design Criteria and Building Standards</w:t>
      </w:r>
      <w:r>
        <w:rPr>
          <w:rFonts w:ascii="Arial" w:cs="Arial" w:eastAsia="Arial" w:hAnsi="Arial"/>
          <w:sz w:val="16"/>
          <w:szCs w:val="16"/>
          <w:color w:val="auto"/>
        </w:rPr>
        <w:t>. Upon Tenant’s request, Landlord shall deliver to Tenant Landlord’s construction rules, regulation, requirements and procedures, and specifications, design criteria and Building standards with which Tenant, the “Architect/Space Planner,” as that term is defined below, and all Tenant’s Agents must comply in designing and constructing the Tenant Improvements in the Premises (the “</w:t>
      </w:r>
      <w:r>
        <w:rPr>
          <w:rFonts w:ascii="Arial" w:cs="Arial" w:eastAsia="Arial" w:hAnsi="Arial"/>
          <w:sz w:val="16"/>
          <w:szCs w:val="16"/>
          <w:b w:val="1"/>
          <w:bCs w:val="1"/>
          <w:color w:val="auto"/>
        </w:rPr>
        <w:t>Construction Rules, Requirements, Specifications, Design Criteria and Building Standards</w:t>
      </w:r>
      <w:r>
        <w:rPr>
          <w:rFonts w:ascii="Arial" w:cs="Arial" w:eastAsia="Arial" w:hAnsi="Arial"/>
          <w:sz w:val="16"/>
          <w:szCs w:val="16"/>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CONSTRUCTION DOCUMENTS</w:t>
      </w:r>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Selection of Architect/Space Planner/Construction Documents</w:t>
      </w:r>
      <w:r>
        <w:rPr>
          <w:rFonts w:ascii="Arial" w:cs="Arial" w:eastAsia="Arial" w:hAnsi="Arial"/>
          <w:sz w:val="17"/>
          <w:szCs w:val="17"/>
          <w:color w:val="auto"/>
        </w:rPr>
        <w:t>. Tenant shall retain a licensed, competent, reputable architect/space planner experienced in high-rise office space design selected by Tenant and reasonably approved by Landlord (the “</w:t>
      </w:r>
      <w:r>
        <w:rPr>
          <w:rFonts w:ascii="Arial" w:cs="Arial" w:eastAsia="Arial" w:hAnsi="Arial"/>
          <w:sz w:val="17"/>
          <w:szCs w:val="17"/>
          <w:b w:val="1"/>
          <w:bCs w:val="1"/>
          <w:color w:val="auto"/>
        </w:rPr>
        <w:t>Architect/Space Planner</w:t>
      </w:r>
      <w:r>
        <w:rPr>
          <w:rFonts w:ascii="Arial" w:cs="Arial" w:eastAsia="Arial" w:hAnsi="Arial"/>
          <w:sz w:val="17"/>
          <w:szCs w:val="17"/>
          <w:color w:val="auto"/>
        </w:rPr>
        <w:t>”) to prepare the Construction Documents. Tenant shall retain Landlord’s engineering consultants (the “</w:t>
      </w:r>
      <w:r>
        <w:rPr>
          <w:rFonts w:ascii="Arial" w:cs="Arial" w:eastAsia="Arial" w:hAnsi="Arial"/>
          <w:sz w:val="17"/>
          <w:szCs w:val="17"/>
          <w:b w:val="1"/>
          <w:bCs w:val="1"/>
          <w:color w:val="auto"/>
        </w:rPr>
        <w:t>Engineers</w:t>
      </w:r>
      <w:r>
        <w:rPr>
          <w:rFonts w:ascii="Arial" w:cs="Arial" w:eastAsia="Arial" w:hAnsi="Arial"/>
          <w:sz w:val="17"/>
          <w:szCs w:val="17"/>
          <w:color w:val="auto"/>
        </w:rPr>
        <w:t>”) to prepare all plans and engineering Construction Documents relating to the structural, mechanical, electrical, plumbing, HVAC, life safety, and sprinkler work in the Premises. The plans and drawings to be prepared by Architect/Space Planner and the Engineers hereunder shall be known collectively as the “</w:t>
      </w:r>
      <w:r>
        <w:rPr>
          <w:rFonts w:ascii="Arial" w:cs="Arial" w:eastAsia="Arial" w:hAnsi="Arial"/>
          <w:sz w:val="17"/>
          <w:szCs w:val="17"/>
          <w:b w:val="1"/>
          <w:bCs w:val="1"/>
          <w:color w:val="auto"/>
        </w:rPr>
        <w:t>Construction Documents</w:t>
      </w:r>
      <w:r>
        <w:rPr>
          <w:rFonts w:ascii="Arial" w:cs="Arial" w:eastAsia="Arial" w:hAnsi="Arial"/>
          <w:sz w:val="17"/>
          <w:szCs w:val="17"/>
          <w:color w:val="auto"/>
        </w:rPr>
        <w:t xml:space="preserve">.” All Construction Documents shall comply with Landlord’s drawing format and specifications. Landlord’s review of the Construction Documents as set forth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shall be for its sole purpose and shall not imply Landlord’s review of the same, or obligate Landlord to review the same, for quality, design, Code compliance or other like matters. Accordingly, notwithstanding that any Construction Documents are reviewed by Landlord or its space planner, architect, engineers and consultants, and notwithstanding any advice or assistance which may be rendered to Tenant by Landlord or Landlord’s space planner, architect, engineers, and consultants, Landlord shall have no liability whatsoever in connection therewith and shall not be responsible for any omissions or errors contained in the Construction Documents, and Tenant’s waiver and indemnity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this Lease shall specifically apply to the Construction Documents. Furthermore, Tenant and Architect/Space Planner shall verify, in the field, the dimensions and conditions as shown on the relevant portions of the base building plans, and Tenant and Architect/Space Planner shall be solely responsible for the same, and Landlord shall have no responsibility in connection therewith.</w:t>
      </w:r>
    </w:p>
    <w:p>
      <w:pPr>
        <w:spacing w:after="0" w:line="184"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Final Space Plan</w:t>
      </w:r>
      <w:r>
        <w:rPr>
          <w:rFonts w:ascii="Arial" w:cs="Arial" w:eastAsia="Arial" w:hAnsi="Arial"/>
          <w:sz w:val="16"/>
          <w:szCs w:val="16"/>
          <w:color w:val="auto"/>
        </w:rPr>
        <w:t>. Tenant shall supply Landlord with two (2) copies signed by Tenant of its final space plan for the Premises before any architectural Construction Documents or engineering drawings have been commenced. The final space plan (the “</w:t>
      </w:r>
      <w:r>
        <w:rPr>
          <w:rFonts w:ascii="Arial" w:cs="Arial" w:eastAsia="Arial" w:hAnsi="Arial"/>
          <w:sz w:val="16"/>
          <w:szCs w:val="16"/>
          <w:b w:val="1"/>
          <w:bCs w:val="1"/>
          <w:color w:val="auto"/>
        </w:rPr>
        <w:t>Final Space Plan</w:t>
      </w:r>
      <w:r>
        <w:rPr>
          <w:rFonts w:ascii="Arial" w:cs="Arial" w:eastAsia="Arial" w:hAnsi="Arial"/>
          <w:sz w:val="16"/>
          <w:szCs w:val="16"/>
          <w:color w:val="auto"/>
        </w:rPr>
        <w:t>”) shall include a layout and designation of all offices, rooms and other partitioning, their intended use, and equipment to be contained therein. Landlord may request clarification or more specific drawings for special use items not included in the Final Space Plan. Landlord shall advise Tenant within five (5) business days after Landlord’s receipt of the Final Space Plan for the Premises if the same is unsatisfactory or incomplete in any respect. If Tenant is so advised, Tenant shall promptly cause the Final Space Plan to be revised to correct any deficiencies or other matters Landlord may reasonably require.</w:t>
      </w:r>
    </w:p>
    <w:p>
      <w:pPr>
        <w:spacing w:after="0" w:line="16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auto"/>
        </w:rPr>
        <w:t>Final Construction Documents</w:t>
      </w:r>
      <w:r>
        <w:rPr>
          <w:rFonts w:ascii="Arial" w:cs="Arial" w:eastAsia="Arial" w:hAnsi="Arial"/>
          <w:sz w:val="17"/>
          <w:szCs w:val="17"/>
          <w:color w:val="auto"/>
        </w:rPr>
        <w:t>. After the approval of the Final Space Plan by Landlord and Tenant, Tenant shall promptly cause the Architect/Space Planner and the Engineers to complete the architectural and engineering drawings for the Premises, and Architect/Space Planner shall compile a fully coordinated set of architectural, structural, mechanical, electrical and plumbing Construction Documents in a form which is complete to allow subcontractors to bid on the work and to obtain all applicable permits (collectively, the “</w:t>
      </w:r>
      <w:r>
        <w:rPr>
          <w:rFonts w:ascii="Arial" w:cs="Arial" w:eastAsia="Arial" w:hAnsi="Arial"/>
          <w:sz w:val="17"/>
          <w:szCs w:val="17"/>
          <w:b w:val="1"/>
          <w:bCs w:val="1"/>
          <w:color w:val="auto"/>
        </w:rPr>
        <w:t>Final Construction Documents</w:t>
      </w:r>
      <w:r>
        <w:rPr>
          <w:rFonts w:ascii="Arial" w:cs="Arial" w:eastAsia="Arial" w:hAnsi="Arial"/>
          <w:sz w:val="17"/>
          <w:szCs w:val="17"/>
          <w:color w:val="auto"/>
        </w:rPr>
        <w:t>”) and shall submit the same to Landlord for Landlord’s approval. Tenant shall supply Landlord with two (2) copies signed by Tenant of such Final Construction Documents. Landlord shall advise Tenant within ten (10) business days after Landlord’s receipt of the Final Construction Documents for the Premises if the same is unsatisfactory or incomplete in any respect. If Tenant is so advised, Tenant shall immediately revise the Final Construction Documents in accordance with such review and any disapproval of Landlord in connection therewith.</w:t>
      </w:r>
    </w:p>
    <w:p>
      <w:pPr>
        <w:spacing w:after="0" w:line="17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Approved Construction Documents</w:t>
      </w:r>
      <w:r>
        <w:rPr>
          <w:rFonts w:ascii="Arial" w:cs="Arial" w:eastAsia="Arial" w:hAnsi="Arial"/>
          <w:sz w:val="18"/>
          <w:szCs w:val="18"/>
          <w:color w:val="auto"/>
        </w:rPr>
        <w:t>. The Final Construction Documents shall be approved by Landlord (the “</w:t>
      </w:r>
      <w:r>
        <w:rPr>
          <w:rFonts w:ascii="Arial" w:cs="Arial" w:eastAsia="Arial" w:hAnsi="Arial"/>
          <w:sz w:val="18"/>
          <w:szCs w:val="18"/>
          <w:b w:val="1"/>
          <w:bCs w:val="1"/>
          <w:color w:val="auto"/>
        </w:rPr>
        <w:t>Approved Construction</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prior to the commencement of construction of the Premises by Tenant. After approval by Landlord of the Final Construction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cause the Architect/Space Planner to submit the Approved Construction Documents to the appropriate municipal authorities for all architectural and structural permits (the “</w:t>
      </w:r>
      <w:r>
        <w:rPr>
          <w:rFonts w:ascii="Arial" w:cs="Arial" w:eastAsia="Arial" w:hAnsi="Arial"/>
          <w:sz w:val="18"/>
          <w:szCs w:val="18"/>
          <w:b w:val="1"/>
          <w:bCs w:val="1"/>
          <w:color w:val="auto"/>
        </w:rPr>
        <w:t>Permits</w:t>
      </w:r>
      <w:r>
        <w:rPr>
          <w:rFonts w:ascii="Arial" w:cs="Arial" w:eastAsia="Arial" w:hAnsi="Arial"/>
          <w:sz w:val="18"/>
          <w:szCs w:val="18"/>
          <w:color w:val="auto"/>
        </w:rPr>
        <w:t>”), provided that (a) the Architect/Space Planner shall provide Landlord with a copy of the package that it intends to submit prior to such submission, and (b) if there are Base Building modifications required to obtain the Permits, then Tenant shall obtain Landlord’s prior written consent to any such Base Building modifications. Tenant hereby agrees that neither Landlord nor Landlord’s consultants shall be responsible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4" w:name="page585"/>
    <w:bookmarkEnd w:id="584"/>
    <w:p>
      <w:pPr>
        <w:spacing w:after="0" w:line="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obtaining any building permit or certificate of occupancy (or other documentation or approval allowing Tenant to legally occupy the Premises) for the Premises and that obtaining the same shall be Tenant’s responsibility; provided, however, that Landlord shall cooperate with Tenant in performing ministerial acts reasonably necessary to enable Tenant to obtain any such permit or certificate of occupancy (or other documentation or approval allowing Tenant to legally occupy the Premises). No changes, modifications or alterations in the Approved Construction Documents may be made without the prior written consent of Landlord, which consent may not be unreasonably withheld.</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Restoration Obligations for Tenant Improvements</w:t>
      </w:r>
      <w:r>
        <w:rPr>
          <w:rFonts w:ascii="Arial" w:cs="Arial" w:eastAsia="Arial" w:hAnsi="Arial"/>
          <w:sz w:val="17"/>
          <w:szCs w:val="17"/>
          <w:color w:val="auto"/>
        </w:rPr>
        <w:t>. Concurrently with Landlord’s approval of the Final Space Plan, Landlord shall notify Tenant which portions of the Tenant Improvements, if any, that must be removed from the Premises by Tenant, at Tenant’s sole cost and expense, upon the expiration or earlier termination of the Lease Term. Tenant shall repair and restore, in a good and workmanlike manner, any damage to the Premises or the Project caused by Tenant’s removal of any such portions of the Tenant Improvements or by the closing of any slab penetrations, and upon default thereof, Tenant shall reimburse Landlord for Landlord’s reasonable cost of repairing and restoring such damage.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4</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CONSTRUCTION OF THE TENANT IMPROVEMENTS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u w:val="single" w:color="auto"/>
          <w:color w:val="auto"/>
        </w:rPr>
        <w:t>Tenant’s Selection of Contractors</w:t>
      </w:r>
      <w:r>
        <w:rPr>
          <w:rFonts w:ascii="Arial" w:cs="Arial" w:eastAsia="Arial" w:hAnsi="Arial"/>
          <w:sz w:val="15"/>
          <w:szCs w:val="15"/>
          <w:color w:val="auto"/>
        </w:rPr>
        <w:t>.</w:t>
      </w:r>
    </w:p>
    <w:p>
      <w:pPr>
        <w:spacing w:after="0" w:line="225"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The Contractor</w:t>
      </w:r>
      <w:r>
        <w:rPr>
          <w:rFonts w:ascii="Arial" w:cs="Arial" w:eastAsia="Arial" w:hAnsi="Arial"/>
          <w:sz w:val="18"/>
          <w:szCs w:val="18"/>
          <w:color w:val="auto"/>
        </w:rPr>
        <w:t>. Tenant shall retain a licensed general contractor selected by Tenant and reasonably approved by Landlord (the “</w:t>
      </w:r>
      <w:r>
        <w:rPr>
          <w:rFonts w:ascii="Arial" w:cs="Arial" w:eastAsia="Arial" w:hAnsi="Arial"/>
          <w:sz w:val="18"/>
          <w:szCs w:val="18"/>
          <w:b w:val="1"/>
          <w:bCs w:val="1"/>
          <w:color w:val="auto"/>
        </w:rPr>
        <w:t>Contractor</w:t>
      </w:r>
      <w:r>
        <w:rPr>
          <w:rFonts w:ascii="Arial" w:cs="Arial" w:eastAsia="Arial" w:hAnsi="Arial"/>
          <w:sz w:val="18"/>
          <w:szCs w:val="18"/>
          <w:color w:val="auto"/>
        </w:rPr>
        <w:t>”), as contractor for the construction of the Tenant Improvements, which Contractor shall be a qualified, reputable, general contractor experienced in class A, mid-rise office building tenant improvement construction in Sunnyvale, California, or other comparable cities in the San Francisco Bay Area.</w:t>
      </w:r>
    </w:p>
    <w:p>
      <w:pPr>
        <w:spacing w:after="0" w:line="180" w:lineRule="exact"/>
        <w:rPr>
          <w:sz w:val="20"/>
          <w:szCs w:val="20"/>
          <w:color w:val="auto"/>
        </w:rPr>
      </w:pPr>
    </w:p>
    <w:p>
      <w:pPr>
        <w:ind w:right="80" w:firstLine="1296"/>
        <w:spacing w:after="0" w:line="294"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b w:val="1"/>
          <w:bCs w:val="1"/>
          <w:u w:val="single" w:color="auto"/>
          <w:color w:val="auto"/>
        </w:rPr>
        <w:t>Tenant’s Agents</w:t>
      </w:r>
      <w:r>
        <w:rPr>
          <w:rFonts w:ascii="Arial" w:cs="Arial" w:eastAsia="Arial" w:hAnsi="Arial"/>
          <w:sz w:val="16"/>
          <w:szCs w:val="16"/>
          <w:color w:val="auto"/>
        </w:rPr>
        <w:t>. The Architect/Space Planner, Engineers, consultants, Contractor, other contractors, vendors, subcontractors, laborers, and material suppliers retained and/or used by Tenant shall be known collectively as the “</w:t>
      </w:r>
      <w:r>
        <w:rPr>
          <w:rFonts w:ascii="Arial" w:cs="Arial" w:eastAsia="Arial" w:hAnsi="Arial"/>
          <w:sz w:val="16"/>
          <w:szCs w:val="16"/>
          <w:b w:val="1"/>
          <w:bCs w:val="1"/>
          <w:color w:val="auto"/>
        </w:rPr>
        <w:t>Tenant’s Agents</w:t>
      </w:r>
      <w:r>
        <w:rPr>
          <w:rFonts w:ascii="Arial" w:cs="Arial" w:eastAsia="Arial" w:hAnsi="Arial"/>
          <w:sz w:val="16"/>
          <w:szCs w:val="16"/>
          <w:color w:val="auto"/>
        </w:rPr>
        <w:t>.” For the following trades, only those contractors, subcontractors, laborers, and material suppliers listed in the Construction Rules, Requirements, Specifications, Design Criteria and Building Standards may be selected by Tenant: Asbestos, Cable Television, Electrical, Elevators, Fire Sprinklers, Fire / Life Safety, HVAC, HVAC Air Balance, Plumbing, Roofing (as listed for each building comprising the Project), and Waste. The Electrical, Fire Sprinklers, Fire / Life Safety, HVAC and Plumbing must be engineered by, and any structural engineering must be conducted by, an engineer or engineers approved by Landlord.</w:t>
      </w:r>
    </w:p>
    <w:p>
      <w:pPr>
        <w:spacing w:after="0" w:line="16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Construction of Tenant Improvements by Tenant’s Agents</w:t>
      </w:r>
      <w:r>
        <w:rPr>
          <w:rFonts w:ascii="Arial" w:cs="Arial" w:eastAsia="Arial" w:hAnsi="Arial"/>
          <w:sz w:val="16"/>
          <w:szCs w:val="16"/>
          <w:color w:val="auto"/>
        </w:rPr>
        <w:t>.</w:t>
      </w:r>
    </w:p>
    <w:p>
      <w:pPr>
        <w:spacing w:after="0" w:line="225" w:lineRule="exact"/>
        <w:rPr>
          <w:sz w:val="20"/>
          <w:szCs w:val="20"/>
          <w:color w:val="auto"/>
        </w:rPr>
      </w:pPr>
    </w:p>
    <w:p>
      <w:pPr>
        <w:ind w:right="60" w:firstLine="1296"/>
        <w:spacing w:after="0" w:line="270"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b w:val="1"/>
          <w:bCs w:val="1"/>
          <w:u w:val="single" w:color="auto"/>
          <w:color w:val="auto"/>
        </w:rPr>
        <w:t>Construction Contract; Cost Budget</w:t>
      </w:r>
      <w:r>
        <w:rPr>
          <w:rFonts w:ascii="Arial" w:cs="Arial" w:eastAsia="Arial" w:hAnsi="Arial"/>
          <w:sz w:val="17"/>
          <w:szCs w:val="17"/>
          <w:color w:val="auto"/>
        </w:rPr>
        <w:t>. Prior to execution of a construction contract, Tenant shall submit a copy of the proposed contract with the Contractor for the construction of the Tenant Improvements, including the general conditions with Contractor (the “</w:t>
      </w:r>
      <w:r>
        <w:rPr>
          <w:rFonts w:ascii="Arial" w:cs="Arial" w:eastAsia="Arial" w:hAnsi="Arial"/>
          <w:sz w:val="17"/>
          <w:szCs w:val="17"/>
          <w:b w:val="1"/>
          <w:bCs w:val="1"/>
          <w:color w:val="auto"/>
        </w:rPr>
        <w:t>Contract</w:t>
      </w:r>
      <w:r>
        <w:rPr>
          <w:rFonts w:ascii="Arial" w:cs="Arial" w:eastAsia="Arial" w:hAnsi="Arial"/>
          <w:sz w:val="17"/>
          <w:szCs w:val="17"/>
          <w:color w:val="auto"/>
        </w:rPr>
        <w:t>”) to Landlord for its approval, which approval shall not be unreasonably withheld, conditioned or delayed. Following execution of the Contract and prior to commencement of construction, Tenant shall provide Landlord with a fully executed copy of the Contract for Landlord’s records. Prior to the commencement of the construction of the Tenant Improvements, and after Tenant has accepted all bids and proposals for the Tenant Improvements, Tenant shall provide Landlord with a detailed breakdown, by trade, for all of Tenant’s Agents, of the final estimated costs to be incurred or which have been incurred in connection with the design and construction of the Tenant Improvements to be performed by or at the direction of Tenant or the Contractor (the “</w:t>
      </w:r>
      <w:r>
        <w:rPr>
          <w:rFonts w:ascii="Arial" w:cs="Arial" w:eastAsia="Arial" w:hAnsi="Arial"/>
          <w:sz w:val="17"/>
          <w:szCs w:val="17"/>
          <w:b w:val="1"/>
          <w:bCs w:val="1"/>
          <w:color w:val="auto"/>
        </w:rPr>
        <w:t>Construction Budget</w:t>
      </w:r>
      <w:r>
        <w:rPr>
          <w:rFonts w:ascii="Arial" w:cs="Arial" w:eastAsia="Arial" w:hAnsi="Arial"/>
          <w:sz w:val="17"/>
          <w:szCs w:val="17"/>
          <w:color w:val="auto"/>
        </w:rPr>
        <w:t>”), which costs shall include, but not be limited to, the costs of the Architect’s and Engineers’ fees and the Landlord Coordination Fee. The amount, if any, by which the total costs set forth in the Construction Budget exceed the amount of the Tenant Improvement Allowance is referred to herein as the “</w:t>
      </w:r>
      <w:r>
        <w:rPr>
          <w:rFonts w:ascii="Arial" w:cs="Arial" w:eastAsia="Arial" w:hAnsi="Arial"/>
          <w:sz w:val="17"/>
          <w:szCs w:val="17"/>
          <w:b w:val="1"/>
          <w:bCs w:val="1"/>
          <w:color w:val="auto"/>
        </w:rPr>
        <w:t>Over Allowance Amount</w:t>
      </w:r>
      <w:r>
        <w:rPr>
          <w:rFonts w:ascii="Arial" w:cs="Arial" w:eastAsia="Arial" w:hAnsi="Arial"/>
          <w:sz w:val="17"/>
          <w:szCs w:val="17"/>
          <w:color w:val="auto"/>
        </w:rPr>
        <w:t>”.</w:t>
      </w:r>
    </w:p>
    <w:p>
      <w:pPr>
        <w:spacing w:after="0" w:line="181"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In the event that an Over-Allowance Amount exists, then prior to the commencement of construction of the Tenant Improvements, Tenant shall supply Landlord with cash in an amount equal to the Over-Allowance Amount. The Over-Allowance Amount shall be disbursed by Landlord prior to the disbursement of any of the then remaining portion of the Tenant Improvement Allowance, and such disbursement shall be pursuant to the same procedure as the Tenant Improvement Allowance. In the event that, after the total costs set forth in the Construction Budget have been delivered by Tenant to Landlord, the costs relating to the design and construction of the Tenant Improvements shall change, any additional costs for such design and construction in excess of the total costs set forth in the Construction Budget shall be added to the Over-Allowance Amount and the total costs set forth in the Construction Budget, and such additional costs shall be paid by Tenant to Landlord immediately as an addition to the Over-Allowance Amount or at Landlord’s option, Tenant shall make payments for such additional costs out of its own funds, but Tenant shall continue to provide Landlord with the documents described in items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 xml:space="preserve">(i), (ii), (iii) and (iv) of </w:t>
      </w:r>
      <w:r>
        <w:rPr>
          <w:rFonts w:ascii="Arial" w:cs="Arial" w:eastAsia="Arial" w:hAnsi="Arial"/>
          <w:sz w:val="17"/>
          <w:szCs w:val="17"/>
          <w:u w:val="single" w:color="auto"/>
          <w:color w:val="auto"/>
        </w:rPr>
        <w:t>Section 2.2.2.1</w:t>
      </w:r>
      <w:r>
        <w:rPr>
          <w:rFonts w:ascii="Arial" w:cs="Arial" w:eastAsia="Arial" w:hAnsi="Arial"/>
          <w:sz w:val="17"/>
          <w:szCs w:val="17"/>
          <w:color w:val="auto"/>
        </w:rPr>
        <w:t xml:space="preserve"> of this Tenant Work Letter, above, for Landlord’s approval, prior to Tenant paying such costs. All Tenant Improvements paid for by the Over-Allowance Amount shall be deemed Landlord’s property under the terms of the Lease.</w:t>
      </w:r>
    </w:p>
    <w:p>
      <w:pPr>
        <w:spacing w:after="0" w:line="142"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5"/>
          <w:szCs w:val="15"/>
          <w:b w:val="1"/>
          <w:bCs w:val="1"/>
          <w:u w:val="single" w:color="auto"/>
          <w:color w:val="auto"/>
        </w:rPr>
        <w:t>Tenant’s Agents</w:t>
      </w:r>
      <w:r>
        <w:rPr>
          <w:rFonts w:ascii="Arial" w:cs="Arial" w:eastAsia="Arial" w:hAnsi="Arial"/>
          <w:sz w:val="15"/>
          <w:szCs w:val="15"/>
          <w:color w:val="auto"/>
        </w:rPr>
        <w:t>.</w:t>
      </w:r>
    </w:p>
    <w:p>
      <w:pPr>
        <w:spacing w:after="0" w:line="225" w:lineRule="exact"/>
        <w:rPr>
          <w:sz w:val="20"/>
          <w:szCs w:val="20"/>
          <w:color w:val="auto"/>
        </w:rPr>
      </w:pPr>
    </w:p>
    <w:p>
      <w:pPr>
        <w:ind w:right="40" w:firstLine="1944"/>
        <w:spacing w:after="0" w:line="289" w:lineRule="auto"/>
        <w:rPr>
          <w:sz w:val="20"/>
          <w:szCs w:val="20"/>
          <w:color w:val="auto"/>
        </w:rPr>
      </w:pPr>
      <w:r>
        <w:rPr>
          <w:rFonts w:ascii="Arial" w:cs="Arial" w:eastAsia="Arial" w:hAnsi="Arial"/>
          <w:sz w:val="16"/>
          <w:szCs w:val="16"/>
          <w:color w:val="auto"/>
        </w:rPr>
        <w:t xml:space="preserve">4.2.2.1 </w:t>
      </w:r>
      <w:r>
        <w:rPr>
          <w:rFonts w:ascii="Arial" w:cs="Arial" w:eastAsia="Arial" w:hAnsi="Arial"/>
          <w:sz w:val="16"/>
          <w:szCs w:val="16"/>
          <w:b w:val="1"/>
          <w:bCs w:val="1"/>
          <w:u w:val="single" w:color="auto"/>
          <w:color w:val="auto"/>
        </w:rPr>
        <w:t>Landlord’s General Conditions for Tenant’s Agents and Tenant Improvement Work</w:t>
      </w:r>
      <w:r>
        <w:rPr>
          <w:rFonts w:ascii="Arial" w:cs="Arial" w:eastAsia="Arial" w:hAnsi="Arial"/>
          <w:sz w:val="16"/>
          <w:szCs w:val="16"/>
          <w:color w:val="auto"/>
        </w:rPr>
        <w:t>. Tenant’s and Tenant’s Agent’s construction of the Tenant Improvements shall comply with the following: (i) the Tenant Improvements shall be constructed in strict accordance with the Approved Construction Documents; (ii) Tenant and Tenant’s Agents shall not, in any way, materially interfere with, obstruct, or delay, the work of Landlord’s base building contractor and subcontractors with respect to the Base Building or any other work in the Building; (iii) Tenant’s Agents shall submit schedules of all work relating to the Tenant’s Improvements to Landlord and Landlord shall, within five (5) business days of receipt thereof, inform Tenant’s Agents of any changes which are necessary thereto, and Tenant’s Agents shall adhere to such corrected schedule; and (iv) Tenant shall abide by all rules made by Landlord with respect to the use of parking, freight, loading dock and service elevators, storage of materials, coordination of work with the contractors of other tenants, and any other matter in connection with this Tenant Work Letter, including, without limitation, the construction of the Tenant Improvements and Tenant shall promptly execute all documents including, but not limited to, Landlord’s standard contractor’s rules and regulations, as Landlord may deem reasonably necessary to evidence or confirm Tenant’s agreement to so abide.</w:t>
      </w:r>
    </w:p>
    <w:p>
      <w:pPr>
        <w:spacing w:after="0" w:line="161" w:lineRule="exact"/>
        <w:rPr>
          <w:sz w:val="20"/>
          <w:szCs w:val="20"/>
          <w:color w:val="auto"/>
        </w:rPr>
      </w:pPr>
    </w:p>
    <w:p>
      <w:pPr>
        <w:ind w:right="200" w:firstLine="1944"/>
        <w:spacing w:after="0" w:line="314" w:lineRule="auto"/>
        <w:rPr>
          <w:sz w:val="20"/>
          <w:szCs w:val="20"/>
          <w:color w:val="auto"/>
        </w:rPr>
      </w:pPr>
      <w:r>
        <w:rPr>
          <w:rFonts w:ascii="Arial" w:cs="Arial" w:eastAsia="Arial" w:hAnsi="Arial"/>
          <w:sz w:val="16"/>
          <w:szCs w:val="16"/>
          <w:color w:val="auto"/>
        </w:rPr>
        <w:t xml:space="preserve">4.2.2.2 </w:t>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 xml:space="preserve">. Tenant’s indemnity of Landlord as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w:t>
      </w:r>
    </w:p>
    <w:p>
      <w:pPr>
        <w:sectPr>
          <w:pgSz w:w="11900" w:h="16852" w:orient="portrait"/>
          <w:cols w:equalWidth="0" w:num="1">
            <w:col w:w="11240"/>
          </w:cols>
          <w:pgMar w:left="320" w:top="341" w:right="339" w:bottom="0" w:gutter="0" w:footer="0" w:header="0"/>
        </w:sectPr>
      </w:pPr>
    </w:p>
    <w:bookmarkStart w:id="585" w:name="page586"/>
    <w:bookmarkEnd w:id="585"/>
    <w:p>
      <w:pPr>
        <w:ind w:right="60"/>
        <w:spacing w:after="0" w:line="279" w:lineRule="auto"/>
        <w:rPr>
          <w:sz w:val="20"/>
          <w:szCs w:val="20"/>
          <w:color w:val="auto"/>
        </w:rPr>
      </w:pPr>
      <w:r>
        <w:rPr>
          <w:rFonts w:ascii="Arial" w:cs="Arial" w:eastAsia="Arial" w:hAnsi="Arial"/>
          <w:sz w:val="17"/>
          <w:szCs w:val="17"/>
          <w:color w:val="auto"/>
        </w:rPr>
        <w:t xml:space="preserve">disapproval of all or any portion of any request for payment. Such indemnity by Tenant, as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this Lease,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(or other documentation or approval allowing Tenant to legally occupy the Premises) for the Premises.</w:t>
      </w:r>
    </w:p>
    <w:p>
      <w:pPr>
        <w:spacing w:after="0" w:line="167" w:lineRule="exact"/>
        <w:rPr>
          <w:sz w:val="20"/>
          <w:szCs w:val="20"/>
          <w:color w:val="auto"/>
        </w:rPr>
      </w:pPr>
    </w:p>
    <w:p>
      <w:pPr>
        <w:ind w:firstLine="1944"/>
        <w:spacing w:after="0" w:line="270" w:lineRule="auto"/>
        <w:rPr>
          <w:sz w:val="20"/>
          <w:szCs w:val="20"/>
          <w:color w:val="auto"/>
        </w:rPr>
      </w:pPr>
      <w:r>
        <w:rPr>
          <w:rFonts w:ascii="Arial" w:cs="Arial" w:eastAsia="Arial" w:hAnsi="Arial"/>
          <w:sz w:val="17"/>
          <w:szCs w:val="17"/>
          <w:color w:val="auto"/>
        </w:rPr>
        <w:t xml:space="preserve">4.2.2.3 </w:t>
      </w:r>
      <w:r>
        <w:rPr>
          <w:rFonts w:ascii="Arial" w:cs="Arial" w:eastAsia="Arial" w:hAnsi="Arial"/>
          <w:sz w:val="17"/>
          <w:szCs w:val="17"/>
          <w:b w:val="1"/>
          <w:bCs w:val="1"/>
          <w:u w:val="single" w:color="auto"/>
          <w:color w:val="auto"/>
        </w:rPr>
        <w:t>Requirements of Tenant’s Agents</w:t>
      </w:r>
      <w:r>
        <w:rPr>
          <w:rFonts w:ascii="Arial" w:cs="Arial" w:eastAsia="Arial" w:hAnsi="Arial"/>
          <w:sz w:val="17"/>
          <w:szCs w:val="17"/>
          <w:color w:val="auto"/>
        </w:rPr>
        <w:t>. Each of Tenant’s Agents shall guarantee to Tenant and for the benefit of Landlord that the portion of the Tenant Improvements for which it is responsible shall be free from any material defects in workmanship and materials for a period of not less than one (1) year from the date of completion thereof. Each of Tenant’s Agents shall be responsible for the replacement or repair, without additional charge, of all work done or furnished in accordance with its contract that shall become defective within one (1) year after the completion of the work performed by such contractor or subcontractors. The correction of such work shall include, without additional charge, all additional expenses and damages incurred in 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spacing w:after="0" w:line="177" w:lineRule="exact"/>
        <w:rPr>
          <w:sz w:val="20"/>
          <w:szCs w:val="20"/>
          <w:color w:val="auto"/>
        </w:rPr>
      </w:pPr>
    </w:p>
    <w:p>
      <w:pPr>
        <w:ind w:left="1960"/>
        <w:spacing w:after="0"/>
        <w:tabs>
          <w:tab w:leader="none" w:pos="2600" w:val="left"/>
        </w:tabs>
        <w:rPr>
          <w:sz w:val="20"/>
          <w:szCs w:val="20"/>
          <w:color w:val="auto"/>
        </w:rPr>
      </w:pPr>
      <w:r>
        <w:rPr>
          <w:rFonts w:ascii="Arial" w:cs="Arial" w:eastAsia="Arial" w:hAnsi="Arial"/>
          <w:sz w:val="18"/>
          <w:szCs w:val="18"/>
          <w:color w:val="auto"/>
        </w:rPr>
        <w:t>4.2.2.4</w:t>
      </w:r>
      <w:r>
        <w:rPr>
          <w:sz w:val="20"/>
          <w:szCs w:val="20"/>
          <w:color w:val="auto"/>
        </w:rPr>
        <w:tab/>
      </w:r>
      <w:r>
        <w:rPr>
          <w:rFonts w:ascii="Arial" w:cs="Arial" w:eastAsia="Arial" w:hAnsi="Arial"/>
          <w:sz w:val="16"/>
          <w:szCs w:val="16"/>
          <w:b w:val="1"/>
          <w:bCs w:val="1"/>
          <w:u w:val="single" w:color="auto"/>
          <w:color w:val="auto"/>
        </w:rPr>
        <w:t>Insurance Requirements</w:t>
      </w:r>
      <w:r>
        <w:rPr>
          <w:rFonts w:ascii="Arial" w:cs="Arial" w:eastAsia="Arial" w:hAnsi="Arial"/>
          <w:sz w:val="16"/>
          <w:szCs w:val="16"/>
          <w:color w:val="auto"/>
        </w:rPr>
        <w:t>.</w:t>
      </w:r>
    </w:p>
    <w:p>
      <w:pPr>
        <w:spacing w:after="0" w:line="225" w:lineRule="exact"/>
        <w:rPr>
          <w:sz w:val="20"/>
          <w:szCs w:val="20"/>
          <w:color w:val="auto"/>
        </w:rPr>
      </w:pPr>
    </w:p>
    <w:p>
      <w:pPr>
        <w:ind w:firstLine="2592"/>
        <w:spacing w:after="0" w:line="261" w:lineRule="auto"/>
        <w:rPr>
          <w:sz w:val="20"/>
          <w:szCs w:val="20"/>
          <w:color w:val="auto"/>
        </w:rPr>
      </w:pPr>
      <w:r>
        <w:rPr>
          <w:rFonts w:ascii="Arial" w:cs="Arial" w:eastAsia="Arial" w:hAnsi="Arial"/>
          <w:sz w:val="18"/>
          <w:szCs w:val="18"/>
          <w:color w:val="auto"/>
        </w:rPr>
        <w:t xml:space="preserve">4.2.2.4.1 </w:t>
      </w:r>
      <w:r>
        <w:rPr>
          <w:rFonts w:ascii="Arial" w:cs="Arial" w:eastAsia="Arial" w:hAnsi="Arial"/>
          <w:sz w:val="18"/>
          <w:szCs w:val="18"/>
          <w:b w:val="1"/>
          <w:bCs w:val="1"/>
          <w:u w:val="single" w:color="auto"/>
          <w:color w:val="auto"/>
        </w:rPr>
        <w:t>General Coverages</w:t>
      </w:r>
      <w:r>
        <w:rPr>
          <w:rFonts w:ascii="Arial" w:cs="Arial" w:eastAsia="Arial" w:hAnsi="Arial"/>
          <w:sz w:val="18"/>
          <w:szCs w:val="18"/>
          <w:color w:val="auto"/>
        </w:rPr>
        <w:t xml:space="preserve">. All of Tenant’s Agents shall carry worker’s compensation insurance covering all of their respective employees, and shall also carry commercial general liability insurance, including property damage, all with limits, in form and with companies as are required to be carried by Tenant as set forth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and the policies therefor shall insure Landlord and Tenant, as their interests may appear, as well as the Contractor and subcontractors.</w:t>
      </w:r>
    </w:p>
    <w:p>
      <w:pPr>
        <w:spacing w:after="0" w:line="180" w:lineRule="exact"/>
        <w:rPr>
          <w:sz w:val="20"/>
          <w:szCs w:val="20"/>
          <w:color w:val="auto"/>
        </w:rPr>
      </w:pPr>
    </w:p>
    <w:p>
      <w:pPr>
        <w:ind w:right="40" w:firstLine="2592"/>
        <w:spacing w:after="0" w:line="258" w:lineRule="auto"/>
        <w:rPr>
          <w:sz w:val="20"/>
          <w:szCs w:val="20"/>
          <w:color w:val="auto"/>
        </w:rPr>
      </w:pPr>
      <w:r>
        <w:rPr>
          <w:rFonts w:ascii="Arial" w:cs="Arial" w:eastAsia="Arial" w:hAnsi="Arial"/>
          <w:sz w:val="18"/>
          <w:szCs w:val="18"/>
          <w:color w:val="auto"/>
        </w:rPr>
        <w:t xml:space="preserve">4.2.2.4.2 </w:t>
      </w:r>
      <w:r>
        <w:rPr>
          <w:rFonts w:ascii="Arial" w:cs="Arial" w:eastAsia="Arial" w:hAnsi="Arial"/>
          <w:sz w:val="18"/>
          <w:szCs w:val="18"/>
          <w:b w:val="1"/>
          <w:bCs w:val="1"/>
          <w:u w:val="single" w:color="auto"/>
          <w:color w:val="auto"/>
        </w:rPr>
        <w:t>Special Coverages</w:t>
      </w:r>
      <w:r>
        <w:rPr>
          <w:rFonts w:ascii="Arial" w:cs="Arial" w:eastAsia="Arial" w:hAnsi="Arial"/>
          <w:sz w:val="18"/>
          <w:szCs w:val="18"/>
          <w:color w:val="auto"/>
        </w:rPr>
        <w:t xml:space="preserve">. Tenant or Contractor shall carry “Builder’s All Risk” insurance in an amount approved by Landlord, which shall in no event be less than the amount actually carried by Tenant or Contractor, covering the construction of the Tenant Improvements, and such other insurance as Landlord may require, it being understood and agreed that the Tenant Improvements shall be insured by Tenant pursuant to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immediately upon completion thereof. Such insurance shall be in amounts and shall include such extended coverage endorsements as may be reasonably required by Landlord.</w:t>
      </w:r>
    </w:p>
    <w:p>
      <w:pPr>
        <w:spacing w:after="0" w:line="183" w:lineRule="exact"/>
        <w:rPr>
          <w:sz w:val="20"/>
          <w:szCs w:val="20"/>
          <w:color w:val="auto"/>
        </w:rPr>
      </w:pPr>
    </w:p>
    <w:p>
      <w:pPr>
        <w:ind w:right="20" w:firstLine="2592"/>
        <w:spacing w:after="0" w:line="282" w:lineRule="auto"/>
        <w:rPr>
          <w:sz w:val="20"/>
          <w:szCs w:val="20"/>
          <w:color w:val="auto"/>
        </w:rPr>
      </w:pPr>
      <w:r>
        <w:rPr>
          <w:rFonts w:ascii="Arial" w:cs="Arial" w:eastAsia="Arial" w:hAnsi="Arial"/>
          <w:sz w:val="18"/>
          <w:szCs w:val="18"/>
          <w:color w:val="auto"/>
        </w:rPr>
        <w:t xml:space="preserve">4.2.2.4.3 </w:t>
      </w:r>
      <w:r>
        <w:rPr>
          <w:rFonts w:ascii="Arial" w:cs="Arial" w:eastAsia="Arial" w:hAnsi="Arial"/>
          <w:sz w:val="18"/>
          <w:szCs w:val="18"/>
          <w:b w:val="1"/>
          <w:bCs w:val="1"/>
          <w:u w:val="single" w:color="auto"/>
          <w:color w:val="auto"/>
        </w:rPr>
        <w:t>General Terms</w:t>
      </w:r>
      <w:r>
        <w:rPr>
          <w:rFonts w:ascii="Arial" w:cs="Arial" w:eastAsia="Arial" w:hAnsi="Arial"/>
          <w:sz w:val="18"/>
          <w:szCs w:val="18"/>
          <w:color w:val="auto"/>
        </w:rPr>
        <w:t xml:space="preserve">. Certificates for all insurance carried pursuant to this </w:t>
      </w:r>
      <w:r>
        <w:rPr>
          <w:rFonts w:ascii="Arial" w:cs="Arial" w:eastAsia="Arial" w:hAnsi="Arial"/>
          <w:sz w:val="18"/>
          <w:szCs w:val="18"/>
          <w:u w:val="single" w:color="auto"/>
          <w:color w:val="auto"/>
        </w:rPr>
        <w:t>Section 4.2.2.4</w:t>
      </w:r>
      <w:r>
        <w:rPr>
          <w:rFonts w:ascii="Arial" w:cs="Arial" w:eastAsia="Arial" w:hAnsi="Arial"/>
          <w:sz w:val="18"/>
          <w:szCs w:val="18"/>
          <w:color w:val="auto"/>
        </w:rPr>
        <w:t xml:space="preserve"> shall be delivered to Landlord before the commencement of construction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86" w:name="page587"/>
    <w:bookmarkEnd w:id="586"/>
    <w:p>
      <w:pPr>
        <w:spacing w:after="0" w:line="286" w:lineRule="auto"/>
        <w:rPr>
          <w:sz w:val="20"/>
          <w:szCs w:val="20"/>
          <w:color w:val="auto"/>
        </w:rPr>
      </w:pPr>
      <w:r>
        <w:rPr>
          <w:rFonts w:ascii="Arial" w:cs="Arial" w:eastAsia="Arial" w:hAnsi="Arial"/>
          <w:sz w:val="16"/>
          <w:szCs w:val="16"/>
          <w:color w:val="auto"/>
        </w:rPr>
        <w:t xml:space="preserve">of the Tenant Improvements and before the Contractor’s equipment is moved onto the site. All such policies of insurance must contain a provision that the company writing said policy will give Landlord thirty (30) days prior written notice of any cancellation or lapse of the effective date or any reduction in the amounts of such insurance. In the event that the Tenant Improvements are damaged by any cause during the course of the construction thereof, Tenant shall immediately repair the same at Tenant’s sole cost and expense. Tenant’s Agents shall maintain all of the foregoing insurance coverage in force until the Tenant Improvements are fully completed and accepted by Landlord, except for any Products and Completed Operation Coverage insurance required by Landlord, which is to be maintained for ten (10) years following completion of the work and acceptance by Landlord and Tenant and which shall name Landlord, and any other party that Landlord so specifies, as additional insured as to the full limits required hereunder for such entire ten (10) year period. All insurance, except Workers’ Compensation, maintained by Tenant’s Agents shall preclude subrogation claims by the insurer against anyone insured thereunder.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Arial" w:cs="Arial" w:eastAsia="Arial" w:hAnsi="Arial"/>
          <w:sz w:val="16"/>
          <w:szCs w:val="16"/>
          <w:u w:val="single" w:color="auto"/>
          <w:color w:val="auto"/>
        </w:rPr>
        <w:t>Section 4.2.2.2</w:t>
      </w:r>
      <w:r>
        <w:rPr>
          <w:rFonts w:ascii="Arial" w:cs="Arial" w:eastAsia="Arial" w:hAnsi="Arial"/>
          <w:sz w:val="16"/>
          <w:szCs w:val="16"/>
          <w:color w:val="auto"/>
        </w:rPr>
        <w:t xml:space="preserve"> of this Tenant Work Letter. Landlord may, in its discretion, as provided in Section 8.3 of this Lease, require Tenant to obtain a lien and completion bond or some alternate form of security satisfactory to Landlord in an amount sufficient to ensure the lien-free completion of the Tenant Improvements and naming Landlord as a co-obligee.</w:t>
      </w:r>
    </w:p>
    <w:p>
      <w:pPr>
        <w:spacing w:after="0" w:line="170" w:lineRule="exact"/>
        <w:rPr>
          <w:sz w:val="20"/>
          <w:szCs w:val="20"/>
          <w:color w:val="auto"/>
        </w:rPr>
      </w:pPr>
    </w:p>
    <w:p>
      <w:pPr>
        <w:ind w:right="60" w:firstLine="1296"/>
        <w:spacing w:after="0" w:line="261"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u w:val="single" w:color="auto"/>
          <w:color w:val="auto"/>
        </w:rPr>
        <w:t>Governmental Compliance</w:t>
      </w:r>
      <w:r>
        <w:rPr>
          <w:rFonts w:ascii="Arial" w:cs="Arial" w:eastAsia="Arial" w:hAnsi="Arial"/>
          <w:sz w:val="18"/>
          <w:szCs w:val="18"/>
          <w:color w:val="auto"/>
        </w:rPr>
        <w:t>. The Tenant Improvements shall comply in all respects with the following: (i) the Code and other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180" w:lineRule="exact"/>
        <w:rPr>
          <w:sz w:val="20"/>
          <w:szCs w:val="20"/>
          <w:color w:val="auto"/>
        </w:rPr>
      </w:pPr>
    </w:p>
    <w:p>
      <w:pPr>
        <w:ind w:right="40" w:firstLine="1296"/>
        <w:spacing w:after="0" w:line="271" w:lineRule="auto"/>
        <w:rPr>
          <w:sz w:val="20"/>
          <w:szCs w:val="20"/>
          <w:color w:val="auto"/>
        </w:rPr>
      </w:pPr>
      <w:r>
        <w:rPr>
          <w:rFonts w:ascii="Arial" w:cs="Arial" w:eastAsia="Arial" w:hAnsi="Arial"/>
          <w:sz w:val="17"/>
          <w:szCs w:val="17"/>
          <w:color w:val="auto"/>
        </w:rPr>
        <w:t xml:space="preserve">4.2.4 </w:t>
      </w:r>
      <w:r>
        <w:rPr>
          <w:rFonts w:ascii="Arial" w:cs="Arial" w:eastAsia="Arial" w:hAnsi="Arial"/>
          <w:sz w:val="17"/>
          <w:szCs w:val="17"/>
          <w:b w:val="1"/>
          <w:bCs w:val="1"/>
          <w:u w:val="single" w:color="auto"/>
          <w:color w:val="auto"/>
        </w:rPr>
        <w:t>Inspection by Landlord</w:t>
      </w:r>
      <w:r>
        <w:rPr>
          <w:rFonts w:ascii="Arial" w:cs="Arial" w:eastAsia="Arial" w:hAnsi="Arial"/>
          <w:sz w:val="17"/>
          <w:szCs w:val="17"/>
          <w:color w:val="auto"/>
        </w:rPr>
        <w:t>.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disapprove any portion of the Tenant Improvements, Landlord shall notify Tenant in writing of such disapproval and shall specify the items disapproved. Any defects or deviations in, and/or disapproval by Landlord of, the Tenant Improvements shall be rectified by Tenant at no expense to Landlord, provided however, that in the event Landlord determines that a defect or deviation exists or disapproves of any matter in connection with any portion of the Tenant Improvements, Landlord may, take such action as Landlord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satisfaction.</w:t>
      </w:r>
    </w:p>
    <w:p>
      <w:pPr>
        <w:spacing w:after="0" w:line="174" w:lineRule="exact"/>
        <w:rPr>
          <w:sz w:val="20"/>
          <w:szCs w:val="20"/>
          <w:color w:val="auto"/>
        </w:rPr>
      </w:pPr>
    </w:p>
    <w:p>
      <w:pPr>
        <w:ind w:right="60" w:firstLine="1296"/>
        <w:spacing w:after="0" w:line="277" w:lineRule="auto"/>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b w:val="1"/>
          <w:bCs w:val="1"/>
          <w:u w:val="single" w:color="auto"/>
          <w:color w:val="auto"/>
        </w:rPr>
        <w:t>Meetings</w:t>
      </w:r>
      <w:r>
        <w:rPr>
          <w:rFonts w:ascii="Arial" w:cs="Arial" w:eastAsia="Arial" w:hAnsi="Arial"/>
          <w:sz w:val="17"/>
          <w:szCs w:val="17"/>
          <w:color w:val="auto"/>
        </w:rPr>
        <w:t>. Commencing upon the execution of this Lease, Tenant shall hold regular meetings with the Architect/Space Planner and the Contractor regarding the progress of the preparation of Construction Documents and the construction of the Tenant Improvements, which meetings shall be held at the office of the Project, at a time mutually agreed upon by Landlord and Tenant,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168" w:lineRule="exact"/>
        <w:rPr>
          <w:sz w:val="20"/>
          <w:szCs w:val="20"/>
          <w:color w:val="auto"/>
        </w:rPr>
      </w:pPr>
    </w:p>
    <w:p>
      <w:pPr>
        <w:ind w:right="100" w:firstLine="1296"/>
        <w:spacing w:after="0" w:line="282"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b w:val="1"/>
          <w:bCs w:val="1"/>
          <w:u w:val="single" w:color="auto"/>
          <w:color w:val="auto"/>
        </w:rPr>
        <w:t>Landlord Coordination Fee</w:t>
      </w:r>
      <w:r>
        <w:rPr>
          <w:rFonts w:ascii="Arial" w:cs="Arial" w:eastAsia="Arial" w:hAnsi="Arial"/>
          <w:sz w:val="18"/>
          <w:szCs w:val="18"/>
          <w:color w:val="auto"/>
        </w:rPr>
        <w:t>. Tenant shall pay a construction supervision and management fee (the “</w:t>
      </w:r>
      <w:r>
        <w:rPr>
          <w:rFonts w:ascii="Arial" w:cs="Arial" w:eastAsia="Arial" w:hAnsi="Arial"/>
          <w:sz w:val="18"/>
          <w:szCs w:val="18"/>
          <w:b w:val="1"/>
          <w:bCs w:val="1"/>
          <w:color w:val="auto"/>
        </w:rPr>
        <w:t>Landlord Coordination</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to Landlord in an amount equal to three percent (3%) of the hard and soft costs of the Tenant Improvements.</w:t>
      </w:r>
    </w:p>
    <w:p>
      <w:pPr>
        <w:spacing w:after="0" w:line="16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Notice of Completion</w:t>
      </w:r>
      <w:r>
        <w:rPr>
          <w:rFonts w:ascii="Arial" w:cs="Arial" w:eastAsia="Arial" w:hAnsi="Arial"/>
          <w:sz w:val="17"/>
          <w:szCs w:val="17"/>
          <w:color w:val="auto"/>
        </w:rPr>
        <w:t>. Within five (5) days after the final completion of construction of the Tenant Improvements, including, without limitation, the completion of any punch list items, Tenant shall cause a Notice of Completion to be recorded in the office of the Recorder of the County of San Mateo in accordance with Section 8182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and prior to Landlord’s payment of the Final TI Allowance Reimbursement, (i) Tenant shall cause the Contractor and the Architect/Space Planner (A) to update the Approved Construction Documents through annotated changes, as necessary, to reflect all changes made to the Approved Construction Documents during the course of construction, (B) to certify to the best of the Architect/Space Planner’s and Contractor’s knowledge that such updated Approved Construction Documents are true and correct, which certification shall survive the expiration or termination of this Lease, as hereby amended, and (ii) Tenant shall deliver to Landlord the Final Close Out Package. Landlord shall, at Tenant’s expense, update Landlord’s “as-built” master plans, for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7" w:name="page588"/>
    <w:bookmarkEnd w:id="587"/>
    <w:p>
      <w:pPr>
        <w:ind w:right="300"/>
        <w:spacing w:after="0" w:line="277" w:lineRule="auto"/>
        <w:rPr>
          <w:sz w:val="20"/>
          <w:szCs w:val="20"/>
          <w:color w:val="auto"/>
        </w:rPr>
      </w:pPr>
      <w:r>
        <w:rPr>
          <w:rFonts w:ascii="Arial" w:cs="Arial" w:eastAsia="Arial" w:hAnsi="Arial"/>
          <w:sz w:val="18"/>
          <w:szCs w:val="18"/>
          <w:color w:val="auto"/>
        </w:rPr>
        <w:t>floor(s) on which the Premises are located, if any, including updated vellums and electronic CAD files, all of which may be modified by Landlord from time to time, and the current version of which shall be made available to Tenant upon Tenant’s request.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Tenant’s Representative</w:t>
      </w:r>
      <w:r>
        <w:rPr>
          <w:rFonts w:ascii="Arial" w:cs="Arial" w:eastAsia="Arial" w:hAnsi="Arial"/>
          <w:sz w:val="18"/>
          <w:szCs w:val="18"/>
          <w:color w:val="auto"/>
        </w:rPr>
        <w:t>. Tenant has designated Robin Cline (robin.cline@crowdstrike.com) as its sole representative with respect to the matters set forth in this Tenant Work Letter, who shall have full authority and responsibility to act on behalf of the Tenant as required in this Tenant Work Letter.</w:t>
      </w:r>
    </w:p>
    <w:p>
      <w:pPr>
        <w:spacing w:after="0" w:line="176"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Landlord’s Representative</w:t>
      </w:r>
      <w:r>
        <w:rPr>
          <w:rFonts w:ascii="Arial" w:cs="Arial" w:eastAsia="Arial" w:hAnsi="Arial"/>
          <w:sz w:val="18"/>
          <w:szCs w:val="18"/>
          <w:color w:val="auto"/>
        </w:rPr>
        <w:t>. Landlord has designated Bill Moyer as its sole representative with respect to the matters set forth in this Tenant Work Letter, who, until further notice to Tenant, shall have full authority and responsibility to act on behalf of the Landlord as required in this Tenant Work Letter.</w:t>
      </w:r>
    </w:p>
    <w:p>
      <w:pPr>
        <w:spacing w:after="0" w:line="176"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Time of the Essence in This Tenant Work Letter</w:t>
      </w:r>
      <w:r>
        <w:rPr>
          <w:rFonts w:ascii="Arial" w:cs="Arial" w:eastAsia="Arial" w:hAnsi="Arial"/>
          <w:sz w:val="18"/>
          <w:szCs w:val="18"/>
          <w:color w:val="auto"/>
        </w:rPr>
        <w:t>. Unless otherwise indicated, all references in this Tenant Work Letter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1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u w:val="single" w:color="auto"/>
          <w:color w:val="auto"/>
        </w:rPr>
        <w:t>Tenant’s Lease Default</w:t>
      </w:r>
      <w:r>
        <w:rPr>
          <w:rFonts w:ascii="Arial" w:cs="Arial" w:eastAsia="Arial" w:hAnsi="Arial"/>
          <w:sz w:val="17"/>
          <w:szCs w:val="17"/>
          <w:color w:val="auto"/>
        </w:rPr>
        <w:t xml:space="preserve">. Notwithstanding any provision to the contrary contained in this Lease, if a Default as described in </w:t>
      </w:r>
      <w:r>
        <w:rPr>
          <w:rFonts w:ascii="Arial" w:cs="Arial" w:eastAsia="Arial" w:hAnsi="Arial"/>
          <w:sz w:val="17"/>
          <w:szCs w:val="17"/>
          <w:u w:val="single" w:color="auto"/>
          <w:color w:val="auto"/>
        </w:rPr>
        <w:t>Section 19.1</w:t>
      </w:r>
      <w:r>
        <w:rPr>
          <w:rFonts w:ascii="Arial" w:cs="Arial" w:eastAsia="Arial" w:hAnsi="Arial"/>
          <w:sz w:val="17"/>
          <w:szCs w:val="17"/>
          <w:color w:val="auto"/>
        </w:rPr>
        <w:t xml:space="preserve"> of this Lease or under this Tenant Work Letter has occurred at any time on or before the substantial completion of the Premises, then (i) in addition to all other rights and remedies granted to Landlord pursuant to this Lease, Landlord shall have the right to withhold payment of all or any portion of the Tenant Improvement Allowance and/or Landlord may cause Contractor to cease the construction of the Premises (in which case, Tenant shall be responsible for any delay in the substantial completion of the Premises caused by such work stoppage), and (ii) all other obligations of Landlord under the terms of this Tenant Work Letter shall be forgiven until such time as such Default is cured pursuant to the terms of this Lease (in which case, Tenant shall be responsible for any delay in the substantial completion of the Premises caused by such inaction by Landlord).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8" w:name="page589"/>
    <w:bookmarkEnd w:id="588"/>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SUNNYVALE CITY CENTER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LEASE TERM 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hanging="6"/>
        <w:spacing w:after="0" w:line="342" w:lineRule="auto"/>
        <w:rPr>
          <w:sz w:val="20"/>
          <w:szCs w:val="20"/>
          <w:color w:val="auto"/>
        </w:rPr>
      </w:pPr>
      <w:r>
        <w:rPr>
          <w:rFonts w:ascii="Arial" w:cs="Arial" w:eastAsia="Arial" w:hAnsi="Arial"/>
          <w:sz w:val="16"/>
          <w:szCs w:val="16"/>
          <w:color w:val="auto"/>
        </w:rPr>
        <w:t>Office Lease dated concerning Suite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 201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on floor(s)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540" w:val="left"/>
          <w:tab w:leader="none" w:pos="2740" w:val="left"/>
          <w:tab w:leader="none" w:pos="5180" w:val="left"/>
        </w:tabs>
        <w:rPr>
          <w:sz w:val="20"/>
          <w:szCs w:val="20"/>
          <w:color w:val="auto"/>
        </w:rPr>
      </w:pPr>
      <w:r>
        <w:rPr>
          <w:rFonts w:ascii="Arial" w:cs="Arial" w:eastAsia="Arial" w:hAnsi="Arial"/>
          <w:sz w:val="18"/>
          <w:szCs w:val="18"/>
          <w:color w:val="auto"/>
        </w:rPr>
        <w:t>between</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sz w:val="20"/>
          <w:szCs w:val="20"/>
          <w:color w:val="auto"/>
        </w:rPr>
        <w:tab/>
      </w:r>
      <w:r>
        <w:rPr>
          <w:rFonts w:ascii="Arial" w:cs="Arial" w:eastAsia="Arial" w:hAnsi="Arial"/>
          <w:sz w:val="13"/>
          <w:szCs w:val="13"/>
          <w:color w:val="auto"/>
        </w:rPr>
        <w:t>, a</w:t>
      </w:r>
    </w:p>
    <w:p>
      <w:pPr>
        <w:spacing w:after="0" w:line="27" w:lineRule="exact"/>
        <w:rPr>
          <w:sz w:val="20"/>
          <w:szCs w:val="20"/>
          <w:color w:val="auto"/>
        </w:rPr>
      </w:pPr>
    </w:p>
    <w:p>
      <w:pPr>
        <w:ind w:left="500"/>
        <w:spacing w:after="0"/>
        <w:tabs>
          <w:tab w:leader="none" w:pos="4040" w:val="left"/>
        </w:tabs>
        <w:rPr>
          <w:sz w:val="20"/>
          <w:szCs w:val="20"/>
          <w:color w:val="auto"/>
        </w:rPr>
      </w:pPr>
      <w:r>
        <w:rPr>
          <w:rFonts w:ascii="Arial" w:cs="Arial" w:eastAsia="Arial" w:hAnsi="Arial"/>
          <w:sz w:val="18"/>
          <w:szCs w:val="18"/>
          <w:color w:val="auto"/>
        </w:rPr>
        <w:t>of the office building located at</w:t>
      </w:r>
      <w:r>
        <w:rPr>
          <w:sz w:val="20"/>
          <w:szCs w:val="20"/>
          <w:color w:val="auto"/>
        </w:rPr>
        <w:tab/>
      </w:r>
      <w:r>
        <w:rPr>
          <w:rFonts w:ascii="Arial" w:cs="Arial" w:eastAsia="Arial" w:hAnsi="Arial"/>
          <w:sz w:val="16"/>
          <w:szCs w:val="16"/>
          <w:color w:val="auto"/>
        </w:rPr>
        <w:t>, Sunnyvale, 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456" w:lineRule="exact"/>
        <w:rPr>
          <w:sz w:val="20"/>
          <w:szCs w:val="20"/>
          <w:color w:val="auto"/>
        </w:rPr>
      </w:pPr>
    </w:p>
    <w:p>
      <w:pPr>
        <w:sectPr>
          <w:pgSz w:w="11900" w:h="16838" w:orient="portrait"/>
          <w:cols w:equalWidth="0" w:num="5">
            <w:col w:w="900" w:space="400"/>
            <w:col w:w="1360" w:space="220"/>
            <w:col w:w="760" w:space="40"/>
            <w:col w:w="5780" w:space="700"/>
            <w:col w:w="1080"/>
          </w:cols>
          <w:pgMar w:left="320" w:top="337" w:right="3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the Office Lease (the “</w:t>
      </w:r>
      <w:r>
        <w:rPr>
          <w:rFonts w:ascii="Arial" w:cs="Arial" w:eastAsia="Arial" w:hAnsi="Arial"/>
          <w:sz w:val="18"/>
          <w:szCs w:val="18"/>
          <w:b w:val="1"/>
          <w:bCs w:val="1"/>
          <w:color w:val="auto"/>
        </w:rPr>
        <w:t>Lease</w:t>
      </w:r>
      <w:r>
        <w:rPr>
          <w:rFonts w:ascii="Arial" w:cs="Arial" w:eastAsia="Arial" w:hAnsi="Arial"/>
          <w:sz w:val="18"/>
          <w:szCs w:val="18"/>
          <w:color w:val="auto"/>
        </w:rPr>
        <w:t>”), we wish to advise you and/or confirm as follows: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2760" w:type="dxa"/>
            <w:vAlign w:val="bottom"/>
          </w:tcPr>
          <w:p>
            <w:pPr>
              <w:ind w:left="260"/>
              <w:spacing w:after="0"/>
              <w:rPr>
                <w:sz w:val="20"/>
                <w:szCs w:val="20"/>
                <w:color w:val="auto"/>
              </w:rPr>
            </w:pPr>
            <w:r>
              <w:rPr>
                <w:rFonts w:ascii="Arial" w:cs="Arial" w:eastAsia="Arial" w:hAnsi="Arial"/>
                <w:sz w:val="18"/>
                <w:szCs w:val="18"/>
                <w:color w:val="auto"/>
              </w:rPr>
              <w:t>The Delivery Date occurred on</w:t>
            </w:r>
          </w:p>
        </w:tc>
        <w:tc>
          <w:tcPr>
            <w:tcW w:w="192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4680" w:type="dxa"/>
            <w:vAlign w:val="bottom"/>
            <w:gridSpan w:val="2"/>
          </w:tcPr>
          <w:p>
            <w:pPr>
              <w:ind w:left="260"/>
              <w:spacing w:after="0"/>
              <w:rPr>
                <w:sz w:val="20"/>
                <w:szCs w:val="20"/>
                <w:color w:val="auto"/>
              </w:rPr>
            </w:pPr>
            <w:r>
              <w:rPr>
                <w:rFonts w:ascii="Arial" w:cs="Arial" w:eastAsia="Arial" w:hAnsi="Arial"/>
                <w:sz w:val="18"/>
                <w:szCs w:val="18"/>
                <w:color w:val="auto"/>
                <w:w w:val="92"/>
              </w:rPr>
              <w:t>The Lease Term shall commence on or has commenced on</w:t>
            </w:r>
          </w:p>
        </w:tc>
        <w:tc>
          <w:tcPr>
            <w:tcW w:w="1760" w:type="dxa"/>
            <w:vAlign w:val="bottom"/>
          </w:tcPr>
          <w:p>
            <w:pPr>
              <w:jc w:val="right"/>
              <w:ind w:right="290"/>
              <w:spacing w:after="0"/>
              <w:rPr>
                <w:sz w:val="20"/>
                <w:szCs w:val="20"/>
                <w:color w:val="auto"/>
              </w:rPr>
            </w:pPr>
            <w:r>
              <w:rPr>
                <w:rFonts w:ascii="Arial" w:cs="Arial" w:eastAsia="Arial" w:hAnsi="Arial"/>
                <w:sz w:val="18"/>
                <w:szCs w:val="18"/>
                <w:color w:val="auto"/>
              </w:rPr>
              <w:t>for a term of</w:t>
            </w:r>
          </w:p>
        </w:tc>
        <w:tc>
          <w:tcPr>
            <w:tcW w:w="1460" w:type="dxa"/>
            <w:vAlign w:val="bottom"/>
          </w:tcPr>
          <w:p>
            <w:pPr>
              <w:ind w:left="380"/>
              <w:spacing w:after="0"/>
              <w:rPr>
                <w:sz w:val="20"/>
                <w:szCs w:val="20"/>
                <w:color w:val="auto"/>
              </w:rPr>
            </w:pPr>
            <w:r>
              <w:rPr>
                <w:rFonts w:ascii="Arial" w:cs="Arial" w:eastAsia="Arial" w:hAnsi="Arial"/>
                <w:sz w:val="18"/>
                <w:szCs w:val="18"/>
                <w:color w:val="auto"/>
              </w:rPr>
              <w:t>ending 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2760" w:type="dxa"/>
            <w:vAlign w:val="bottom"/>
          </w:tcPr>
          <w:p>
            <w:pPr>
              <w:ind w:left="260"/>
              <w:spacing w:after="0"/>
              <w:rPr>
                <w:sz w:val="20"/>
                <w:szCs w:val="20"/>
                <w:color w:val="auto"/>
              </w:rPr>
            </w:pPr>
            <w:r>
              <w:rPr>
                <w:rFonts w:ascii="Arial" w:cs="Arial" w:eastAsia="Arial" w:hAnsi="Arial"/>
                <w:sz w:val="18"/>
                <w:szCs w:val="18"/>
                <w:color w:val="auto"/>
              </w:rPr>
              <w:t>Rent commenced to accrue on</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 in the amount of</w:t>
            </w:r>
          </w:p>
        </w:tc>
        <w:tc>
          <w:tcPr>
            <w:tcW w:w="1760" w:type="dxa"/>
            <w:vAlign w:val="bottom"/>
          </w:tcPr>
          <w:p>
            <w:pPr>
              <w:jc w:val="right"/>
              <w:ind w:right="141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2" w:lineRule="exact"/>
        <w:rPr>
          <w:sz w:val="20"/>
          <w:szCs w:val="20"/>
          <w:color w:val="auto"/>
        </w:rPr>
      </w:pPr>
    </w:p>
    <w:p>
      <w:pPr>
        <w:ind w:left="1300" w:right="40" w:hanging="644"/>
        <w:spacing w:after="0" w:line="277" w:lineRule="auto"/>
        <w:tabs>
          <w:tab w:leader="none" w:pos="13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If the Lease Commencement Date is other than the first day of the month, the first billing will contain a pro rata adjustment. Each billing thereafter shall be for the full amount of the monthly installment as provided for in the Lease.</w:t>
      </w:r>
    </w:p>
    <w:p>
      <w:pPr>
        <w:spacing w:after="0" w:line="170" w:lineRule="exact"/>
        <w:rPr>
          <w:sz w:val="20"/>
          <w:szCs w:val="20"/>
          <w:color w:val="auto"/>
        </w:rPr>
      </w:pPr>
    </w:p>
    <w:p>
      <w:pPr>
        <w:ind w:left="660"/>
        <w:spacing w:after="0"/>
        <w:tabs>
          <w:tab w:leader="none" w:pos="1280" w:val="left"/>
          <w:tab w:leader="none" w:pos="5000" w:val="left"/>
          <w:tab w:leader="none" w:pos="58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Your rent checks should be made payable to</w:t>
      </w:r>
      <w:r>
        <w:rPr>
          <w:sz w:val="20"/>
          <w:szCs w:val="20"/>
          <w:color w:val="auto"/>
        </w:rPr>
        <w:tab/>
      </w:r>
      <w:r>
        <w:rPr>
          <w:rFonts w:ascii="Arial" w:cs="Arial" w:eastAsia="Arial" w:hAnsi="Arial"/>
          <w:sz w:val="18"/>
          <w:szCs w:val="18"/>
          <w:color w:val="auto"/>
        </w:rPr>
        <w:t>at</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ind w:left="1300" w:hanging="644"/>
        <w:spacing w:after="0"/>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exact number of rentable square feet within the Premises is 10,893 square feet.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Tenant’s Share as adjusted based upon the exact number of rentable square feet within the Premises is 8.1280%.</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Failure of Tenant to timely execute and deliver this Notice of Lease Term Dates shall constitute an acknowledgment by Tenant that the statements included in this notice are true and correct, without exception.</w:t>
      </w:r>
    </w:p>
    <w:p>
      <w:pPr>
        <w:spacing w:after="0" w:line="38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8008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as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of</w:t>
            </w:r>
          </w:p>
        </w:tc>
        <w:tc>
          <w:tcPr>
            <w:tcW w:w="80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7721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27774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89" w:name="page590"/>
    <w:bookmarkEnd w:id="589"/>
    <w:p>
      <w:pPr>
        <w:jc w:val="center"/>
        <w:ind w:right="-19"/>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SUNNYVALE CITY CENTER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Tenant shall faithfully observe and comply with the following Rules and Regulations. Landlord shall not be responsible to Tenant for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nonperformance of any of said Rules and Regulations by or otherwise with respect to the acts or omissions of any other tenants or occupants of the Project.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any conflict between the Rules and Regulations and the other provisions of this Lease, the latter shall control.</w:t>
      </w:r>
    </w:p>
    <w:p>
      <w:pPr>
        <w:spacing w:after="0" w:line="211" w:lineRule="exact"/>
        <w:rPr>
          <w:sz w:val="20"/>
          <w:szCs w:val="20"/>
          <w:color w:val="auto"/>
        </w:rPr>
      </w:pPr>
    </w:p>
    <w:p>
      <w:pPr>
        <w:ind w:right="80" w:firstLine="656"/>
        <w:spacing w:after="0" w:line="293" w:lineRule="auto"/>
        <w:tabs>
          <w:tab w:leader="none" w:pos="1368" w:val="left"/>
        </w:tabs>
        <w:numPr>
          <w:ilvl w:val="0"/>
          <w:numId w:val="514"/>
        </w:numPr>
        <w:rPr>
          <w:rFonts w:ascii="Arial" w:cs="Arial" w:eastAsia="Arial" w:hAnsi="Arial"/>
          <w:sz w:val="16"/>
          <w:szCs w:val="16"/>
          <w:color w:val="auto"/>
        </w:rPr>
      </w:pPr>
      <w:r>
        <w:rPr>
          <w:rFonts w:ascii="Arial" w:cs="Arial" w:eastAsia="Arial" w:hAnsi="Arial"/>
          <w:sz w:val="16"/>
          <w:szCs w:val="16"/>
          <w:color w:val="auto"/>
        </w:rPr>
        <w:t>Except as expressly provided in this Lease, Tenant shall not alter any lock or install any new or additional locks or bolts on any doors or windows of the Premises without obtaining 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164" w:lineRule="exact"/>
        <w:rPr>
          <w:rFonts w:ascii="Arial" w:cs="Arial" w:eastAsia="Arial" w:hAnsi="Arial"/>
          <w:sz w:val="16"/>
          <w:szCs w:val="16"/>
          <w:color w:val="auto"/>
        </w:rPr>
      </w:pPr>
    </w:p>
    <w:p>
      <w:pPr>
        <w:ind w:left="1380" w:hanging="724"/>
        <w:spacing w:after="0"/>
        <w:tabs>
          <w:tab w:leader="none" w:pos="138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w:t>
      </w:r>
    </w:p>
    <w:p>
      <w:pPr>
        <w:spacing w:after="0" w:line="225" w:lineRule="exact"/>
        <w:rPr>
          <w:rFonts w:ascii="Arial" w:cs="Arial" w:eastAsia="Arial" w:hAnsi="Arial"/>
          <w:sz w:val="18"/>
          <w:szCs w:val="18"/>
          <w:color w:val="auto"/>
        </w:rPr>
      </w:pPr>
    </w:p>
    <w:p>
      <w:pPr>
        <w:ind w:firstLine="656"/>
        <w:spacing w:after="0" w:line="288" w:lineRule="auto"/>
        <w:tabs>
          <w:tab w:leader="none" w:pos="1368" w:val="left"/>
        </w:tabs>
        <w:numPr>
          <w:ilvl w:val="0"/>
          <w:numId w:val="514"/>
        </w:numPr>
        <w:rPr>
          <w:rFonts w:ascii="Arial" w:cs="Arial" w:eastAsia="Arial" w:hAnsi="Arial"/>
          <w:sz w:val="16"/>
          <w:szCs w:val="16"/>
          <w:color w:val="auto"/>
        </w:rPr>
      </w:pPr>
      <w:r>
        <w:rPr>
          <w:rFonts w:ascii="Arial" w:cs="Arial" w:eastAsia="Arial" w:hAnsi="Arial"/>
          <w:sz w:val="16"/>
          <w:szCs w:val="16"/>
          <w:color w:val="auto"/>
        </w:rPr>
        <w:t>Landlord reserves the right to close and keep locked all entrance and exit doors of the Building during such hours as are customary for comparable buildings in the downtown area of Sunnyvale, California.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Access to the Building may be refused unless the person seeking access has proper identification or has a previously arranged pass for access to the Building. Landlord will furnish passes to persons for whom Tenant requests same in writing. Tenant shall be responsible for all persons for whom Tenant requests passes and shall be liable to Landlord for all acts of such persons. The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pacing w:after="0" w:line="168" w:lineRule="exact"/>
        <w:rPr>
          <w:rFonts w:ascii="Arial" w:cs="Arial" w:eastAsia="Arial" w:hAnsi="Arial"/>
          <w:sz w:val="16"/>
          <w:szCs w:val="16"/>
          <w:color w:val="auto"/>
        </w:rPr>
      </w:pPr>
    </w:p>
    <w:p>
      <w:pPr>
        <w:ind w:right="80" w:firstLine="656"/>
        <w:spacing w:after="0" w:line="254" w:lineRule="auto"/>
        <w:tabs>
          <w:tab w:leader="none" w:pos="1368" w:val="left"/>
        </w:tabs>
        <w:numPr>
          <w:ilvl w:val="0"/>
          <w:numId w:val="514"/>
        </w:numPr>
        <w:rPr>
          <w:rFonts w:ascii="Arial" w:cs="Arial" w:eastAsia="Arial" w:hAnsi="Arial"/>
          <w:sz w:val="18"/>
          <w:szCs w:val="18"/>
          <w:color w:val="auto"/>
        </w:rPr>
      </w:pPr>
      <w:r>
        <w:rPr>
          <w:rFonts w:ascii="Arial" w:cs="Arial" w:eastAsia="Arial" w:hAnsi="Arial"/>
          <w:sz w:val="18"/>
          <w:szCs w:val="18"/>
          <w:color w:val="auto"/>
        </w:rPr>
        <w:t>No furniture, freight or equipment of any kind shall be brought into the Building without prior notice to Landlord. All moving activity into or out of the Building shall be scheduled with Landlord and done only at such time and in such manner as Landlord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194" w:lineRule="exact"/>
        <w:rPr>
          <w:rFonts w:ascii="Arial" w:cs="Arial" w:eastAsia="Arial" w:hAnsi="Arial"/>
          <w:sz w:val="18"/>
          <w:szCs w:val="18"/>
          <w:color w:val="auto"/>
        </w:rPr>
      </w:pPr>
    </w:p>
    <w:p>
      <w:pPr>
        <w:ind w:right="440" w:firstLine="656"/>
        <w:spacing w:after="0" w:line="277" w:lineRule="auto"/>
        <w:tabs>
          <w:tab w:leader="none" w:pos="1368" w:val="left"/>
        </w:tabs>
        <w:numPr>
          <w:ilvl w:val="0"/>
          <w:numId w:val="514"/>
        </w:numPr>
        <w:rPr>
          <w:rFonts w:ascii="Arial" w:cs="Arial" w:eastAsia="Arial" w:hAnsi="Arial"/>
          <w:sz w:val="18"/>
          <w:szCs w:val="18"/>
          <w:color w:val="auto"/>
        </w:rPr>
      </w:pPr>
      <w:r>
        <w:rPr>
          <w:rFonts w:ascii="Arial" w:cs="Arial" w:eastAsia="Arial" w:hAnsi="Arial"/>
          <w:sz w:val="18"/>
          <w:szCs w:val="18"/>
          <w:color w:val="auto"/>
        </w:rPr>
        <w:t>No furniture, packages, supplies, equipment or merchandise will be received in the Building or carried up or down in the elevators, except between such hours, in such specific elevator and by such personnel as shall be designated by Landlord.</w:t>
      </w:r>
    </w:p>
    <w:p>
      <w:pPr>
        <w:spacing w:after="0" w:line="170" w:lineRule="exact"/>
        <w:rPr>
          <w:rFonts w:ascii="Arial" w:cs="Arial" w:eastAsia="Arial" w:hAnsi="Arial"/>
          <w:sz w:val="18"/>
          <w:szCs w:val="18"/>
          <w:color w:val="auto"/>
        </w:rPr>
      </w:pPr>
    </w:p>
    <w:p>
      <w:pPr>
        <w:ind w:right="120" w:firstLine="656"/>
        <w:spacing w:after="0" w:line="263" w:lineRule="auto"/>
        <w:tabs>
          <w:tab w:leader="none" w:pos="1368"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83" w:lineRule="exact"/>
        <w:rPr>
          <w:rFonts w:ascii="Arial" w:cs="Arial" w:eastAsia="Arial" w:hAnsi="Arial"/>
          <w:sz w:val="18"/>
          <w:szCs w:val="18"/>
          <w:color w:val="auto"/>
        </w:rPr>
      </w:pPr>
    </w:p>
    <w:p>
      <w:pPr>
        <w:ind w:right="80" w:firstLine="656"/>
        <w:spacing w:after="0" w:line="263" w:lineRule="auto"/>
        <w:tabs>
          <w:tab w:leader="none" w:pos="1368" w:val="left"/>
        </w:tabs>
        <w:numPr>
          <w:ilvl w:val="0"/>
          <w:numId w:val="514"/>
        </w:numPr>
        <w:rPr>
          <w:rFonts w:ascii="Arial" w:cs="Arial" w:eastAsia="Arial" w:hAnsi="Arial"/>
          <w:sz w:val="18"/>
          <w:szCs w:val="18"/>
          <w:color w:val="auto"/>
        </w:rPr>
      </w:pPr>
      <w:r>
        <w:rPr>
          <w:rFonts w:ascii="Arial" w:cs="Arial" w:eastAsia="Arial" w:hAnsi="Arial"/>
          <w:sz w:val="18"/>
          <w:szCs w:val="18"/>
          <w:color w:val="auto"/>
        </w:rPr>
        <w:t>No sign, advertisement, notice or handbill shall be exhibited, distributed, painted or affixed by Tenant on any part of the Premises or the Building without the prior written consent of the Landlord. Tenant shall not disturb, solicit, peddle, or canvass any occupant of the Project and shall cooperate with Landlord and its agents of Landlord to prevent same.</w:t>
      </w:r>
    </w:p>
    <w:p>
      <w:pPr>
        <w:spacing w:after="0" w:line="183" w:lineRule="exact"/>
        <w:rPr>
          <w:rFonts w:ascii="Arial" w:cs="Arial" w:eastAsia="Arial" w:hAnsi="Arial"/>
          <w:sz w:val="18"/>
          <w:szCs w:val="18"/>
          <w:color w:val="auto"/>
        </w:rPr>
      </w:pPr>
    </w:p>
    <w:p>
      <w:pPr>
        <w:ind w:right="260" w:firstLine="656"/>
        <w:spacing w:after="0" w:line="263" w:lineRule="auto"/>
        <w:tabs>
          <w:tab w:leader="none" w:pos="1368"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0" w:name="page591"/>
    <w:bookmarkEnd w:id="590"/>
    <w:p>
      <w:pPr>
        <w:spacing w:after="0"/>
        <w:rPr>
          <w:sz w:val="20"/>
          <w:szCs w:val="20"/>
          <w:color w:val="auto"/>
        </w:rPr>
      </w:pPr>
      <w:r>
        <w:rPr>
          <w:rFonts w:ascii="Arial" w:cs="Arial" w:eastAsia="Arial" w:hAnsi="Arial"/>
          <w:sz w:val="18"/>
          <w:szCs w:val="18"/>
          <w:color w:val="auto"/>
        </w:rPr>
        <w:t>this rule shall be borne by the tenant who, or whose servants, employees, agents, visitors or licensees shall have caused same.</w:t>
      </w:r>
    </w:p>
    <w:p>
      <w:pPr>
        <w:spacing w:after="0" w:line="225" w:lineRule="exact"/>
        <w:rPr>
          <w:sz w:val="20"/>
          <w:szCs w:val="20"/>
          <w:color w:val="auto"/>
        </w:rPr>
      </w:pPr>
    </w:p>
    <w:p>
      <w:pPr>
        <w:ind w:right="160" w:firstLine="656"/>
        <w:spacing w:after="0" w:line="263" w:lineRule="auto"/>
        <w:tabs>
          <w:tab w:leader="none" w:pos="1368"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not overload the floor of the Premises, nor mark, drive nails or screws, or drill into the partitions, woodwork or drywall or in any way deface the Premises or any part thereof without Landlord’s prior written consent. Tenant shall not purchase spring water, ice, towel, linen, maintenance or other like services from any person or persons not approved by Landlord.</w:t>
      </w:r>
    </w:p>
    <w:p>
      <w:pPr>
        <w:spacing w:after="0" w:line="183" w:lineRule="exact"/>
        <w:rPr>
          <w:rFonts w:ascii="Arial" w:cs="Arial" w:eastAsia="Arial" w:hAnsi="Arial"/>
          <w:sz w:val="18"/>
          <w:szCs w:val="18"/>
          <w:color w:val="auto"/>
        </w:rPr>
      </w:pPr>
    </w:p>
    <w:p>
      <w:pPr>
        <w:ind w:right="200" w:firstLine="656"/>
        <w:spacing w:after="0" w:line="342" w:lineRule="auto"/>
        <w:tabs>
          <w:tab w:leader="none" w:pos="1323" w:val="left"/>
        </w:tabs>
        <w:numPr>
          <w:ilvl w:val="0"/>
          <w:numId w:val="515"/>
        </w:numPr>
        <w:rPr>
          <w:rFonts w:ascii="Arial" w:cs="Arial" w:eastAsia="Arial" w:hAnsi="Arial"/>
          <w:sz w:val="16"/>
          <w:szCs w:val="16"/>
          <w:color w:val="auto"/>
        </w:rPr>
      </w:pPr>
      <w:r>
        <w:rPr>
          <w:rFonts w:ascii="Arial" w:cs="Arial" w:eastAsia="Arial" w:hAnsi="Arial"/>
          <w:sz w:val="16"/>
          <w:szCs w:val="16"/>
          <w:color w:val="auto"/>
        </w:rPr>
        <w:t>Except for vending machines intended for the sole use of Tenant’s employees and invitees, no vending machine or machines other than fractional horsepower office machines shall be installed, maintained or operated upon the Premises without the written consent of Landlord.</w:t>
      </w:r>
    </w:p>
    <w:p>
      <w:pPr>
        <w:spacing w:after="0" w:line="123" w:lineRule="exact"/>
        <w:rPr>
          <w:rFonts w:ascii="Arial" w:cs="Arial" w:eastAsia="Arial" w:hAnsi="Arial"/>
          <w:sz w:val="16"/>
          <w:szCs w:val="16"/>
          <w:color w:val="auto"/>
        </w:rPr>
      </w:pPr>
    </w:p>
    <w:p>
      <w:pPr>
        <w:ind w:right="860" w:firstLine="656"/>
        <w:spacing w:after="0" w:line="277" w:lineRule="auto"/>
        <w:tabs>
          <w:tab w:leader="none" w:pos="1316"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not use or keep in or on the Premises, the Building, or the Project any kerosene, gasoline or other inflammable or combustible fluid, chemical, substance or material.</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210" w:lineRule="exact"/>
        <w:rPr>
          <w:rFonts w:ascii="Arial" w:cs="Arial" w:eastAsia="Arial" w:hAnsi="Arial"/>
          <w:sz w:val="16"/>
          <w:szCs w:val="16"/>
          <w:color w:val="auto"/>
        </w:rPr>
      </w:pPr>
    </w:p>
    <w:p>
      <w:pPr>
        <w:ind w:right="20" w:firstLine="656"/>
        <w:spacing w:after="0" w:line="279" w:lineRule="auto"/>
        <w:tabs>
          <w:tab w:leader="none" w:pos="1323"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Tenant shall not use, keep or permit to be used or kept, any foul or noxious gas or substance in or on the Premises, or permit or allow the Premises to be occupied or used in a manner offensive or objectionable to Landlord or other occupants of the Project by reason of noise, odors, or vibrations, or interfere with other tenants or those having business therein, whether by the use of any musical instrument, radio, phonograph, or in any other way. Tenant shall not throw anything out of doors, windows or skylights or down passageways.</w:t>
      </w:r>
    </w:p>
    <w:p>
      <w:pPr>
        <w:spacing w:after="0" w:line="171" w:lineRule="exact"/>
        <w:rPr>
          <w:rFonts w:ascii="Arial" w:cs="Arial" w:eastAsia="Arial" w:hAnsi="Arial"/>
          <w:sz w:val="17"/>
          <w:szCs w:val="17"/>
          <w:color w:val="auto"/>
        </w:rPr>
      </w:pPr>
    </w:p>
    <w:p>
      <w:pPr>
        <w:ind w:right="100" w:firstLine="656"/>
        <w:spacing w:after="0" w:line="277" w:lineRule="auto"/>
        <w:tabs>
          <w:tab w:leader="none" w:pos="132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not bring into or keep within the Project, the Building or the Premises any animals, birds, aquariums, firearms, or, except in areas designated by Landlord, bicycles or other vehicles.</w:t>
      </w:r>
    </w:p>
    <w:p>
      <w:pPr>
        <w:spacing w:after="0" w:line="170" w:lineRule="exact"/>
        <w:rPr>
          <w:rFonts w:ascii="Arial" w:cs="Arial" w:eastAsia="Arial" w:hAnsi="Arial"/>
          <w:sz w:val="18"/>
          <w:szCs w:val="18"/>
          <w:color w:val="auto"/>
        </w:rPr>
      </w:pPr>
    </w:p>
    <w:p>
      <w:pPr>
        <w:ind w:right="120" w:firstLine="656"/>
        <w:spacing w:after="0" w:line="279" w:lineRule="auto"/>
        <w:tabs>
          <w:tab w:leader="none" w:pos="1323" w:val="left"/>
        </w:tabs>
        <w:numPr>
          <w:ilvl w:val="0"/>
          <w:numId w:val="515"/>
        </w:numPr>
        <w:rPr>
          <w:rFonts w:ascii="Arial" w:cs="Arial" w:eastAsia="Arial" w:hAnsi="Arial"/>
          <w:sz w:val="17"/>
          <w:szCs w:val="17"/>
          <w:color w:val="auto"/>
        </w:rPr>
      </w:pPr>
      <w:r>
        <w:rPr>
          <w:rFonts w:ascii="Arial" w:cs="Arial" w:eastAsia="Arial" w:hAnsi="Arial"/>
          <w:sz w:val="17"/>
          <w:szCs w:val="17"/>
          <w:color w:val="auto"/>
        </w:rPr>
        <w:t>No cooking shall be done or permitted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rules and regulations.</w:t>
      </w:r>
    </w:p>
    <w:p>
      <w:pPr>
        <w:spacing w:after="0" w:line="171" w:lineRule="exact"/>
        <w:rPr>
          <w:rFonts w:ascii="Arial" w:cs="Arial" w:eastAsia="Arial" w:hAnsi="Arial"/>
          <w:sz w:val="17"/>
          <w:szCs w:val="17"/>
          <w:color w:val="auto"/>
        </w:rPr>
      </w:pPr>
    </w:p>
    <w:p>
      <w:pPr>
        <w:ind w:firstLine="656"/>
        <w:spacing w:after="0" w:line="296" w:lineRule="auto"/>
        <w:tabs>
          <w:tab w:leader="none" w:pos="1323" w:val="left"/>
        </w:tabs>
        <w:numPr>
          <w:ilvl w:val="0"/>
          <w:numId w:val="515"/>
        </w:numPr>
        <w:rPr>
          <w:rFonts w:ascii="Arial" w:cs="Arial" w:eastAsia="Arial" w:hAnsi="Arial"/>
          <w:sz w:val="16"/>
          <w:szCs w:val="16"/>
          <w:color w:val="auto"/>
        </w:rPr>
      </w:pPr>
      <w:r>
        <w:rPr>
          <w:rFonts w:ascii="Arial" w:cs="Arial" w:eastAsia="Arial" w:hAnsi="Arial"/>
          <w:sz w:val="16"/>
          <w:szCs w:val="16"/>
          <w:color w:val="auto"/>
        </w:rPr>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161" w:lineRule="exact"/>
        <w:rPr>
          <w:rFonts w:ascii="Arial" w:cs="Arial" w:eastAsia="Arial" w:hAnsi="Arial"/>
          <w:sz w:val="16"/>
          <w:szCs w:val="16"/>
          <w:color w:val="auto"/>
        </w:rPr>
      </w:pPr>
    </w:p>
    <w:p>
      <w:pPr>
        <w:ind w:right="60" w:firstLine="656"/>
        <w:spacing w:after="0" w:line="277" w:lineRule="auto"/>
        <w:tabs>
          <w:tab w:leader="none" w:pos="132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judgment of Landlord, is intoxicated or under the influence of liquor or drugs, or who shall in any manner do any act in violation of any of these Rules and Regulations.</w:t>
      </w:r>
    </w:p>
    <w:p>
      <w:pPr>
        <w:spacing w:after="0" w:line="170" w:lineRule="exact"/>
        <w:rPr>
          <w:rFonts w:ascii="Arial" w:cs="Arial" w:eastAsia="Arial" w:hAnsi="Arial"/>
          <w:sz w:val="18"/>
          <w:szCs w:val="18"/>
          <w:color w:val="auto"/>
        </w:rPr>
      </w:pPr>
    </w:p>
    <w:p>
      <w:pPr>
        <w:jc w:val="both"/>
        <w:ind w:right="180" w:firstLine="656"/>
        <w:spacing w:after="0" w:line="263" w:lineRule="auto"/>
        <w:tabs>
          <w:tab w:leader="none" w:pos="132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w:t>
      </w:r>
    </w:p>
    <w:p>
      <w:pPr>
        <w:spacing w:after="0" w:line="183" w:lineRule="exact"/>
        <w:rPr>
          <w:rFonts w:ascii="Arial" w:cs="Arial" w:eastAsia="Arial" w:hAnsi="Arial"/>
          <w:sz w:val="18"/>
          <w:szCs w:val="18"/>
          <w:color w:val="auto"/>
        </w:rPr>
      </w:pPr>
    </w:p>
    <w:p>
      <w:pPr>
        <w:ind w:right="460" w:firstLine="656"/>
        <w:spacing w:after="0" w:line="277" w:lineRule="auto"/>
        <w:tabs>
          <w:tab w:leader="none" w:pos="132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not waste electricity, water or air conditioning and agrees to cooperate fully with Landlord to ensure the most effective operation of the Building’s heating and air conditioning system, and shall refrain from attempting to adjust any controls.</w:t>
      </w:r>
    </w:p>
    <w:p>
      <w:pPr>
        <w:spacing w:after="0" w:line="170" w:lineRule="exact"/>
        <w:rPr>
          <w:rFonts w:ascii="Arial" w:cs="Arial" w:eastAsia="Arial" w:hAnsi="Arial"/>
          <w:sz w:val="18"/>
          <w:szCs w:val="18"/>
          <w:color w:val="auto"/>
        </w:rPr>
      </w:pPr>
    </w:p>
    <w:p>
      <w:pPr>
        <w:ind w:right="220" w:firstLine="656"/>
        <w:spacing w:after="0" w:line="301" w:lineRule="auto"/>
        <w:tabs>
          <w:tab w:leader="none" w:pos="1323" w:val="left"/>
        </w:tabs>
        <w:numPr>
          <w:ilvl w:val="0"/>
          <w:numId w:val="515"/>
        </w:numPr>
        <w:rPr>
          <w:rFonts w:ascii="Arial" w:cs="Arial" w:eastAsia="Arial" w:hAnsi="Arial"/>
          <w:sz w:val="16"/>
          <w:szCs w:val="16"/>
          <w:color w:val="auto"/>
        </w:rPr>
      </w:pPr>
      <w:r>
        <w:rPr>
          <w:rFonts w:ascii="Arial" w:cs="Arial" w:eastAsia="Arial" w:hAnsi="Arial"/>
          <w:sz w:val="16"/>
          <w:szCs w:val="16"/>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the downtown area of Sunnyvale, California without violation of any law or ordinance governing such disposal. All trash, garbage and refuse disposal shall be made only through entry-ways and elevators provided for such purposes at such times as Landlord shall designate.</w:t>
      </w:r>
    </w:p>
    <w:p>
      <w:pPr>
        <w:spacing w:after="0" w:line="157" w:lineRule="exact"/>
        <w:rPr>
          <w:rFonts w:ascii="Arial" w:cs="Arial" w:eastAsia="Arial" w:hAnsi="Arial"/>
          <w:sz w:val="16"/>
          <w:szCs w:val="16"/>
          <w:color w:val="auto"/>
        </w:rPr>
      </w:pPr>
    </w:p>
    <w:p>
      <w:pPr>
        <w:ind w:right="900" w:firstLine="656"/>
        <w:spacing w:after="0" w:line="277" w:lineRule="auto"/>
        <w:tabs>
          <w:tab w:leader="none" w:pos="132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Tenant shall comply with all safety, fire protection and evacuation procedures and regulations established by Landlord or any governmental agency.</w:t>
      </w:r>
    </w:p>
    <w:p>
      <w:pPr>
        <w:spacing w:after="0" w:line="170" w:lineRule="exact"/>
        <w:rPr>
          <w:rFonts w:ascii="Arial" w:cs="Arial" w:eastAsia="Arial" w:hAnsi="Arial"/>
          <w:sz w:val="18"/>
          <w:szCs w:val="18"/>
          <w:color w:val="auto"/>
        </w:rPr>
      </w:pPr>
    </w:p>
    <w:p>
      <w:pPr>
        <w:ind w:right="600" w:firstLine="656"/>
        <w:spacing w:after="0" w:line="277" w:lineRule="auto"/>
        <w:tabs>
          <w:tab w:leader="none" w:pos="1323"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Any persons employed by Tenant to do janitorial work shall be subject to the prior written approval of Landlord, and while in the Building and outside of the Premises, shall be subject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1" w:name="page592"/>
    <w:bookmarkEnd w:id="591"/>
    <w:p>
      <w:pPr>
        <w:ind w:right="780"/>
        <w:spacing w:after="0" w:line="277" w:lineRule="auto"/>
        <w:rPr>
          <w:sz w:val="20"/>
          <w:szCs w:val="20"/>
          <w:color w:val="auto"/>
        </w:rPr>
      </w:pPr>
      <w:r>
        <w:rPr>
          <w:rFonts w:ascii="Arial" w:cs="Arial" w:eastAsia="Arial" w:hAnsi="Arial"/>
          <w:sz w:val="18"/>
          <w:szCs w:val="18"/>
          <w:color w:val="auto"/>
        </w:rPr>
        <w:t>and under the control and direction of the Building manager (but not as an agent or servant of such manager or of Landlord), and Tenant shall be responsible for all acts of such persons.</w:t>
      </w:r>
    </w:p>
    <w:p>
      <w:pPr>
        <w:spacing w:after="0" w:line="170" w:lineRule="exact"/>
        <w:rPr>
          <w:sz w:val="20"/>
          <w:szCs w:val="20"/>
          <w:color w:val="auto"/>
        </w:rPr>
      </w:pPr>
    </w:p>
    <w:p>
      <w:pPr>
        <w:ind w:right="100" w:firstLine="656"/>
        <w:spacing w:after="0" w:line="254" w:lineRule="auto"/>
        <w:tabs>
          <w:tab w:leader="none" w:pos="1323" w:val="left"/>
        </w:tabs>
        <w:numPr>
          <w:ilvl w:val="0"/>
          <w:numId w:val="516"/>
        </w:numPr>
        <w:rPr>
          <w:rFonts w:ascii="Arial" w:cs="Arial" w:eastAsia="Arial" w:hAnsi="Arial"/>
          <w:sz w:val="18"/>
          <w:szCs w:val="18"/>
          <w:color w:val="auto"/>
        </w:rPr>
      </w:pPr>
      <w:r>
        <w:rPr>
          <w:rFonts w:ascii="Arial" w:cs="Arial" w:eastAsia="Arial" w:hAnsi="Arial"/>
          <w:sz w:val="18"/>
          <w:szCs w:val="18"/>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 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abide by Landlord’s regulations concerning the opening and closing of window coverings which are attached to the windows in the Premises, if any, which have a view of any interior portion of the Building or Building Common Areas.</w:t>
      </w:r>
    </w:p>
    <w:p>
      <w:pPr>
        <w:spacing w:after="0" w:line="194" w:lineRule="exact"/>
        <w:rPr>
          <w:rFonts w:ascii="Arial" w:cs="Arial" w:eastAsia="Arial" w:hAnsi="Arial"/>
          <w:sz w:val="18"/>
          <w:szCs w:val="18"/>
          <w:color w:val="auto"/>
        </w:rPr>
      </w:pPr>
    </w:p>
    <w:p>
      <w:pPr>
        <w:ind w:firstLine="656"/>
        <w:spacing w:after="0" w:line="308" w:lineRule="auto"/>
        <w:tabs>
          <w:tab w:leader="none" w:pos="1323"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146" w:lineRule="exact"/>
        <w:rPr>
          <w:rFonts w:ascii="Arial" w:cs="Arial" w:eastAsia="Arial" w:hAnsi="Arial"/>
          <w:sz w:val="17"/>
          <w:szCs w:val="17"/>
          <w:color w:val="auto"/>
        </w:rPr>
      </w:pPr>
    </w:p>
    <w:p>
      <w:pPr>
        <w:ind w:left="1340" w:hanging="684"/>
        <w:spacing w:after="0"/>
        <w:tabs>
          <w:tab w:leader="none" w:pos="13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Tenant must comply with requests by the Landlord concerning the informing of their employees of items of importance to the Landlord.</w:t>
      </w:r>
    </w:p>
    <w:p>
      <w:pPr>
        <w:spacing w:after="0" w:line="244" w:lineRule="exact"/>
        <w:rPr>
          <w:rFonts w:ascii="Arial" w:cs="Arial" w:eastAsia="Arial" w:hAnsi="Arial"/>
          <w:sz w:val="16"/>
          <w:szCs w:val="16"/>
          <w:color w:val="auto"/>
        </w:rPr>
      </w:pPr>
    </w:p>
    <w:p>
      <w:pPr>
        <w:ind w:right="260" w:firstLine="656"/>
        <w:spacing w:after="0" w:line="282" w:lineRule="auto"/>
        <w:tabs>
          <w:tab w:leader="none" w:pos="1323"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Tenant must comply with the State of California “</w:t>
      </w:r>
      <w:r>
        <w:rPr>
          <w:rFonts w:ascii="Arial" w:cs="Arial" w:eastAsia="Arial" w:hAnsi="Arial"/>
          <w:sz w:val="18"/>
          <w:szCs w:val="18"/>
          <w:b w:val="1"/>
          <w:bCs w:val="1"/>
          <w:color w:val="auto"/>
        </w:rPr>
        <w:t>No-Smoking</w:t>
      </w:r>
      <w:r>
        <w:rPr>
          <w:rFonts w:ascii="Arial" w:cs="Arial" w:eastAsia="Arial" w:hAnsi="Arial"/>
          <w:sz w:val="18"/>
          <w:szCs w:val="18"/>
          <w:color w:val="auto"/>
        </w:rPr>
        <w:t>” law set forth in California Labor Code Section 6404.5, and any local “No-Smoking” ordinance which may be in effect from time to time and which is not superseded by such State law.</w:t>
      </w:r>
    </w:p>
    <w:p>
      <w:pPr>
        <w:spacing w:after="0" w:line="165" w:lineRule="exact"/>
        <w:rPr>
          <w:rFonts w:ascii="Arial" w:cs="Arial" w:eastAsia="Arial" w:hAnsi="Arial"/>
          <w:sz w:val="18"/>
          <w:szCs w:val="18"/>
          <w:color w:val="auto"/>
        </w:rPr>
      </w:pPr>
    </w:p>
    <w:p>
      <w:pPr>
        <w:ind w:firstLine="656"/>
        <w:spacing w:after="0" w:line="271" w:lineRule="auto"/>
        <w:tabs>
          <w:tab w:leader="none" w:pos="1323"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178" w:lineRule="exact"/>
        <w:rPr>
          <w:rFonts w:ascii="Arial" w:cs="Arial" w:eastAsia="Arial" w:hAnsi="Arial"/>
          <w:sz w:val="17"/>
          <w:szCs w:val="17"/>
          <w:color w:val="auto"/>
        </w:rPr>
      </w:pPr>
    </w:p>
    <w:p>
      <w:pPr>
        <w:ind w:right="120" w:firstLine="656"/>
        <w:spacing w:after="0" w:line="277" w:lineRule="auto"/>
        <w:tabs>
          <w:tab w:leader="none" w:pos="1323"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All non-standard office equipment of any electrical or mechanical nature shall be placed by Tenant in the Premises in settings approved by Landlord, to absorb or prevent any vibration, noise and annoyance.</w:t>
      </w:r>
    </w:p>
    <w:p>
      <w:pPr>
        <w:spacing w:after="0" w:line="170" w:lineRule="exact"/>
        <w:rPr>
          <w:rFonts w:ascii="Arial" w:cs="Arial" w:eastAsia="Arial" w:hAnsi="Arial"/>
          <w:sz w:val="18"/>
          <w:szCs w:val="18"/>
          <w:color w:val="auto"/>
        </w:rPr>
      </w:pPr>
    </w:p>
    <w:p>
      <w:pPr>
        <w:ind w:right="440" w:firstLine="656"/>
        <w:spacing w:after="0" w:line="277" w:lineRule="auto"/>
        <w:tabs>
          <w:tab w:leader="none" w:pos="1323"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Tenant shall not use in any space or in the public halls of the Building, any hand trucks except those equipped with rubber tires and rubber side guards.</w:t>
      </w:r>
    </w:p>
    <w:p>
      <w:pPr>
        <w:spacing w:after="0" w:line="170" w:lineRule="exact"/>
        <w:rPr>
          <w:rFonts w:ascii="Arial" w:cs="Arial" w:eastAsia="Arial" w:hAnsi="Arial"/>
          <w:sz w:val="18"/>
          <w:szCs w:val="18"/>
          <w:color w:val="auto"/>
        </w:rPr>
      </w:pPr>
    </w:p>
    <w:p>
      <w:pPr>
        <w:ind w:right="160" w:firstLine="656"/>
        <w:spacing w:after="0" w:line="277" w:lineRule="auto"/>
        <w:tabs>
          <w:tab w:leader="none" w:pos="1323" w:val="left"/>
        </w:tabs>
        <w:numPr>
          <w:ilvl w:val="0"/>
          <w:numId w:val="516"/>
        </w:numPr>
        <w:rPr>
          <w:rFonts w:ascii="Arial" w:cs="Arial" w:eastAsia="Arial" w:hAnsi="Arial"/>
          <w:sz w:val="18"/>
          <w:szCs w:val="18"/>
          <w:color w:val="auto"/>
        </w:rPr>
      </w:pPr>
      <w:r>
        <w:rPr>
          <w:rFonts w:ascii="Arial" w:cs="Arial" w:eastAsia="Arial" w:hAnsi="Arial"/>
          <w:sz w:val="18"/>
          <w:szCs w:val="18"/>
          <w:color w:val="auto"/>
        </w:rPr>
        <w:t>No auction, liquidation, fire sale, going-out-of-business or bankruptcy sale shall be conducted in the Premises without the prior written consent of Landlord.</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No tenant shall use or permit the use of any portion of the Premises for living quarters, sleeping apartments or lodging rooms.</w:t>
      </w:r>
    </w:p>
    <w:p>
      <w:pPr>
        <w:spacing w:after="0" w:line="236" w:lineRule="exact"/>
        <w:rPr>
          <w:rFonts w:ascii="Arial" w:cs="Arial" w:eastAsia="Arial" w:hAnsi="Arial"/>
          <w:sz w:val="17"/>
          <w:szCs w:val="17"/>
          <w:color w:val="auto"/>
        </w:rPr>
      </w:pPr>
    </w:p>
    <w:p>
      <w:pPr>
        <w:ind w:left="1340" w:hanging="684"/>
        <w:spacing w:after="0"/>
        <w:tabs>
          <w:tab w:leader="none" w:pos="13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Tenant shall have the exclusive right to use its reserved parking spaces, if any, from 6:00 A.M. to 6:00 P.M. Monday through Friday.</w:t>
      </w:r>
    </w:p>
    <w:p>
      <w:pPr>
        <w:spacing w:after="0" w:line="24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92" w:name="page593"/>
    <w:bookmarkEnd w:id="592"/>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rPr>
              <w:t>EXHIBIT E</w:t>
            </w: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3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SUNNYVALE CITY CENTER</w:t>
            </w:r>
          </w:p>
        </w:tc>
        <w:tc>
          <w:tcPr>
            <w:tcW w:w="1400" w:type="dxa"/>
            <w:vAlign w:val="bottom"/>
            <w:gridSpan w:val="2"/>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2"/>
        </w:trPr>
        <w:tc>
          <w:tcPr>
            <w:tcW w:w="3600" w:type="dxa"/>
            <w:vAlign w:val="bottom"/>
          </w:tcPr>
          <w:p>
            <w:pPr>
              <w:spacing w:after="0"/>
              <w:rPr>
                <w:sz w:val="24"/>
                <w:szCs w:val="24"/>
                <w:color w:val="auto"/>
              </w:rPr>
            </w:pPr>
          </w:p>
        </w:tc>
        <w:tc>
          <w:tcPr>
            <w:tcW w:w="40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FORM OF TENANT’S ESTOPPEL CERTIFICATE</w:t>
            </w:r>
          </w:p>
        </w:tc>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8"/>
        </w:trPr>
        <w:tc>
          <w:tcPr>
            <w:tcW w:w="8220" w:type="dxa"/>
            <w:vAlign w:val="bottom"/>
            <w:gridSpan w:val="7"/>
          </w:tcPr>
          <w:p>
            <w:pPr>
              <w:ind w:left="660"/>
              <w:spacing w:after="0"/>
              <w:rPr>
                <w:sz w:val="20"/>
                <w:szCs w:val="20"/>
                <w:color w:val="auto"/>
              </w:rPr>
            </w:pPr>
            <w:r>
              <w:rPr>
                <w:rFonts w:ascii="Arial" w:cs="Arial" w:eastAsia="Arial" w:hAnsi="Arial"/>
                <w:sz w:val="18"/>
                <w:szCs w:val="18"/>
                <w:color w:val="auto"/>
                <w:w w:val="93"/>
              </w:rPr>
              <w:t>The undersigned as Tenant under that certain Office Lease (the “</w:t>
            </w:r>
            <w:r>
              <w:rPr>
                <w:rFonts w:ascii="Arial" w:cs="Arial" w:eastAsia="Arial" w:hAnsi="Arial"/>
                <w:sz w:val="18"/>
                <w:szCs w:val="18"/>
                <w:b w:val="1"/>
                <w:bCs w:val="1"/>
                <w:color w:val="auto"/>
                <w:w w:val="93"/>
              </w:rPr>
              <w:t>Lease</w:t>
            </w:r>
            <w:r>
              <w:rPr>
                <w:rFonts w:ascii="Arial" w:cs="Arial" w:eastAsia="Arial" w:hAnsi="Arial"/>
                <w:sz w:val="18"/>
                <w:szCs w:val="18"/>
                <w:color w:val="auto"/>
                <w:w w:val="93"/>
              </w:rPr>
              <w:t>”) made and entered into as of</w:t>
            </w:r>
          </w:p>
        </w:tc>
        <w:tc>
          <w:tcPr>
            <w:tcW w:w="2360" w:type="dxa"/>
            <w:vAlign w:val="bottom"/>
          </w:tcPr>
          <w:p>
            <w:pPr>
              <w:ind w:left="240"/>
              <w:spacing w:after="0"/>
              <w:rPr>
                <w:sz w:val="20"/>
                <w:szCs w:val="20"/>
                <w:color w:val="auto"/>
              </w:rPr>
            </w:pPr>
            <w:r>
              <w:rPr>
                <w:rFonts w:ascii="Arial" w:cs="Arial" w:eastAsia="Arial" w:hAnsi="Arial"/>
                <w:sz w:val="18"/>
                <w:szCs w:val="18"/>
                <w:color w:val="auto"/>
              </w:rPr>
              <w:t>, 201  by and between</w:t>
            </w:r>
          </w:p>
        </w:tc>
        <w:tc>
          <w:tcPr>
            <w:tcW w:w="420" w:type="dxa"/>
            <w:vAlign w:val="bottom"/>
          </w:tcPr>
          <w:p>
            <w:pPr>
              <w:jc w:val="center"/>
              <w:ind w:left="170"/>
              <w:spacing w:after="0"/>
              <w:rPr>
                <w:sz w:val="20"/>
                <w:szCs w:val="20"/>
                <w:color w:val="auto"/>
              </w:rPr>
            </w:pPr>
            <w:r>
              <w:rPr>
                <w:rFonts w:ascii="Arial" w:cs="Arial" w:eastAsia="Arial" w:hAnsi="Arial"/>
                <w:sz w:val="18"/>
                <w:szCs w:val="18"/>
                <w:color w:val="auto"/>
                <w:w w:val="83"/>
              </w:rPr>
              <w:t>as</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w w:val="89"/>
              </w:rPr>
              <w:t>Landlord, and the undersigned as Tenant, for Premises on the</w:t>
            </w:r>
          </w:p>
        </w:tc>
        <w:tc>
          <w:tcPr>
            <w:tcW w:w="3780" w:type="dxa"/>
            <w:vAlign w:val="bottom"/>
            <w:gridSpan w:val="5"/>
          </w:tcPr>
          <w:p>
            <w:pPr>
              <w:ind w:left="700"/>
              <w:spacing w:after="0"/>
              <w:rPr>
                <w:sz w:val="20"/>
                <w:szCs w:val="20"/>
                <w:color w:val="auto"/>
              </w:rPr>
            </w:pPr>
            <w:r>
              <w:rPr>
                <w:rFonts w:ascii="Arial" w:cs="Arial" w:eastAsia="Arial" w:hAnsi="Arial"/>
                <w:sz w:val="18"/>
                <w:szCs w:val="18"/>
                <w:color w:val="auto"/>
              </w:rPr>
              <w:t>floor(s) of the office building located at</w:t>
            </w:r>
          </w:p>
        </w:tc>
        <w:tc>
          <w:tcPr>
            <w:tcW w:w="2360" w:type="dxa"/>
            <w:vAlign w:val="bottom"/>
          </w:tcPr>
          <w:p>
            <w:pPr>
              <w:ind w:left="440"/>
              <w:spacing w:after="0"/>
              <w:rPr>
                <w:sz w:val="20"/>
                <w:szCs w:val="20"/>
                <w:color w:val="auto"/>
              </w:rPr>
            </w:pPr>
            <w:r>
              <w:rPr>
                <w:rFonts w:ascii="Arial" w:cs="Arial" w:eastAsia="Arial" w:hAnsi="Arial"/>
                <w:sz w:val="18"/>
                <w:szCs w:val="18"/>
                <w:color w:val="auto"/>
              </w:rPr>
              <w:t>, Sunnyvale, California</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certifies as follows:</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198" w:lineRule="exact"/>
        <w:rPr>
          <w:sz w:val="20"/>
          <w:szCs w:val="20"/>
          <w:color w:val="auto"/>
        </w:rPr>
      </w:pPr>
    </w:p>
    <w:p>
      <w:pPr>
        <w:ind w:right="360" w:firstLine="656"/>
        <w:spacing w:after="0" w:line="282" w:lineRule="auto"/>
        <w:tabs>
          <w:tab w:leader="none" w:pos="1368" w:val="left"/>
        </w:tabs>
        <w:numPr>
          <w:ilvl w:val="0"/>
          <w:numId w:val="517"/>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is a true and correct copy of the Lease and all amendments and modifications thereto. The documents contained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represent the entire agreement between the parties as to the Premises.</w:t>
      </w:r>
    </w:p>
    <w:p>
      <w:pPr>
        <w:sectPr>
          <w:pgSz w:w="11900" w:h="16838" w:orient="portrait"/>
          <w:cols w:equalWidth="0" w:num="1">
            <w:col w:w="11240"/>
          </w:cols>
          <w:pgMar w:left="320" w:top="323" w:right="33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expires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tabs>
          <w:tab w:leader="none" w:pos="8060" w:val="left"/>
        </w:tabs>
        <w:rPr>
          <w:sz w:val="20"/>
          <w:szCs w:val="20"/>
          <w:color w:val="auto"/>
        </w:rPr>
      </w:pPr>
      <w:r>
        <w:rPr>
          <w:rFonts w:ascii="Arial" w:cs="Arial" w:eastAsia="Arial" w:hAnsi="Arial"/>
          <w:sz w:val="18"/>
          <w:szCs w:val="18"/>
          <w:color w:val="auto"/>
        </w:rPr>
        <w:t>The undersigned currently occupies the Premises described in the Lease, the Lease Term commenced on</w:t>
      </w:r>
      <w:r>
        <w:rPr>
          <w:sz w:val="20"/>
          <w:szCs w:val="20"/>
          <w:color w:val="auto"/>
        </w:rPr>
        <w:tab/>
      </w:r>
      <w:r>
        <w:rPr>
          <w:rFonts w:ascii="Arial" w:cs="Arial" w:eastAsia="Arial" w:hAnsi="Arial"/>
          <w:sz w:val="15"/>
          <w:szCs w:val="15"/>
          <w:color w:val="auto"/>
        </w:rPr>
        <w:t>, and the Lease Term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and the undersigned has no option to terminate or cancel the Lease or to purchase all or any part of the Premises, the Building and/or the</w:t>
      </w:r>
    </w:p>
    <w:p>
      <w:pPr>
        <w:spacing w:after="0" w:line="438" w:lineRule="exact"/>
        <w:rPr>
          <w:sz w:val="20"/>
          <w:szCs w:val="20"/>
          <w:color w:val="auto"/>
        </w:rPr>
      </w:pPr>
    </w:p>
    <w:p>
      <w:pPr>
        <w:sectPr>
          <w:pgSz w:w="11900" w:h="16838" w:orient="portrait"/>
          <w:cols w:equalWidth="0" w:num="2">
            <w:col w:w="800" w:space="500"/>
            <w:col w:w="9940"/>
          </w:cols>
          <w:pgMar w:left="320" w:top="323" w:right="339" w:bottom="1440" w:gutter="0" w:footer="0" w:header="0"/>
          <w:type w:val="continuous"/>
        </w:sectPr>
      </w:pPr>
    </w:p>
    <w:p>
      <w:pPr>
        <w:spacing w:after="0" w:line="11"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Base Rent became payable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3">
            <w:col w:w="800" w:space="580"/>
            <w:col w:w="2160" w:space="580"/>
            <w:col w:w="7120"/>
          </w:cols>
          <w:pgMar w:left="320" w:top="323" w:right="339" w:bottom="1440" w:gutter="0" w:footer="0" w:header="0"/>
          <w:type w:val="continuous"/>
        </w:sectPr>
      </w:pPr>
    </w:p>
    <w:p>
      <w:pPr>
        <w:spacing w:after="0" w:line="44" w:lineRule="exact"/>
        <w:rPr>
          <w:sz w:val="20"/>
          <w:szCs w:val="20"/>
          <w:color w:val="auto"/>
        </w:rPr>
      </w:pPr>
    </w:p>
    <w:p>
      <w:pPr>
        <w:ind w:left="1380" w:hanging="724"/>
        <w:spacing w:after="0"/>
        <w:tabs>
          <w:tab w:leader="none" w:pos="138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 xml:space="preserve">The Lease is in full force and effect and has not been modified, supplemented or amended in any way except as provided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right="260" w:firstLine="656"/>
        <w:spacing w:after="0" w:line="277" w:lineRule="auto"/>
        <w:tabs>
          <w:tab w:leader="none" w:pos="1368"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Tenant has not transferred, assigned, or sublet any portion of the Premises nor entered into any license or concession agreements with respect thereto except as follows:</w:t>
      </w:r>
    </w:p>
    <w:p>
      <w:pPr>
        <w:spacing w:after="0" w:line="166" w:lineRule="exact"/>
        <w:rPr>
          <w:rFonts w:ascii="Arial" w:cs="Arial" w:eastAsia="Arial" w:hAnsi="Arial"/>
          <w:sz w:val="18"/>
          <w:szCs w:val="18"/>
          <w:color w:val="auto"/>
        </w:rPr>
      </w:pPr>
    </w:p>
    <w:p>
      <w:pPr>
        <w:ind w:left="1380" w:hanging="724"/>
        <w:spacing w:after="0"/>
        <w:tabs>
          <w:tab w:leader="none" w:pos="138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 xml:space="preserve">Tenant shall not modify the documents contained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without the prior written consent of Landlord’s mortgagee.</w:t>
      </w:r>
    </w:p>
    <w:p>
      <w:pPr>
        <w:spacing w:after="0" w:line="229" w:lineRule="exact"/>
        <w:rPr>
          <w:rFonts w:ascii="Arial" w:cs="Arial" w:eastAsia="Arial" w:hAnsi="Arial"/>
          <w:sz w:val="18"/>
          <w:szCs w:val="18"/>
          <w:color w:val="auto"/>
        </w:rPr>
      </w:pPr>
    </w:p>
    <w:p>
      <w:pPr>
        <w:ind w:left="1380" w:hanging="724"/>
        <w:spacing w:after="0"/>
        <w:tabs>
          <w:tab w:leader="none" w:pos="138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All monthly installments of Base Rent, all Additional Rent and all monthly installments of estimated Additional Rent have been paid</w:t>
      </w:r>
    </w:p>
    <w:p>
      <w:pPr>
        <w:spacing w:after="0" w:line="35" w:lineRule="exact"/>
        <w:rPr>
          <w:sz w:val="20"/>
          <w:szCs w:val="20"/>
          <w:color w:val="auto"/>
        </w:rPr>
      </w:pPr>
    </w:p>
    <w:p>
      <w:pPr>
        <w:spacing w:after="0"/>
        <w:tabs>
          <w:tab w:leader="none" w:pos="1820" w:val="left"/>
          <w:tab w:leader="none" w:pos="6500" w:val="left"/>
        </w:tabs>
        <w:rPr>
          <w:sz w:val="20"/>
          <w:szCs w:val="20"/>
          <w:color w:val="auto"/>
        </w:rPr>
      </w:pPr>
      <w:r>
        <w:rPr>
          <w:rFonts w:ascii="Arial" w:cs="Arial" w:eastAsia="Arial" w:hAnsi="Arial"/>
          <w:sz w:val="18"/>
          <w:szCs w:val="18"/>
          <w:color w:val="auto"/>
        </w:rPr>
        <w:t>when due through</w:t>
      </w:r>
      <w:r>
        <w:rPr>
          <w:sz w:val="20"/>
          <w:szCs w:val="20"/>
          <w:color w:val="auto"/>
        </w:rPr>
        <w:tab/>
      </w:r>
      <w:r>
        <w:rPr>
          <w:rFonts w:ascii="Arial" w:cs="Arial" w:eastAsia="Arial" w:hAnsi="Arial"/>
          <w:sz w:val="18"/>
          <w:szCs w:val="18"/>
          <w:color w:val="auto"/>
        </w:rPr>
        <w:t>. The current monthly installment of Base Rent is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40" w:firstLine="656"/>
        <w:spacing w:after="0" w:line="342" w:lineRule="auto"/>
        <w:tabs>
          <w:tab w:leader="none" w:pos="1368" w:val="left"/>
        </w:tabs>
        <w:numPr>
          <w:ilvl w:val="0"/>
          <w:numId w:val="519"/>
        </w:numPr>
        <w:rPr>
          <w:rFonts w:ascii="Arial" w:cs="Arial" w:eastAsia="Arial" w:hAnsi="Arial"/>
          <w:sz w:val="16"/>
          <w:szCs w:val="16"/>
          <w:color w:val="auto"/>
        </w:rPr>
      </w:pPr>
      <w:r>
        <w:rPr>
          <w:rFonts w:ascii="Arial" w:cs="Arial" w:eastAsia="Arial" w:hAnsi="Arial"/>
          <w:sz w:val="16"/>
          <w:szCs w:val="16"/>
          <w:color w:val="auto"/>
        </w:rPr>
        <w:t>All conditions of the Lease to be performed by Landlord necessary to the enforceability of the Lease have been satisfied and Landlord is not in default thereunder. In addition, the undersigned has not delivered any notice to Landlord regarding a default by Landlord thereunder.</w:t>
      </w:r>
    </w:p>
    <w:p>
      <w:pPr>
        <w:spacing w:after="0" w:line="123" w:lineRule="exact"/>
        <w:rPr>
          <w:rFonts w:ascii="Arial" w:cs="Arial" w:eastAsia="Arial" w:hAnsi="Arial"/>
          <w:sz w:val="16"/>
          <w:szCs w:val="16"/>
          <w:color w:val="auto"/>
        </w:rPr>
      </w:pPr>
    </w:p>
    <w:p>
      <w:pPr>
        <w:ind w:left="1380" w:hanging="724"/>
        <w:spacing w:after="0"/>
        <w:tabs>
          <w:tab w:leader="none" w:pos="1380" w:val="left"/>
        </w:tabs>
        <w:numPr>
          <w:ilvl w:val="0"/>
          <w:numId w:val="519"/>
        </w:numPr>
        <w:rPr>
          <w:rFonts w:ascii="Arial" w:cs="Arial" w:eastAsia="Arial" w:hAnsi="Arial"/>
          <w:sz w:val="16"/>
          <w:szCs w:val="16"/>
          <w:color w:val="auto"/>
        </w:rPr>
      </w:pPr>
      <w:r>
        <w:rPr>
          <w:rFonts w:ascii="Arial" w:cs="Arial" w:eastAsia="Arial" w:hAnsi="Arial"/>
          <w:sz w:val="16"/>
          <w:szCs w:val="16"/>
          <w:color w:val="auto"/>
        </w:rPr>
        <w:t>No rental has been paid more than thirty (30) days in advance and no security has been deposited with Landlord except as provided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Lease.</w:t>
      </w:r>
    </w:p>
    <w:p>
      <w:pPr>
        <w:spacing w:after="0" w:line="210" w:lineRule="exact"/>
        <w:rPr>
          <w:rFonts w:ascii="Arial" w:cs="Arial" w:eastAsia="Arial" w:hAnsi="Arial"/>
          <w:sz w:val="16"/>
          <w:szCs w:val="16"/>
          <w:color w:val="auto"/>
        </w:rPr>
      </w:pPr>
    </w:p>
    <w:p>
      <w:pPr>
        <w:ind w:right="140" w:firstLine="656"/>
        <w:spacing w:after="0" w:line="277" w:lineRule="auto"/>
        <w:tabs>
          <w:tab w:leader="none" w:pos="1323"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As of the date hereof, to Tenant’s actual knowledge, there are no existing defenses or offsets, or, to the undersigned’s actual knowledge, claims or any basis for a claim, that the undersigned has against Landlord.</w:t>
      </w:r>
    </w:p>
    <w:p>
      <w:pPr>
        <w:spacing w:after="0" w:line="170" w:lineRule="exact"/>
        <w:rPr>
          <w:rFonts w:ascii="Arial" w:cs="Arial" w:eastAsia="Arial" w:hAnsi="Arial"/>
          <w:sz w:val="18"/>
          <w:szCs w:val="18"/>
          <w:color w:val="auto"/>
        </w:rPr>
      </w:pPr>
    </w:p>
    <w:p>
      <w:pPr>
        <w:jc w:val="both"/>
        <w:ind w:right="260" w:firstLine="656"/>
        <w:spacing w:after="0" w:line="263" w:lineRule="auto"/>
        <w:tabs>
          <w:tab w:leader="none" w:pos="131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If Tenant is a corporation or partnership, each individual executing this Estoppel Certificate on behalf of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There are no actions pending against the undersigned under the bankruptcy or similar laws of the United States or any state.</w:t>
      </w:r>
    </w:p>
    <w:p>
      <w:pPr>
        <w:spacing w:after="0" w:line="236" w:lineRule="exact"/>
        <w:rPr>
          <w:rFonts w:ascii="Arial" w:cs="Arial" w:eastAsia="Arial" w:hAnsi="Arial"/>
          <w:sz w:val="17"/>
          <w:szCs w:val="17"/>
          <w:color w:val="auto"/>
        </w:rPr>
      </w:pPr>
    </w:p>
    <w:p>
      <w:pPr>
        <w:ind w:right="240" w:firstLine="656"/>
        <w:spacing w:after="0" w:line="277" w:lineRule="auto"/>
        <w:tabs>
          <w:tab w:leader="none" w:pos="1323" w:val="left"/>
        </w:tabs>
        <w:numPr>
          <w:ilvl w:val="0"/>
          <w:numId w:val="519"/>
        </w:numPr>
        <w:rPr>
          <w:rFonts w:ascii="Arial" w:cs="Arial" w:eastAsia="Arial" w:hAnsi="Arial"/>
          <w:sz w:val="18"/>
          <w:szCs w:val="18"/>
          <w:color w:val="auto"/>
        </w:rPr>
      </w:pPr>
      <w:r>
        <w:rPr>
          <w:rFonts w:ascii="Arial" w:cs="Arial" w:eastAsia="Arial" w:hAnsi="Arial"/>
          <w:sz w:val="18"/>
          <w:szCs w:val="18"/>
          <w:color w:val="auto"/>
        </w:rPr>
        <w:t>Other than in compliance with all applicable laws and incidental to the ordinary course of the use of the Premises, the undersigned has not used or stored any hazardous substances in the Premises.</w:t>
      </w:r>
    </w:p>
    <w:p>
      <w:pPr>
        <w:spacing w:after="0" w:line="170" w:lineRule="exact"/>
        <w:rPr>
          <w:rFonts w:ascii="Arial" w:cs="Arial" w:eastAsia="Arial" w:hAnsi="Arial"/>
          <w:sz w:val="18"/>
          <w:szCs w:val="18"/>
          <w:color w:val="auto"/>
        </w:rPr>
      </w:pPr>
    </w:p>
    <w:p>
      <w:pPr>
        <w:jc w:val="both"/>
        <w:ind w:right="160" w:firstLine="656"/>
        <w:spacing w:after="0" w:line="263" w:lineRule="auto"/>
        <w:tabs>
          <w:tab w:leader="none" w:pos="1323"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To the undersigned’s actual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593" w:name="page594"/>
    <w:bookmarkEnd w:id="593"/>
    <w:p>
      <w:pPr>
        <w:spacing w:after="0"/>
        <w:tabs>
          <w:tab w:leader="none" w:pos="1540" w:val="left"/>
          <w:tab w:leader="none" w:pos="2260" w:val="left"/>
          <w:tab w:leader="none" w:pos="3240" w:val="left"/>
        </w:tabs>
        <w:rPr>
          <w:sz w:val="20"/>
          <w:szCs w:val="20"/>
          <w:color w:val="auto"/>
        </w:rPr>
      </w:pPr>
      <w:r>
        <w:rPr>
          <w:rFonts w:ascii="Arial" w:cs="Arial" w:eastAsia="Arial" w:hAnsi="Arial"/>
          <w:sz w:val="18"/>
          <w:szCs w:val="18"/>
          <w:color w:val="auto"/>
        </w:rPr>
        <w:t>Executed at</w:t>
      </w:r>
      <w:r>
        <w:rPr>
          <w:sz w:val="20"/>
          <w:szCs w:val="20"/>
          <w:color w:val="auto"/>
        </w:rPr>
        <w:tab/>
      </w:r>
      <w:r>
        <w:rPr>
          <w:rFonts w:ascii="Arial" w:cs="Arial" w:eastAsia="Arial" w:hAnsi="Arial"/>
          <w:sz w:val="18"/>
          <w:szCs w:val="18"/>
          <w:color w:val="auto"/>
        </w:rPr>
        <w:t>on the</w:t>
        <w:tab/>
        <w:t>day of</w:t>
      </w:r>
      <w:r>
        <w:rPr>
          <w:sz w:val="20"/>
          <w:szCs w:val="20"/>
          <w:color w:val="auto"/>
        </w:rPr>
        <w:tab/>
      </w:r>
      <w:r>
        <w:rPr>
          <w:rFonts w:ascii="Arial" w:cs="Arial" w:eastAsia="Arial" w:hAnsi="Arial"/>
          <w:sz w:val="17"/>
          <w:szCs w:val="17"/>
          <w:color w:val="auto"/>
        </w:rPr>
        <w:t>, 201 .</w:t>
      </w:r>
    </w:p>
    <w:p>
      <w:pPr>
        <w:spacing w:after="0" w:line="221"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31800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14605</wp:posOffset>
            </wp:positionV>
            <wp:extent cx="290576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318008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14605</wp:posOffset>
            </wp:positionV>
            <wp:extent cx="290576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1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1" w:right="339" w:bottom="1440" w:gutter="0" w:footer="0" w:header="0"/>
        </w:sectPr>
      </w:pPr>
    </w:p>
    <w:bookmarkStart w:id="594" w:name="page595"/>
    <w:bookmarkEnd w:id="594"/>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20" w:type="dxa"/>
            <w:vAlign w:val="bottom"/>
            <w:gridSpan w:val="3"/>
          </w:tcPr>
          <w:p>
            <w:pPr>
              <w:jc w:val="center"/>
              <w:ind w:right="2700"/>
              <w:spacing w:after="0"/>
              <w:rPr>
                <w:sz w:val="20"/>
                <w:szCs w:val="20"/>
                <w:color w:val="auto"/>
              </w:rPr>
            </w:pPr>
            <w:r>
              <w:rPr>
                <w:rFonts w:ascii="Arial" w:cs="Arial" w:eastAsia="Arial" w:hAnsi="Arial"/>
                <w:sz w:val="18"/>
                <w:szCs w:val="18"/>
                <w:b w:val="1"/>
                <w:bCs w:val="1"/>
                <w:color w:val="auto"/>
              </w:rPr>
              <w:t>EXHIBIT F</w:t>
            </w:r>
          </w:p>
        </w:tc>
      </w:tr>
      <w:tr>
        <w:trPr>
          <w:trHeight w:val="20"/>
        </w:trPr>
        <w:tc>
          <w:tcPr>
            <w:tcW w:w="3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12"/>
        </w:trPr>
        <w:tc>
          <w:tcPr>
            <w:tcW w:w="3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FORM OF LETTER OF CREDIT</w:t>
            </w:r>
          </w:p>
        </w:tc>
        <w:tc>
          <w:tcPr>
            <w:tcW w:w="1820" w:type="dxa"/>
            <w:vAlign w:val="bottom"/>
          </w:tcPr>
          <w:p>
            <w:pPr>
              <w:spacing w:after="0"/>
              <w:rPr>
                <w:sz w:val="24"/>
                <w:szCs w:val="24"/>
                <w:color w:val="auto"/>
              </w:rPr>
            </w:pPr>
          </w:p>
        </w:tc>
      </w:tr>
      <w:tr>
        <w:trPr>
          <w:trHeight w:val="434"/>
        </w:trPr>
        <w:tc>
          <w:tcPr>
            <w:tcW w:w="3560" w:type="dxa"/>
            <w:vAlign w:val="bottom"/>
          </w:tcPr>
          <w:p>
            <w:pPr>
              <w:spacing w:after="0"/>
              <w:rPr>
                <w:sz w:val="24"/>
                <w:szCs w:val="24"/>
                <w:color w:val="auto"/>
              </w:rPr>
            </w:pPr>
          </w:p>
        </w:tc>
        <w:tc>
          <w:tcPr>
            <w:tcW w:w="5220" w:type="dxa"/>
            <w:vAlign w:val="bottom"/>
            <w:gridSpan w:val="5"/>
          </w:tcPr>
          <w:p>
            <w:pPr>
              <w:jc w:val="center"/>
              <w:ind w:right="1100"/>
              <w:spacing w:after="0"/>
              <w:rPr>
                <w:sz w:val="20"/>
                <w:szCs w:val="20"/>
                <w:color w:val="auto"/>
              </w:rPr>
            </w:pPr>
            <w:r>
              <w:rPr>
                <w:rFonts w:ascii="Arial" w:cs="Arial" w:eastAsia="Arial" w:hAnsi="Arial"/>
                <w:sz w:val="18"/>
                <w:szCs w:val="18"/>
                <w:b w:val="1"/>
                <w:bCs w:val="1"/>
                <w:color w:val="auto"/>
                <w:w w:val="90"/>
              </w:rPr>
              <w:t>(Letterhead of a money center bank</w:t>
            </w:r>
          </w:p>
        </w:tc>
      </w:tr>
      <w:tr>
        <w:trPr>
          <w:trHeight w:val="234"/>
        </w:trPr>
        <w:tc>
          <w:tcPr>
            <w:tcW w:w="3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8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w w:val="90"/>
              </w:rPr>
              <w:t>acceptable to the Landlord)</w:t>
            </w: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FAX NO. [(  )  -  ]</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[Insert Bank Name And Address]</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SWIFT: [Insert No., if any]</w:t>
            </w: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DATE OF ISSUE:</w:t>
            </w: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BENEFICIARY:</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APPLICANT:</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[Insert Beneficiary Name And Address]</w:t>
            </w: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[Insert Applicant Name And Address]</w:t>
            </w:r>
          </w:p>
        </w:tc>
      </w:tr>
      <w:tr>
        <w:trPr>
          <w:trHeight w:val="432"/>
        </w:trPr>
        <w:tc>
          <w:tcPr>
            <w:tcW w:w="3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LETTER OF CREDIT NO.</w:t>
            </w: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EXPIRATION DATE:</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AMOUNT AVAILABLE:</w:t>
            </w:r>
          </w:p>
        </w:tc>
      </w:tr>
      <w:tr>
        <w:trPr>
          <w:trHeight w:val="216"/>
        </w:trPr>
        <w:tc>
          <w:tcPr>
            <w:tcW w:w="3560" w:type="dxa"/>
            <w:vAlign w:val="bottom"/>
          </w:tcPr>
          <w:p>
            <w:pPr>
              <w:ind w:left="1140"/>
              <w:spacing w:after="0"/>
              <w:rPr>
                <w:sz w:val="20"/>
                <w:szCs w:val="20"/>
                <w:color w:val="auto"/>
              </w:rPr>
            </w:pPr>
            <w:r>
              <w:rPr>
                <w:rFonts w:ascii="Arial" w:cs="Arial" w:eastAsia="Arial" w:hAnsi="Arial"/>
                <w:sz w:val="18"/>
                <w:szCs w:val="18"/>
                <w:color w:val="auto"/>
              </w:rPr>
              <w:t>AT OUR COUNTERS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USD[Insert Dollar Amount]</w:t>
            </w:r>
          </w:p>
        </w:tc>
      </w:tr>
      <w:tr>
        <w:trPr>
          <w:trHeight w:val="230"/>
        </w:trPr>
        <w:tc>
          <w:tcPr>
            <w:tcW w:w="3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w w:val="95"/>
              </w:rPr>
              <w:t>(U.S. DOLLARS [Insert Dollar Amount])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WE HEREBY ESTABLISH OUR IRREVOCABLE STANDBY LETTER OF CREDIT NO. IN YOUR FAVOR FOR THE ACCOUNT OF [Insert Tenant’s Name], A [Insert Entity Type], UP TO THE AGGREGATE AMOUNT OF USD[Insert Dollar Amount] ([Insert Dollar Amount] U.S. DOLLARS)</w:t>
      </w:r>
    </w:p>
    <w:p>
      <w:pPr>
        <w:ind w:right="260"/>
        <w:spacing w:after="0" w:line="260" w:lineRule="auto"/>
        <w:rPr>
          <w:sz w:val="20"/>
          <w:szCs w:val="20"/>
          <w:color w:val="auto"/>
        </w:rPr>
      </w:pPr>
      <w:r>
        <w:rPr>
          <w:rFonts w:ascii="Arial" w:cs="Arial" w:eastAsia="Arial" w:hAnsi="Arial"/>
          <w:sz w:val="18"/>
          <w:szCs w:val="18"/>
          <w:color w:val="auto"/>
        </w:rPr>
        <w:t xml:space="preserve">EFFECTIVE IMMEDIATELY AND EXPIRING ON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AVAILABLE BY PAYMENT UPON PRESENTATION OF YOUR DRAFT AT SIGHT DRAWN ON [Insert Bank Name] WHEN ACCOMPANIED BY THE FOLLOWING DOCUMENT(S):</w:t>
      </w:r>
    </w:p>
    <w:p>
      <w:pPr>
        <w:spacing w:after="0" w:line="181" w:lineRule="exact"/>
        <w:rPr>
          <w:sz w:val="20"/>
          <w:szCs w:val="20"/>
          <w:color w:val="auto"/>
        </w:rPr>
      </w:pPr>
    </w:p>
    <w:p>
      <w:pPr>
        <w:ind w:left="1380" w:hanging="724"/>
        <w:spacing w:after="0"/>
        <w:tabs>
          <w:tab w:leader="none" w:pos="138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THE ORIGINAL OF THIS IRREVOCABLE STANDBY LETTER OF CREDIT AND AMENDMENT(S), IF ANY.</w:t>
      </w:r>
    </w:p>
    <w:p>
      <w:pPr>
        <w:spacing w:after="0" w:line="225" w:lineRule="exact"/>
        <w:rPr>
          <w:rFonts w:ascii="Arial" w:cs="Arial" w:eastAsia="Arial" w:hAnsi="Arial"/>
          <w:sz w:val="18"/>
          <w:szCs w:val="18"/>
          <w:b w:val="1"/>
          <w:bCs w:val="1"/>
          <w:color w:val="auto"/>
        </w:rPr>
      </w:pPr>
    </w:p>
    <w:p>
      <w:pPr>
        <w:ind w:right="40" w:firstLine="656"/>
        <w:spacing w:after="0" w:line="282" w:lineRule="auto"/>
        <w:tabs>
          <w:tab w:leader="none" w:pos="1368"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BENEFICIARY’S SIGNED STATEMENT PURPORTEDLY SIGNED BY AN AUTHORIZED REPRESENTATIVE OF [Insert Landlord’s Name], A [Insert Entity Type] (“LANDLORD”) STATING THE FOLLOWING: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HEREBY CERTIFIES THAT THE LANDLORD, EITHER (A) UNDER THE LEASE (DEFINED BELOW), OR (B) AS</w:t>
      </w:r>
    </w:p>
    <w:p>
      <w:pPr>
        <w:spacing w:after="0" w:line="35" w:lineRule="exact"/>
        <w:rPr>
          <w:sz w:val="20"/>
          <w:szCs w:val="20"/>
          <w:color w:val="auto"/>
        </w:rPr>
      </w:pPr>
    </w:p>
    <w:p>
      <w:pPr>
        <w:ind w:left="660" w:right="100"/>
        <w:spacing w:after="0" w:line="253" w:lineRule="auto"/>
        <w:rPr>
          <w:sz w:val="20"/>
          <w:szCs w:val="20"/>
          <w:color w:val="auto"/>
        </w:rPr>
      </w:pPr>
      <w:r>
        <w:rPr>
          <w:rFonts w:ascii="Arial" w:cs="Arial" w:eastAsia="Arial" w:hAnsi="Arial"/>
          <w:sz w:val="18"/>
          <w:szCs w:val="18"/>
          <w:color w:val="auto"/>
        </w:rPr>
        <w:t>A RESULT OF THE TERMINATION OF SUCH LEASE, HAS THE RIGHT TO DRAW DOWN THE AMOUNT OF USD IN ACCORDANCE WITH THE TERMS OF THAT CERTAIN OFFICE LEASE DATED [Insert Lease Date], AS AMENDED (COLLECTIVELY, THE “LEASE”), OR SUCH AMOUNT CONSTITUTES DAMAGES OWING BY THE TENANT UNDER SUCH LEASE TO BENEFICIARY RESULTING FROM THE BREACH OF SUCH LEASE BY THE TENANT THEREUNDER, AND SUCH AMOUNT REMAINS UNPAID AT THE TIME OF THIS DRAWING.”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HEREBY CERTIFIES THAT WE HAVE RECEIVED A WRITTEN NOTICE OF [Insert Bank Name]’S ELECTION</w:t>
      </w:r>
    </w:p>
    <w:p>
      <w:pPr>
        <w:spacing w:after="0" w:line="35" w:lineRule="exact"/>
        <w:rPr>
          <w:sz w:val="20"/>
          <w:szCs w:val="20"/>
          <w:color w:val="auto"/>
        </w:rPr>
      </w:pPr>
    </w:p>
    <w:p>
      <w:pPr>
        <w:ind w:left="660" w:right="580"/>
        <w:spacing w:after="0" w:line="260" w:lineRule="auto"/>
        <w:rPr>
          <w:sz w:val="20"/>
          <w:szCs w:val="20"/>
          <w:color w:val="auto"/>
        </w:rPr>
      </w:pPr>
      <w:r>
        <w:rPr>
          <w:rFonts w:ascii="Arial" w:cs="Arial" w:eastAsia="Arial" w:hAnsi="Arial"/>
          <w:sz w:val="18"/>
          <w:szCs w:val="18"/>
          <w:color w:val="auto"/>
        </w:rPr>
        <w:t>NOT TO EXTEND ITS STANDBY LETTER OF CREDIT NO. AND HAVE NOT RECEIVED A REPLACEMENT LETTER OF CREDIT WITHIN AT LEAST SIXTY (60) DAYS PRIOR TO THE PRESENT EXPIRATION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w:t>
      </w:r>
    </w:p>
    <w:p>
      <w:pPr>
        <w:spacing w:after="0" w:line="35" w:lineRule="exact"/>
        <w:rPr>
          <w:sz w:val="20"/>
          <w:szCs w:val="20"/>
          <w:color w:val="auto"/>
        </w:rPr>
      </w:pPr>
    </w:p>
    <w:p>
      <w:pPr>
        <w:jc w:val="both"/>
        <w:ind w:left="660" w:right="60"/>
        <w:spacing w:after="0" w:line="255" w:lineRule="auto"/>
        <w:rPr>
          <w:sz w:val="20"/>
          <w:szCs w:val="20"/>
          <w:color w:val="auto"/>
        </w:rPr>
      </w:pPr>
      <w:r>
        <w:rPr>
          <w:rFonts w:ascii="Arial" w:cs="Arial" w:eastAsia="Arial" w:hAnsi="Arial"/>
          <w:sz w:val="18"/>
          <w:szCs w:val="18"/>
          <w:color w:val="auto"/>
        </w:rPr>
        <w:t>OF CREDIT NO. AS THE RESULT OF THE FILING OF A VOLUNTARY PETITION UNDER THE U.S. BANKRUPTCY CODE OR A STATE BANKRUPTCY CODE BY THE TENANT UNDER THAT CERTAIN OFFICE LEASE DATED [Insert Lease Date], AS AMENDED (COLLECTIVELY, THE “LEASE”), WHICH FILING HAS NOT BEEN DISMISSED AT THE TIME OF THIS DRAWING.”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HEREBY CERTIFIES THAT BENEFICIARY IS ENTITLED TO DRAW DOWN THE FULL AMOUNT OF LETTER</w:t>
      </w:r>
    </w:p>
    <w:p>
      <w:pPr>
        <w:spacing w:after="0" w:line="35" w:lineRule="exact"/>
        <w:rPr>
          <w:sz w:val="20"/>
          <w:szCs w:val="20"/>
          <w:color w:val="auto"/>
        </w:rPr>
      </w:pPr>
    </w:p>
    <w:p>
      <w:pPr>
        <w:ind w:left="660" w:right="140"/>
        <w:spacing w:after="0" w:line="253" w:lineRule="auto"/>
        <w:rPr>
          <w:sz w:val="20"/>
          <w:szCs w:val="20"/>
          <w:color w:val="auto"/>
        </w:rPr>
      </w:pPr>
      <w:r>
        <w:rPr>
          <w:rFonts w:ascii="Arial" w:cs="Arial" w:eastAsia="Arial" w:hAnsi="Arial"/>
          <w:sz w:val="18"/>
          <w:szCs w:val="18"/>
          <w:color w:val="auto"/>
        </w:rPr>
        <w:t>OF CREDIT NO. AS THE RESULT OF AN INVOLUNTARY PETITION HAVING BEEN FILED UNDER THE U.S. BANKRUPTCY CODE OR A STATE BANKRUPTCY CODE AGAINST THE TENANT UNDER THAT CERTAIN OFFICE LEASE DATED [Insert Lease Date], AS AMENDED (COLLECTIVELY, THE “LEASE”), WHICH FILING HAS NOT BEEN DISMISSED AT THE TIME OF THIS DRAWING.”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SPECIAL CONDITIONS: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INFORMATION REQUIRED WHETHER INDICATED BY BLANKS, BRACKETS OR OTHERWISE, MUST BE COMPLETED AT THE TIME OF DRAWING. [Please Provide The Required Forms For Review, And Attach As Schedules To The Letter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SIGNATURES MUST BE MANUALLY EXECUTED IN ORIGINALS.</w:t>
      </w:r>
    </w:p>
    <w:p>
      <w:pPr>
        <w:sectPr>
          <w:pgSz w:w="11900" w:h="16838" w:orient="portrait"/>
          <w:cols w:equalWidth="0" w:num="1">
            <w:col w:w="11240"/>
          </w:cols>
          <w:pgMar w:left="320" w:top="323" w:right="339" w:bottom="0" w:gutter="0" w:footer="0" w:header="0"/>
        </w:sectPr>
      </w:pPr>
    </w:p>
    <w:bookmarkStart w:id="595" w:name="page596"/>
    <w:bookmarkEnd w:id="595"/>
    <w:p>
      <w:pPr>
        <w:spacing w:after="0"/>
        <w:rPr>
          <w:sz w:val="20"/>
          <w:szCs w:val="20"/>
          <w:color w:val="auto"/>
        </w:rPr>
      </w:pPr>
      <w:r>
        <w:rPr>
          <w:rFonts w:ascii="Arial" w:cs="Arial" w:eastAsia="Arial" w:hAnsi="Arial"/>
          <w:sz w:val="18"/>
          <w:szCs w:val="18"/>
          <w:color w:val="auto"/>
        </w:rPr>
        <w:t>ALL BANKING CHARGES ARE FOR THE APPLICANT’S ACCOUNT.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IT IS A CONDITION OF THIS STANDBY LETTER OF CREDIT THAT IT SHALL BE DEEMED AUTOMATICALLY EXTENDED WITHOUT AMENDMENT FOR A PERIOD OF ONE YEAR FROM THE PRESENT OR ANY FUTURE EXPIRATION DATE, UNLESS AT LEAST SIXTY (60) DAYS PRIOR TO THE EXPIRATION DATE WE SEND YOU NOTICE BY NATIONALLY RECOGNIZED OVERNIGHT COURIER SERVICE THAT WE ELECT NOT TO EXTEND THIS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DESIGNATED OFFICE. IN NO EVENT, AND WITHOUT FURTHER NOTICE FROM OURSELVES, SHALL THE EXPIRATION DATE BE EXTENDED BEYOND A FINAL EXPIRATION DATE OF </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192"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THIS LETTER OF CREDIT MAY BE TRANSFERRED SUCCESSIVELY IN WHOLE OR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w:t>
      </w:r>
    </w:p>
    <w:p>
      <w:pPr>
        <w:spacing w:after="0" w:line="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FORM (AVAILABLE UPON REQUEST) AND PAYMENT OF OUR CUSTOMARY TRANSFER FEES BY APPLICANT.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ALL DRAFTS REQUIRED UNDER THIS STANDBY LETTER OF CREDIT MUST BE MARKED: ‘‘DRAWN UNDER [Insert Bank Name]</w:t>
      </w:r>
    </w:p>
    <w:p>
      <w:pPr>
        <w:spacing w:after="0" w:line="23"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STANDBY LETTER OF CREDIT NO.</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HEREBY AGREE WITH YOU THAT IF DRAFTS ARE PRESENTED TO [Insert Bank Name] UNDER THIS LETTER OF CREDIT AT OR PRIOR TO [Insert Time — (</w:t>
      </w:r>
      <w:r>
        <w:rPr>
          <w:rFonts w:ascii="Arial" w:cs="Arial" w:eastAsia="Arial" w:hAnsi="Arial"/>
          <w:sz w:val="17"/>
          <w:szCs w:val="17"/>
          <w:i w:val="1"/>
          <w:iCs w:val="1"/>
          <w:color w:val="auto"/>
        </w:rPr>
        <w:t>e.g.</w:t>
      </w:r>
      <w:r>
        <w:rPr>
          <w:rFonts w:ascii="Arial" w:cs="Arial" w:eastAsia="Arial" w:hAnsi="Arial"/>
          <w:sz w:val="17"/>
          <w:szCs w:val="17"/>
          <w:color w:val="auto"/>
        </w:rPr>
        <w:t>,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 — (</w:t>
      </w:r>
      <w:r>
        <w:rPr>
          <w:rFonts w:ascii="Arial" w:cs="Arial" w:eastAsia="Arial" w:hAnsi="Arial"/>
          <w:sz w:val="17"/>
          <w:szCs w:val="17"/>
          <w:i w:val="1"/>
          <w:iCs w:val="1"/>
          <w:color w:val="auto"/>
        </w:rPr>
        <w:t>e.g.</w:t>
      </w:r>
      <w:r>
        <w:rPr>
          <w:rFonts w:ascii="Arial" w:cs="Arial" w:eastAsia="Arial" w:hAnsi="Arial"/>
          <w:sz w:val="17"/>
          <w:szCs w:val="17"/>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6" w:name="page597"/>
    <w:bookmarkEnd w:id="596"/>
    <w:p>
      <w:pPr>
        <w:spacing w:after="0" w:line="253" w:lineRule="auto"/>
        <w:rPr>
          <w:sz w:val="20"/>
          <w:szCs w:val="20"/>
          <w:color w:val="auto"/>
        </w:rPr>
      </w:pPr>
      <w:r>
        <w:rPr>
          <w:rFonts w:ascii="Arial" w:cs="Arial" w:eastAsia="Arial" w:hAnsi="Arial"/>
          <w:sz w:val="18"/>
          <w:szCs w:val="18"/>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 OF CREDIT TO OUR FACSIMILE NUMBER, [Insert Fax Number — ( ) - ], ATTENTION: [Insert Appropriate Recipient], WITH TELEPHONIC CONFIRMATION OF OUR RECEIPT OF SUCH FACSIMILE TRANSMISSION AT OUR TELEPHONE NUMBER [Insert Telephone Number — ( ) - ] OR TO SUCH OTHER FACSIMILE OR TELEPHONE NUMBERS, AS TO WHICH YOU HAVE RECEIVED WRITTEN 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HEREBY ENGAGE WITH YOU THAT ALL DOCUMENT(S) DRAWN UNDER AND IN COMPLIANCE WITH THE TERMS OF THIS STANDBY LETTER OF CREDIT WILL BE DULY HONORED IF DRAWN AND PRESENTED FOR PAYMENT AT OUR OFFICE LOCATED AT [Insert Bank Name], [Insert Bank Address], ATTN: [Insert Appropriate Recipient], ON OR BEFORE THE EXPIRATION DATE OF THIS CREDIT, </w:t>
      </w: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pacing w:after="0" w:line="187" w:lineRule="exact"/>
        <w:rPr>
          <w:sz w:val="20"/>
          <w:szCs w:val="20"/>
          <w:color w:val="auto"/>
        </w:rPr>
      </w:pPr>
    </w:p>
    <w:p>
      <w:pPr>
        <w:ind w:right="1160"/>
        <w:spacing w:after="0" w:line="308" w:lineRule="auto"/>
        <w:rPr>
          <w:sz w:val="20"/>
          <w:szCs w:val="20"/>
          <w:color w:val="auto"/>
        </w:rPr>
      </w:pPr>
      <w:r>
        <w:rPr>
          <w:rFonts w:ascii="Arial" w:cs="Arial" w:eastAsia="Arial" w:hAnsi="Arial"/>
          <w:sz w:val="17"/>
          <w:szCs w:val="17"/>
          <w:color w:val="auto"/>
        </w:rPr>
        <w:t>EXCEPT SO FAR AS OTHERWISE EXPRESSLY STATED HEREIN, THIS STANDBY LETTER OF CREDIT IS SUBJECT TO THE “INTERNATIONAL STANDBY PRACTICES” (ISP 98) INTERNATIONAL CHAMBER OF COMMERCE (PUBLICATION NO. 590).</w:t>
      </w:r>
    </w:p>
    <w:p>
      <w:pPr>
        <w:spacing w:after="0" w:line="1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of Issuing Bank)</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324040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sectPr>
      </w:pPr>
    </w:p>
    <w:bookmarkStart w:id="597" w:name="page598"/>
    <w:bookmarkEnd w:id="597"/>
    <w:p>
      <w:pPr>
        <w:jc w:val="center"/>
        <w:spacing w:after="0"/>
        <w:rPr>
          <w:sz w:val="20"/>
          <w:szCs w:val="20"/>
          <w:color w:val="auto"/>
        </w:rPr>
      </w:pPr>
      <w:r>
        <w:rPr>
          <w:rFonts w:ascii="Arial" w:cs="Arial" w:eastAsia="Arial" w:hAnsi="Arial"/>
          <w:sz w:val="18"/>
          <w:szCs w:val="18"/>
          <w:b w:val="1"/>
          <w:bCs w:val="1"/>
          <w:u w:val="single" w:color="auto"/>
          <w:color w:val="auto"/>
        </w:rPr>
        <w:t>EXHIBIT G-1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SUITE 300 FIRST OFFER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161925</wp:posOffset>
            </wp:positionV>
            <wp:extent cx="4723130" cy="75692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4723130" cy="756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98" w:name="page599"/>
    <w:bookmarkEnd w:id="598"/>
    <w:p>
      <w:pPr>
        <w:jc w:val="center"/>
        <w:ind w:right="-79"/>
        <w:spacing w:after="0"/>
        <w:rPr>
          <w:sz w:val="20"/>
          <w:szCs w:val="20"/>
          <w:color w:val="auto"/>
        </w:rPr>
      </w:pPr>
      <w:r>
        <w:rPr>
          <w:rFonts w:ascii="Arial" w:cs="Arial" w:eastAsia="Arial" w:hAnsi="Arial"/>
          <w:sz w:val="18"/>
          <w:szCs w:val="18"/>
          <w:b w:val="1"/>
          <w:bCs w:val="1"/>
          <w:u w:val="single" w:color="auto"/>
          <w:color w:val="auto"/>
        </w:rPr>
        <w:t>EXHIBIT G-2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SUITE 302 FIRST OFFER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154940</wp:posOffset>
            </wp:positionV>
            <wp:extent cx="4963160" cy="746633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4963160" cy="7466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FIRST AMENDMENT TO OFFICE LEASE</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THIS FIRST AMENDMENT TO OFFICE LEASE (this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is dated as of September 12, 2017, between </w:t>
      </w:r>
      <w:r>
        <w:rPr>
          <w:rFonts w:ascii="Arial" w:cs="Arial" w:eastAsia="Arial" w:hAnsi="Arial"/>
          <w:sz w:val="17"/>
          <w:szCs w:val="17"/>
          <w:color w:val="auto"/>
        </w:rPr>
        <w:t>SPF MATHILDA, LLC, a</w:t>
      </w:r>
      <w:r>
        <w:rPr>
          <w:rFonts w:ascii="Arial" w:cs="Arial" w:eastAsia="Arial" w:hAnsi="Arial"/>
          <w:sz w:val="18"/>
          <w:szCs w:val="18"/>
          <w:color w:val="auto"/>
        </w:rPr>
        <w:t xml:space="preserve"> </w:t>
      </w:r>
      <w:r>
        <w:rPr>
          <w:rFonts w:ascii="Arial" w:cs="Arial" w:eastAsia="Arial" w:hAnsi="Arial"/>
          <w:sz w:val="17"/>
          <w:szCs w:val="17"/>
          <w:color w:val="auto"/>
        </w:rPr>
        <w:t>Delaware limited liability company (“</w:t>
      </w:r>
      <w:r>
        <w:rPr>
          <w:rFonts w:ascii="Arial" w:cs="Arial" w:eastAsia="Arial" w:hAnsi="Arial"/>
          <w:sz w:val="17"/>
          <w:szCs w:val="17"/>
          <w:b w:val="1"/>
          <w:bCs w:val="1"/>
          <w:color w:val="auto"/>
        </w:rPr>
        <w:t>Landlord</w:t>
      </w:r>
      <w:r>
        <w:rPr>
          <w:rFonts w:ascii="Arial" w:cs="Arial" w:eastAsia="Arial" w:hAnsi="Arial"/>
          <w:sz w:val="17"/>
          <w:szCs w:val="17"/>
          <w:color w:val="auto"/>
        </w:rPr>
        <w:t>”), and CROWDSTRIKE, INC., a Delaware corporation (“</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firstLine="656"/>
        <w:spacing w:after="0" w:line="253" w:lineRule="auto"/>
        <w:tabs>
          <w:tab w:leader="none" w:pos="1309" w:val="left"/>
        </w:tabs>
        <w:numPr>
          <w:ilvl w:val="0"/>
          <w:numId w:val="521"/>
        </w:numPr>
        <w:rPr>
          <w:rFonts w:ascii="Arial" w:cs="Arial" w:eastAsia="Arial" w:hAnsi="Arial"/>
          <w:sz w:val="17"/>
          <w:szCs w:val="17"/>
          <w:color w:val="auto"/>
        </w:rPr>
      </w:pPr>
      <w:r>
        <w:rPr>
          <w:rFonts w:ascii="Arial" w:cs="Arial" w:eastAsia="Arial" w:hAnsi="Arial"/>
          <w:sz w:val="17"/>
          <w:szCs w:val="17"/>
          <w:color w:val="auto"/>
        </w:rPr>
        <w:t>Landlord and Tenant entered into that certain Office Lease dated as of April 4, 2017 (the “</w:t>
      </w:r>
      <w:r>
        <w:rPr>
          <w:rFonts w:ascii="Arial" w:cs="Arial" w:eastAsia="Arial" w:hAnsi="Arial"/>
          <w:sz w:val="17"/>
          <w:szCs w:val="17"/>
          <w:b w:val="1"/>
          <w:bCs w:val="1"/>
          <w:color w:val="auto"/>
        </w:rPr>
        <w:t>Lease</w:t>
      </w:r>
      <w:r>
        <w:rPr>
          <w:rFonts w:ascii="Arial" w:cs="Arial" w:eastAsia="Arial" w:hAnsi="Arial"/>
          <w:sz w:val="17"/>
          <w:szCs w:val="17"/>
          <w:color w:val="auto"/>
        </w:rPr>
        <w:t>”), pursuant to which Tenant leases from Landlord certain premises (the “</w:t>
      </w:r>
      <w:r>
        <w:rPr>
          <w:rFonts w:ascii="Arial" w:cs="Arial" w:eastAsia="Arial" w:hAnsi="Arial"/>
          <w:sz w:val="17"/>
          <w:szCs w:val="17"/>
          <w:b w:val="1"/>
          <w:bCs w:val="1"/>
          <w:color w:val="auto"/>
        </w:rPr>
        <w:t>Existing Premises</w:t>
      </w:r>
      <w:r>
        <w:rPr>
          <w:rFonts w:ascii="Arial" w:cs="Arial" w:eastAsia="Arial" w:hAnsi="Arial"/>
          <w:sz w:val="17"/>
          <w:szCs w:val="17"/>
          <w:color w:val="auto"/>
        </w:rPr>
        <w:t>”) on the third (3</w:t>
      </w:r>
      <w:r>
        <w:rPr>
          <w:rFonts w:ascii="Arial" w:cs="Arial" w:eastAsia="Arial" w:hAnsi="Arial"/>
          <w:sz w:val="22"/>
          <w:szCs w:val="22"/>
          <w:color w:val="auto"/>
          <w:vertAlign w:val="superscript"/>
        </w:rPr>
        <w:t>rd</w:t>
      </w:r>
      <w:r>
        <w:rPr>
          <w:rFonts w:ascii="Arial" w:cs="Arial" w:eastAsia="Arial" w:hAnsi="Arial"/>
          <w:sz w:val="17"/>
          <w:szCs w:val="17"/>
          <w:color w:val="auto"/>
        </w:rPr>
        <w:t>) floor of that certain building located at 150 Mathilda Place, Sunnyvale, California (the “</w:t>
      </w:r>
      <w:r>
        <w:rPr>
          <w:rFonts w:ascii="Arial" w:cs="Arial" w:eastAsia="Arial" w:hAnsi="Arial"/>
          <w:sz w:val="17"/>
          <w:szCs w:val="17"/>
          <w:b w:val="1"/>
          <w:bCs w:val="1"/>
          <w:color w:val="auto"/>
        </w:rPr>
        <w:t>Building</w:t>
      </w:r>
      <w:r>
        <w:rPr>
          <w:rFonts w:ascii="Arial" w:cs="Arial" w:eastAsia="Arial" w:hAnsi="Arial"/>
          <w:sz w:val="17"/>
          <w:szCs w:val="17"/>
          <w:color w:val="auto"/>
        </w:rPr>
        <w:t>”). All capitalized terms not defined herein shall have the respective meanings given to them in the Lease.</w:t>
      </w:r>
    </w:p>
    <w:p>
      <w:pPr>
        <w:spacing w:after="0" w:line="189" w:lineRule="exact"/>
        <w:rPr>
          <w:rFonts w:ascii="Arial" w:cs="Arial" w:eastAsia="Arial" w:hAnsi="Arial"/>
          <w:sz w:val="17"/>
          <w:szCs w:val="17"/>
          <w:color w:val="auto"/>
        </w:rPr>
      </w:pPr>
    </w:p>
    <w:p>
      <w:pPr>
        <w:ind w:left="1300" w:hanging="644"/>
        <w:spacing w:after="0"/>
        <w:tabs>
          <w:tab w:leader="none" w:pos="13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Lease Term is scheduled to expire on June 30, 2022.</w:t>
      </w:r>
    </w:p>
    <w:p>
      <w:pPr>
        <w:sectPr>
          <w:pgSz w:w="11900" w:h="16838" w:orient="portrait"/>
          <w:cols w:equalWidth="0" w:num="1">
            <w:col w:w="11180"/>
          </w:cols>
          <w:pgMar w:left="320" w:top="337" w:right="399" w:bottom="0" w:gutter="0" w:footer="0" w:header="0"/>
        </w:sectPr>
      </w:pPr>
    </w:p>
    <w:bookmarkStart w:id="599" w:name="page600"/>
    <w:bookmarkEnd w:id="599"/>
    <w:p>
      <w:pPr>
        <w:ind w:right="220" w:firstLine="656"/>
        <w:spacing w:after="0" w:line="234" w:lineRule="auto"/>
        <w:tabs>
          <w:tab w:leader="none" w:pos="1299" w:val="left"/>
        </w:tabs>
        <w:numPr>
          <w:ilvl w:val="0"/>
          <w:numId w:val="522"/>
        </w:numPr>
        <w:rPr>
          <w:rFonts w:ascii="Arial" w:cs="Arial" w:eastAsia="Arial" w:hAnsi="Arial"/>
          <w:sz w:val="18"/>
          <w:szCs w:val="18"/>
          <w:color w:val="auto"/>
        </w:rPr>
      </w:pPr>
      <w:r>
        <w:rPr>
          <w:rFonts w:ascii="Arial" w:cs="Arial" w:eastAsia="Arial" w:hAnsi="Arial"/>
          <w:sz w:val="18"/>
          <w:szCs w:val="18"/>
          <w:color w:val="auto"/>
        </w:rPr>
        <w:t>Landlord and Tenant desire to amend the Lease to provide for (i) the leasing by Tenant of additional space on the first (1</w:t>
      </w:r>
      <w:r>
        <w:rPr>
          <w:rFonts w:ascii="Arial" w:cs="Arial" w:eastAsia="Arial" w:hAnsi="Arial"/>
          <w:sz w:val="23"/>
          <w:szCs w:val="23"/>
          <w:color w:val="auto"/>
          <w:vertAlign w:val="superscript"/>
        </w:rPr>
        <w:t>st</w:t>
      </w:r>
      <w:r>
        <w:rPr>
          <w:rFonts w:ascii="Arial" w:cs="Arial" w:eastAsia="Arial" w:hAnsi="Arial"/>
          <w:sz w:val="18"/>
          <w:szCs w:val="18"/>
          <w:color w:val="auto"/>
        </w:rPr>
        <w:t>) floor of the Building, (ii) the leasing by Tenant of additional space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floor of the Building, and (iii) certain other Lease modifications, all as more particularly set forth herein.</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valuable consideration, the receipt and sufficiency of which are hereby acknowledged, Landlord and Tenant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firstLine="656"/>
        <w:spacing w:after="0" w:line="276" w:lineRule="auto"/>
        <w:tabs>
          <w:tab w:leader="none" w:pos="1296" w:val="left"/>
        </w:tabs>
        <w:numPr>
          <w:ilvl w:val="1"/>
          <w:numId w:val="523"/>
        </w:numPr>
        <w:rPr>
          <w:rFonts w:ascii="Arial" w:cs="Arial" w:eastAsia="Arial" w:hAnsi="Arial"/>
          <w:sz w:val="16"/>
          <w:szCs w:val="16"/>
          <w:color w:val="auto"/>
        </w:rPr>
      </w:pPr>
      <w:r>
        <w:rPr>
          <w:rFonts w:ascii="Arial" w:cs="Arial" w:eastAsia="Arial" w:hAnsi="Arial"/>
          <w:sz w:val="16"/>
          <w:szCs w:val="16"/>
          <w:b w:val="1"/>
          <w:bCs w:val="1"/>
          <w:u w:val="single" w:color="auto"/>
          <w:color w:val="auto"/>
        </w:rPr>
        <w:t>Temporary Premises</w:t>
      </w:r>
      <w:r>
        <w:rPr>
          <w:rFonts w:ascii="Arial" w:cs="Arial" w:eastAsia="Arial" w:hAnsi="Arial"/>
          <w:sz w:val="16"/>
          <w:szCs w:val="16"/>
          <w:color w:val="auto"/>
        </w:rPr>
        <w:t>. During the period commencing on the Temporary Premises Commencement Date (as defined below) and ending</w:t>
      </w:r>
      <w:r>
        <w:rPr>
          <w:rFonts w:ascii="Arial" w:cs="Arial" w:eastAsia="Arial" w:hAnsi="Arial"/>
          <w:sz w:val="16"/>
          <w:szCs w:val="16"/>
          <w:b w:val="1"/>
          <w:bCs w:val="1"/>
          <w:color w:val="auto"/>
        </w:rPr>
        <w:t xml:space="preserve"> </w:t>
      </w:r>
      <w:r>
        <w:rPr>
          <w:rFonts w:ascii="Arial" w:cs="Arial" w:eastAsia="Arial" w:hAnsi="Arial"/>
          <w:sz w:val="16"/>
          <w:szCs w:val="16"/>
          <w:color w:val="auto"/>
        </w:rPr>
        <w:t>sixty (60) days thereafter (the “</w:t>
      </w:r>
      <w:r>
        <w:rPr>
          <w:rFonts w:ascii="Arial" w:cs="Arial" w:eastAsia="Arial" w:hAnsi="Arial"/>
          <w:sz w:val="16"/>
          <w:szCs w:val="16"/>
          <w:b w:val="1"/>
          <w:bCs w:val="1"/>
          <w:color w:val="auto"/>
        </w:rPr>
        <w:t>Temporary Premises Termination Date</w:t>
      </w:r>
      <w:r>
        <w:rPr>
          <w:rFonts w:ascii="Arial" w:cs="Arial" w:eastAsia="Arial" w:hAnsi="Arial"/>
          <w:sz w:val="16"/>
          <w:szCs w:val="16"/>
          <w:color w:val="auto"/>
        </w:rPr>
        <w:t>”), Landlord shall lease to Tenant, and Tenant shall lease from Landlord, temporary premises (the “</w:t>
      </w:r>
      <w:r>
        <w:rPr>
          <w:rFonts w:ascii="Arial" w:cs="Arial" w:eastAsia="Arial" w:hAnsi="Arial"/>
          <w:sz w:val="16"/>
          <w:szCs w:val="16"/>
          <w:b w:val="1"/>
          <w:bCs w:val="1"/>
          <w:color w:val="auto"/>
        </w:rPr>
        <w:t>Temporary Premises</w:t>
      </w:r>
      <w:r>
        <w:rPr>
          <w:rFonts w:ascii="Arial" w:cs="Arial" w:eastAsia="Arial" w:hAnsi="Arial"/>
          <w:sz w:val="16"/>
          <w:szCs w:val="16"/>
          <w:color w:val="auto"/>
        </w:rPr>
        <w:t>”) located on the first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floor of the Building comprising approximately 4,845 rentable square feet and known as Suite 102. The Temporary Premises are depicted on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Temporary Premises Commencement Date</w:t>
      </w:r>
      <w:r>
        <w:rPr>
          <w:rFonts w:ascii="Arial" w:cs="Arial" w:eastAsia="Arial" w:hAnsi="Arial"/>
          <w:sz w:val="16"/>
          <w:szCs w:val="16"/>
          <w:color w:val="auto"/>
        </w:rPr>
        <w:t>” shall mean the date that Landlord delivers the Temporary Premises to Tenant in the condition described below, which is anticipated to occur on the business day immediately after the execution of this Amendment. Notwithstanding anything to the contrary in this Section 1, Landlord’s failure to deliver the Temporary Premises to Tenant on the estimated Temporary Premises Commencement Date shall not be a default by Landlord or otherwise render Landlord liable for damages. Tenant’s lease of the Temporary Premises shall be on the same terms and conditions as applicable to the Premises, except that</w:t>
      </w:r>
    </w:p>
    <w:p>
      <w:pPr>
        <w:ind w:firstLine="8"/>
        <w:spacing w:after="0" w:line="268" w:lineRule="auto"/>
        <w:tabs>
          <w:tab w:leader="none" w:pos="215" w:val="left"/>
        </w:tabs>
        <w:numPr>
          <w:ilvl w:val="0"/>
          <w:numId w:val="524"/>
        </w:numPr>
        <w:rPr>
          <w:rFonts w:ascii="Arial" w:cs="Arial" w:eastAsia="Arial" w:hAnsi="Arial"/>
          <w:sz w:val="17"/>
          <w:szCs w:val="17"/>
          <w:color w:val="auto"/>
        </w:rPr>
      </w:pPr>
      <w:r>
        <w:rPr>
          <w:rFonts w:ascii="Arial" w:cs="Arial" w:eastAsia="Arial" w:hAnsi="Arial"/>
          <w:sz w:val="17"/>
          <w:szCs w:val="17"/>
          <w:color w:val="auto"/>
        </w:rPr>
        <w:t xml:space="preserve">during the period commencing on the Temporary Premises Commencement Date and ending on the Temporary Premises Termination Date, Tenant shall not be required to pay Base Rent with respect to its lease of the Temporary Premises, (ii) with respect to the Temporary Premises, Tenant shall not be required to pay Tenant’s Share of Building Direct Expenses, and (iii) no additional parking passes shall be allocated to Tenant in connection with its lease of the Temporary Premises. The Temporary Premises are accepted by Tenant in “as is” condition and configuration without any representations or warranties by Landlord and Landlord shall have no obligation to make or pay for any alterations, additions, improvements or renovations in the Temporary Premises to prepare the Temporary Premises for Tenant’s occupancy. On the Temporary Premises Termination Date or such earlier termination of Tenant’s lease of the Temporary Premises, Tenant shall surrender the Temporary Premises to Landlord in accordance with the terms of </w:t>
      </w:r>
      <w:r>
        <w:rPr>
          <w:rFonts w:ascii="Arial" w:cs="Arial" w:eastAsia="Arial" w:hAnsi="Arial"/>
          <w:sz w:val="17"/>
          <w:szCs w:val="17"/>
          <w:u w:val="single" w:color="auto"/>
          <w:color w:val="auto"/>
        </w:rPr>
        <w:t>Article 15</w:t>
      </w:r>
      <w:r>
        <w:rPr>
          <w:rFonts w:ascii="Arial" w:cs="Arial" w:eastAsia="Arial" w:hAnsi="Arial"/>
          <w:sz w:val="17"/>
          <w:szCs w:val="17"/>
          <w:color w:val="auto"/>
        </w:rPr>
        <w:t xml:space="preserve"> of the Lease. Notwithstanding the foregoing, if Tenant occupies the Temporary Premises beyond the Temporary Premises Termination Date with Landlord’s consent, such occupancy shall be on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00" w:name="page601"/>
    <w:bookmarkEnd w:id="600"/>
    <w:p>
      <w:pPr>
        <w:spacing w:after="0"/>
        <w:rPr>
          <w:sz w:val="20"/>
          <w:szCs w:val="20"/>
          <w:color w:val="auto"/>
        </w:rPr>
      </w:pPr>
      <w:r>
        <w:rPr>
          <w:rFonts w:ascii="Arial" w:cs="Arial" w:eastAsia="Arial" w:hAnsi="Arial"/>
          <w:sz w:val="17"/>
          <w:szCs w:val="17"/>
          <w:color w:val="auto"/>
        </w:rPr>
        <w:t>month-to-month basis until terminated by either party upon at least fourteen (14) days prior written notice and, during such period, Tenant shall pay</w:t>
      </w:r>
    </w:p>
    <w:p>
      <w:pPr>
        <w:spacing w:after="0" w:line="35" w:lineRule="exact"/>
        <w:rPr>
          <w:sz w:val="20"/>
          <w:szCs w:val="20"/>
          <w:color w:val="auto"/>
        </w:rPr>
      </w:pPr>
    </w:p>
    <w:p>
      <w:pPr>
        <w:ind w:right="640" w:firstLine="8"/>
        <w:spacing w:after="0" w:line="260" w:lineRule="auto"/>
        <w:tabs>
          <w:tab w:leader="none" w:pos="255" w:val="left"/>
        </w:tabs>
        <w:numPr>
          <w:ilvl w:val="0"/>
          <w:numId w:val="525"/>
        </w:numPr>
        <w:rPr>
          <w:rFonts w:ascii="Arial" w:cs="Arial" w:eastAsia="Arial" w:hAnsi="Arial"/>
          <w:sz w:val="18"/>
          <w:szCs w:val="18"/>
          <w:color w:val="auto"/>
        </w:rPr>
      </w:pPr>
      <w:r>
        <w:rPr>
          <w:rFonts w:ascii="Arial" w:cs="Arial" w:eastAsia="Arial" w:hAnsi="Arial"/>
          <w:sz w:val="18"/>
          <w:szCs w:val="18"/>
          <w:color w:val="auto"/>
        </w:rPr>
        <w:t>Base Rent for the Temporary Premises in an amount equal to $28,101.00 per month, and (y) Tenant’s Share of Building Direct Expenses for the Temporary Premises. Tenant’s Share for the Temporary Premises shall be 3.6152%.</w:t>
      </w:r>
    </w:p>
    <w:p>
      <w:pPr>
        <w:spacing w:after="0" w:line="181" w:lineRule="exact"/>
        <w:rPr>
          <w:rFonts w:ascii="Arial" w:cs="Arial" w:eastAsia="Arial" w:hAnsi="Arial"/>
          <w:sz w:val="18"/>
          <w:szCs w:val="18"/>
          <w:color w:val="auto"/>
        </w:rPr>
      </w:pPr>
    </w:p>
    <w:p>
      <w:pPr>
        <w:jc w:val="both"/>
        <w:ind w:right="340" w:firstLine="656"/>
        <w:spacing w:after="0" w:line="289" w:lineRule="auto"/>
        <w:tabs>
          <w:tab w:leader="none" w:pos="1296" w:val="left"/>
        </w:tabs>
        <w:numPr>
          <w:ilvl w:val="1"/>
          <w:numId w:val="525"/>
        </w:numPr>
        <w:rPr>
          <w:rFonts w:ascii="Arial" w:cs="Arial" w:eastAsia="Arial" w:hAnsi="Arial"/>
          <w:sz w:val="17"/>
          <w:szCs w:val="17"/>
          <w:color w:val="auto"/>
        </w:rPr>
      </w:pPr>
      <w:r>
        <w:rPr>
          <w:rFonts w:ascii="Arial" w:cs="Arial" w:eastAsia="Arial" w:hAnsi="Arial"/>
          <w:sz w:val="17"/>
          <w:szCs w:val="17"/>
          <w:b w:val="1"/>
          <w:bCs w:val="1"/>
          <w:u w:val="single" w:color="auto"/>
          <w:color w:val="auto"/>
        </w:rPr>
        <w:t>Extension of Lease Term</w:t>
      </w:r>
      <w:r>
        <w:rPr>
          <w:rFonts w:ascii="Arial" w:cs="Arial" w:eastAsia="Arial" w:hAnsi="Arial"/>
          <w:sz w:val="17"/>
          <w:szCs w:val="17"/>
          <w:color w:val="auto"/>
        </w:rPr>
        <w:t>. With respect to the Existing Premises and the Additional Premises (as defined below), the Lease Term is</w:t>
      </w:r>
      <w:r>
        <w:rPr>
          <w:rFonts w:ascii="Arial" w:cs="Arial" w:eastAsia="Arial" w:hAnsi="Arial"/>
          <w:sz w:val="17"/>
          <w:szCs w:val="17"/>
          <w:b w:val="1"/>
          <w:bCs w:val="1"/>
          <w:color w:val="auto"/>
        </w:rPr>
        <w:t xml:space="preserve"> </w:t>
      </w:r>
      <w:r>
        <w:rPr>
          <w:rFonts w:ascii="Arial" w:cs="Arial" w:eastAsia="Arial" w:hAnsi="Arial"/>
          <w:sz w:val="17"/>
          <w:szCs w:val="17"/>
          <w:color w:val="auto"/>
        </w:rPr>
        <w:t>extended for an additional period (the “</w:t>
      </w:r>
      <w:r>
        <w:rPr>
          <w:rFonts w:ascii="Arial" w:cs="Arial" w:eastAsia="Arial" w:hAnsi="Arial"/>
          <w:sz w:val="17"/>
          <w:szCs w:val="17"/>
          <w:b w:val="1"/>
          <w:bCs w:val="1"/>
          <w:color w:val="auto"/>
        </w:rPr>
        <w:t>Extension Term</w:t>
      </w:r>
      <w:r>
        <w:rPr>
          <w:rFonts w:ascii="Arial" w:cs="Arial" w:eastAsia="Arial" w:hAnsi="Arial"/>
          <w:sz w:val="17"/>
          <w:szCs w:val="17"/>
          <w:color w:val="auto"/>
        </w:rPr>
        <w:t>”) and shall now expire on June 30, 2023 (the “</w:t>
      </w:r>
      <w:r>
        <w:rPr>
          <w:rFonts w:ascii="Arial" w:cs="Arial" w:eastAsia="Arial" w:hAnsi="Arial"/>
          <w:sz w:val="17"/>
          <w:szCs w:val="17"/>
          <w:b w:val="1"/>
          <w:bCs w:val="1"/>
          <w:color w:val="auto"/>
        </w:rPr>
        <w:t>New Expiration Date</w:t>
      </w:r>
      <w:r>
        <w:rPr>
          <w:rFonts w:ascii="Arial" w:cs="Arial" w:eastAsia="Arial" w:hAnsi="Arial"/>
          <w:sz w:val="17"/>
          <w:szCs w:val="17"/>
          <w:color w:val="auto"/>
        </w:rPr>
        <w:t>”). During the Extension Term, all of the terms, covenants and conditions of the Lease shall be applicable, except as set forth herein.</w:t>
      </w:r>
    </w:p>
    <w:p>
      <w:pPr>
        <w:spacing w:after="0" w:line="157" w:lineRule="exact"/>
        <w:rPr>
          <w:rFonts w:ascii="Arial" w:cs="Arial" w:eastAsia="Arial" w:hAnsi="Arial"/>
          <w:sz w:val="17"/>
          <w:szCs w:val="17"/>
          <w:color w:val="auto"/>
        </w:rPr>
      </w:pPr>
    </w:p>
    <w:p>
      <w:pPr>
        <w:ind w:right="40" w:firstLine="656"/>
        <w:spacing w:after="0" w:line="260" w:lineRule="auto"/>
        <w:tabs>
          <w:tab w:leader="none" w:pos="1296" w:val="left"/>
        </w:tabs>
        <w:numPr>
          <w:ilvl w:val="1"/>
          <w:numId w:val="525"/>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Premises</w:t>
      </w:r>
      <w:r>
        <w:rPr>
          <w:rFonts w:ascii="Arial" w:cs="Arial" w:eastAsia="Arial" w:hAnsi="Arial"/>
          <w:sz w:val="17"/>
          <w:szCs w:val="17"/>
          <w:color w:val="auto"/>
        </w:rPr>
        <w:t>. Effective as of the Additional Premises Commencement Date (as defined below), and continuing for the balance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Lease Term, the space on the second (2</w:t>
      </w:r>
      <w:r>
        <w:rPr>
          <w:rFonts w:ascii="Arial" w:cs="Arial" w:eastAsia="Arial" w:hAnsi="Arial"/>
          <w:sz w:val="22"/>
          <w:szCs w:val="22"/>
          <w:color w:val="auto"/>
          <w:vertAlign w:val="superscript"/>
        </w:rPr>
        <w:t>nd</w:t>
      </w:r>
      <w:r>
        <w:rPr>
          <w:rFonts w:ascii="Arial" w:cs="Arial" w:eastAsia="Arial" w:hAnsi="Arial"/>
          <w:sz w:val="17"/>
          <w:szCs w:val="17"/>
          <w:color w:val="auto"/>
        </w:rPr>
        <w:t xml:space="preserve">) floor of the Building shown outlined on the attached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color w:val="auto"/>
        </w:rPr>
        <w:t>Additional Premises</w:t>
      </w:r>
      <w:r>
        <w:rPr>
          <w:rFonts w:ascii="Arial" w:cs="Arial" w:eastAsia="Arial" w:hAnsi="Arial"/>
          <w:sz w:val="17"/>
          <w:szCs w:val="17"/>
          <w:color w:val="auto"/>
        </w:rPr>
        <w:t>”) shall be added to the Premises covered by the Lease. The Additional Premises is known as Suite 200 of the Building. Commencing on the Additional Premises Commencement Date, all references in the Lease and in this Amendment to the “Premises” shall be deemed to refer to the Existing Premises and the Additional Premises, collectively (and also, to the extent applicable, the Temporary Premises). Landlord and Tenant hereby stipulate for all purposes of the Lease that the rentable square footage of the Additional Premises is deemed to be 7,668 rentable square feet. The combined rentable square footage of the Existing Premises and the Additional Premises is 18,561 rentable square feet.</w:t>
      </w:r>
    </w:p>
    <w:p>
      <w:pPr>
        <w:spacing w:after="0" w:line="183" w:lineRule="exact"/>
        <w:rPr>
          <w:sz w:val="20"/>
          <w:szCs w:val="20"/>
          <w:color w:val="auto"/>
        </w:rPr>
      </w:pPr>
    </w:p>
    <w:p>
      <w:pPr>
        <w:ind w:firstLine="1296"/>
        <w:spacing w:after="0" w:line="29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Additional Premises Commencement Date</w:t>
      </w:r>
      <w:r>
        <w:rPr>
          <w:rFonts w:ascii="Arial" w:cs="Arial" w:eastAsia="Arial" w:hAnsi="Arial"/>
          <w:sz w:val="16"/>
          <w:szCs w:val="16"/>
          <w:color w:val="auto"/>
        </w:rPr>
        <w:t xml:space="preserve">” shall mean the date on which Landlord shall deliver the Additional Premises to Tenant in the condition described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The scheduled Additional Premises Commencement Date is October 1, 2017. If Landlord is unable to deliver possession of the Additional Premises to Tenant on the scheduled Additional Premises Commencement Date for any reason whatsoever, neither this Amendment nor the Lease shall be void or voidable, nor shall any such delay in delivery of possession of the Additional Premises operate to extend the Lease Term beyond the New Expiration Date or amend Tenant’s obligations hereunder or under the Lease. In such event, however, the Additional Premises Commencement Date shall be delayed by the same number of days as the delay in delivery. Upon either party’s request after the Additional Premises Commencement Date, the parties shall execute a letter confirming the Additional Premises Commencement Date and the New Expiration Date.</w:t>
      </w:r>
    </w:p>
    <w:p>
      <w:pPr>
        <w:spacing w:after="0" w:line="165" w:lineRule="exact"/>
        <w:rPr>
          <w:sz w:val="20"/>
          <w:szCs w:val="20"/>
          <w:color w:val="auto"/>
        </w:rPr>
      </w:pPr>
    </w:p>
    <w:p>
      <w:pPr>
        <w:ind w:firstLine="1296"/>
        <w:spacing w:after="0" w:line="261" w:lineRule="auto"/>
        <w:rPr>
          <w:sz w:val="20"/>
          <w:szCs w:val="20"/>
          <w:color w:val="auto"/>
        </w:rPr>
      </w:pPr>
      <w:r>
        <w:rPr>
          <w:rFonts w:ascii="Arial" w:cs="Arial" w:eastAsia="Arial" w:hAnsi="Arial"/>
          <w:sz w:val="17"/>
          <w:szCs w:val="17"/>
          <w:color w:val="auto"/>
        </w:rPr>
        <w:t>Tenant and its authorized agents, contractors, subcontractors and employees shall be granted a license by Landlord to enter upon the Additional Premises, at Tenant’s sole risk and expense, fifteen (15) days prior to the Additional Premises Commencement Date for the purposes of installing furniture, fixtures and equipment; provided, however, that (i) the provisions of the Lease, as amended hereby, other than with respect to the payment of Base Rent and Building Direct Expenses for the Additional Premises, shall apply during such early entry, including, but not limited to, the provisions of Article 10 of the Lease relating to Tenant’s indemnification of Landlord, (ii) Tenant shall pay all utility, service and maintenance charges for the Additional Premises attributable to Tenant’s early entry and use of the Additional Premises as reasonably determined by Landlord, and (iii) prior to such entry, Tenant shall have delivered to Landlord (A) an executed original of this Amendment, (B) payment in an amount equal to the Base Rent for the Additional Premises for the first (1</w:t>
      </w:r>
      <w:r>
        <w:rPr>
          <w:rFonts w:ascii="Arial" w:cs="Arial" w:eastAsia="Arial" w:hAnsi="Arial"/>
          <w:sz w:val="22"/>
          <w:szCs w:val="22"/>
          <w:color w:val="auto"/>
          <w:vertAlign w:val="superscript"/>
        </w:rPr>
        <w:t>st</w:t>
      </w:r>
      <w:r>
        <w:rPr>
          <w:rFonts w:ascii="Arial" w:cs="Arial" w:eastAsia="Arial" w:hAnsi="Arial"/>
          <w:sz w:val="17"/>
          <w:szCs w:val="17"/>
          <w:color w:val="auto"/>
        </w:rPr>
        <w:t>) month) of the Lease Term in which Base Rent is due for the Additional Premises, and (C) the Additional L-C (as defined below). Upon Tenant’s breach of any of the foregoing conditions, Landlord may, in addition to exercising any of its other rights and remedies set forth herein, revoke such license upon written notice to Tenant.</w:t>
      </w:r>
    </w:p>
    <w:p>
      <w:pPr>
        <w:spacing w:after="0" w:line="184" w:lineRule="exact"/>
        <w:rPr>
          <w:sz w:val="20"/>
          <w:szCs w:val="20"/>
          <w:color w:val="auto"/>
        </w:rPr>
      </w:pPr>
    </w:p>
    <w:p>
      <w:pPr>
        <w:ind w:right="100" w:firstLine="656"/>
        <w:spacing w:after="0" w:line="282" w:lineRule="auto"/>
        <w:tabs>
          <w:tab w:leader="none" w:pos="1296" w:val="left"/>
        </w:tabs>
        <w:numPr>
          <w:ilvl w:val="0"/>
          <w:numId w:val="526"/>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 of Additional Premises and Existing Premises</w:t>
      </w:r>
      <w:r>
        <w:rPr>
          <w:rFonts w:ascii="Arial" w:cs="Arial" w:eastAsia="Arial" w:hAnsi="Arial"/>
          <w:sz w:val="18"/>
          <w:szCs w:val="18"/>
          <w:color w:val="auto"/>
        </w:rPr>
        <w:t>. Landlord shall cause the Building systems serving the Additional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to be, as of the Additional Premises Commencement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1" w:name="page602"/>
    <w:bookmarkEnd w:id="601"/>
    <w:p>
      <w:pPr>
        <w:ind w:right="160"/>
        <w:spacing w:after="0" w:line="301" w:lineRule="auto"/>
        <w:rPr>
          <w:sz w:val="20"/>
          <w:szCs w:val="20"/>
          <w:color w:val="auto"/>
        </w:rPr>
      </w:pPr>
      <w:r>
        <w:rPr>
          <w:rFonts w:ascii="Arial" w:cs="Arial" w:eastAsia="Arial" w:hAnsi="Arial"/>
          <w:sz w:val="16"/>
          <w:szCs w:val="16"/>
          <w:color w:val="auto"/>
        </w:rPr>
        <w:t xml:space="preserve">Date, in good working order and condition; provided, however, that the foregoing shall not imply any representation or warranty as to the useful life of such systems. Except as provided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the work letter attached hereto 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color w:val="auto"/>
        </w:rPr>
        <w:t>Tenant Work Letter</w:t>
      </w:r>
      <w:r>
        <w:rPr>
          <w:rFonts w:ascii="Arial" w:cs="Arial" w:eastAsia="Arial" w:hAnsi="Arial"/>
          <w:sz w:val="16"/>
          <w:szCs w:val="16"/>
          <w:color w:val="auto"/>
        </w:rPr>
        <w:t>”), Tenant shall accept the Additional Premises and the Existing Premises in their as-is condition as of the Additional Premises Commencement Date and Landlord shall have no obligation to make or pay for any alterations, additions, improvement or renovations in or to the Additional Premises or the Existing Premises.</w:t>
      </w:r>
    </w:p>
    <w:p>
      <w:pPr>
        <w:spacing w:after="0" w:line="153" w:lineRule="exact"/>
        <w:rPr>
          <w:sz w:val="20"/>
          <w:szCs w:val="20"/>
          <w:color w:val="auto"/>
        </w:rPr>
      </w:pPr>
    </w:p>
    <w:p>
      <w:pPr>
        <w:ind w:left="1300" w:hanging="644"/>
        <w:spacing w:after="0"/>
        <w:tabs>
          <w:tab w:leader="none" w:pos="1300" w:val="left"/>
        </w:tabs>
        <w:numPr>
          <w:ilvl w:val="0"/>
          <w:numId w:val="527"/>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w:t>
      </w:r>
    </w:p>
    <w:p>
      <w:pPr>
        <w:spacing w:after="0" w:line="225"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Additional Premises</w:t>
      </w:r>
      <w:r>
        <w:rPr>
          <w:rFonts w:ascii="Arial" w:cs="Arial" w:eastAsia="Arial" w:hAnsi="Arial"/>
          <w:sz w:val="18"/>
          <w:szCs w:val="18"/>
          <w:color w:val="auto"/>
        </w:rPr>
        <w:t>. Commencing as of the Additional Premises Commencement Date and continuing through the New Expiration Date, Tenant shall pay Base Rent for the Additional Premises pursuant to the Lease in the following amounts:</w:t>
      </w:r>
    </w:p>
    <w:p>
      <w:pPr>
        <w:spacing w:after="0" w:line="15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420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Monthly Base Rent</w:t>
            </w:r>
          </w:p>
        </w:tc>
      </w:tr>
      <w:tr>
        <w:trPr>
          <w:trHeight w:val="210"/>
        </w:trPr>
        <w:tc>
          <w:tcPr>
            <w:tcW w:w="4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Additional Premises Commencement Date — 09/30/18*</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44,474.40</w:t>
            </w:r>
          </w:p>
        </w:tc>
      </w:tr>
      <w:tr>
        <w:trPr>
          <w:trHeight w:val="216"/>
        </w:trPr>
        <w:tc>
          <w:tcPr>
            <w:tcW w:w="4200" w:type="dxa"/>
            <w:vAlign w:val="bottom"/>
          </w:tcPr>
          <w:p>
            <w:pPr>
              <w:jc w:val="center"/>
              <w:spacing w:after="0"/>
              <w:rPr>
                <w:sz w:val="20"/>
                <w:szCs w:val="20"/>
                <w:color w:val="auto"/>
              </w:rPr>
            </w:pPr>
            <w:r>
              <w:rPr>
                <w:rFonts w:ascii="Arial" w:cs="Arial" w:eastAsia="Arial" w:hAnsi="Arial"/>
                <w:sz w:val="18"/>
                <w:szCs w:val="18"/>
                <w:color w:val="auto"/>
                <w:w w:val="91"/>
              </w:rPr>
              <w:t>10/01/18 — 09/30/19</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45,808.63</w:t>
            </w:r>
          </w:p>
        </w:tc>
      </w:tr>
      <w:tr>
        <w:trPr>
          <w:trHeight w:val="216"/>
        </w:trPr>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10/01/19 — 09/30/20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47,182.89</w:t>
            </w:r>
          </w:p>
        </w:tc>
      </w:tr>
      <w:tr>
        <w:trPr>
          <w:trHeight w:val="216"/>
        </w:trPr>
        <w:tc>
          <w:tcPr>
            <w:tcW w:w="4200" w:type="dxa"/>
            <w:vAlign w:val="bottom"/>
          </w:tcPr>
          <w:p>
            <w:pPr>
              <w:jc w:val="center"/>
              <w:spacing w:after="0"/>
              <w:rPr>
                <w:sz w:val="20"/>
                <w:szCs w:val="20"/>
                <w:color w:val="auto"/>
              </w:rPr>
            </w:pPr>
            <w:r>
              <w:rPr>
                <w:rFonts w:ascii="Arial" w:cs="Arial" w:eastAsia="Arial" w:hAnsi="Arial"/>
                <w:sz w:val="18"/>
                <w:szCs w:val="18"/>
                <w:color w:val="auto"/>
                <w:w w:val="91"/>
              </w:rPr>
              <w:t>10/01/20 — 09/30/21</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48,598.38</w:t>
            </w:r>
          </w:p>
        </w:tc>
      </w:tr>
      <w:tr>
        <w:trPr>
          <w:trHeight w:val="216"/>
        </w:trPr>
        <w:tc>
          <w:tcPr>
            <w:tcW w:w="4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10/01/21 — 09/30/22</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50,056.33</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1"/>
              </w:rPr>
              <w:t>10/01/22 — 06/30/23</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51,558.02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0022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*Provided that Tenant is not then in Default of the Lease, as amended, beyond any applicable notice and cure period set forth in the Lease, Landlord hereby agrees that Tenant shall not be required to pay Base Rent with respect to the Additional Premises for the period commencing on the Additional Premises Commencement Date and ending three (3) months thereafter (the “</w:t>
      </w:r>
      <w:r>
        <w:rPr>
          <w:rFonts w:ascii="Arial" w:cs="Arial" w:eastAsia="Arial" w:hAnsi="Arial"/>
          <w:sz w:val="16"/>
          <w:szCs w:val="16"/>
          <w:b w:val="1"/>
          <w:bCs w:val="1"/>
          <w:color w:val="auto"/>
        </w:rPr>
        <w:t>AP Rent Abatement Period</w:t>
      </w:r>
      <w:r>
        <w:rPr>
          <w:rFonts w:ascii="Arial" w:cs="Arial" w:eastAsia="Arial" w:hAnsi="Arial"/>
          <w:sz w:val="16"/>
          <w:szCs w:val="16"/>
          <w:color w:val="auto"/>
        </w:rPr>
        <w:t>”). The total amount of Base Rent abated during the AP Rent Abatement Period with respect to the Additional Premises shall not exceed $133,423.20 (the “</w:t>
      </w:r>
      <w:r>
        <w:rPr>
          <w:rFonts w:ascii="Arial" w:cs="Arial" w:eastAsia="Arial" w:hAnsi="Arial"/>
          <w:sz w:val="16"/>
          <w:szCs w:val="16"/>
          <w:b w:val="1"/>
          <w:bCs w:val="1"/>
          <w:color w:val="auto"/>
        </w:rPr>
        <w:t>AP Rent Abatement</w:t>
      </w:r>
      <w:r>
        <w:rPr>
          <w:rFonts w:ascii="Arial" w:cs="Arial" w:eastAsia="Arial" w:hAnsi="Arial"/>
          <w:sz w:val="16"/>
          <w:szCs w:val="16"/>
          <w:color w:val="auto"/>
        </w:rPr>
        <w:t xml:space="preserve">”). Notwithstanding the foregoing, during the AP Rent Abatement Period, Tenant shall remain obligated to pay, in accordance with the terms of the Lease, as amended, (i) Tenant’s Share of Building Direct Expenses, and (ii) any and all taxes and other charges as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the Lease. Tenant acknowledges and agrees that the foregoing AP Rent Abatement has been granted to Tenant as additional consideration for entering into this Amendment and for agreeing to pay the Rent and performing the terms and conditions otherwise required under the Lease, as amended. If Tenant shall be in Default under the Lease, as amended, prior to the end of the AP Rent Abatement Period, and shall fail to cure such Default within the notice and cure period, if any, permitted for cure pursuant to the Lease, as amended, and Landlord elects to terminate the Lease because of such Default, then Landlord may at its option, by notice to Tenant, elect, in addition to any other remedies Landlord may have under the Lease, as amended, to require that Tenant shall immediately become obligated to pay to Landlord all Rent abated hereunder during the AP Rent Abatement Period with respect to the AP Rent Abatement, with interest as provided pursuant to the Lease from the date such Rent would have otherwise been due but for the abatement provided herein.</w:t>
      </w:r>
    </w:p>
    <w:p>
      <w:pPr>
        <w:spacing w:after="0" w:line="170" w:lineRule="exact"/>
        <w:rPr>
          <w:sz w:val="20"/>
          <w:szCs w:val="20"/>
          <w:color w:val="auto"/>
        </w:rPr>
      </w:pPr>
    </w:p>
    <w:p>
      <w:pPr>
        <w:ind w:right="140" w:firstLine="1296"/>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Existing Premises</w:t>
      </w:r>
      <w:r>
        <w:rPr>
          <w:rFonts w:ascii="Arial" w:cs="Arial" w:eastAsia="Arial" w:hAnsi="Arial"/>
          <w:sz w:val="18"/>
          <w:szCs w:val="18"/>
          <w:color w:val="auto"/>
        </w:rPr>
        <w:t>. Prior to June 30, 2022, Tenant shall continue to pay Base Rent for the Existing Premises as set forth in the Lease, except as set forth below with respect to the EP Rent Abatement (as defined below). Commencing as of July 1, 2022 and continuing thereafter through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02" w:name="page603"/>
    <w:bookmarkEnd w:id="602"/>
    <w:p>
      <w:pPr>
        <w:spacing w:after="0"/>
        <w:rPr>
          <w:sz w:val="20"/>
          <w:szCs w:val="20"/>
          <w:color w:val="auto"/>
        </w:rPr>
      </w:pPr>
      <w:r>
        <w:rPr>
          <w:rFonts w:ascii="Arial" w:cs="Arial" w:eastAsia="Arial" w:hAnsi="Arial"/>
          <w:sz w:val="18"/>
          <w:szCs w:val="18"/>
          <w:color w:val="auto"/>
        </w:rPr>
        <w:t>the New Expiration Date, Tenant shall pay Base Rent for the Existing Premises pursuant to the Lease in the following amounts: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4260" w:type="dxa"/>
            <w:vAlign w:val="bottom"/>
          </w:tcPr>
          <w:p>
            <w:pPr>
              <w:spacing w:after="0"/>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gridSpan w:val="2"/>
          </w:tcPr>
          <w:p>
            <w:pPr>
              <w:ind w:left="220"/>
              <w:spacing w:after="0"/>
              <w:rPr>
                <w:sz w:val="20"/>
                <w:szCs w:val="20"/>
                <w:color w:val="auto"/>
              </w:rPr>
            </w:pPr>
            <w:r>
              <w:rPr>
                <w:rFonts w:ascii="Arial" w:cs="Arial" w:eastAsia="Arial" w:hAnsi="Arial"/>
                <w:sz w:val="14"/>
                <w:szCs w:val="14"/>
                <w:b w:val="1"/>
                <w:bCs w:val="1"/>
                <w:color w:val="auto"/>
              </w:rPr>
              <w:t>Monthly Base Rent</w:t>
            </w:r>
          </w:p>
        </w:tc>
        <w:tc>
          <w:tcPr>
            <w:tcW w:w="0" w:type="dxa"/>
            <w:vAlign w:val="bottom"/>
          </w:tcPr>
          <w:p>
            <w:pPr>
              <w:spacing w:after="0"/>
              <w:rPr>
                <w:sz w:val="1"/>
                <w:szCs w:val="1"/>
                <w:color w:val="auto"/>
              </w:rPr>
            </w:pPr>
          </w:p>
        </w:tc>
      </w:tr>
      <w:tr>
        <w:trPr>
          <w:trHeight w:val="210"/>
        </w:trPr>
        <w:tc>
          <w:tcPr>
            <w:tcW w:w="4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07/01/22 — 06/30/23</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*Provided that Tenant is not then in Default of the Lease, as amended, beyond any applicable notice and cure period set forth in the Lease, Landlord hereby agrees that Tenant shall not be required to pay Base Rent with respect to the Existing Premises for the period commencing on November 1, 2017 and ending on November 30, 2017 (the “</w:t>
      </w:r>
      <w:r>
        <w:rPr>
          <w:rFonts w:ascii="Arial" w:cs="Arial" w:eastAsia="Arial" w:hAnsi="Arial"/>
          <w:sz w:val="16"/>
          <w:szCs w:val="16"/>
          <w:b w:val="1"/>
          <w:bCs w:val="1"/>
          <w:color w:val="auto"/>
        </w:rPr>
        <w:t>EP Rent Abatement Period</w:t>
      </w:r>
      <w:r>
        <w:rPr>
          <w:rFonts w:ascii="Arial" w:cs="Arial" w:eastAsia="Arial" w:hAnsi="Arial"/>
          <w:sz w:val="16"/>
          <w:szCs w:val="16"/>
          <w:color w:val="auto"/>
        </w:rPr>
        <w:t>”). The total amount of Base Rent abated during the EP Rent Abatement Period with respect to the Existing Premises shall not exceed $63,179.40 (the “</w:t>
      </w:r>
      <w:r>
        <w:rPr>
          <w:rFonts w:ascii="Arial" w:cs="Arial" w:eastAsia="Arial" w:hAnsi="Arial"/>
          <w:sz w:val="16"/>
          <w:szCs w:val="16"/>
          <w:b w:val="1"/>
          <w:bCs w:val="1"/>
          <w:color w:val="auto"/>
        </w:rPr>
        <w:t>EP Rent Abatement</w:t>
      </w:r>
      <w:r>
        <w:rPr>
          <w:rFonts w:ascii="Arial" w:cs="Arial" w:eastAsia="Arial" w:hAnsi="Arial"/>
          <w:sz w:val="16"/>
          <w:szCs w:val="16"/>
          <w:color w:val="auto"/>
        </w:rPr>
        <w:t xml:space="preserve">”). Notwithstanding the foregoing, during the EP Rent Abatement Period, Tenant shall remain obligated to pay, in accordance with the terms of the Lease, as amended, (i) Tenant’s Share of Building Direct Expenses, and (ii) any and all taxes and other charges as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the Lease. Tenant acknowledges and agrees that the foregoing EP Rent Abatement has been granted to Tenant as additional consideration for entering into this Amendment and for agreeing to pay the Rent and performing the terms and conditions otherwise required under the Lease, as amended. If Tenant shall be in Default under the Lease, as amended, prior to the end of the EP Rent Abatement Period, and shall fail to cure such Default within the notice and cure period, if any, permitted for cure pursuant to the Lease, as amended, and Landlord elects to terminate the Lease because of such Default, then Landlord may at its option, by notice to Tenant, elect, in addition to any other remedies Landlord may have under the Lease, as amended, to require that Tenant shall immediately become obligated to pay to Landlord all Rent abated hereunder during the EP Rent Abatement Period with respect to the EP Rent Abatement, with interest as provided pursuant to the Lease from the date such Rent would have otherwise been due but for the abatement provided herein.</w:t>
      </w:r>
    </w:p>
    <w:p>
      <w:pPr>
        <w:spacing w:after="0" w:line="170" w:lineRule="exact"/>
        <w:rPr>
          <w:sz w:val="20"/>
          <w:szCs w:val="20"/>
          <w:color w:val="auto"/>
        </w:rPr>
      </w:pPr>
    </w:p>
    <w:p>
      <w:pPr>
        <w:ind w:right="120" w:firstLine="656"/>
        <w:spacing w:after="0" w:line="266" w:lineRule="auto"/>
        <w:tabs>
          <w:tab w:leader="none" w:pos="1296" w:val="left"/>
        </w:tabs>
        <w:numPr>
          <w:ilvl w:val="0"/>
          <w:numId w:val="528"/>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 Direct Expenses</w:t>
      </w:r>
      <w:r>
        <w:rPr>
          <w:rFonts w:ascii="Arial" w:cs="Arial" w:eastAsia="Arial" w:hAnsi="Arial"/>
          <w:sz w:val="18"/>
          <w:szCs w:val="18"/>
          <w:color w:val="auto"/>
        </w:rPr>
        <w:t>. Effective as of the Additional Premises Commencement Date, the provisions of Article 4 of the Lease shall</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the Additional Premises, and for such purposes Tenant’s Share of Building Direct Expenses shall mean 5.7216% with respect to the Additional Premises.</w:t>
      </w:r>
    </w:p>
    <w:p>
      <w:pPr>
        <w:spacing w:after="0" w:line="175" w:lineRule="exact"/>
        <w:rPr>
          <w:rFonts w:ascii="Arial" w:cs="Arial" w:eastAsia="Arial" w:hAnsi="Arial"/>
          <w:sz w:val="18"/>
          <w:szCs w:val="18"/>
          <w:color w:val="auto"/>
        </w:rPr>
      </w:pPr>
    </w:p>
    <w:p>
      <w:pPr>
        <w:ind w:right="300" w:firstLine="656"/>
        <w:spacing w:after="0" w:line="314" w:lineRule="auto"/>
        <w:tabs>
          <w:tab w:leader="none" w:pos="1296" w:val="left"/>
        </w:tabs>
        <w:numPr>
          <w:ilvl w:val="0"/>
          <w:numId w:val="528"/>
        </w:numPr>
        <w:rPr>
          <w:rFonts w:ascii="Arial" w:cs="Arial" w:eastAsia="Arial" w:hAnsi="Arial"/>
          <w:sz w:val="16"/>
          <w:szCs w:val="16"/>
          <w:color w:val="auto"/>
        </w:rPr>
      </w:pPr>
      <w:r>
        <w:rPr>
          <w:rFonts w:ascii="Arial" w:cs="Arial" w:eastAsia="Arial" w:hAnsi="Arial"/>
          <w:sz w:val="16"/>
          <w:szCs w:val="16"/>
          <w:b w:val="1"/>
          <w:bCs w:val="1"/>
          <w:u w:val="single" w:color="auto"/>
          <w:color w:val="auto"/>
        </w:rPr>
        <w:t>Option Term</w:t>
      </w:r>
      <w:r>
        <w:rPr>
          <w:rFonts w:ascii="Arial" w:cs="Arial" w:eastAsia="Arial" w:hAnsi="Arial"/>
          <w:sz w:val="16"/>
          <w:szCs w:val="16"/>
          <w:color w:val="auto"/>
        </w:rPr>
        <w:t>. The Extension Option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shall continue to apply on the terms and condition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therein and shall apply with respect to either or both of the Additional Premises and the Existing Premises (but not the Temporary Premises). Tenant’s Option Exercise Notice shall set forth whether Tenant’s option to renew applies to either or both of the Additional Premises and the Existing Premises.</w:t>
      </w:r>
    </w:p>
    <w:p>
      <w:pPr>
        <w:spacing w:after="0" w:line="141" w:lineRule="exact"/>
        <w:rPr>
          <w:rFonts w:ascii="Arial" w:cs="Arial" w:eastAsia="Arial" w:hAnsi="Arial"/>
          <w:sz w:val="16"/>
          <w:szCs w:val="16"/>
          <w:color w:val="auto"/>
        </w:rPr>
      </w:pPr>
    </w:p>
    <w:p>
      <w:pPr>
        <w:ind w:right="40" w:firstLine="656"/>
        <w:spacing w:after="0" w:line="254" w:lineRule="auto"/>
        <w:tabs>
          <w:tab w:leader="none" w:pos="1296" w:val="left"/>
        </w:tabs>
        <w:numPr>
          <w:ilvl w:val="0"/>
          <w:numId w:val="528"/>
        </w:numPr>
        <w:rPr>
          <w:rFonts w:ascii="Arial" w:cs="Arial" w:eastAsia="Arial" w:hAnsi="Arial"/>
          <w:sz w:val="18"/>
          <w:szCs w:val="18"/>
          <w:color w:val="auto"/>
        </w:rPr>
      </w:pPr>
      <w:r>
        <w:rPr>
          <w:rFonts w:ascii="Arial" w:cs="Arial" w:eastAsia="Arial" w:hAnsi="Arial"/>
          <w:sz w:val="18"/>
          <w:szCs w:val="18"/>
          <w:b w:val="1"/>
          <w:bCs w:val="1"/>
          <w:u w:val="single" w:color="auto"/>
          <w:color w:val="auto"/>
        </w:rPr>
        <w:t>Letter of Credit</w:t>
      </w:r>
      <w:r>
        <w:rPr>
          <w:rFonts w:ascii="Arial" w:cs="Arial" w:eastAsia="Arial" w:hAnsi="Arial"/>
          <w:sz w:val="18"/>
          <w:szCs w:val="18"/>
          <w:color w:val="auto"/>
        </w:rPr>
        <w:t>. Landlord and Tenant acknowledge and agree that Landlord is currently holding the L-C under the Lease in the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of $400,954.70, which Tenant shall continue to maintain in effect through the L-C Expiration Date, as extended by this Amendment (i.e., the date that is no less than one hundred twenty (120) days after the expiration of the Lease Term (as extended by the Extension Term), as the same may be extended), in accordance with all of the terms and conditions of Article 21 of the Lease. Concurrently with Tenant’s execution and delivery of this Amendment, Tenant shall deliver to Landlord an additional L-C in the amount of $51,558.02 (the “</w:t>
      </w:r>
      <w:r>
        <w:rPr>
          <w:rFonts w:ascii="Arial" w:cs="Arial" w:eastAsia="Arial" w:hAnsi="Arial"/>
          <w:sz w:val="18"/>
          <w:szCs w:val="18"/>
          <w:b w:val="1"/>
          <w:bCs w:val="1"/>
          <w:color w:val="auto"/>
        </w:rPr>
        <w:t>Additional L-C</w:t>
      </w:r>
      <w:r>
        <w:rPr>
          <w:rFonts w:ascii="Arial" w:cs="Arial" w:eastAsia="Arial" w:hAnsi="Arial"/>
          <w:sz w:val="18"/>
          <w:szCs w:val="18"/>
          <w:color w:val="auto"/>
        </w:rPr>
        <w:t xml:space="preserve">”). The Additional L-C shall be in the form required under Article 21 of the Lease and shall otherwise be subject to all of the same terms and conditions as the existing L-C, except that the reductions in the amount of the L-C set forth in </w:t>
      </w:r>
      <w:r>
        <w:rPr>
          <w:rFonts w:ascii="Arial" w:cs="Arial" w:eastAsia="Arial" w:hAnsi="Arial"/>
          <w:sz w:val="18"/>
          <w:szCs w:val="18"/>
          <w:u w:val="single" w:color="auto"/>
          <w:color w:val="auto"/>
        </w:rPr>
        <w:t>Section 21.3.1</w:t>
      </w:r>
      <w:r>
        <w:rPr>
          <w:rFonts w:ascii="Arial" w:cs="Arial" w:eastAsia="Arial" w:hAnsi="Arial"/>
          <w:sz w:val="18"/>
          <w:szCs w:val="18"/>
          <w:color w:val="auto"/>
        </w:rPr>
        <w:t xml:space="preserve"> of the Lease shall not apply to the Additional L-C. In lieu of providing Landlord with an additional letter of credit as provided above, Tenant may instead provide Landlord with an amendment to the existing L-C sufficient to increase the existing L-C by $51,558.02, for a total L-C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03" w:name="page604"/>
    <w:bookmarkEnd w:id="603"/>
    <w:p>
      <w:pPr>
        <w:spacing w:after="0"/>
        <w:rPr>
          <w:sz w:val="20"/>
          <w:szCs w:val="20"/>
          <w:color w:val="auto"/>
        </w:rPr>
      </w:pPr>
      <w:r>
        <w:rPr>
          <w:rFonts w:ascii="Arial" w:cs="Arial" w:eastAsia="Arial" w:hAnsi="Arial"/>
          <w:sz w:val="17"/>
          <w:szCs w:val="17"/>
          <w:color w:val="auto"/>
        </w:rPr>
        <w:t>Amount equal to $452,512.72 (in which case, references in this Section 6 to the “Additional L-C” shall refer to such amendment to the existing L-C).</w:t>
      </w:r>
    </w:p>
    <w:p>
      <w:pPr>
        <w:spacing w:after="0" w:line="233" w:lineRule="exact"/>
        <w:rPr>
          <w:sz w:val="20"/>
          <w:szCs w:val="20"/>
          <w:color w:val="auto"/>
        </w:rPr>
      </w:pPr>
    </w:p>
    <w:p>
      <w:pPr>
        <w:ind w:right="80" w:firstLine="656"/>
        <w:spacing w:after="0" w:line="282" w:lineRule="auto"/>
        <w:tabs>
          <w:tab w:leader="none" w:pos="1296" w:val="left"/>
        </w:tabs>
        <w:numPr>
          <w:ilvl w:val="0"/>
          <w:numId w:val="529"/>
        </w:numPr>
        <w:rPr>
          <w:rFonts w:ascii="Arial" w:cs="Arial" w:eastAsia="Arial" w:hAnsi="Arial"/>
          <w:sz w:val="18"/>
          <w:szCs w:val="18"/>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 Effective as of the Additional Premises Commencement Date, Tenant shall be entitled to the use of twenty-two (22)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unreserved parking passes, subject to the terms of Article 28 of the Lease.</w:t>
      </w:r>
    </w:p>
    <w:p>
      <w:pPr>
        <w:spacing w:after="0" w:line="161" w:lineRule="exact"/>
        <w:rPr>
          <w:rFonts w:ascii="Arial" w:cs="Arial" w:eastAsia="Arial" w:hAnsi="Arial"/>
          <w:sz w:val="18"/>
          <w:szCs w:val="18"/>
          <w:color w:val="auto"/>
        </w:rPr>
      </w:pPr>
    </w:p>
    <w:p>
      <w:pPr>
        <w:ind w:firstLine="656"/>
        <w:spacing w:after="0" w:line="254" w:lineRule="auto"/>
        <w:tabs>
          <w:tab w:leader="none" w:pos="1291" w:val="left"/>
        </w:tabs>
        <w:numPr>
          <w:ilvl w:val="0"/>
          <w:numId w:val="529"/>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hereby warrant to each other that they have had no dealings with any real estate broker or agent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Cushman &amp; Wakefield and CBRE, Inc., collectively on behalf of Landlord, and Jones Lang LaSalle, on behalf of Tenant (collectively, the “</w:t>
      </w:r>
      <w:r>
        <w:rPr>
          <w:rFonts w:ascii="Arial" w:cs="Arial" w:eastAsia="Arial" w:hAnsi="Arial"/>
          <w:sz w:val="18"/>
          <w:szCs w:val="18"/>
          <w:b w:val="1"/>
          <w:bCs w:val="1"/>
          <w:color w:val="auto"/>
        </w:rPr>
        <w:t>Brokers</w:t>
      </w:r>
      <w:r>
        <w:rPr>
          <w:rFonts w:ascii="Arial" w:cs="Arial" w:eastAsia="Arial" w:hAnsi="Arial"/>
          <w:sz w:val="18"/>
          <w:szCs w:val="18"/>
          <w:color w:val="auto"/>
        </w:rPr>
        <w:t>”) in connection with the negotiation of this Amendment and that they know of no other real estate broker or agent who is entitled to a commission in connection with this 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Brokers) occurring by, through, or under the indemnifying party. The terms of this Section 10 shall survive the expiration or earlier termination of the Lease, as amended.</w:t>
      </w:r>
    </w:p>
    <w:p>
      <w:pPr>
        <w:spacing w:after="0" w:line="191" w:lineRule="exact"/>
        <w:rPr>
          <w:rFonts w:ascii="Arial" w:cs="Arial" w:eastAsia="Arial" w:hAnsi="Arial"/>
          <w:sz w:val="18"/>
          <w:szCs w:val="18"/>
          <w:color w:val="auto"/>
        </w:rPr>
      </w:pPr>
    </w:p>
    <w:p>
      <w:pPr>
        <w:ind w:firstLine="656"/>
        <w:spacing w:after="0" w:line="258" w:lineRule="auto"/>
        <w:tabs>
          <w:tab w:leader="none" w:pos="1285" w:val="left"/>
        </w:tabs>
        <w:numPr>
          <w:ilvl w:val="0"/>
          <w:numId w:val="529"/>
        </w:numPr>
        <w:rPr>
          <w:rFonts w:ascii="Arial" w:cs="Arial" w:eastAsia="Arial" w:hAnsi="Arial"/>
          <w:sz w:val="18"/>
          <w:szCs w:val="18"/>
          <w:color w:val="auto"/>
        </w:rPr>
      </w:pPr>
      <w:r>
        <w:rPr>
          <w:rFonts w:ascii="Arial" w:cs="Arial" w:eastAsia="Arial" w:hAnsi="Arial"/>
          <w:sz w:val="18"/>
          <w:szCs w:val="18"/>
          <w:b w:val="1"/>
          <w:bCs w:val="1"/>
          <w:u w:val="single" w:color="auto"/>
          <w:color w:val="auto"/>
        </w:rPr>
        <w:t>Organization and Authority</w:t>
      </w:r>
      <w:r>
        <w:rPr>
          <w:rFonts w:ascii="Arial" w:cs="Arial" w:eastAsia="Arial" w:hAnsi="Arial"/>
          <w:sz w:val="18"/>
          <w:szCs w:val="18"/>
          <w:color w:val="auto"/>
        </w:rPr>
        <w:t>. Tenant hereby covenants, represents and warrants that (a) Tenant is duly organized, in good standing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to do business under the laws of the state of its formation and, if different, is qualified to do business in the State of California and has all necessary powers to enter into and perform its obligations under the Lease, as amended, (b) this Amendment has been duly and effectively authorized by all necessary action required under Tenant’s organizational documents, and (c) this Amendment has been duly executed and delivered on behalf of Tenant, and is a valid and binding agreement of Tenant.</w:t>
      </w:r>
    </w:p>
    <w:p>
      <w:pPr>
        <w:spacing w:after="0" w:line="183" w:lineRule="exact"/>
        <w:rPr>
          <w:rFonts w:ascii="Arial" w:cs="Arial" w:eastAsia="Arial" w:hAnsi="Arial"/>
          <w:sz w:val="18"/>
          <w:szCs w:val="18"/>
          <w:color w:val="auto"/>
        </w:rPr>
      </w:pPr>
    </w:p>
    <w:p>
      <w:pPr>
        <w:ind w:right="160" w:firstLine="656"/>
        <w:spacing w:after="0" w:line="282" w:lineRule="auto"/>
        <w:tabs>
          <w:tab w:leader="none" w:pos="1291" w:val="left"/>
        </w:tabs>
        <w:numPr>
          <w:ilvl w:val="0"/>
          <w:numId w:val="529"/>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any number of original counterparts. Any such counterpart, when executed,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original of this Amendment, and all such counterparts together shall constitute one and the same Amendment.</w:t>
      </w:r>
    </w:p>
    <w:p>
      <w:pPr>
        <w:spacing w:after="0" w:line="161" w:lineRule="exact"/>
        <w:rPr>
          <w:rFonts w:ascii="Arial" w:cs="Arial" w:eastAsia="Arial" w:hAnsi="Arial"/>
          <w:sz w:val="18"/>
          <w:szCs w:val="18"/>
          <w:color w:val="auto"/>
        </w:rPr>
      </w:pPr>
    </w:p>
    <w:p>
      <w:pPr>
        <w:ind w:right="40" w:firstLine="656"/>
        <w:spacing w:after="0" w:line="287" w:lineRule="auto"/>
        <w:tabs>
          <w:tab w:leader="none" w:pos="1291" w:val="left"/>
        </w:tabs>
        <w:numPr>
          <w:ilvl w:val="0"/>
          <w:numId w:val="529"/>
        </w:numPr>
        <w:rPr>
          <w:rFonts w:ascii="Arial" w:cs="Arial" w:eastAsia="Arial" w:hAnsi="Arial"/>
          <w:sz w:val="16"/>
          <w:szCs w:val="16"/>
          <w:color w:val="auto"/>
        </w:rPr>
      </w:pPr>
      <w:r>
        <w:rPr>
          <w:rFonts w:ascii="Arial" w:cs="Arial" w:eastAsia="Arial" w:hAnsi="Arial"/>
          <w:sz w:val="16"/>
          <w:szCs w:val="16"/>
          <w:b w:val="1"/>
          <w:bCs w:val="1"/>
          <w:u w:val="single" w:color="auto"/>
          <w:color w:val="auto"/>
        </w:rPr>
        <w:t>California Accessibility Disclosure</w:t>
      </w:r>
      <w:r>
        <w:rPr>
          <w:rFonts w:ascii="Arial" w:cs="Arial" w:eastAsia="Arial" w:hAnsi="Arial"/>
          <w:sz w:val="16"/>
          <w:szCs w:val="16"/>
          <w:color w:val="auto"/>
        </w:rPr>
        <w:t>. For purposes of Section 1938 of the California Civil Code, Landlord hereby discloses to Tenant,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Tenant hereby acknowledges, that the Project, the Building, the Existing Premises, the Additional Premises and the Temporary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and (b) pursuant to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of the Lease, Tenant, at its cost, is responsible for making any repairs within the Existing Premises, the Additional Premises and the Temporary Premises to correct violations of construction-related accessibility standards; and, if anything done by or for Tenant in its use or occupancy of the Existing Premises, the Additional Premises and/or the Temporary Premises shall require repairs to the Building (outside the Existing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4" w:name="page605"/>
    <w:bookmarkEnd w:id="604"/>
    <w:p>
      <w:pPr>
        <w:ind w:right="40"/>
        <w:spacing w:after="0" w:line="263" w:lineRule="auto"/>
        <w:rPr>
          <w:sz w:val="20"/>
          <w:szCs w:val="20"/>
          <w:color w:val="auto"/>
        </w:rPr>
      </w:pPr>
      <w:r>
        <w:rPr>
          <w:rFonts w:ascii="Arial" w:cs="Arial" w:eastAsia="Arial" w:hAnsi="Arial"/>
          <w:sz w:val="18"/>
          <w:szCs w:val="18"/>
          <w:color w:val="auto"/>
        </w:rPr>
        <w:t>Premises, the Additional Premises and/or the Temporary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w:t>
      </w:r>
    </w:p>
    <w:p>
      <w:pPr>
        <w:spacing w:after="0" w:line="180" w:lineRule="exact"/>
        <w:rPr>
          <w:sz w:val="20"/>
          <w:szCs w:val="20"/>
          <w:color w:val="auto"/>
        </w:rPr>
      </w:pPr>
    </w:p>
    <w:p>
      <w:pPr>
        <w:ind w:right="20" w:firstLine="656"/>
        <w:spacing w:after="0" w:line="291" w:lineRule="auto"/>
        <w:tabs>
          <w:tab w:leader="none" w:pos="1291" w:val="left"/>
        </w:tabs>
        <w:numPr>
          <w:ilvl w:val="0"/>
          <w:numId w:val="530"/>
        </w:numPr>
        <w:rPr>
          <w:rFonts w:ascii="Arial" w:cs="Arial" w:eastAsia="Arial" w:hAnsi="Arial"/>
          <w:sz w:val="16"/>
          <w:szCs w:val="16"/>
          <w:color w:val="auto"/>
        </w:rPr>
      </w:pPr>
      <w:r>
        <w:rPr>
          <w:rFonts w:ascii="Arial" w:cs="Arial" w:eastAsia="Arial" w:hAnsi="Arial"/>
          <w:sz w:val="16"/>
          <w:szCs w:val="16"/>
          <w:b w:val="1"/>
          <w:bCs w:val="1"/>
          <w:u w:val="single" w:color="auto"/>
          <w:color w:val="auto"/>
        </w:rPr>
        <w:t>Rent from Real Property</w:t>
      </w:r>
      <w:r>
        <w:rPr>
          <w:rFonts w:ascii="Arial" w:cs="Arial" w:eastAsia="Arial" w:hAnsi="Arial"/>
          <w:sz w:val="16"/>
          <w:szCs w:val="16"/>
          <w:color w:val="auto"/>
        </w:rPr>
        <w:t>. Landlord and Tenant agree that all Rent payable by Tenant to Landlord, which includes all sums, charges, or</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of whatever nature to be paid by Tenant to Landlord in accordance with the provisions of the Lease (as hereby amended), shall qualify as “rents from real property” within the meaning of both Sections 512(b)(3) and 856(d) of the Internal Revenue Code of 1986, as amended (the “</w:t>
      </w:r>
      <w:r>
        <w:rPr>
          <w:rFonts w:ascii="Arial" w:cs="Arial" w:eastAsia="Arial" w:hAnsi="Arial"/>
          <w:sz w:val="16"/>
          <w:szCs w:val="16"/>
          <w:b w:val="1"/>
          <w:bCs w:val="1"/>
          <w:color w:val="auto"/>
        </w:rPr>
        <w:t>IRS Code</w:t>
      </w:r>
      <w:r>
        <w:rPr>
          <w:rFonts w:ascii="Arial" w:cs="Arial" w:eastAsia="Arial" w:hAnsi="Arial"/>
          <w:sz w:val="16"/>
          <w:szCs w:val="16"/>
          <w:color w:val="auto"/>
        </w:rPr>
        <w:t>”) and the U.S. Department of Treasury Regulations promulgated thereunder (the “</w:t>
      </w:r>
      <w:r>
        <w:rPr>
          <w:rFonts w:ascii="Arial" w:cs="Arial" w:eastAsia="Arial" w:hAnsi="Arial"/>
          <w:sz w:val="16"/>
          <w:szCs w:val="16"/>
          <w:b w:val="1"/>
          <w:bCs w:val="1"/>
          <w:color w:val="auto"/>
        </w:rPr>
        <w:t>Regulations</w:t>
      </w:r>
      <w:r>
        <w:rPr>
          <w:rFonts w:ascii="Arial" w:cs="Arial" w:eastAsia="Arial" w:hAnsi="Arial"/>
          <w:sz w:val="16"/>
          <w:szCs w:val="16"/>
          <w:color w:val="auto"/>
        </w:rPr>
        <w:t>”). In the event that Landlord, in its sole discretion, determines that there is any risk that all or part of any rental shall not qualify as “rents from real property” for the purposes of Sections 512(b)(3) or 856(d) of the IRS Code and the Regulations promulgated thereunder, Tenant agrees (i) to cooperate with Landlord by entering into such amendment or amendments as Landlord deems necessary to qualify all rental as “rents from real property,” and (ii) to permit an assignment of this Lease; provided, however, that any adjustments required pursuant to this Section shall be made so as to produce the equivalent rental (in economic terms) payable prior to such adjustment.</w:t>
      </w:r>
    </w:p>
    <w:p>
      <w:pPr>
        <w:spacing w:after="0" w:line="159" w:lineRule="exact"/>
        <w:rPr>
          <w:rFonts w:ascii="Arial" w:cs="Arial" w:eastAsia="Arial" w:hAnsi="Arial"/>
          <w:sz w:val="16"/>
          <w:szCs w:val="16"/>
          <w:color w:val="auto"/>
        </w:rPr>
      </w:pPr>
    </w:p>
    <w:p>
      <w:pPr>
        <w:ind w:right="100" w:firstLine="656"/>
        <w:spacing w:after="0" w:line="273" w:lineRule="auto"/>
        <w:tabs>
          <w:tab w:leader="none" w:pos="1291" w:val="left"/>
        </w:tabs>
        <w:numPr>
          <w:ilvl w:val="0"/>
          <w:numId w:val="530"/>
        </w:numPr>
        <w:rPr>
          <w:rFonts w:ascii="Arial" w:cs="Arial" w:eastAsia="Arial" w:hAnsi="Arial"/>
          <w:sz w:val="17"/>
          <w:szCs w:val="17"/>
          <w:color w:val="auto"/>
        </w:rPr>
      </w:pPr>
      <w:r>
        <w:rPr>
          <w:rFonts w:ascii="Arial" w:cs="Arial" w:eastAsia="Arial" w:hAnsi="Arial"/>
          <w:sz w:val="17"/>
          <w:szCs w:val="17"/>
          <w:b w:val="1"/>
          <w:bCs w:val="1"/>
          <w:u w:val="single" w:color="auto"/>
          <w:color w:val="auto"/>
        </w:rPr>
        <w:t>Unrelated Business Transaction Income</w:t>
      </w:r>
      <w:r>
        <w:rPr>
          <w:rFonts w:ascii="Arial" w:cs="Arial" w:eastAsia="Arial" w:hAnsi="Arial"/>
          <w:sz w:val="17"/>
          <w:szCs w:val="17"/>
          <w:color w:val="auto"/>
        </w:rPr>
        <w:t>. Landlord shall have the right at any time and from time to time to unilaterally amend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Lease (as hereby amended), if Landlord is advised by its counsel that all or any portion of the monies paid by Tenant to Landlord hereunder are, or may be deemed to be, unrelated business income within the meaning of the United States Internal Revenue Code or regulations issued there under, and Tenant agrees that it will execute all documents or instruments necessary to effect such amendment or amendments, provided that no such amendment shall result in Tenant having to pay in the aggregate more money on account of its occupancy of the Premises under the terms of the Lease, as amended, and provided further that no such amendment shall result in Tenant having materially greater obligations or receiving less services that it previously obligated for or entitled to receive under this Lease, or services of a lesser quality.</w:t>
      </w:r>
    </w:p>
    <w:p>
      <w:pPr>
        <w:spacing w:after="0" w:line="171" w:lineRule="exact"/>
        <w:rPr>
          <w:rFonts w:ascii="Arial" w:cs="Arial" w:eastAsia="Arial" w:hAnsi="Arial"/>
          <w:sz w:val="17"/>
          <w:szCs w:val="17"/>
          <w:color w:val="auto"/>
        </w:rPr>
      </w:pPr>
    </w:p>
    <w:p>
      <w:pPr>
        <w:ind w:firstLine="656"/>
        <w:spacing w:after="0" w:line="261" w:lineRule="auto"/>
        <w:tabs>
          <w:tab w:leader="none" w:pos="1291" w:val="left"/>
        </w:tabs>
        <w:numPr>
          <w:ilvl w:val="0"/>
          <w:numId w:val="530"/>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 and Confirmation</w:t>
      </w:r>
      <w:r>
        <w:rPr>
          <w:rFonts w:ascii="Arial" w:cs="Arial" w:eastAsia="Arial" w:hAnsi="Arial"/>
          <w:sz w:val="18"/>
          <w:szCs w:val="18"/>
          <w:color w:val="auto"/>
        </w:rPr>
        <w:t>. Except as set forth in this Amendment, all of the terms and provisions of the Lease are hereby ratified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confirmed and shall remain unmodified and in full force and effect, and the provisions of Section 8.6, Tenant’s Security System, shall apply to the Additional Premises. In the event of any conflict between the terms and conditions of the Lease and the terms and conditions of this Amendment, the terms and conditions of this Amendment shall prevail.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appear on the following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5" w:name="page606"/>
    <w:bookmarkEnd w:id="605"/>
    <w:p>
      <w:pPr>
        <w:ind w:left="660"/>
        <w:spacing w:after="0"/>
        <w:rPr>
          <w:sz w:val="20"/>
          <w:szCs w:val="20"/>
          <w:color w:val="auto"/>
        </w:rPr>
      </w:pPr>
      <w:r>
        <w:rPr>
          <w:rFonts w:ascii="Arial" w:cs="Arial" w:eastAsia="Arial" w:hAnsi="Arial"/>
          <w:sz w:val="18"/>
          <w:szCs w:val="18"/>
          <w:color w:val="auto"/>
        </w:rPr>
        <w:t>IN WITNESS WHEREOF, the parties hereto have executed this Amendment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TENANT:</w:t>
            </w:r>
          </w:p>
        </w:tc>
        <w:tc>
          <w:tcPr>
            <w:tcW w:w="40" w:type="dxa"/>
            <w:vAlign w:val="bottom"/>
          </w:tcPr>
          <w:p>
            <w:pPr>
              <w:spacing w:after="0"/>
              <w:rPr>
                <w:sz w:val="20"/>
                <w:szCs w:val="20"/>
                <w:color w:val="auto"/>
              </w:rPr>
            </w:pPr>
          </w:p>
        </w:tc>
      </w:tr>
      <w:tr>
        <w:trPr>
          <w:trHeight w:val="418"/>
        </w:trPr>
        <w:tc>
          <w:tcPr>
            <w:tcW w:w="5480" w:type="dxa"/>
            <w:vAlign w:val="bottom"/>
            <w:gridSpan w:val="2"/>
          </w:tcPr>
          <w:p>
            <w:pPr>
              <w:spacing w:after="0"/>
              <w:rPr>
                <w:sz w:val="20"/>
                <w:szCs w:val="20"/>
                <w:color w:val="auto"/>
              </w:rPr>
            </w:pPr>
            <w:r>
              <w:rPr>
                <w:rFonts w:ascii="Arial" w:cs="Arial" w:eastAsia="Arial" w:hAnsi="Arial"/>
                <w:sz w:val="18"/>
                <w:szCs w:val="18"/>
                <w:color w:val="auto"/>
              </w:rPr>
              <w:t>SPF MATHILDA, LLC,</w:t>
            </w: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CROWDSTRIKE, INC.,</w:t>
            </w:r>
          </w:p>
        </w:tc>
        <w:tc>
          <w:tcPr>
            <w:tcW w:w="40" w:type="dxa"/>
            <w:vAlign w:val="bottom"/>
          </w:tcPr>
          <w:p>
            <w:pPr>
              <w:spacing w:after="0"/>
              <w:rPr>
                <w:sz w:val="24"/>
                <w:szCs w:val="24"/>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5760" w:type="dxa"/>
            <w:vAlign w:val="bottom"/>
            <w:gridSpan w:val="2"/>
          </w:tcPr>
          <w:p>
            <w:pPr>
              <w:ind w:left="420"/>
              <w:spacing w:after="0"/>
              <w:rPr>
                <w:sz w:val="20"/>
                <w:szCs w:val="20"/>
                <w:color w:val="auto"/>
              </w:rPr>
            </w:pPr>
            <w:r>
              <w:rPr>
                <w:rFonts w:ascii="Arial" w:cs="Arial" w:eastAsia="Arial" w:hAnsi="Arial"/>
                <w:sz w:val="18"/>
                <w:szCs w:val="18"/>
                <w:color w:val="auto"/>
              </w:rPr>
              <w:t>a Delaware corporation</w:t>
            </w:r>
          </w:p>
        </w:tc>
        <w:tc>
          <w:tcPr>
            <w:tcW w:w="40" w:type="dxa"/>
            <w:vAlign w:val="bottom"/>
          </w:tcPr>
          <w:p>
            <w:pPr>
              <w:spacing w:after="0"/>
              <w:rPr>
                <w:sz w:val="20"/>
                <w:szCs w:val="20"/>
                <w:color w:val="auto"/>
              </w:rPr>
            </w:pPr>
          </w:p>
        </w:tc>
      </w:tr>
      <w:tr>
        <w:trPr>
          <w:trHeight w:val="648"/>
        </w:trPr>
        <w:tc>
          <w:tcPr>
            <w:tcW w:w="5480" w:type="dxa"/>
            <w:vAlign w:val="bottom"/>
            <w:gridSpan w:val="2"/>
          </w:tcPr>
          <w:p>
            <w:pPr>
              <w:spacing w:after="0"/>
              <w:rPr>
                <w:sz w:val="20"/>
                <w:szCs w:val="20"/>
                <w:color w:val="auto"/>
              </w:rPr>
            </w:pPr>
            <w:r>
              <w:rPr>
                <w:rFonts w:ascii="Arial" w:cs="Arial" w:eastAsia="Arial" w:hAnsi="Arial"/>
                <w:sz w:val="18"/>
                <w:szCs w:val="18"/>
                <w:color w:val="auto"/>
              </w:rPr>
              <w:t>By</w:t>
            </w:r>
          </w:p>
        </w:tc>
        <w:tc>
          <w:tcPr>
            <w:tcW w:w="1040" w:type="dxa"/>
            <w:vAlign w:val="bottom"/>
          </w:tcPr>
          <w:p>
            <w:pPr>
              <w:ind w:left="420"/>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/s/ Burt Podbere</w:t>
            </w:r>
          </w:p>
        </w:tc>
        <w:tc>
          <w:tcPr>
            <w:tcW w:w="40" w:type="dxa"/>
            <w:vAlign w:val="bottom"/>
          </w:tcPr>
          <w:p>
            <w:pPr>
              <w:spacing w:after="0"/>
              <w:rPr>
                <w:sz w:val="24"/>
                <w:szCs w:val="24"/>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4820" w:type="dxa"/>
            <w:vAlign w:val="bottom"/>
            <w:tcBorders>
              <w:top w:val="single" w:sz="8" w:color="auto"/>
              <w:bottom w:val="single" w:sz="8" w:color="auto"/>
            </w:tcBorders>
          </w:tcPr>
          <w:p>
            <w:pPr>
              <w:spacing w:after="0"/>
              <w:rPr>
                <w:sz w:val="17"/>
                <w:szCs w:val="17"/>
                <w:color w:val="auto"/>
              </w:rPr>
            </w:pPr>
          </w:p>
        </w:tc>
        <w:tc>
          <w:tcPr>
            <w:tcW w:w="1040" w:type="dxa"/>
            <w:vAlign w:val="bottom"/>
          </w:tcPr>
          <w:p>
            <w:pPr>
              <w:ind w:left="420"/>
              <w:spacing w:after="0" w:line="196"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66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820" w:type="dxa"/>
            <w:vAlign w:val="bottom"/>
            <w:tcBorders>
              <w:bottom w:val="single" w:sz="8" w:color="auto"/>
            </w:tcBorders>
          </w:tcPr>
          <w:p>
            <w:pPr>
              <w:spacing w:after="0"/>
              <w:rPr>
                <w:sz w:val="17"/>
                <w:szCs w:val="17"/>
                <w:color w:val="auto"/>
              </w:rPr>
            </w:pPr>
          </w:p>
        </w:tc>
        <w:tc>
          <w:tcPr>
            <w:tcW w:w="1040" w:type="dxa"/>
            <w:vAlign w:val="bottom"/>
          </w:tcPr>
          <w:p>
            <w:pPr>
              <w:ind w:left="420"/>
              <w:spacing w:after="0" w:line="196" w:lineRule="exact"/>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25"/>
        </w:trPr>
        <w:tc>
          <w:tcPr>
            <w:tcW w:w="6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7</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8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606" w:name="page607"/>
    <w:bookmarkEnd w:id="606"/>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Temporary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173990</wp:posOffset>
            </wp:positionV>
            <wp:extent cx="7153275" cy="971423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53275" cy="971423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07" w:name="page608"/>
    <w:bookmarkEnd w:id="607"/>
    <w:p>
      <w:pPr>
        <w:jc w:val="center"/>
        <w:ind w:right="-3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Work Letter</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This Tenant Work Letter shall set forth the terms and conditions relating to the construction of the tenant improvements in the Additional Premises and the Existing Premises. This Tenant Work Letter is essentially organized chronologically and addresses the issues of the construction of the Additional Premises and the Existing Premises, in sequence, as such issues will arise during the actual construction of the Additional Premises and the Existing Premises. All references in this Tenant Work Letter to Sections of “this Work Letter” shall mean the relevant portion of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5</w:t>
      </w:r>
      <w:r>
        <w:rPr>
          <w:rFonts w:ascii="Arial" w:cs="Arial" w:eastAsia="Arial" w:hAnsi="Arial"/>
          <w:sz w:val="18"/>
          <w:szCs w:val="18"/>
          <w:color w:val="auto"/>
        </w:rPr>
        <w:t xml:space="preserve"> of this Tenant Work Letter.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DELIVERY OF THE ADDITIONAL PREMISES</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Tenant acknowledges that Tenant has thoroughly examined the Additional Premises. Tenant shall accept the Additional Premises from Landlord in their presently existing, “as-is” condition as of the date of this Lease, except as otherwise expressly provided in the Amendment.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u w:val="single" w:color="auto"/>
          <w:color w:val="auto"/>
        </w:rPr>
        <w:t>First Amendment Allowance</w:t>
      </w:r>
      <w:r>
        <w:rPr>
          <w:rFonts w:ascii="Arial" w:cs="Arial" w:eastAsia="Arial" w:hAnsi="Arial"/>
          <w:sz w:val="16"/>
          <w:szCs w:val="16"/>
          <w:color w:val="auto"/>
        </w:rPr>
        <w:t>. Tenant shall be entitled to a one-time tenant improvement allowance in an amount equal to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($180,378.00) (the “</w:t>
      </w:r>
      <w:r>
        <w:rPr>
          <w:rFonts w:ascii="Arial" w:cs="Arial" w:eastAsia="Arial" w:hAnsi="Arial"/>
          <w:sz w:val="17"/>
          <w:szCs w:val="17"/>
          <w:b w:val="1"/>
          <w:bCs w:val="1"/>
          <w:color w:val="auto"/>
        </w:rPr>
        <w:t>First Amendment Allowance</w:t>
      </w:r>
      <w:r>
        <w:rPr>
          <w:rFonts w:ascii="Arial" w:cs="Arial" w:eastAsia="Arial" w:hAnsi="Arial"/>
          <w:sz w:val="17"/>
          <w:szCs w:val="17"/>
          <w:color w:val="auto"/>
        </w:rPr>
        <w:t>”) for the costs relating to the initial design and construction of Tenant’s improvements, which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permanently affixed to the Additional Premises and/or the Existing Premises (the “</w:t>
      </w:r>
      <w:r>
        <w:rPr>
          <w:rFonts w:ascii="Arial" w:cs="Arial" w:eastAsia="Arial" w:hAnsi="Arial"/>
          <w:sz w:val="16"/>
          <w:szCs w:val="16"/>
          <w:b w:val="1"/>
          <w:bCs w:val="1"/>
          <w:color w:val="auto"/>
        </w:rPr>
        <w:t>Tenant Improvements</w:t>
      </w:r>
      <w:r>
        <w:rPr>
          <w:rFonts w:ascii="Arial" w:cs="Arial" w:eastAsia="Arial" w:hAnsi="Arial"/>
          <w:sz w:val="16"/>
          <w:szCs w:val="16"/>
          <w:color w:val="auto"/>
        </w:rPr>
        <w:t>”). In no event shall Landlord be obligated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disbursements pursuant to this Tenant Work Letter in a total amount which exceeds the First Amendment Allowance. All Tenant Improvements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First Amendment Allowance has been utilized shall be deemed Landlord’s property under the terms of the Lease. In the event that Tenant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fail to use the entire First Amendment Allowance within one (1) year following the Additional Premises Commencement Date, such unused amounts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the sole property of Landlord and Tenant shall have no claim to any such unused amounts.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Disbursement of the First Amendment Allowance</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u w:val="single" w:color="auto"/>
          <w:color w:val="auto"/>
        </w:rPr>
        <w:t>First Amendment Allowance Items</w:t>
      </w:r>
      <w:r>
        <w:rPr>
          <w:rFonts w:ascii="Arial" w:cs="Arial" w:eastAsia="Arial" w:hAnsi="Arial"/>
          <w:sz w:val="18"/>
          <w:szCs w:val="18"/>
          <w:color w:val="auto"/>
        </w:rPr>
        <w:t>. Except as otherwise set forth in this Tenant Work Letter, the First Amendment Allowance shall be disbursed by Landlord only for the following items and costs (collectively the “</w:t>
      </w:r>
      <w:r>
        <w:rPr>
          <w:rFonts w:ascii="Arial" w:cs="Arial" w:eastAsia="Arial" w:hAnsi="Arial"/>
          <w:sz w:val="18"/>
          <w:szCs w:val="18"/>
          <w:b w:val="1"/>
          <w:bCs w:val="1"/>
          <w:color w:val="auto"/>
        </w:rPr>
        <w:t>First Amendment Allowance Items</w:t>
      </w:r>
      <w:r>
        <w:rPr>
          <w:rFonts w:ascii="Arial" w:cs="Arial" w:eastAsia="Arial" w:hAnsi="Arial"/>
          <w:sz w:val="18"/>
          <w:szCs w:val="18"/>
          <w:color w:val="auto"/>
        </w:rPr>
        <w:t>”):</w:t>
      </w:r>
    </w:p>
    <w:p>
      <w:pPr>
        <w:spacing w:after="0" w:line="166" w:lineRule="exact"/>
        <w:rPr>
          <w:sz w:val="20"/>
          <w:szCs w:val="20"/>
          <w:color w:val="auto"/>
        </w:rPr>
      </w:pPr>
    </w:p>
    <w:p>
      <w:pPr>
        <w:jc w:val="both"/>
        <w:ind w:right="80" w:firstLine="1944"/>
        <w:spacing w:after="0" w:line="311" w:lineRule="auto"/>
        <w:rPr>
          <w:sz w:val="20"/>
          <w:szCs w:val="20"/>
          <w:color w:val="auto"/>
        </w:rPr>
      </w:pPr>
      <w:r>
        <w:rPr>
          <w:rFonts w:ascii="Arial" w:cs="Arial" w:eastAsia="Arial" w:hAnsi="Arial"/>
          <w:sz w:val="16"/>
          <w:szCs w:val="16"/>
          <w:color w:val="auto"/>
        </w:rPr>
        <w:t xml:space="preserve">2.2.1.1 Payment of the fees of the “Architect/Space Planner” and the “Engineers,” as those terms are defined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Tenant Work Letter, and payment of the fees incurred by, and the cost of documents and materials supplied by, Landlord and Landlord’s consultants in connection with the preparation and review of the “Construction Documents,” as that term is defined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Tenant Work Letter;</w:t>
      </w:r>
    </w:p>
    <w:p>
      <w:pPr>
        <w:spacing w:after="0" w:line="149"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The payment of plan check, permit and license fees relating to construction of the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8" w:name="page609"/>
    <w:bookmarkEnd w:id="608"/>
    <w:p>
      <w:pPr>
        <w:ind w:right="120" w:firstLine="1944"/>
        <w:spacing w:after="0" w:line="277" w:lineRule="auto"/>
        <w:rPr>
          <w:sz w:val="20"/>
          <w:szCs w:val="20"/>
          <w:color w:val="auto"/>
        </w:rPr>
      </w:pPr>
      <w:r>
        <w:rPr>
          <w:rFonts w:ascii="Arial" w:cs="Arial" w:eastAsia="Arial" w:hAnsi="Arial"/>
          <w:sz w:val="18"/>
          <w:szCs w:val="18"/>
          <w:color w:val="auto"/>
        </w:rPr>
        <w:t>2.2.1.3 The cost of construction of the Tenant Improvements, including, without limitation, demolition, testing and inspection costs, trash removal costs, parking fees, after-hours utilities usage and contractors’ fees and general conditions;</w:t>
      </w:r>
    </w:p>
    <w:p>
      <w:pPr>
        <w:spacing w:after="0" w:line="170" w:lineRule="exact"/>
        <w:rPr>
          <w:sz w:val="20"/>
          <w:szCs w:val="20"/>
          <w:color w:val="auto"/>
        </w:rPr>
      </w:pPr>
    </w:p>
    <w:p>
      <w:pPr>
        <w:ind w:right="60" w:firstLine="1944"/>
        <w:spacing w:after="0" w:line="259" w:lineRule="auto"/>
        <w:rPr>
          <w:sz w:val="20"/>
          <w:szCs w:val="20"/>
          <w:color w:val="auto"/>
        </w:rPr>
      </w:pPr>
      <w:r>
        <w:rPr>
          <w:rFonts w:ascii="Arial" w:cs="Arial" w:eastAsia="Arial" w:hAnsi="Arial"/>
          <w:sz w:val="18"/>
          <w:szCs w:val="18"/>
          <w:color w:val="auto"/>
        </w:rPr>
        <w:t>2.2.1.4 The cost of any changes anywhere in the base building or the floor of the Building on which the Premises is located, when such changes are required by the Construction Documents (including if such changes are due to the fact that such work is prepared on an unoccupied basis) or to comply with applicable governmental regulations or building codes (collectively, the “</w:t>
      </w:r>
      <w:r>
        <w:rPr>
          <w:rFonts w:ascii="Arial" w:cs="Arial" w:eastAsia="Arial" w:hAnsi="Arial"/>
          <w:sz w:val="18"/>
          <w:szCs w:val="18"/>
          <w:b w:val="1"/>
          <w:bCs w:val="1"/>
          <w:color w:val="auto"/>
        </w:rPr>
        <w:t>Code</w:t>
      </w:r>
      <w:r>
        <w:rPr>
          <w:rFonts w:ascii="Arial" w:cs="Arial" w:eastAsia="Arial" w:hAnsi="Arial"/>
          <w:sz w:val="18"/>
          <w:szCs w:val="18"/>
          <w:color w:val="auto"/>
        </w:rPr>
        <w:t>”), such cost to include all direct architectural and/or engineering fees and expenses incurred in connection therewith;</w:t>
      </w:r>
    </w:p>
    <w:p>
      <w:pPr>
        <w:spacing w:after="0" w:line="187"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2.2.1.5</w:t>
      </w:r>
      <w:r>
        <w:rPr>
          <w:sz w:val="20"/>
          <w:szCs w:val="20"/>
          <w:color w:val="auto"/>
        </w:rPr>
        <w:tab/>
      </w:r>
      <w:r>
        <w:rPr>
          <w:rFonts w:ascii="Arial" w:cs="Arial" w:eastAsia="Arial" w:hAnsi="Arial"/>
          <w:sz w:val="16"/>
          <w:szCs w:val="16"/>
          <w:color w:val="auto"/>
        </w:rPr>
        <w:t>The cost of any changes to the Construction Documents or Tenant Improvements required by Code;</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2.2.1.6</w:t>
      </w:r>
      <w:r>
        <w:rPr>
          <w:sz w:val="20"/>
          <w:szCs w:val="20"/>
          <w:color w:val="auto"/>
        </w:rPr>
        <w:tab/>
      </w:r>
      <w:r>
        <w:rPr>
          <w:rFonts w:ascii="Arial" w:cs="Arial" w:eastAsia="Arial" w:hAnsi="Arial"/>
          <w:sz w:val="15"/>
          <w:szCs w:val="15"/>
          <w:color w:val="auto"/>
        </w:rPr>
        <w:t>Sales and use taxes and Title 24 fees;</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6"/>
          <w:szCs w:val="16"/>
          <w:color w:val="auto"/>
        </w:rPr>
        <w:t xml:space="preserve">the “Landlord Coordination Fee,” as that term is defined in </w:t>
      </w:r>
      <w:r>
        <w:rPr>
          <w:rFonts w:ascii="Arial" w:cs="Arial" w:eastAsia="Arial" w:hAnsi="Arial"/>
          <w:sz w:val="16"/>
          <w:szCs w:val="16"/>
          <w:u w:val="single" w:color="auto"/>
          <w:color w:val="auto"/>
        </w:rPr>
        <w:t>Section 4.2.6</w:t>
      </w:r>
      <w:r>
        <w:rPr>
          <w:rFonts w:ascii="Arial" w:cs="Arial" w:eastAsia="Arial" w:hAnsi="Arial"/>
          <w:sz w:val="16"/>
          <w:szCs w:val="16"/>
          <w:color w:val="auto"/>
        </w:rPr>
        <w:t xml:space="preserve"> of this Tenant Work Letter; and</w:t>
      </w:r>
    </w:p>
    <w:p>
      <w:pPr>
        <w:spacing w:after="0" w:line="225"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2.2.1.8</w:t>
      </w:r>
      <w:r>
        <w:rPr>
          <w:sz w:val="20"/>
          <w:szCs w:val="20"/>
          <w:color w:val="auto"/>
        </w:rPr>
        <w:tab/>
      </w:r>
      <w:r>
        <w:rPr>
          <w:rFonts w:ascii="Arial" w:cs="Arial" w:eastAsia="Arial" w:hAnsi="Arial"/>
          <w:sz w:val="16"/>
          <w:szCs w:val="16"/>
          <w:color w:val="auto"/>
        </w:rPr>
        <w:t>All other costs approved by or expended by Tenant in connection with the construction of the Tenant Improvements.</w:t>
      </w:r>
    </w:p>
    <w:p>
      <w:pPr>
        <w:spacing w:after="0" w:line="221" w:lineRule="exact"/>
        <w:rPr>
          <w:sz w:val="20"/>
          <w:szCs w:val="20"/>
          <w:color w:val="auto"/>
        </w:rPr>
      </w:pPr>
    </w:p>
    <w:p>
      <w:pPr>
        <w:ind w:right="100" w:firstLine="1296"/>
        <w:spacing w:after="0" w:line="26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u w:val="single" w:color="auto"/>
          <w:color w:val="auto"/>
        </w:rPr>
        <w:t>Disbursement of First Amendment Allowance</w:t>
      </w:r>
      <w:r>
        <w:rPr>
          <w:rFonts w:ascii="Arial" w:cs="Arial" w:eastAsia="Arial" w:hAnsi="Arial"/>
          <w:sz w:val="18"/>
          <w:szCs w:val="18"/>
          <w:color w:val="auto"/>
        </w:rPr>
        <w:t>. During the construction of the Tenant Improvements, Landlord shall make monthly disbursements of the First Amendment Allowance for First Amendment Allowance Items for the benefit of Tenant and shall authorize the release of monies for the benefit of Tenant as follows.</w:t>
      </w:r>
    </w:p>
    <w:p>
      <w:pPr>
        <w:spacing w:after="0" w:line="176" w:lineRule="exact"/>
        <w:rPr>
          <w:sz w:val="20"/>
          <w:szCs w:val="20"/>
          <w:color w:val="auto"/>
        </w:rPr>
      </w:pPr>
    </w:p>
    <w:p>
      <w:pPr>
        <w:ind w:firstLine="1944"/>
        <w:spacing w:after="0" w:line="281" w:lineRule="auto"/>
        <w:rPr>
          <w:sz w:val="20"/>
          <w:szCs w:val="20"/>
          <w:color w:val="auto"/>
        </w:rPr>
      </w:pPr>
      <w:r>
        <w:rPr>
          <w:rFonts w:ascii="Arial" w:cs="Arial" w:eastAsia="Arial" w:hAnsi="Arial"/>
          <w:sz w:val="16"/>
          <w:szCs w:val="16"/>
          <w:color w:val="auto"/>
        </w:rPr>
        <w:t xml:space="preserve">2.2.2.1 </w:t>
      </w:r>
      <w:r>
        <w:rPr>
          <w:rFonts w:ascii="Arial" w:cs="Arial" w:eastAsia="Arial" w:hAnsi="Arial"/>
          <w:sz w:val="16"/>
          <w:szCs w:val="16"/>
          <w:b w:val="1"/>
          <w:bCs w:val="1"/>
          <w:u w:val="single" w:color="auto"/>
          <w:color w:val="auto"/>
        </w:rPr>
        <w:t>Monthly Disbursements</w:t>
      </w:r>
      <w:r>
        <w:rPr>
          <w:rFonts w:ascii="Arial" w:cs="Arial" w:eastAsia="Arial" w:hAnsi="Arial"/>
          <w:sz w:val="16"/>
          <w:szCs w:val="16"/>
          <w:color w:val="auto"/>
        </w:rPr>
        <w:t>. On or before the twentieth (20</w:t>
      </w:r>
      <w:r>
        <w:rPr>
          <w:rFonts w:ascii="Arial" w:cs="Arial" w:eastAsia="Arial" w:hAnsi="Arial"/>
          <w:sz w:val="20"/>
          <w:szCs w:val="20"/>
          <w:color w:val="auto"/>
          <w:vertAlign w:val="superscript"/>
        </w:rPr>
        <w:t>th</w:t>
      </w:r>
      <w:r>
        <w:rPr>
          <w:rFonts w:ascii="Arial" w:cs="Arial" w:eastAsia="Arial" w:hAnsi="Arial"/>
          <w:sz w:val="16"/>
          <w:szCs w:val="16"/>
          <w:color w:val="auto"/>
        </w:rPr>
        <w:t>) day of each calendar month during the construction of the Tenant Improvements (the “</w:t>
      </w:r>
      <w:r>
        <w:rPr>
          <w:rFonts w:ascii="Arial" w:cs="Arial" w:eastAsia="Arial" w:hAnsi="Arial"/>
          <w:sz w:val="16"/>
          <w:szCs w:val="16"/>
          <w:b w:val="1"/>
          <w:bCs w:val="1"/>
          <w:color w:val="auto"/>
        </w:rPr>
        <w:t>Submittal Date</w:t>
      </w:r>
      <w:r>
        <w:rPr>
          <w:rFonts w:ascii="Arial" w:cs="Arial" w:eastAsia="Arial" w:hAnsi="Arial"/>
          <w:sz w:val="16"/>
          <w:szCs w:val="16"/>
          <w:color w:val="auto"/>
        </w:rPr>
        <w:t xml:space="preserve">”) (or such other date as Landlord may designate), Tenant shall deliver to Landlord: (i) a request for payment of the “Contractor,” as that term is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this Tenant Work Letter, approved by Tenant showing the schedule, by trade, of percentage of completion of the Tenant Improvements in the Additional Premises and/or the Existing Premises; (ii) invoices from all of “Tenant’s Agents,” as that term is defined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this Tenant Work Letter, for labor rendered and materials delivered to the Additional Premises and/or the Existing Premises (if such invoice is for the Contractor, the Contractor will need to provide an application and certificate for payment [AIA form G702-1992 or equivalent] signed by the Architect/Space Planner, and a breakdown sheet [AIA form G703-1992 or equivalent]); (iii) an original letter from the Tenant approving such invoices and requesting payment from the First Amendment Allowance; (iv) executed mechanic’s lien releases, which lien releases shall be conditional with respect to the then-requested payment amounts and unconditional with respect to payment amounts previously disbursed by Landlord or Tenant, from all of Tenant’s Agents which shall comply with the appropriate provisions, as reasonably determined by Landlord, of California Civil Code Sections 8132, 8134, 8136 and 8138; and (v) all other information reasonably requested by Landlord. Tenant’s request for payment shall be deemed Tenant’s acceptance and approval of the work furnished and/or the materials supplied as set forth in Tenant’s payment request. On or before the date occurring thirty (30) days after the Submittal Date, and assuming Landlord receives all of the information described in items (i) through (v), above, and subject to Tenant first disbursing any portion of the Over-Allowance Amount (as defined below) in accordance with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Landlord shall deliver a check to Tenant made to Tenant’s Agent (or to Tenant if such invoices were previously paid by the Tenant) in payment of the lesser of: (A) the amounts so requested by Tenant, as set forth in this </w:t>
      </w:r>
      <w:r>
        <w:rPr>
          <w:rFonts w:ascii="Arial" w:cs="Arial" w:eastAsia="Arial" w:hAnsi="Arial"/>
          <w:sz w:val="16"/>
          <w:szCs w:val="16"/>
          <w:u w:val="single" w:color="auto"/>
          <w:color w:val="auto"/>
        </w:rPr>
        <w:t>Section 2.2.2.1</w:t>
      </w:r>
      <w:r>
        <w:rPr>
          <w:rFonts w:ascii="Arial" w:cs="Arial" w:eastAsia="Arial" w:hAnsi="Arial"/>
          <w:sz w:val="16"/>
          <w:szCs w:val="16"/>
          <w:color w:val="auto"/>
        </w:rPr>
        <w:t>, above, less a ten percent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153275" cy="298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09" w:name="page610"/>
    <w:bookmarkEnd w:id="609"/>
    <w:p>
      <w:pPr>
        <w:ind w:right="140"/>
        <w:spacing w:after="0" w:line="277" w:lineRule="auto"/>
        <w:rPr>
          <w:sz w:val="20"/>
          <w:szCs w:val="20"/>
          <w:color w:val="auto"/>
        </w:rPr>
      </w:pPr>
      <w:r>
        <w:rPr>
          <w:rFonts w:ascii="Arial" w:cs="Arial" w:eastAsia="Arial" w:hAnsi="Arial"/>
          <w:sz w:val="17"/>
          <w:szCs w:val="17"/>
          <w:color w:val="auto"/>
        </w:rPr>
        <w:t>retention (the aggregate amount of such retentions shall be known as the “</w:t>
      </w:r>
      <w:r>
        <w:rPr>
          <w:rFonts w:ascii="Arial" w:cs="Arial" w:eastAsia="Arial" w:hAnsi="Arial"/>
          <w:sz w:val="17"/>
          <w:szCs w:val="17"/>
          <w:b w:val="1"/>
          <w:bCs w:val="1"/>
          <w:color w:val="auto"/>
        </w:rPr>
        <w:t>Final TI Allowance Reimbursement</w:t>
      </w:r>
      <w:r>
        <w:rPr>
          <w:rFonts w:ascii="Arial" w:cs="Arial" w:eastAsia="Arial" w:hAnsi="Arial"/>
          <w:sz w:val="17"/>
          <w:szCs w:val="17"/>
          <w:color w:val="auto"/>
        </w:rPr>
        <w:t xml:space="preserve">”), and (B) the balance of any remaining available portion of the First Amendment Allowance (not including the Final TI Allowance Reimbursement), provided that Landlord does not dispute any request for payment based on non-compliance of any work with the “Approved Construction Documents”, as that term is defined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below, or due to any substandard work, or for any other reason as provided in this Lease. Landlord’s payment of such amounts shall not be deemed Landlord’s approval or acceptance of the work furnished or materials supplied as set forth in Tenant’s payment request.</w:t>
      </w:r>
    </w:p>
    <w:p>
      <w:pPr>
        <w:spacing w:after="0" w:line="168" w:lineRule="exact"/>
        <w:rPr>
          <w:sz w:val="20"/>
          <w:szCs w:val="20"/>
          <w:color w:val="auto"/>
        </w:rPr>
      </w:pPr>
    </w:p>
    <w:p>
      <w:pPr>
        <w:ind w:firstLine="1944"/>
        <w:spacing w:after="0" w:line="284" w:lineRule="auto"/>
        <w:rPr>
          <w:sz w:val="20"/>
          <w:szCs w:val="20"/>
          <w:color w:val="auto"/>
        </w:rPr>
      </w:pPr>
      <w:r>
        <w:rPr>
          <w:rFonts w:ascii="Arial" w:cs="Arial" w:eastAsia="Arial" w:hAnsi="Arial"/>
          <w:sz w:val="16"/>
          <w:szCs w:val="16"/>
          <w:color w:val="auto"/>
        </w:rPr>
        <w:t xml:space="preserve">2.2.2.2 </w:t>
      </w:r>
      <w:r>
        <w:rPr>
          <w:rFonts w:ascii="Arial" w:cs="Arial" w:eastAsia="Arial" w:hAnsi="Arial"/>
          <w:sz w:val="16"/>
          <w:szCs w:val="16"/>
          <w:b w:val="1"/>
          <w:bCs w:val="1"/>
          <w:u w:val="single" w:color="auto"/>
          <w:color w:val="auto"/>
        </w:rPr>
        <w:t>Final TI Allowance Reimbursement</w:t>
      </w:r>
      <w:r>
        <w:rPr>
          <w:rFonts w:ascii="Arial" w:cs="Arial" w:eastAsia="Arial" w:hAnsi="Arial"/>
          <w:sz w:val="16"/>
          <w:szCs w:val="16"/>
          <w:color w:val="auto"/>
        </w:rPr>
        <w:t>. Subject to the provisions of this Tenant Work Letter, a check for the Final TI Allowance Reimbursement payable to Tenant shall be delivered by Landlord to Tenant following the completion of construction of the Additional Premises and/or the Existing Premises, provided that (i) Tenant delivers to Landlord (a) properly executed, unconditional final mechanic’s lien releases from all of Tenant’s Agents, showing the amounts paid, in compliance with California Civil Code Sections 8132, 8134, 8136 and 8138, (b) Contractor’s last application and certificate for payment (AIA form G702 1992 or equivalent) signed by the Architect/Space Planner, (c) a breakdown sheet (AIA form G703 1992 or equivalent), (d) original stamped building permit plans, (e) copy of the building permit, (f) original stamped building permit inspection card with all final sign-offs, (g) full size bond copies and a CD R disk containing electronic files of the “as built” drawings of the Tenant Improvements in both “dwg” and “pdf” formats, from the Architect/Space Planner for architectural drawings, and from the Contractor for all other trades, (h) air balance reports,</w:t>
      </w:r>
    </w:p>
    <w:p>
      <w:pPr>
        <w:spacing w:after="0" w:line="5" w:lineRule="exact"/>
        <w:rPr>
          <w:sz w:val="20"/>
          <w:szCs w:val="20"/>
          <w:color w:val="auto"/>
        </w:rPr>
      </w:pPr>
    </w:p>
    <w:p>
      <w:pPr>
        <w:ind w:right="20" w:firstLine="8"/>
        <w:spacing w:after="0" w:line="285" w:lineRule="auto"/>
        <w:tabs>
          <w:tab w:leader="none" w:pos="215" w:val="left"/>
        </w:tabs>
        <w:numPr>
          <w:ilvl w:val="0"/>
          <w:numId w:val="531"/>
        </w:numPr>
        <w:rPr>
          <w:rFonts w:ascii="Arial" w:cs="Arial" w:eastAsia="Arial" w:hAnsi="Arial"/>
          <w:sz w:val="16"/>
          <w:szCs w:val="16"/>
          <w:color w:val="auto"/>
        </w:rPr>
      </w:pPr>
      <w:r>
        <w:rPr>
          <w:rFonts w:ascii="Arial" w:cs="Arial" w:eastAsia="Arial" w:hAnsi="Arial"/>
          <w:sz w:val="16"/>
          <w:szCs w:val="16"/>
          <w:color w:val="auto"/>
        </w:rPr>
        <w:t>excess energy use calculations, (j) one year warranty letters from Tenant’s Agents, (k) manufacturer’s warranties and operating instructions, (l) final punchlist completed and signed off by Tenant and the Architect/Space Planner, (m) letters of compliance from the Engineers stating that the Engineers have inspected the Tenant Improvements and that they complies with the Engineers’ drawings and specifications, (n) a copy of the recorded Notice of Completion, and (o) a final list of all contractors/vendors/consultants retained by Tenant in connection with the Tenant Improvements and any other improvements in the Additional Premises and/or the Existing Premises pursuant to this Tenant Work Letter, including, but not limited to, the Contractor, other contractors, subcontractors and the remaining Tenant’s Agents, the Architect/Space Planner, the Engineers, systems furniture vendors/ installers, data/telephone cabling/equipment vendors/installers, etc., which final list shall set forth the full legal name, address, contact name (with telephone/fax/e mail addresses) and the total price paid by Tenant for goods and services to each of such contractors/vendors/consultants (collectively, the “</w:t>
      </w:r>
      <w:r>
        <w:rPr>
          <w:rFonts w:ascii="Arial" w:cs="Arial" w:eastAsia="Arial" w:hAnsi="Arial"/>
          <w:sz w:val="16"/>
          <w:szCs w:val="16"/>
          <w:b w:val="1"/>
          <w:bCs w:val="1"/>
          <w:color w:val="auto"/>
        </w:rPr>
        <w:t>Final Close</w:t>
      </w:r>
      <w:r>
        <w:rPr>
          <w:rFonts w:ascii="Arial" w:cs="Arial" w:eastAsia="Arial" w:hAnsi="Arial"/>
          <w:sz w:val="16"/>
          <w:szCs w:val="16"/>
          <w:color w:val="auto"/>
        </w:rPr>
        <w:t xml:space="preserve"> </w:t>
      </w:r>
      <w:r>
        <w:rPr>
          <w:rFonts w:ascii="Arial" w:cs="Arial" w:eastAsia="Arial" w:hAnsi="Arial"/>
          <w:sz w:val="16"/>
          <w:szCs w:val="16"/>
          <w:b w:val="1"/>
          <w:bCs w:val="1"/>
          <w:color w:val="auto"/>
        </w:rPr>
        <w:t>Out Package</w:t>
      </w:r>
      <w:r>
        <w:rPr>
          <w:rFonts w:ascii="Arial" w:cs="Arial" w:eastAsia="Arial" w:hAnsi="Arial"/>
          <w:sz w:val="16"/>
          <w:szCs w:val="16"/>
          <w:color w:val="auto"/>
        </w:rPr>
        <w:t>”), and (ii) Landlord has determined that no substandard work exists which adversely affects the mechanical, electrical, plumbing, heating,</w:t>
      </w:r>
      <w:r>
        <w:rPr>
          <w:rFonts w:ascii="Arial" w:cs="Arial" w:eastAsia="Arial" w:hAnsi="Arial"/>
          <w:sz w:val="16"/>
          <w:szCs w:val="16"/>
          <w:b w:val="1"/>
          <w:bCs w:val="1"/>
          <w:color w:val="auto"/>
        </w:rPr>
        <w:t xml:space="preserve"> </w:t>
      </w:r>
      <w:r>
        <w:rPr>
          <w:rFonts w:ascii="Arial" w:cs="Arial" w:eastAsia="Arial" w:hAnsi="Arial"/>
          <w:sz w:val="16"/>
          <w:szCs w:val="16"/>
          <w:color w:val="auto"/>
        </w:rPr>
        <w:t>ventilating and air conditioning, life-safety or other systems of the Building, the curtain wall of the Building, the structure or exterior appearance of the Building, or any other tenant’s use of such other tenant’s leased premises in the Building.</w:t>
      </w:r>
    </w:p>
    <w:p>
      <w:pPr>
        <w:spacing w:after="0" w:line="17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Construction Rules, Requirements, Specifications, Design Criteria and Building Standards</w:t>
      </w:r>
      <w:r>
        <w:rPr>
          <w:rFonts w:ascii="Arial" w:cs="Arial" w:eastAsia="Arial" w:hAnsi="Arial"/>
          <w:sz w:val="18"/>
          <w:szCs w:val="18"/>
          <w:color w:val="auto"/>
        </w:rPr>
        <w:t>. Upon Tenant’s request, Landlord shall deliver to Tenant Landlord’s construction rules, regulation, requirements and procedures, and specifications, design criteria and Building standards with which Tenant, the “Architect/Space Planner,” as that term is defined below, and all Tenant’s Agents must comply in designing and constructing the Tenant Improvements in the Additional Premises and/or the Existing Premises (the “</w:t>
      </w:r>
      <w:r>
        <w:rPr>
          <w:rFonts w:ascii="Arial" w:cs="Arial" w:eastAsia="Arial" w:hAnsi="Arial"/>
          <w:sz w:val="18"/>
          <w:szCs w:val="18"/>
          <w:b w:val="1"/>
          <w:bCs w:val="1"/>
          <w:color w:val="auto"/>
        </w:rPr>
        <w:t>Construction Rules, Requirements, Specifications, Design Criteria and</w:t>
      </w:r>
      <w:r>
        <w:rPr>
          <w:rFonts w:ascii="Arial" w:cs="Arial" w:eastAsia="Arial" w:hAnsi="Arial"/>
          <w:sz w:val="18"/>
          <w:szCs w:val="18"/>
          <w:color w:val="auto"/>
        </w:rPr>
        <w:t xml:space="preserve"> </w:t>
      </w:r>
      <w:r>
        <w:rPr>
          <w:rFonts w:ascii="Arial" w:cs="Arial" w:eastAsia="Arial" w:hAnsi="Arial"/>
          <w:sz w:val="18"/>
          <w:szCs w:val="18"/>
          <w:b w:val="1"/>
          <w:bCs w:val="1"/>
          <w:color w:val="auto"/>
        </w:rPr>
        <w:t>Building Standards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10" w:name="page611"/>
    <w:bookmarkEnd w:id="610"/>
    <w:p>
      <w:pPr>
        <w:jc w:val="center"/>
        <w:ind w:right="-19"/>
        <w:spacing w:after="0"/>
        <w:rPr>
          <w:sz w:val="20"/>
          <w:szCs w:val="20"/>
          <w:color w:val="auto"/>
        </w:rPr>
      </w:pPr>
      <w:r>
        <w:rPr>
          <w:rFonts w:ascii="Arial" w:cs="Arial" w:eastAsia="Arial" w:hAnsi="Arial"/>
          <w:sz w:val="18"/>
          <w:szCs w:val="18"/>
          <w:b w:val="1"/>
          <w:bCs w:val="1"/>
          <w:u w:val="single" w:color="auto"/>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CONSTRUCTION DOCUMENTS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u w:val="single" w:color="auto"/>
          <w:color w:val="auto"/>
        </w:rPr>
        <w:t>Selection of Architect/Space Planner/Construction Documents</w:t>
      </w:r>
      <w:r>
        <w:rPr>
          <w:rFonts w:ascii="Arial" w:cs="Arial" w:eastAsia="Arial" w:hAnsi="Arial"/>
          <w:sz w:val="16"/>
          <w:szCs w:val="16"/>
          <w:color w:val="auto"/>
        </w:rPr>
        <w:t>. Tenant shall retain a licensed, competent, reputable architect/space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planner experienced in high-rise office space design selected by Tenant and reasonably approved by Landlord (the “</w:t>
      </w:r>
      <w:r>
        <w:rPr>
          <w:rFonts w:ascii="Arial" w:cs="Arial" w:eastAsia="Arial" w:hAnsi="Arial"/>
          <w:sz w:val="16"/>
          <w:szCs w:val="16"/>
          <w:b w:val="1"/>
          <w:bCs w:val="1"/>
          <w:color w:val="auto"/>
        </w:rPr>
        <w:t>Architect/Space Planner</w:t>
      </w:r>
      <w:r>
        <w:rPr>
          <w:rFonts w:ascii="Arial" w:cs="Arial" w:eastAsia="Arial" w:hAnsi="Arial"/>
          <w:sz w:val="16"/>
          <w:szCs w:val="16"/>
          <w:color w:val="auto"/>
        </w:rPr>
        <w:t>”) to prepare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Construction Documents. Tenant shall retain Landlord’s engineering consultants (the “</w:t>
      </w:r>
      <w:r>
        <w:rPr>
          <w:rFonts w:ascii="Arial" w:cs="Arial" w:eastAsia="Arial" w:hAnsi="Arial"/>
          <w:sz w:val="16"/>
          <w:szCs w:val="16"/>
          <w:b w:val="1"/>
          <w:bCs w:val="1"/>
          <w:color w:val="auto"/>
        </w:rPr>
        <w:t>Engineers</w:t>
      </w:r>
      <w:r>
        <w:rPr>
          <w:rFonts w:ascii="Arial" w:cs="Arial" w:eastAsia="Arial" w:hAnsi="Arial"/>
          <w:sz w:val="16"/>
          <w:szCs w:val="16"/>
          <w:color w:val="auto"/>
        </w:rPr>
        <w:t>”) to prepare all plans and engineering Construction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Documents relating to the structural, mechanical, electrical, plumbing, HVAC, life safety, and sprinkler work in the Additional Premises and/or the Existing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Premises. The plans and drawings to be prepared by Architect/Space Planner and the Engineers hereunder shall be known collectively as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Construction Documents</w:t>
      </w:r>
      <w:r>
        <w:rPr>
          <w:rFonts w:ascii="Arial" w:cs="Arial" w:eastAsia="Arial" w:hAnsi="Arial"/>
          <w:sz w:val="17"/>
          <w:szCs w:val="17"/>
          <w:color w:val="auto"/>
        </w:rPr>
        <w:t>.” All Construction Documents shall comply with Landlord’s drawing format and specifications. Landlord’s review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Construction Documents as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shall be for its sole purpose and shall not imply Landlord’s review of the same, or obligate Landlord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review the same, for quality, design, Code compliance or other like matters. Accordingly, notwithstanding that any Construction Documents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reviewed by Landlord or its space planner, architect, engineers and consultants, and notwithstanding any advice or assistance which may be rendered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Tenant by Landlord or Landlord’s space planner, architect, engineers, and consultants, Landlord shall have no liability whatsoever in connection therewith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shall not be responsible for any omissions or errors contained in the Construction Documents, and Tenant’s waiver and indemnity set forth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Lease shall specifically apply to the Construction Documents. Furthermore, Tenant and Architect/Space Planner shall verify,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field, the dimensions and conditions as shown on the relevant portions of the base building plans, and Tenant and Architect/Space Planner shall be solely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responsible for the same, and Landlord shall have no responsibility in connection therewith.</w:t>
      </w:r>
    </w:p>
    <w:p>
      <w:pPr>
        <w:spacing w:after="0" w:line="20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u w:val="single" w:color="auto"/>
          <w:color w:val="auto"/>
        </w:rPr>
        <w:t>Final Space Plan</w:t>
      </w:r>
      <w:r>
        <w:rPr>
          <w:rFonts w:ascii="Arial" w:cs="Arial" w:eastAsia="Arial" w:hAnsi="Arial"/>
          <w:sz w:val="17"/>
          <w:szCs w:val="17"/>
          <w:color w:val="auto"/>
        </w:rPr>
        <w:t>. Tenant shall supply Landlord with two (2) copies signed by Tenant of its final space plan for the Additional Premises and/or the Existing Premises before any architectural Construction Documents or engineering drawings have been commenced. The final space plan (the “</w:t>
      </w:r>
      <w:r>
        <w:rPr>
          <w:rFonts w:ascii="Arial" w:cs="Arial" w:eastAsia="Arial" w:hAnsi="Arial"/>
          <w:sz w:val="17"/>
          <w:szCs w:val="17"/>
          <w:b w:val="1"/>
          <w:bCs w:val="1"/>
          <w:color w:val="auto"/>
        </w:rPr>
        <w:t>Final Space Plan</w:t>
      </w:r>
      <w:r>
        <w:rPr>
          <w:rFonts w:ascii="Arial" w:cs="Arial" w:eastAsia="Arial" w:hAnsi="Arial"/>
          <w:sz w:val="17"/>
          <w:szCs w:val="17"/>
          <w:color w:val="auto"/>
        </w:rPr>
        <w:t>”) shall include a layout and designation of all offices, rooms and other partitioning, their intended use, and equipment to be contained therein. Landlord may request clarification or more specific drawings for special use items not included in the Final Space Plan. Landlord shall advise Tenant within five (5) business days after Landlord’s receipt of the Final Space Plan for the Additional Premises and/or the Existing Premises if the same is unsatisfactory or incomplete in any respect. If Tenant is so advised, Tenant shall promptly cause the Final Space Plan to be revised to correct any deficiencies or other matters Landlord may reasonably require.</w:t>
      </w:r>
    </w:p>
    <w:p>
      <w:pPr>
        <w:spacing w:after="0" w:line="17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Final Construction Documents</w:t>
      </w:r>
      <w:r>
        <w:rPr>
          <w:rFonts w:ascii="Arial" w:cs="Arial" w:eastAsia="Arial" w:hAnsi="Arial"/>
          <w:sz w:val="18"/>
          <w:szCs w:val="18"/>
          <w:color w:val="auto"/>
        </w:rPr>
        <w:t>. After the approval of the Final Space Plan by Landlord and Tenant, Tenant shall promptly cause the Architect/Space Planner and the Engineers to complete the architectural and engineering drawings for the Additional Premises and/or the Existing Premises, and Architect/Space Planner shall compile a fully coordinated set of architectural, structural, mechanical, electrical and plumbing Construction Documents in a form which is complete to allow subcontractors to bid on the work and to obtain all applicable permits (collectively, the “</w:t>
      </w:r>
      <w:r>
        <w:rPr>
          <w:rFonts w:ascii="Arial" w:cs="Arial" w:eastAsia="Arial" w:hAnsi="Arial"/>
          <w:sz w:val="18"/>
          <w:szCs w:val="18"/>
          <w:b w:val="1"/>
          <w:bCs w:val="1"/>
          <w:color w:val="auto"/>
        </w:rPr>
        <w:t>Final</w:t>
      </w:r>
      <w:r>
        <w:rPr>
          <w:rFonts w:ascii="Arial" w:cs="Arial" w:eastAsia="Arial" w:hAnsi="Arial"/>
          <w:sz w:val="18"/>
          <w:szCs w:val="18"/>
          <w:color w:val="auto"/>
        </w:rPr>
        <w:t xml:space="preserve"> </w:t>
      </w:r>
      <w:r>
        <w:rPr>
          <w:rFonts w:ascii="Arial" w:cs="Arial" w:eastAsia="Arial" w:hAnsi="Arial"/>
          <w:sz w:val="18"/>
          <w:szCs w:val="18"/>
          <w:b w:val="1"/>
          <w:bCs w:val="1"/>
          <w:color w:val="auto"/>
        </w:rPr>
        <w:t>Construction Documents</w:t>
      </w:r>
      <w:r>
        <w:rPr>
          <w:rFonts w:ascii="Arial" w:cs="Arial" w:eastAsia="Arial" w:hAnsi="Arial"/>
          <w:sz w:val="18"/>
          <w:szCs w:val="18"/>
          <w:color w:val="auto"/>
        </w:rPr>
        <w:t>”) and shall submit the same to Landlord for Landlord’s approval. Tenant shall supply Landlord with two (2) copies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of such Final Construction Documents. Landlord shall advise Tenant within ten (10) business days after Landlord’s receipt of the Final Construction Documents for the Additional Premises and/or the Existing Premises if the same is unsatisfactory or incomplete in any respect. If Tenant is so advised, Tenant shall immediately revise the Final Construction Documents in accordance with such review and any disapproval of Landlord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53275" cy="298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11" w:name="page612"/>
    <w:bookmarkEnd w:id="611"/>
    <w:p>
      <w:pPr>
        <w:ind w:firstLine="648"/>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Approved Construction Documents</w:t>
      </w:r>
      <w:r>
        <w:rPr>
          <w:rFonts w:ascii="Arial" w:cs="Arial" w:eastAsia="Arial" w:hAnsi="Arial"/>
          <w:sz w:val="16"/>
          <w:szCs w:val="16"/>
          <w:color w:val="auto"/>
        </w:rPr>
        <w:t>. The Final Construction Documents shall be approved by Landlord (the “</w:t>
      </w:r>
      <w:r>
        <w:rPr>
          <w:rFonts w:ascii="Arial" w:cs="Arial" w:eastAsia="Arial" w:hAnsi="Arial"/>
          <w:sz w:val="16"/>
          <w:szCs w:val="16"/>
          <w:b w:val="1"/>
          <w:bCs w:val="1"/>
          <w:color w:val="auto"/>
        </w:rPr>
        <w:t>Approved Construction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w:t>
      </w:r>
      <w:r>
        <w:rPr>
          <w:rFonts w:ascii="Arial" w:cs="Arial" w:eastAsia="Arial" w:hAnsi="Arial"/>
          <w:sz w:val="16"/>
          <w:szCs w:val="16"/>
          <w:color w:val="auto"/>
        </w:rPr>
        <w:t>”) prior to the commencement of construction of the Additional Premises and/or the Existing Premisesby Tenant. After approval by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Final Construction Documents Tenant shall cause the Architect/Space Planner to submit the Approved Construction Documents to the appropriate municipal authorities for all architectural and structural permits (the “</w:t>
      </w:r>
      <w:r>
        <w:rPr>
          <w:rFonts w:ascii="Arial" w:cs="Arial" w:eastAsia="Arial" w:hAnsi="Arial"/>
          <w:sz w:val="16"/>
          <w:szCs w:val="16"/>
          <w:b w:val="1"/>
          <w:bCs w:val="1"/>
          <w:color w:val="auto"/>
        </w:rPr>
        <w:t>Permits</w:t>
      </w:r>
      <w:r>
        <w:rPr>
          <w:rFonts w:ascii="Arial" w:cs="Arial" w:eastAsia="Arial" w:hAnsi="Arial"/>
          <w:sz w:val="16"/>
          <w:szCs w:val="16"/>
          <w:color w:val="auto"/>
        </w:rPr>
        <w:t>”), provided that (a) the Architect/Space Planner shall provide Landlord with a copy of the package that it intends to submit prior to such submission, and (b) if there are Base Building modifications required to obtain the Permits, then Tenant shall obtain Landlord’s prior written consent to any such Base Building modifications. Tenant hereby agrees that neither Landlord nor Landlord’s consultants shall be responsible for obtaining any building permit or certificate of occupancy (or other documentation or approval allowing Tenant to legally occupy the Additional Premises and/or the Existing Premises) for the Additional Premises and/or the Existing Premises and that obtaining the same shall be Tenant’s responsibility; provided, however, that Landlord shall cooperate with Tenant in performing ministerial acts reasonably necessary to enable Tenant to obtain any such permit or certificate of occupancy (or other documentation or approval allowing Tenant to legally occupy the Additional Premises and/or the Existing Premises). No changes, modifications or alterations in the Approved Construction Documents may be made without the prior written consent of Landlord, which consent may not be unreasonably withheld.</w:t>
      </w:r>
    </w:p>
    <w:p>
      <w:pPr>
        <w:spacing w:after="0" w:line="168"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u w:val="single" w:color="auto"/>
          <w:color w:val="auto"/>
        </w:rPr>
        <w:t>Restoration Obligations for Tenant Improvements</w:t>
      </w:r>
      <w:r>
        <w:rPr>
          <w:rFonts w:ascii="Arial" w:cs="Arial" w:eastAsia="Arial" w:hAnsi="Arial"/>
          <w:sz w:val="18"/>
          <w:szCs w:val="18"/>
          <w:color w:val="auto"/>
        </w:rPr>
        <w:t>. Concurrently with Landlord’s approval of the Final Space Plan, Landlord shall notify Tenant which portions of the Tenant Improvements, if any, that must be removed from the Additional Premises and/or the Existing Premises by Tenant, at Tenant’s sole cost and expense, upon the expiration or earlier termination of the Lease Term. Tenant shall repair and restore, in a good and workmanlike manner, any damage to the Additional Premises and/or the Existing Premises or the Project caused by Tenant’s removal of any such portions of the Tenant Improvements or by the closing of any slab penetrations, and upon Default thereof, Tenant shall reimburse Landlord for Landlord’s reasonable cost of repairing and restoring such damage.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4</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CONSTRUCTION OF THE TENANT IMPROVEMENTS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b w:val="1"/>
          <w:bCs w:val="1"/>
          <w:u w:val="single" w:color="auto"/>
          <w:color w:val="auto"/>
        </w:rPr>
        <w:t>Tenant’s Selection of Contractors</w:t>
      </w:r>
      <w:r>
        <w:rPr>
          <w:rFonts w:ascii="Arial" w:cs="Arial" w:eastAsia="Arial" w:hAnsi="Arial"/>
          <w:sz w:val="15"/>
          <w:szCs w:val="15"/>
          <w:color w:val="auto"/>
        </w:rPr>
        <w:t>.</w:t>
      </w:r>
    </w:p>
    <w:p>
      <w:pPr>
        <w:spacing w:after="0" w:line="225" w:lineRule="exact"/>
        <w:rPr>
          <w:sz w:val="20"/>
          <w:szCs w:val="20"/>
          <w:color w:val="auto"/>
        </w:rPr>
      </w:pPr>
    </w:p>
    <w:p>
      <w:pPr>
        <w:ind w:firstLine="1296"/>
        <w:spacing w:after="0" w:line="261"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The Contractor</w:t>
      </w:r>
      <w:r>
        <w:rPr>
          <w:rFonts w:ascii="Arial" w:cs="Arial" w:eastAsia="Arial" w:hAnsi="Arial"/>
          <w:sz w:val="18"/>
          <w:szCs w:val="18"/>
          <w:color w:val="auto"/>
        </w:rPr>
        <w:t>. Tenant shall retain a licensed general contractor selected by Tenant and reasonably approved by Landlord (the “</w:t>
      </w:r>
      <w:r>
        <w:rPr>
          <w:rFonts w:ascii="Arial" w:cs="Arial" w:eastAsia="Arial" w:hAnsi="Arial"/>
          <w:sz w:val="18"/>
          <w:szCs w:val="18"/>
          <w:b w:val="1"/>
          <w:bCs w:val="1"/>
          <w:color w:val="auto"/>
        </w:rPr>
        <w:t>Contractor</w:t>
      </w:r>
      <w:r>
        <w:rPr>
          <w:rFonts w:ascii="Arial" w:cs="Arial" w:eastAsia="Arial" w:hAnsi="Arial"/>
          <w:sz w:val="18"/>
          <w:szCs w:val="18"/>
          <w:color w:val="auto"/>
        </w:rPr>
        <w:t>”), as contractor for the construction of the Tenant Improvements, which Contractor shall be a qualified, reputable, general contractor experienced in class A, mid-rise office building tenant improvement construction in Sunnyvale, California, or other comparable cities in the San Francisco Bay Area.</w:t>
      </w:r>
    </w:p>
    <w:p>
      <w:pPr>
        <w:spacing w:after="0" w:line="180" w:lineRule="exact"/>
        <w:rPr>
          <w:sz w:val="20"/>
          <w:szCs w:val="20"/>
          <w:color w:val="auto"/>
        </w:rPr>
      </w:pPr>
    </w:p>
    <w:p>
      <w:pPr>
        <w:ind w:right="40" w:firstLine="1296"/>
        <w:spacing w:after="0" w:line="294"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b w:val="1"/>
          <w:bCs w:val="1"/>
          <w:u w:val="single" w:color="auto"/>
          <w:color w:val="auto"/>
        </w:rPr>
        <w:t>Tenant’s Agents</w:t>
      </w:r>
      <w:r>
        <w:rPr>
          <w:rFonts w:ascii="Arial" w:cs="Arial" w:eastAsia="Arial" w:hAnsi="Arial"/>
          <w:sz w:val="16"/>
          <w:szCs w:val="16"/>
          <w:color w:val="auto"/>
        </w:rPr>
        <w:t>. The Architect/Space Planner, Engineers, consultants, Contractor, other contractors, vendors, subcontractors, laborers, and material suppliers retained and/or used by Tenant shall be known collectively as the “</w:t>
      </w:r>
      <w:r>
        <w:rPr>
          <w:rFonts w:ascii="Arial" w:cs="Arial" w:eastAsia="Arial" w:hAnsi="Arial"/>
          <w:sz w:val="16"/>
          <w:szCs w:val="16"/>
          <w:b w:val="1"/>
          <w:bCs w:val="1"/>
          <w:color w:val="auto"/>
        </w:rPr>
        <w:t>Tenant’s Agents</w:t>
      </w:r>
      <w:r>
        <w:rPr>
          <w:rFonts w:ascii="Arial" w:cs="Arial" w:eastAsia="Arial" w:hAnsi="Arial"/>
          <w:sz w:val="16"/>
          <w:szCs w:val="16"/>
          <w:color w:val="auto"/>
        </w:rPr>
        <w:t>.” For the following trades, only those contractors, subcontractors, laborers, and material suppliers listed in the Construction Rules, Requirements, Specifications, Design Criteria and Building Standards may be selected by Tenant: Asbestos, Cable Television, Electrical, Elevators, Fire Sprinklers, Fire / Life Safety, HVAC, HVAC Air Balance, Plumbing, Roofing (as listed for each building comprising the Project), and Waste. The Electrical, Fire Sprinklers, Fire / Life Safety, HVAC and Plumbing must be engineered by, and any structural engineering must be conducted by, an engineer or engineers approved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179705</wp:posOffset>
            </wp:positionV>
            <wp:extent cx="7153275" cy="298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612" w:name="page613"/>
    <w:bookmarkEnd w:id="612"/>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u w:val="single" w:color="auto"/>
          <w:color w:val="auto"/>
        </w:rPr>
        <w:t>Construction of Tenant Improvements by Tenant’s Agents</w:t>
      </w:r>
      <w:r>
        <w:rPr>
          <w:rFonts w:ascii="Arial" w:cs="Arial" w:eastAsia="Arial" w:hAnsi="Arial"/>
          <w:sz w:val="16"/>
          <w:szCs w:val="16"/>
          <w:color w:val="auto"/>
        </w:rPr>
        <w:t>.</w:t>
      </w:r>
    </w:p>
    <w:p>
      <w:pPr>
        <w:spacing w:after="0" w:line="225"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u w:val="single" w:color="auto"/>
          <w:color w:val="auto"/>
        </w:rPr>
        <w:t>Construction Contract; Cost Budget</w:t>
      </w:r>
      <w:r>
        <w:rPr>
          <w:rFonts w:ascii="Arial" w:cs="Arial" w:eastAsia="Arial" w:hAnsi="Arial"/>
          <w:sz w:val="18"/>
          <w:szCs w:val="18"/>
          <w:color w:val="auto"/>
        </w:rPr>
        <w:t>. Prior to execution of a construction contract, Tenant shall submit a copy of the proposed contract with the Contractor for the construction of the Tenant Improvements, including the general conditions with Contractor (the “</w:t>
      </w:r>
      <w:r>
        <w:rPr>
          <w:rFonts w:ascii="Arial" w:cs="Arial" w:eastAsia="Arial" w:hAnsi="Arial"/>
          <w:sz w:val="18"/>
          <w:szCs w:val="18"/>
          <w:b w:val="1"/>
          <w:bCs w:val="1"/>
          <w:color w:val="auto"/>
        </w:rPr>
        <w:t>Contract</w:t>
      </w:r>
      <w:r>
        <w:rPr>
          <w:rFonts w:ascii="Arial" w:cs="Arial" w:eastAsia="Arial" w:hAnsi="Arial"/>
          <w:sz w:val="18"/>
          <w:szCs w:val="18"/>
          <w:color w:val="auto"/>
        </w:rPr>
        <w:t>”) to Landlord for its approval, which approval shall not be unreasonably withheld, conditioned or delayed. Following execution of the Contract and prior to commencement of construction, Tenant shall provide Landlord with a fully executed copy of the Contract for Landlord’s records. Prior to the commencement of the construction of the Tenant Improvements, and after Tenant has accepted all bids and proposals for the Tenant Improvements, Tenant shall provide Landlord with a detailed breakdown, by trade, for all of Tenant’s Agents, of the final estimated costs to be incurred or which have been incurred in connection with the design and construction of the Tenant Improvements to be performed by or at the direction of Tenant or the Contractor (the “</w:t>
      </w:r>
      <w:r>
        <w:rPr>
          <w:rFonts w:ascii="Arial" w:cs="Arial" w:eastAsia="Arial" w:hAnsi="Arial"/>
          <w:sz w:val="18"/>
          <w:szCs w:val="18"/>
          <w:b w:val="1"/>
          <w:bCs w:val="1"/>
          <w:color w:val="auto"/>
        </w:rPr>
        <w:t>Construction Budget</w:t>
      </w:r>
      <w:r>
        <w:rPr>
          <w:rFonts w:ascii="Arial" w:cs="Arial" w:eastAsia="Arial" w:hAnsi="Arial"/>
          <w:sz w:val="18"/>
          <w:szCs w:val="18"/>
          <w:color w:val="auto"/>
        </w:rPr>
        <w:t>”), which costs shall include, but not be limited to, the costs of the Architect’s and Engineers’ fees and the Landlord Coordination Fee. The amount, if any, by which the total costs set forth in the Construction Budget exceed the amount of the First Amendment Allowance is referred to herein as the “</w:t>
      </w:r>
      <w:r>
        <w:rPr>
          <w:rFonts w:ascii="Arial" w:cs="Arial" w:eastAsia="Arial" w:hAnsi="Arial"/>
          <w:sz w:val="18"/>
          <w:szCs w:val="18"/>
          <w:b w:val="1"/>
          <w:bCs w:val="1"/>
          <w:color w:val="auto"/>
        </w:rPr>
        <w:t>Over Allowance Amount</w:t>
      </w:r>
      <w:r>
        <w:rPr>
          <w:rFonts w:ascii="Arial" w:cs="Arial" w:eastAsia="Arial" w:hAnsi="Arial"/>
          <w:sz w:val="18"/>
          <w:szCs w:val="18"/>
          <w:color w:val="auto"/>
        </w:rPr>
        <w:t>”.</w:t>
      </w:r>
    </w:p>
    <w:p>
      <w:pPr>
        <w:spacing w:after="0" w:line="198" w:lineRule="exact"/>
        <w:rPr>
          <w:sz w:val="20"/>
          <w:szCs w:val="20"/>
          <w:color w:val="auto"/>
        </w:rPr>
      </w:pPr>
    </w:p>
    <w:p>
      <w:pPr>
        <w:ind w:firstLine="1296"/>
        <w:spacing w:after="0" w:line="288" w:lineRule="auto"/>
        <w:rPr>
          <w:sz w:val="20"/>
          <w:szCs w:val="20"/>
          <w:color w:val="auto"/>
        </w:rPr>
      </w:pPr>
      <w:r>
        <w:rPr>
          <w:rFonts w:ascii="Arial" w:cs="Arial" w:eastAsia="Arial" w:hAnsi="Arial"/>
          <w:sz w:val="16"/>
          <w:szCs w:val="16"/>
          <w:color w:val="auto"/>
        </w:rPr>
        <w:t xml:space="preserve">In the event that an Over-Allowance Amount exists, then prior to the commencement of construction of the Tenant Improvements, Tenant shall supply Landlord with cash in an amount equal to the Over-Allowance Amount. The Over-Allowance Amount shall be disbursed by Landlord prior to the disbursement of any of the then remaining portion of the First Amendment Allowance, and such disbursement shall be pursuant to the same procedure as the First Amendment Allowance. In the event that, after the total costs set forth in the Construction Budget have been delivered by Tenant to Landlord, the costs relating to the design and construction of the Tenant Improvements shall change, any additional costs for such design and construction in excess of the total costs set forth in the Construction Budget shall be added to the Over-Allowance Amount and the total costs set forth in the Construction Budget, and such additional costs shall be paid by Tenant to Landlord immediately as an addition to the Over-Allowance Amount or at Landlord’s option, Tenant shall make payments for such additional costs out of its own funds, but Tenant shall continue to provide Landlord with the documents described in items (i), (ii), (iii) and (iv) of </w:t>
      </w:r>
      <w:r>
        <w:rPr>
          <w:rFonts w:ascii="Arial" w:cs="Arial" w:eastAsia="Arial" w:hAnsi="Arial"/>
          <w:sz w:val="16"/>
          <w:szCs w:val="16"/>
          <w:u w:val="single" w:color="auto"/>
          <w:color w:val="auto"/>
        </w:rPr>
        <w:t>Section 2.2.2.1</w:t>
      </w:r>
      <w:r>
        <w:rPr>
          <w:rFonts w:ascii="Arial" w:cs="Arial" w:eastAsia="Arial" w:hAnsi="Arial"/>
          <w:sz w:val="16"/>
          <w:szCs w:val="16"/>
          <w:color w:val="auto"/>
        </w:rPr>
        <w:t xml:space="preserve"> of this Tenant Work Letter, above, for Landlord’s approval, prior to Tenant paying such costs. All Tenant Improvements paid for by the Over-Allowance Amount shall be deemed Landlord’s property under the terms of the Lease.</w:t>
      </w:r>
    </w:p>
    <w:p>
      <w:pPr>
        <w:spacing w:after="0" w:line="16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5"/>
          <w:szCs w:val="15"/>
          <w:b w:val="1"/>
          <w:bCs w:val="1"/>
          <w:u w:val="single" w:color="auto"/>
          <w:color w:val="auto"/>
        </w:rPr>
        <w:t>Tenant’s Agents</w:t>
      </w:r>
      <w:r>
        <w:rPr>
          <w:rFonts w:ascii="Arial" w:cs="Arial" w:eastAsia="Arial" w:hAnsi="Arial"/>
          <w:sz w:val="15"/>
          <w:szCs w:val="15"/>
          <w:color w:val="auto"/>
        </w:rPr>
        <w:t>.</w:t>
      </w:r>
    </w:p>
    <w:p>
      <w:pPr>
        <w:spacing w:after="0" w:line="225" w:lineRule="exact"/>
        <w:rPr>
          <w:sz w:val="20"/>
          <w:szCs w:val="20"/>
          <w:color w:val="auto"/>
        </w:rPr>
      </w:pPr>
    </w:p>
    <w:p>
      <w:pPr>
        <w:ind w:right="40" w:firstLine="1944"/>
        <w:spacing w:after="0" w:line="289" w:lineRule="auto"/>
        <w:rPr>
          <w:sz w:val="20"/>
          <w:szCs w:val="20"/>
          <w:color w:val="auto"/>
        </w:rPr>
      </w:pPr>
      <w:r>
        <w:rPr>
          <w:rFonts w:ascii="Arial" w:cs="Arial" w:eastAsia="Arial" w:hAnsi="Arial"/>
          <w:sz w:val="16"/>
          <w:szCs w:val="16"/>
          <w:color w:val="auto"/>
        </w:rPr>
        <w:t xml:space="preserve">4.2.2.1 </w:t>
      </w:r>
      <w:r>
        <w:rPr>
          <w:rFonts w:ascii="Arial" w:cs="Arial" w:eastAsia="Arial" w:hAnsi="Arial"/>
          <w:sz w:val="16"/>
          <w:szCs w:val="16"/>
          <w:b w:val="1"/>
          <w:bCs w:val="1"/>
          <w:u w:val="single" w:color="auto"/>
          <w:color w:val="auto"/>
        </w:rPr>
        <w:t>Landlord’s General Conditions for Tenant’s Agents and Tenant Improvement Work</w:t>
      </w:r>
      <w:r>
        <w:rPr>
          <w:rFonts w:ascii="Arial" w:cs="Arial" w:eastAsia="Arial" w:hAnsi="Arial"/>
          <w:sz w:val="16"/>
          <w:szCs w:val="16"/>
          <w:color w:val="auto"/>
        </w:rPr>
        <w:t>. Tenant’s and Tenant’s Agent’s construction of the Tenant Improvements shall comply with the following: (i) the Tenant Improvements shall be constructed in strict accordance with the Approved Construction Documents; (ii) Tenant and Tenant’s Agents shall not, in any way, materially interfere with, obstruct, or delay, the work of Landlord’s base building contractor and subcontractors with respect to the Base Building or any other work in the Building; (iii) Tenant’s Agents shall submit schedules of all work relating to the Tenant’s Improvements to Landlord and Landlord shall, within five (5) business days of receipt thereof, inform Tenant’s Agents of any changes which are necessary thereto, and Tenant’s Agents shall adhere to such corrected schedule; and (iv) Tenant shall abide by all rules made by Landlord with respect to the use of parking, freight, loading dock and service elevators, storage of materials, coordination of work with the contractors of other tenants, and any other matter in connection with this Tenant Work Letter, including, without limitation, the construction of the Tenant Improvements and Tenant shall promptly execute all documents including, but not limited to, Landlord’s standard contractor’s rules and regulations, as Landlord may deem reasonably necessary to evidence or confirm Tenant’s agreement to so abide.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53275" cy="298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13" w:name="page614"/>
    <w:bookmarkEnd w:id="613"/>
    <w:p>
      <w:pPr>
        <w:ind w:right="60" w:firstLine="1944"/>
        <w:spacing w:after="0" w:line="254" w:lineRule="auto"/>
        <w:rPr>
          <w:sz w:val="20"/>
          <w:szCs w:val="20"/>
          <w:color w:val="auto"/>
        </w:rPr>
      </w:pPr>
      <w:r>
        <w:rPr>
          <w:rFonts w:ascii="Arial" w:cs="Arial" w:eastAsia="Arial" w:hAnsi="Arial"/>
          <w:sz w:val="18"/>
          <w:szCs w:val="18"/>
          <w:color w:val="auto"/>
        </w:rPr>
        <w:t xml:space="preserve">4.2.2.2 </w:t>
      </w: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 xml:space="preserve">. Tenant’s indemnity of Landlord as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this Lease,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(or other documentation or approval allowing Tenant to legally occupy the Additional Premises and/or the Existing Premises) for the Additional Premises and/or the Existing Premises.</w:t>
      </w:r>
    </w:p>
    <w:p>
      <w:pPr>
        <w:spacing w:after="0" w:line="192" w:lineRule="exact"/>
        <w:rPr>
          <w:sz w:val="20"/>
          <w:szCs w:val="20"/>
          <w:color w:val="auto"/>
        </w:rPr>
      </w:pPr>
    </w:p>
    <w:p>
      <w:pPr>
        <w:ind w:firstLine="1944"/>
        <w:spacing w:after="0" w:line="270" w:lineRule="auto"/>
        <w:rPr>
          <w:sz w:val="20"/>
          <w:szCs w:val="20"/>
          <w:color w:val="auto"/>
        </w:rPr>
      </w:pPr>
      <w:r>
        <w:rPr>
          <w:rFonts w:ascii="Arial" w:cs="Arial" w:eastAsia="Arial" w:hAnsi="Arial"/>
          <w:sz w:val="17"/>
          <w:szCs w:val="17"/>
          <w:color w:val="auto"/>
        </w:rPr>
        <w:t xml:space="preserve">4.2.2.3 </w:t>
      </w:r>
      <w:r>
        <w:rPr>
          <w:rFonts w:ascii="Arial" w:cs="Arial" w:eastAsia="Arial" w:hAnsi="Arial"/>
          <w:sz w:val="17"/>
          <w:szCs w:val="17"/>
          <w:b w:val="1"/>
          <w:bCs w:val="1"/>
          <w:u w:val="single" w:color="auto"/>
          <w:color w:val="auto"/>
        </w:rPr>
        <w:t>Requirements of Tenant’s Agents</w:t>
      </w:r>
      <w:r>
        <w:rPr>
          <w:rFonts w:ascii="Arial" w:cs="Arial" w:eastAsia="Arial" w:hAnsi="Arial"/>
          <w:sz w:val="17"/>
          <w:szCs w:val="17"/>
          <w:color w:val="auto"/>
        </w:rPr>
        <w:t>. Each of Tenant’s Agents shall guarantee to Tenant and for the benefit of Landlord that the portion of the Tenant Improvements for which it is responsible shall be free from any material defects in workmanship and materials for a period of not less than one (1) year from the date of completion thereof. Each of Tenant’s Agents shall be responsible for the replacement or repair, without additional charge, of all work done or furnished in accordance with its contract that shall become defective within one (1) year after the completion of the work performed by such contractor or subcontractors. The correction of such work shall include, without additional charge, all additional expenses and damages incurred in 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spacing w:after="0" w:line="177"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18"/>
          <w:szCs w:val="18"/>
          <w:color w:val="auto"/>
        </w:rPr>
        <w:t>4.2.2.4</w:t>
      </w:r>
      <w:r>
        <w:rPr>
          <w:sz w:val="20"/>
          <w:szCs w:val="20"/>
          <w:color w:val="auto"/>
        </w:rPr>
        <w:tab/>
      </w:r>
      <w:r>
        <w:rPr>
          <w:rFonts w:ascii="Arial" w:cs="Arial" w:eastAsia="Arial" w:hAnsi="Arial"/>
          <w:sz w:val="16"/>
          <w:szCs w:val="16"/>
          <w:b w:val="1"/>
          <w:bCs w:val="1"/>
          <w:u w:val="single" w:color="auto"/>
          <w:color w:val="auto"/>
        </w:rPr>
        <w:t>Insurance Requirements</w:t>
      </w:r>
      <w:r>
        <w:rPr>
          <w:rFonts w:ascii="Arial" w:cs="Arial" w:eastAsia="Arial" w:hAnsi="Arial"/>
          <w:sz w:val="16"/>
          <w:szCs w:val="16"/>
          <w:color w:val="auto"/>
        </w:rPr>
        <w:t>.</w:t>
      </w:r>
    </w:p>
    <w:p>
      <w:pPr>
        <w:spacing w:after="0" w:line="225" w:lineRule="exact"/>
        <w:rPr>
          <w:sz w:val="20"/>
          <w:szCs w:val="20"/>
          <w:color w:val="auto"/>
        </w:rPr>
      </w:pPr>
    </w:p>
    <w:p>
      <w:pPr>
        <w:ind w:firstLine="2592"/>
        <w:spacing w:after="0" w:line="261" w:lineRule="auto"/>
        <w:rPr>
          <w:sz w:val="20"/>
          <w:szCs w:val="20"/>
          <w:color w:val="auto"/>
        </w:rPr>
      </w:pPr>
      <w:r>
        <w:rPr>
          <w:rFonts w:ascii="Arial" w:cs="Arial" w:eastAsia="Arial" w:hAnsi="Arial"/>
          <w:sz w:val="18"/>
          <w:szCs w:val="18"/>
          <w:color w:val="auto"/>
        </w:rPr>
        <w:t xml:space="preserve">4.2.2.4.1 </w:t>
      </w:r>
      <w:r>
        <w:rPr>
          <w:rFonts w:ascii="Arial" w:cs="Arial" w:eastAsia="Arial" w:hAnsi="Arial"/>
          <w:sz w:val="18"/>
          <w:szCs w:val="18"/>
          <w:b w:val="1"/>
          <w:bCs w:val="1"/>
          <w:u w:val="single" w:color="auto"/>
          <w:color w:val="auto"/>
        </w:rPr>
        <w:t>General Coverages</w:t>
      </w:r>
      <w:r>
        <w:rPr>
          <w:rFonts w:ascii="Arial" w:cs="Arial" w:eastAsia="Arial" w:hAnsi="Arial"/>
          <w:sz w:val="18"/>
          <w:szCs w:val="18"/>
          <w:color w:val="auto"/>
        </w:rPr>
        <w:t xml:space="preserve">. All of Tenant’s Agents shall carry worker’s compensation insurance covering all of their respective employees, and shall also carry commercial general liability insurance, including property damage, all with limits, in form and with companies as are required to be carried by Tenant as set forth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and the policies therefor shall insure Landlord and Tenant, as their interests may appear, as well as the Contractor and subcontractors.</w:t>
      </w:r>
    </w:p>
    <w:p>
      <w:pPr>
        <w:spacing w:after="0" w:line="180" w:lineRule="exact"/>
        <w:rPr>
          <w:sz w:val="20"/>
          <w:szCs w:val="20"/>
          <w:color w:val="auto"/>
        </w:rPr>
      </w:pPr>
    </w:p>
    <w:p>
      <w:pPr>
        <w:ind w:right="40" w:firstLine="2592"/>
        <w:spacing w:after="0" w:line="258" w:lineRule="auto"/>
        <w:rPr>
          <w:sz w:val="20"/>
          <w:szCs w:val="20"/>
          <w:color w:val="auto"/>
        </w:rPr>
      </w:pPr>
      <w:r>
        <w:rPr>
          <w:rFonts w:ascii="Arial" w:cs="Arial" w:eastAsia="Arial" w:hAnsi="Arial"/>
          <w:sz w:val="18"/>
          <w:szCs w:val="18"/>
          <w:color w:val="auto"/>
        </w:rPr>
        <w:t xml:space="preserve">4.2.2.4.2 </w:t>
      </w:r>
      <w:r>
        <w:rPr>
          <w:rFonts w:ascii="Arial" w:cs="Arial" w:eastAsia="Arial" w:hAnsi="Arial"/>
          <w:sz w:val="18"/>
          <w:szCs w:val="18"/>
          <w:b w:val="1"/>
          <w:bCs w:val="1"/>
          <w:u w:val="single" w:color="auto"/>
          <w:color w:val="auto"/>
        </w:rPr>
        <w:t>Special Coverages</w:t>
      </w:r>
      <w:r>
        <w:rPr>
          <w:rFonts w:ascii="Arial" w:cs="Arial" w:eastAsia="Arial" w:hAnsi="Arial"/>
          <w:sz w:val="18"/>
          <w:szCs w:val="18"/>
          <w:color w:val="auto"/>
        </w:rPr>
        <w:t xml:space="preserve">. Tenant or Contractor shall carry “Builder’s All Risk” insurance in an amount approved by Landlord, which shall in no event be less than the amount actually carried by Tenant or Contractor, covering the construction of the Tenant Improvements, and such other insurance as Landlord may require, it being understood and agreed that the Tenant Improvements shall be insured by Tenant pursuant to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immediately upon completion thereof. Such insurance shall be in amounts and shall include such extended coverage endorsements as may be reasonably required by Landlord.</w:t>
      </w:r>
    </w:p>
    <w:p>
      <w:pPr>
        <w:spacing w:after="0" w:line="183" w:lineRule="exact"/>
        <w:rPr>
          <w:sz w:val="20"/>
          <w:szCs w:val="20"/>
          <w:color w:val="auto"/>
        </w:rPr>
      </w:pPr>
    </w:p>
    <w:p>
      <w:pPr>
        <w:ind w:right="200" w:firstLine="2592"/>
        <w:spacing w:after="0" w:line="261" w:lineRule="auto"/>
        <w:rPr>
          <w:sz w:val="20"/>
          <w:szCs w:val="20"/>
          <w:color w:val="auto"/>
        </w:rPr>
      </w:pPr>
      <w:r>
        <w:rPr>
          <w:rFonts w:ascii="Arial" w:cs="Arial" w:eastAsia="Arial" w:hAnsi="Arial"/>
          <w:sz w:val="18"/>
          <w:szCs w:val="18"/>
          <w:color w:val="auto"/>
        </w:rPr>
        <w:t xml:space="preserve">4.2.2.4.3 </w:t>
      </w:r>
      <w:r>
        <w:rPr>
          <w:rFonts w:ascii="Arial" w:cs="Arial" w:eastAsia="Arial" w:hAnsi="Arial"/>
          <w:sz w:val="18"/>
          <w:szCs w:val="18"/>
          <w:b w:val="1"/>
          <w:bCs w:val="1"/>
          <w:u w:val="single" w:color="auto"/>
          <w:color w:val="auto"/>
        </w:rPr>
        <w:t>General Terms</w:t>
      </w:r>
      <w:r>
        <w:rPr>
          <w:rFonts w:ascii="Arial" w:cs="Arial" w:eastAsia="Arial" w:hAnsi="Arial"/>
          <w:sz w:val="18"/>
          <w:szCs w:val="18"/>
          <w:color w:val="auto"/>
        </w:rPr>
        <w:t xml:space="preserve">. Certificates for all insurance carried pursuant to this </w:t>
      </w:r>
      <w:r>
        <w:rPr>
          <w:rFonts w:ascii="Arial" w:cs="Arial" w:eastAsia="Arial" w:hAnsi="Arial"/>
          <w:sz w:val="18"/>
          <w:szCs w:val="18"/>
          <w:u w:val="single" w:color="auto"/>
          <w:color w:val="auto"/>
        </w:rPr>
        <w:t>Section 4.2.2.4</w:t>
      </w:r>
      <w:r>
        <w:rPr>
          <w:rFonts w:ascii="Arial" w:cs="Arial" w:eastAsia="Arial" w:hAnsi="Arial"/>
          <w:sz w:val="18"/>
          <w:szCs w:val="18"/>
          <w:color w:val="auto"/>
        </w:rPr>
        <w:t xml:space="preserve"> shall be delivered to Landlord before the commencement of construction of the Tenant Improvements and before the Contractor’s equipment is moved onto the site. All such policies of insurance must contain a provision that the company writing said policy will give Landlord thirty (30) days prior written notice of any cancellation or lapse of the effective date or any reduction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614" w:name="page615"/>
    <w:bookmarkEnd w:id="614"/>
    <w:p>
      <w:pPr>
        <w:spacing w:after="0" w:line="269" w:lineRule="auto"/>
        <w:rPr>
          <w:sz w:val="20"/>
          <w:szCs w:val="20"/>
          <w:color w:val="auto"/>
        </w:rPr>
      </w:pPr>
      <w:r>
        <w:rPr>
          <w:rFonts w:ascii="Arial" w:cs="Arial" w:eastAsia="Arial" w:hAnsi="Arial"/>
          <w:sz w:val="17"/>
          <w:szCs w:val="17"/>
          <w:color w:val="auto"/>
        </w:rPr>
        <w:t xml:space="preserve">the amounts of such insurance. In the event that the Tenant Improvements are damaged by any cause during the course of the construction thereof, Tenant shall immediately repair the same at Tenant’s sole cost and expense. Tenant’s Agents shall maintain all of the foregoing insurance coverage in force until the Tenant Improvements are fully completed and accepted by Landlord, except for any Products and Completed Operation Coverage insurance required by Landlord, which is to be maintained for ten (10) years following completion of the work and acceptance by Landlord and Tenant and which shall name Landlord, and any other party that Landlord so specifies, as additional insured as to the full limits required hereunder for such entire ten (10) year period. All insurance, except Workers’ Compensation, maintained by Tenant’s Agents shall preclude subrogation claims by the insurer against anyone insured thereunder.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Arial" w:cs="Arial" w:eastAsia="Arial" w:hAnsi="Arial"/>
          <w:sz w:val="17"/>
          <w:szCs w:val="17"/>
          <w:u w:val="single" w:color="auto"/>
          <w:color w:val="auto"/>
        </w:rPr>
        <w:t>Section 4.2.2.2</w:t>
      </w:r>
      <w:r>
        <w:rPr>
          <w:rFonts w:ascii="Arial" w:cs="Arial" w:eastAsia="Arial" w:hAnsi="Arial"/>
          <w:sz w:val="17"/>
          <w:szCs w:val="17"/>
          <w:color w:val="auto"/>
        </w:rPr>
        <w:t xml:space="preserve"> of this Tenant Work Letter. Landlord may, in its discretion, as provided in Section 8.3 of this Lease, require Tenant to obtain a lien and completion bond or some alternate form of security satisfactory to Landlord in an amount sufficient to ensure the lien-free completion of the Tenant Improvements and naming Landlord as a co-obligee.</w:t>
      </w:r>
    </w:p>
    <w:p>
      <w:pPr>
        <w:spacing w:after="0" w:line="178" w:lineRule="exact"/>
        <w:rPr>
          <w:sz w:val="20"/>
          <w:szCs w:val="20"/>
          <w:color w:val="auto"/>
        </w:rPr>
      </w:pPr>
    </w:p>
    <w:p>
      <w:pPr>
        <w:ind w:right="100" w:firstLine="1296"/>
        <w:spacing w:after="0" w:line="261"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b w:val="1"/>
          <w:bCs w:val="1"/>
          <w:u w:val="single" w:color="auto"/>
          <w:color w:val="auto"/>
        </w:rPr>
        <w:t>Governmental Compliance</w:t>
      </w:r>
      <w:r>
        <w:rPr>
          <w:rFonts w:ascii="Arial" w:cs="Arial" w:eastAsia="Arial" w:hAnsi="Arial"/>
          <w:sz w:val="18"/>
          <w:szCs w:val="18"/>
          <w:color w:val="auto"/>
        </w:rPr>
        <w:t>. The Tenant Improvements shall comply in all respects with the following: (i) the Code and other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180" w:lineRule="exact"/>
        <w:rPr>
          <w:sz w:val="20"/>
          <w:szCs w:val="20"/>
          <w:color w:val="auto"/>
        </w:rPr>
      </w:pPr>
    </w:p>
    <w:p>
      <w:pPr>
        <w:ind w:right="60" w:firstLine="1296"/>
        <w:spacing w:after="0" w:line="271" w:lineRule="auto"/>
        <w:rPr>
          <w:sz w:val="20"/>
          <w:szCs w:val="20"/>
          <w:color w:val="auto"/>
        </w:rPr>
      </w:pPr>
      <w:r>
        <w:rPr>
          <w:rFonts w:ascii="Arial" w:cs="Arial" w:eastAsia="Arial" w:hAnsi="Arial"/>
          <w:sz w:val="17"/>
          <w:szCs w:val="17"/>
          <w:color w:val="auto"/>
        </w:rPr>
        <w:t xml:space="preserve">4.2.4 </w:t>
      </w:r>
      <w:r>
        <w:rPr>
          <w:rFonts w:ascii="Arial" w:cs="Arial" w:eastAsia="Arial" w:hAnsi="Arial"/>
          <w:sz w:val="17"/>
          <w:szCs w:val="17"/>
          <w:b w:val="1"/>
          <w:bCs w:val="1"/>
          <w:u w:val="single" w:color="auto"/>
          <w:color w:val="auto"/>
        </w:rPr>
        <w:t>Inspection by Landlord</w:t>
      </w:r>
      <w:r>
        <w:rPr>
          <w:rFonts w:ascii="Arial" w:cs="Arial" w:eastAsia="Arial" w:hAnsi="Arial"/>
          <w:sz w:val="17"/>
          <w:szCs w:val="17"/>
          <w:color w:val="auto"/>
        </w:rPr>
        <w:t>.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disapprove any portion of the Tenant Improvements, Landlord shall notify Tenant in writing of such disapproval and shall specify the items disapproved. Any defects or deviations in, and/or disapproval by Landlord of, the Tenant Improvements shall be rectified by Tenant at no expense to Landlord, provided however, that in the event Landlord determines that a defect or deviation exists or disapproves of any matter in connection with any portion of the Tenant Improvements, Landlord may, take such action as Landlord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satisfaction.</w:t>
      </w:r>
    </w:p>
    <w:p>
      <w:pPr>
        <w:spacing w:after="0" w:line="174" w:lineRule="exact"/>
        <w:rPr>
          <w:sz w:val="20"/>
          <w:szCs w:val="20"/>
          <w:color w:val="auto"/>
        </w:rPr>
      </w:pPr>
    </w:p>
    <w:p>
      <w:pPr>
        <w:ind w:right="60" w:firstLine="1296"/>
        <w:spacing w:after="0" w:line="277" w:lineRule="auto"/>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b w:val="1"/>
          <w:bCs w:val="1"/>
          <w:u w:val="single" w:color="auto"/>
          <w:color w:val="auto"/>
        </w:rPr>
        <w:t>Meetings</w:t>
      </w:r>
      <w:r>
        <w:rPr>
          <w:rFonts w:ascii="Arial" w:cs="Arial" w:eastAsia="Arial" w:hAnsi="Arial"/>
          <w:sz w:val="17"/>
          <w:szCs w:val="17"/>
          <w:color w:val="auto"/>
        </w:rPr>
        <w:t>. Commencing upon the execution of this Lease, Tenant shall hold regular meetings with the Architect/Space Planner and the Contractor regarding the progress of the preparation of Construction Documents and the construction of the Tenant Improvements, which meetings shall be held at the office of the Project, at a time mutually agreed upon by Landlord and Tenant,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168" w:lineRule="exact"/>
        <w:rPr>
          <w:sz w:val="20"/>
          <w:szCs w:val="20"/>
          <w:color w:val="auto"/>
        </w:rPr>
      </w:pPr>
    </w:p>
    <w:p>
      <w:pPr>
        <w:ind w:right="140" w:firstLine="1296"/>
        <w:spacing w:after="0" w:line="282"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b w:val="1"/>
          <w:bCs w:val="1"/>
          <w:u w:val="single" w:color="auto"/>
          <w:color w:val="auto"/>
        </w:rPr>
        <w:t>Landlord Coordination Fee</w:t>
      </w:r>
      <w:r>
        <w:rPr>
          <w:rFonts w:ascii="Arial" w:cs="Arial" w:eastAsia="Arial" w:hAnsi="Arial"/>
          <w:sz w:val="18"/>
          <w:szCs w:val="18"/>
          <w:color w:val="auto"/>
        </w:rPr>
        <w:t>. Tenant shall pay a construction supervision and management fee (the “</w:t>
      </w:r>
      <w:r>
        <w:rPr>
          <w:rFonts w:ascii="Arial" w:cs="Arial" w:eastAsia="Arial" w:hAnsi="Arial"/>
          <w:sz w:val="18"/>
          <w:szCs w:val="18"/>
          <w:b w:val="1"/>
          <w:bCs w:val="1"/>
          <w:color w:val="auto"/>
        </w:rPr>
        <w:t>Landlord Coordination</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to Landlord in an amount equal to three percent (3%) of the hard and soft costs of the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15" w:name="page616"/>
    <w:bookmarkEnd w:id="615"/>
    <w:p>
      <w:pPr>
        <w:ind w:right="20" w:firstLine="648"/>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u w:val="single" w:color="auto"/>
          <w:color w:val="auto"/>
        </w:rPr>
        <w:t>Notice of Completion</w:t>
      </w:r>
      <w:r>
        <w:rPr>
          <w:rFonts w:ascii="Arial" w:cs="Arial" w:eastAsia="Arial" w:hAnsi="Arial"/>
          <w:sz w:val="17"/>
          <w:szCs w:val="17"/>
          <w:color w:val="auto"/>
        </w:rPr>
        <w:t>. Within five (5) days after the final completion of construction of the Tenant Improvements, including, without limitation, the completion of any punch list items, Tenant shall cause a Notice of Completion to be recorded in the office of the Recorder of the County of San Mateo in accordance with Section 8182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and prior to Landlord’s payment of the Final TI Allowance Reimbursement, (i) Tenant shall cause the Contractor and the Architect/Space Planner (A) to update the Approved Construction Documents through annotated changes, as necessary, to reflect all changes made to the Approved Construction Documents during the course of construction, (B) to certify to the best of the Architect/Space Planner’s and Contractor’s knowledge that such updated Approved Construction Documents are true and correct, which certification shall survive the expiration or termination of this Lease, as hereby amended, and (ii) Tenant shall deliver to Landlord the Final Close Out Package. Landlord shall, at Tenant’s expense, update Landlord’s “as-built” master plans, for the floor(s) on which the Additional Premises and/or the Existing Premises are located, if any, including updated vellums and electronic CAD files, all of which may be modified by Landlord from time to time, and the current version of which shall be made available to Tenant upon Tenant’s request.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Tenant’s Representative</w:t>
      </w:r>
      <w:r>
        <w:rPr>
          <w:rFonts w:ascii="Arial" w:cs="Arial" w:eastAsia="Arial" w:hAnsi="Arial"/>
          <w:sz w:val="18"/>
          <w:szCs w:val="18"/>
          <w:color w:val="auto"/>
        </w:rPr>
        <w:t>. Tenant has designated Robin Cline as its sole representative with respect to the matters set forth in this Tenant Work Letter, who shall have full authority and responsibility to act on behalf of the Tenant as required in this Tenant Work Letter.</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Landlord’s Representative</w:t>
      </w:r>
      <w:r>
        <w:rPr>
          <w:rFonts w:ascii="Arial" w:cs="Arial" w:eastAsia="Arial" w:hAnsi="Arial"/>
          <w:sz w:val="18"/>
          <w:szCs w:val="18"/>
          <w:color w:val="auto"/>
        </w:rPr>
        <w:t>. Landlord has designated Josephine Chan as its sole representative with respect to the matters set forth in this Tenant Work Letter, who, until further notice to Tenant, shall have full authority and responsibility to act on behalf of the Landlord as required in this Tenant Work Letter.</w:t>
      </w:r>
    </w:p>
    <w:p>
      <w:pPr>
        <w:spacing w:after="0" w:line="17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Time of the Essence in This Tenant Work Letter</w:t>
      </w:r>
      <w:r>
        <w:rPr>
          <w:rFonts w:ascii="Arial" w:cs="Arial" w:eastAsia="Arial" w:hAnsi="Arial"/>
          <w:sz w:val="18"/>
          <w:szCs w:val="18"/>
          <w:color w:val="auto"/>
        </w:rPr>
        <w:t>. Unless otherwise indicated, all references in this Tenant Work Letter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17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Tenant’s Lease Default</w:t>
      </w:r>
      <w:r>
        <w:rPr>
          <w:rFonts w:ascii="Arial" w:cs="Arial" w:eastAsia="Arial" w:hAnsi="Arial"/>
          <w:sz w:val="16"/>
          <w:szCs w:val="16"/>
          <w:color w:val="auto"/>
        </w:rPr>
        <w:t xml:space="preserve">. Notwithstanding any provision to the contrary contained in this Lease, if a Default as described in </w:t>
      </w:r>
      <w:r>
        <w:rPr>
          <w:rFonts w:ascii="Arial" w:cs="Arial" w:eastAsia="Arial" w:hAnsi="Arial"/>
          <w:sz w:val="16"/>
          <w:szCs w:val="16"/>
          <w:u w:val="single" w:color="auto"/>
          <w:color w:val="auto"/>
        </w:rPr>
        <w:t>Section 19.1</w:t>
      </w:r>
      <w:r>
        <w:rPr>
          <w:rFonts w:ascii="Arial" w:cs="Arial" w:eastAsia="Arial" w:hAnsi="Arial"/>
          <w:sz w:val="16"/>
          <w:szCs w:val="16"/>
          <w:color w:val="auto"/>
        </w:rPr>
        <w:t xml:space="preserve"> of the Lease or under this Tenant Work Letter has occurred at any time on or before the substantial completion of the Additional Premises and/or the Existing Premises, then (i) in addition to all other rights and remedies granted to Landlord pursuant to this Lease, Landlord shall have the right to withhold payment of all or any portion of the First Amendment Allowance and/or Landlord may cause Contractor to cease the construction of the Additional Premises and/or the Existing Premises (in which case, Tenant shall be responsible for any delay in the substantial completion of the Additional Premises and/or the Existing Premises caused by such work stoppage), and (ii) all other obligations of Landlord under the terms of this Tenant Work Letter shall be forgiven until such time as such Default is cured pursuant to the terms of this Lease (in which case, Tenant shall be responsible for any delay in the substantial completion of the Additional Premises and/or the Existing Premises caused by such inaction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53275" cy="298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16" w:name="page617"/>
    <w:bookmarkEnd w:id="616"/>
    <w:p>
      <w:pPr>
        <w:ind w:left="10220"/>
        <w:spacing w:after="0"/>
        <w:rPr>
          <w:sz w:val="20"/>
          <w:szCs w:val="20"/>
          <w:color w:val="auto"/>
        </w:rPr>
      </w:pPr>
      <w:r>
        <w:rPr>
          <w:rFonts w:ascii="Arial" w:cs="Arial" w:eastAsia="Arial" w:hAnsi="Arial"/>
          <w:sz w:val="17"/>
          <w:szCs w:val="17"/>
          <w:b w:val="1"/>
          <w:bCs w:val="1"/>
          <w:color w:val="auto"/>
        </w:rPr>
        <w:t>Exhibit 10.12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40" w:type="dxa"/>
            <w:vAlign w:val="bottom"/>
            <w:gridSpan w:val="3"/>
          </w:tcPr>
          <w:p>
            <w:pPr>
              <w:jc w:val="center"/>
              <w:ind w:right="4408"/>
              <w:spacing w:after="0"/>
              <w:rPr>
                <w:sz w:val="20"/>
                <w:szCs w:val="20"/>
                <w:color w:val="auto"/>
              </w:rPr>
            </w:pPr>
            <w:r>
              <w:rPr>
                <w:rFonts w:ascii="Arial" w:cs="Arial" w:eastAsia="Arial" w:hAnsi="Arial"/>
                <w:sz w:val="18"/>
                <w:szCs w:val="18"/>
                <w:color w:val="auto"/>
                <w:w w:val="96"/>
              </w:rPr>
              <w:t>SUBLEASE AGREEMENT</w:t>
            </w:r>
          </w:p>
        </w:tc>
        <w:tc>
          <w:tcPr>
            <w:tcW w:w="40" w:type="dxa"/>
            <w:vAlign w:val="bottom"/>
          </w:tcPr>
          <w:p>
            <w:pPr>
              <w:spacing w:after="0"/>
              <w:rPr>
                <w:sz w:val="17"/>
                <w:szCs w:val="17"/>
                <w:color w:val="auto"/>
              </w:rPr>
            </w:pPr>
          </w:p>
        </w:tc>
      </w:tr>
      <w:tr>
        <w:trPr>
          <w:trHeight w:val="385"/>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TERMS OF SUBLEASE</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45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10"/>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Date:</w:t>
            </w: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November  , 2015</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Landlord:</w:t>
            </w: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SPF Mathilda, LLC</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Sublandlord:</w:t>
            </w: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Knowles Electronics, LLC</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Subtenant:</w:t>
            </w: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CrowdStrike, Inc., a Delaware corporation</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Master Lease:</w:t>
            </w:r>
          </w:p>
        </w:tc>
        <w:tc>
          <w:tcPr>
            <w:tcW w:w="696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That certain Office Lease between Landlord and Sublandlord dated as of August 15, 2014</w:t>
            </w:r>
          </w:p>
        </w:tc>
        <w:tc>
          <w:tcPr>
            <w:tcW w:w="40" w:type="dxa"/>
            <w:vAlign w:val="bottom"/>
          </w:tcPr>
          <w:p>
            <w:pPr>
              <w:spacing w:after="0"/>
              <w:rPr>
                <w:sz w:val="17"/>
                <w:szCs w:val="17"/>
                <w:color w:val="auto"/>
              </w:rPr>
            </w:pPr>
          </w:p>
        </w:tc>
      </w:tr>
      <w:tr>
        <w:trPr>
          <w:trHeight w:val="230"/>
        </w:trPr>
        <w:tc>
          <w:tcPr>
            <w:tcW w:w="4280" w:type="dxa"/>
            <w:vAlign w:val="bottom"/>
            <w:shd w:val="clear" w:color="auto" w:fill="CCEEFF"/>
          </w:tcPr>
          <w:p>
            <w:pPr>
              <w:spacing w:after="0"/>
              <w:rPr>
                <w:sz w:val="20"/>
                <w:szCs w:val="20"/>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(the “Master Lease”) for the Premises as defined in the Master Lease.</w:t>
            </w:r>
          </w:p>
        </w:tc>
        <w:tc>
          <w:tcPr>
            <w:tcW w:w="40" w:type="dxa"/>
            <w:vAlign w:val="bottom"/>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150 Mathilda Place, Sunnyvale, California</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Sublease Premises:</w:t>
            </w:r>
          </w:p>
        </w:tc>
        <w:tc>
          <w:tcPr>
            <w:tcW w:w="696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89"/>
              </w:rPr>
              <w:t>The sublease premises consists of approximately 6,657 rentable square Feet (“RSF”), located</w:t>
            </w:r>
          </w:p>
        </w:tc>
        <w:tc>
          <w:tcPr>
            <w:tcW w:w="40" w:type="dxa"/>
            <w:vAlign w:val="bottom"/>
          </w:tcPr>
          <w:p>
            <w:pPr>
              <w:spacing w:after="0"/>
              <w:rPr>
                <w:sz w:val="17"/>
                <w:szCs w:val="17"/>
                <w:color w:val="auto"/>
              </w:rPr>
            </w:pPr>
          </w:p>
        </w:tc>
      </w:tr>
      <w:tr>
        <w:trPr>
          <w:trHeight w:val="216"/>
        </w:trPr>
        <w:tc>
          <w:tcPr>
            <w:tcW w:w="4280" w:type="dxa"/>
            <w:vAlign w:val="bottom"/>
            <w:shd w:val="clear" w:color="auto" w:fill="CCEEFF"/>
          </w:tcPr>
          <w:p>
            <w:pPr>
              <w:spacing w:after="0"/>
              <w:rPr>
                <w:sz w:val="18"/>
                <w:szCs w:val="18"/>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on the third floor of the Building and commonly known as Suite 300, as depicted in</w:t>
            </w:r>
          </w:p>
        </w:tc>
        <w:tc>
          <w:tcPr>
            <w:tcW w:w="40" w:type="dxa"/>
            <w:vAlign w:val="bottom"/>
          </w:tcPr>
          <w:p>
            <w:pPr>
              <w:spacing w:after="0"/>
              <w:rPr>
                <w:sz w:val="18"/>
                <w:szCs w:val="18"/>
                <w:color w:val="auto"/>
              </w:rPr>
            </w:pPr>
          </w:p>
        </w:tc>
      </w:tr>
      <w:tr>
        <w:trPr>
          <w:trHeight w:val="230"/>
        </w:trPr>
        <w:tc>
          <w:tcPr>
            <w:tcW w:w="4280" w:type="dxa"/>
            <w:vAlign w:val="bottom"/>
            <w:shd w:val="clear" w:color="auto" w:fill="CCEEFF"/>
          </w:tcPr>
          <w:p>
            <w:pPr>
              <w:spacing w:after="0"/>
              <w:rPr>
                <w:sz w:val="20"/>
                <w:szCs w:val="20"/>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Exhibit A (the “Sublease Premises”).</w:t>
            </w:r>
          </w:p>
        </w:tc>
        <w:tc>
          <w:tcPr>
            <w:tcW w:w="40" w:type="dxa"/>
            <w:vAlign w:val="bottom"/>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Sublease Term:</w:t>
            </w:r>
          </w:p>
        </w:tc>
        <w:tc>
          <w:tcPr>
            <w:tcW w:w="696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The sublease term is approximately Seventy Two (72) months for the period from the</w:t>
            </w:r>
          </w:p>
        </w:tc>
        <w:tc>
          <w:tcPr>
            <w:tcW w:w="40" w:type="dxa"/>
            <w:vAlign w:val="bottom"/>
          </w:tcPr>
          <w:p>
            <w:pPr>
              <w:spacing w:after="0"/>
              <w:rPr>
                <w:sz w:val="17"/>
                <w:szCs w:val="17"/>
                <w:color w:val="auto"/>
              </w:rPr>
            </w:pPr>
          </w:p>
        </w:tc>
      </w:tr>
      <w:tr>
        <w:trPr>
          <w:trHeight w:val="216"/>
        </w:trPr>
        <w:tc>
          <w:tcPr>
            <w:tcW w:w="4280" w:type="dxa"/>
            <w:vAlign w:val="bottom"/>
            <w:shd w:val="clear" w:color="auto" w:fill="CCEEFF"/>
          </w:tcPr>
          <w:p>
            <w:pPr>
              <w:spacing w:after="0"/>
              <w:rPr>
                <w:sz w:val="18"/>
                <w:szCs w:val="18"/>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2"/>
              </w:rPr>
              <w:t>Sublease Commencement Date through November 30, 2021 (the “Sublease Term”), unless</w:t>
            </w:r>
          </w:p>
        </w:tc>
        <w:tc>
          <w:tcPr>
            <w:tcW w:w="40" w:type="dxa"/>
            <w:vAlign w:val="bottom"/>
          </w:tcPr>
          <w:p>
            <w:pPr>
              <w:spacing w:after="0"/>
              <w:rPr>
                <w:sz w:val="18"/>
                <w:szCs w:val="18"/>
                <w:color w:val="auto"/>
              </w:rPr>
            </w:pPr>
          </w:p>
        </w:tc>
      </w:tr>
      <w:tr>
        <w:trPr>
          <w:trHeight w:val="230"/>
        </w:trPr>
        <w:tc>
          <w:tcPr>
            <w:tcW w:w="4280" w:type="dxa"/>
            <w:vAlign w:val="bottom"/>
            <w:shd w:val="clear" w:color="auto" w:fill="CCEEFF"/>
          </w:tcPr>
          <w:p>
            <w:pPr>
              <w:spacing w:after="0"/>
              <w:rPr>
                <w:sz w:val="20"/>
                <w:szCs w:val="20"/>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terminated earlier as provided in this Sublease.</w:t>
            </w:r>
          </w:p>
        </w:tc>
        <w:tc>
          <w:tcPr>
            <w:tcW w:w="40" w:type="dxa"/>
            <w:vAlign w:val="bottom"/>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Sublease Commencement Date:</w:t>
            </w:r>
          </w:p>
        </w:tc>
        <w:tc>
          <w:tcPr>
            <w:tcW w:w="696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rPr>
              <w:t>The sublease term for the Premises commences on the later of (i) the day that both</w:t>
            </w:r>
          </w:p>
        </w:tc>
        <w:tc>
          <w:tcPr>
            <w:tcW w:w="40" w:type="dxa"/>
            <w:vAlign w:val="bottom"/>
          </w:tcPr>
          <w:p>
            <w:pPr>
              <w:spacing w:after="0"/>
              <w:rPr>
                <w:sz w:val="17"/>
                <w:szCs w:val="17"/>
                <w:color w:val="auto"/>
              </w:rPr>
            </w:pPr>
          </w:p>
        </w:tc>
      </w:tr>
      <w:tr>
        <w:trPr>
          <w:trHeight w:val="216"/>
        </w:trPr>
        <w:tc>
          <w:tcPr>
            <w:tcW w:w="4280" w:type="dxa"/>
            <w:vAlign w:val="bottom"/>
            <w:shd w:val="clear" w:color="auto" w:fill="CCEEFF"/>
          </w:tcPr>
          <w:p>
            <w:pPr>
              <w:spacing w:after="0"/>
              <w:rPr>
                <w:sz w:val="18"/>
                <w:szCs w:val="18"/>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2"/>
              </w:rPr>
              <w:t>Sublandlord and Subtenant have executed this Sublease, or (ii) the day Landlord’s Consent</w:t>
            </w:r>
          </w:p>
        </w:tc>
        <w:tc>
          <w:tcPr>
            <w:tcW w:w="40" w:type="dxa"/>
            <w:vAlign w:val="bottom"/>
          </w:tcPr>
          <w:p>
            <w:pPr>
              <w:spacing w:after="0"/>
              <w:rPr>
                <w:sz w:val="18"/>
                <w:szCs w:val="18"/>
                <w:color w:val="auto"/>
              </w:rPr>
            </w:pPr>
          </w:p>
        </w:tc>
      </w:tr>
      <w:tr>
        <w:trPr>
          <w:trHeight w:val="230"/>
        </w:trPr>
        <w:tc>
          <w:tcPr>
            <w:tcW w:w="4280" w:type="dxa"/>
            <w:vAlign w:val="bottom"/>
            <w:shd w:val="clear" w:color="auto" w:fill="CCEEFF"/>
          </w:tcPr>
          <w:p>
            <w:pPr>
              <w:spacing w:after="0"/>
              <w:rPr>
                <w:sz w:val="20"/>
                <w:szCs w:val="20"/>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has been received (the “Sublease Commencement Date”).</w:t>
            </w:r>
          </w:p>
        </w:tc>
        <w:tc>
          <w:tcPr>
            <w:tcW w:w="40" w:type="dxa"/>
            <w:vAlign w:val="bottom"/>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 Year:</w:t>
            </w:r>
          </w:p>
        </w:tc>
        <w:tc>
          <w:tcPr>
            <w:tcW w:w="696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The period from December 1 through and including November 30</w:t>
            </w:r>
            <w:r>
              <w:rPr>
                <w:rFonts w:ascii="Arial" w:cs="Arial" w:eastAsia="Arial" w:hAnsi="Arial"/>
                <w:sz w:val="23"/>
                <w:szCs w:val="23"/>
                <w:color w:val="auto"/>
                <w:w w:val="94"/>
                <w:vertAlign w:val="superscript"/>
              </w:rPr>
              <w:t>th</w:t>
            </w:r>
            <w:r>
              <w:rPr>
                <w:rFonts w:ascii="Arial" w:cs="Arial" w:eastAsia="Arial" w:hAnsi="Arial"/>
                <w:sz w:val="18"/>
                <w:szCs w:val="18"/>
                <w:color w:val="auto"/>
                <w:w w:val="94"/>
              </w:rPr>
              <w:t xml:space="preserve"> except the first Lease</w:t>
            </w:r>
          </w:p>
        </w:tc>
        <w:tc>
          <w:tcPr>
            <w:tcW w:w="40" w:type="dxa"/>
            <w:vAlign w:val="bottom"/>
          </w:tcPr>
          <w:p>
            <w:pPr>
              <w:spacing w:after="0"/>
              <w:rPr>
                <w:sz w:val="17"/>
                <w:szCs w:val="17"/>
                <w:color w:val="auto"/>
              </w:rPr>
            </w:pPr>
          </w:p>
        </w:tc>
      </w:tr>
      <w:tr>
        <w:trPr>
          <w:trHeight w:val="216"/>
        </w:trPr>
        <w:tc>
          <w:tcPr>
            <w:tcW w:w="4280" w:type="dxa"/>
            <w:vAlign w:val="bottom"/>
            <w:shd w:val="clear" w:color="auto" w:fill="CCEEFF"/>
          </w:tcPr>
          <w:p>
            <w:pPr>
              <w:spacing w:after="0"/>
              <w:rPr>
                <w:sz w:val="18"/>
                <w:szCs w:val="18"/>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1"/>
              </w:rPr>
              <w:t>Year shall be from the Sublease Commencement Date through and including November 30,</w:t>
            </w:r>
          </w:p>
        </w:tc>
        <w:tc>
          <w:tcPr>
            <w:tcW w:w="40" w:type="dxa"/>
            <w:vAlign w:val="bottom"/>
          </w:tcPr>
          <w:p>
            <w:pPr>
              <w:spacing w:after="0"/>
              <w:rPr>
                <w:sz w:val="18"/>
                <w:szCs w:val="18"/>
                <w:color w:val="auto"/>
              </w:rPr>
            </w:pPr>
          </w:p>
        </w:tc>
      </w:tr>
      <w:tr>
        <w:trPr>
          <w:trHeight w:val="230"/>
        </w:trPr>
        <w:tc>
          <w:tcPr>
            <w:tcW w:w="4280" w:type="dxa"/>
            <w:vAlign w:val="bottom"/>
            <w:shd w:val="clear" w:color="auto" w:fill="CCEEFF"/>
          </w:tcPr>
          <w:p>
            <w:pPr>
              <w:spacing w:after="0"/>
              <w:rPr>
                <w:sz w:val="20"/>
                <w:szCs w:val="20"/>
                <w:color w:val="auto"/>
              </w:rPr>
            </w:pPr>
          </w:p>
        </w:tc>
        <w:tc>
          <w:tcPr>
            <w:tcW w:w="2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45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Sublease Expiration Date:</w:t>
            </w: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November 30, 2021, unless terminated earlier as provided in this Sublease.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Base Rent Commencement Date:</w:t>
            </w: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Seventy Seven (77) days after the Sublease Commencement Date.</w:t>
            </w:r>
          </w:p>
        </w:tc>
        <w:tc>
          <w:tcPr>
            <w:tcW w:w="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Rent Commencement Date:</w:t>
            </w:r>
          </w:p>
        </w:tc>
        <w:tc>
          <w:tcPr>
            <w:tcW w:w="696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The Commencement Date for Additional Rent shall be day that is fifteen (15) days after the</w:t>
            </w:r>
          </w:p>
        </w:tc>
        <w:tc>
          <w:tcPr>
            <w:tcW w:w="40" w:type="dxa"/>
            <w:vAlign w:val="bottom"/>
          </w:tcPr>
          <w:p>
            <w:pPr>
              <w:spacing w:after="0"/>
              <w:rPr>
                <w:sz w:val="17"/>
                <w:szCs w:val="17"/>
                <w:color w:val="auto"/>
              </w:rPr>
            </w:pPr>
          </w:p>
        </w:tc>
      </w:tr>
      <w:tr>
        <w:trPr>
          <w:trHeight w:val="230"/>
        </w:trPr>
        <w:tc>
          <w:tcPr>
            <w:tcW w:w="4280" w:type="dxa"/>
            <w:vAlign w:val="bottom"/>
            <w:shd w:val="clear" w:color="auto" w:fill="CCEEFF"/>
          </w:tcPr>
          <w:p>
            <w:pPr>
              <w:spacing w:after="0"/>
              <w:rPr>
                <w:sz w:val="20"/>
                <w:szCs w:val="20"/>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Sublease Commencement Date.</w:t>
            </w:r>
          </w:p>
        </w:tc>
        <w:tc>
          <w:tcPr>
            <w:tcW w:w="40" w:type="dxa"/>
            <w:vAlign w:val="bottom"/>
          </w:tcPr>
          <w:p>
            <w:pPr>
              <w:spacing w:after="0"/>
              <w:rPr>
                <w:sz w:val="20"/>
                <w:szCs w:val="20"/>
                <w:color w:val="auto"/>
              </w:rPr>
            </w:pPr>
          </w:p>
        </w:tc>
      </w:tr>
      <w:tr>
        <w:trPr>
          <w:trHeight w:val="216"/>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Permitted Use:</w:t>
            </w: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General office use consistent with a first-class office building.</w:t>
            </w:r>
          </w:p>
        </w:tc>
        <w:tc>
          <w:tcPr>
            <w:tcW w:w="40" w:type="dxa"/>
            <w:vAlign w:val="bottom"/>
          </w:tcPr>
          <w:p>
            <w:pPr>
              <w:spacing w:after="0"/>
              <w:rPr>
                <w:sz w:val="18"/>
                <w:szCs w:val="18"/>
                <w:color w:val="auto"/>
              </w:rPr>
            </w:pPr>
          </w:p>
        </w:tc>
      </w:tr>
      <w:tr>
        <w:trPr>
          <w:trHeight w:val="432"/>
        </w:trPr>
        <w:tc>
          <w:tcPr>
            <w:tcW w:w="4280" w:type="dxa"/>
            <w:vAlign w:val="bottom"/>
          </w:tcPr>
          <w:p>
            <w:pPr>
              <w:spacing w:after="0"/>
              <w:rPr>
                <w:sz w:val="24"/>
                <w:szCs w:val="24"/>
                <w:color w:val="auto"/>
              </w:rPr>
            </w:pPr>
          </w:p>
        </w:tc>
        <w:tc>
          <w:tcPr>
            <w:tcW w:w="2380" w:type="dxa"/>
            <w:vAlign w:val="bottom"/>
            <w:gridSpan w:val="3"/>
          </w:tcPr>
          <w:p>
            <w:pPr>
              <w:jc w:val="right"/>
              <w:ind w:right="1000"/>
              <w:spacing w:after="0"/>
              <w:rPr>
                <w:sz w:val="20"/>
                <w:szCs w:val="20"/>
                <w:color w:val="auto"/>
              </w:rPr>
            </w:pPr>
            <w:r>
              <w:rPr>
                <w:rFonts w:ascii="Arial" w:cs="Arial" w:eastAsia="Arial" w:hAnsi="Arial"/>
                <w:sz w:val="18"/>
                <w:szCs w:val="18"/>
                <w:color w:val="auto"/>
              </w:rPr>
              <w:t>1</w:t>
            </w: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4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65" w:right="299" w:bottom="1440" w:gutter="0" w:footer="0" w:header="0"/>
        </w:sectPr>
      </w:pPr>
    </w:p>
    <w:bookmarkStart w:id="617" w:name="page618"/>
    <w:bookmarkEnd w:id="617"/>
    <w:tbl>
      <w:tblPr>
        <w:tblLayout w:type="fixed"/>
        <w:tblInd w:w="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Base Rent Schedule:</w:t>
            </w:r>
          </w:p>
        </w:tc>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As provided in Article IV of the Sublease.</w:t>
            </w:r>
          </w:p>
        </w:tc>
        <w:tc>
          <w:tcPr>
            <w:tcW w:w="4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Subtenant’s Share of Additional Rent:</w:t>
            </w:r>
          </w:p>
        </w:tc>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4.97% as described in the Master Lease.</w:t>
            </w:r>
          </w:p>
        </w:tc>
        <w:tc>
          <w:tcPr>
            <w:tcW w:w="4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w:t>
            </w:r>
          </w:p>
        </w:tc>
        <w:tc>
          <w:tcPr>
            <w:tcW w:w="76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8"/>
              </w:rPr>
              <w:t>Eighty Nine Thousand Eight Hundred Sixty Nine Dollars and Fifty Cents ($89, 869.50)</w:t>
            </w:r>
          </w:p>
        </w:tc>
        <w:tc>
          <w:tcPr>
            <w:tcW w:w="40" w:type="dxa"/>
            <w:vAlign w:val="bottom"/>
          </w:tcPr>
          <w:p>
            <w:pPr>
              <w:spacing w:after="0"/>
              <w:rPr>
                <w:sz w:val="18"/>
                <w:szCs w:val="18"/>
                <w:color w:val="auto"/>
              </w:rPr>
            </w:pPr>
          </w:p>
        </w:tc>
      </w:tr>
      <w:tr>
        <w:trPr>
          <w:trHeight w:val="432"/>
        </w:trPr>
        <w:tc>
          <w:tcPr>
            <w:tcW w:w="3620" w:type="dxa"/>
            <w:vAlign w:val="bottom"/>
          </w:tcPr>
          <w:p>
            <w:pPr>
              <w:spacing w:after="0"/>
              <w:rPr>
                <w:sz w:val="24"/>
                <w:szCs w:val="24"/>
                <w:color w:val="auto"/>
              </w:rPr>
            </w:pPr>
          </w:p>
        </w:tc>
        <w:tc>
          <w:tcPr>
            <w:tcW w:w="7620" w:type="dxa"/>
            <w:vAlign w:val="bottom"/>
          </w:tcPr>
          <w:p>
            <w:pPr>
              <w:jc w:val="right"/>
              <w:ind w:right="549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7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56" w:right="299" w:bottom="1440" w:gutter="0" w:footer="0" w:header="0"/>
        </w:sectPr>
      </w:pPr>
    </w:p>
    <w:bookmarkStart w:id="618" w:name="page619"/>
    <w:bookmarkEnd w:id="618"/>
    <w:p>
      <w:pPr>
        <w:ind w:right="360"/>
        <w:spacing w:after="0" w:line="259" w:lineRule="auto"/>
        <w:rPr>
          <w:sz w:val="20"/>
          <w:szCs w:val="20"/>
          <w:color w:val="auto"/>
        </w:rPr>
      </w:pPr>
      <w:r>
        <w:rPr>
          <w:rFonts w:ascii="Arial" w:cs="Arial" w:eastAsia="Arial" w:hAnsi="Arial"/>
          <w:sz w:val="18"/>
          <w:szCs w:val="18"/>
          <w:color w:val="auto"/>
        </w:rPr>
        <w:t>THIS SUBLEASE AGREEMENT (the “Sublease”), is made this day of , 2015 (the “Effective Date”), by and between Knowles Electronics, LLC, a Delaware limited liability company, with its principal place of business at 1151 Maplewood Drive, Itasca, Illinois 60143 (“Sublandlord”), and CrowdStrike, Inc., a Delaware corporation, with its principal place of business at 15440 Laguna Canyon Road, Suite 250, Irvine, California 92618 (“Subtenant”).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IT N E S S E T H:</w:t>
      </w:r>
    </w:p>
    <w:p>
      <w:pPr>
        <w:spacing w:after="0" w:line="22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WHEREAS, SPF Mathilda, LLC, as landlord (“Landlord”), and Sublandlord are parties to that certain Office Lease dated as of August 15, 2014 (the “Master Lease”, a copy of which is attached as Exhibit B hereto). Pursuant to the terms of the Master Lease, Landlord leases to Sublandlord Suite 300 in that certain building located at 150 Mathilda Place, Sunnyvale, California (the “Building”), which comprises approximately 6,657 rentable square feet of space on the third (3</w:t>
      </w:r>
      <w:r>
        <w:rPr>
          <w:rFonts w:ascii="Arial" w:cs="Arial" w:eastAsia="Arial" w:hAnsi="Arial"/>
          <w:sz w:val="23"/>
          <w:szCs w:val="23"/>
          <w:color w:val="auto"/>
          <w:vertAlign w:val="superscript"/>
        </w:rPr>
        <w:t>rd</w:t>
      </w:r>
      <w:r>
        <w:rPr>
          <w:rFonts w:ascii="Arial" w:cs="Arial" w:eastAsia="Arial" w:hAnsi="Arial"/>
          <w:sz w:val="18"/>
          <w:szCs w:val="18"/>
          <w:color w:val="auto"/>
        </w:rPr>
        <w:t>) floor of the Building (the “Sublease Premises”), as further described in Exhibit A, being the same Premises as more particularly described in the Master Lease; and</w:t>
      </w:r>
    </w:p>
    <w:p>
      <w:pPr>
        <w:spacing w:after="0" w:line="20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WHEREAS, Sublandlord wishes to sublease to Subtenant the Sublease Premises, subject to and in accordance with the terms of this Sublease and in this regard, Subtenant agrees and consents to comply with the terms of the Master Lease, except as modified herein.</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NOW, THEREFORE, in consideration of the foregoing, the mutual covenants herein contained and other good and valuable consideration, the receipt and sufficiency of which are hereby acknowledged, Sublandlord and Subtenant agree as follows: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1 - LEASE OF SUBLEASE PREMISES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Effective as of the Sublease Commencement Date and continuing through to and including the Sublease Expiration Date, Sublandlord shall lease to Subtenant and Subtenant shall lease from Sublandlord the Sublease Premises, on all of the terms and conditions of the Master Lease, except as expressly provided herein. All capitalized words and phrases not otherwise defined or described in this Sublease shall have the meanings ascribed to them in the Master Lease. All of the terms, covenants, conditions, and agreements, contained in the Master Lease are hereby incorporated into and made a part of this Sublease except the following: 1.3, Right of First Offer; 2.1, Initial Lease Term; 2.2 Option Term; 2.3, Tenant’s Termination Option; Article 3, Base Rent; Article 8.6, Tenant Improvement Allowance; Article 11, Damage and Destruction, and Article 21, Security Deposit. For purposes of this Sublease, references to Tenant in the Master Lease shall be deemed to refer to Subtenant.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 CLE 2 - SUBLANDLORD REPRESENTATIONS AND WARRANTIES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Sublandlord represents and warrants that (a) a true and correct copy of the Master Lease, which has not been amended, is attached hereto as Exhibit B;</w:t>
      </w:r>
    </w:p>
    <w:p>
      <w:pPr>
        <w:spacing w:after="0" w:line="46" w:lineRule="exact"/>
        <w:rPr>
          <w:sz w:val="20"/>
          <w:szCs w:val="20"/>
          <w:color w:val="auto"/>
        </w:rPr>
      </w:pPr>
    </w:p>
    <w:p>
      <w:pPr>
        <w:ind w:firstLine="8"/>
        <w:spacing w:after="0" w:line="268" w:lineRule="auto"/>
        <w:tabs>
          <w:tab w:leader="none" w:pos="255" w:val="left"/>
        </w:tabs>
        <w:numPr>
          <w:ilvl w:val="0"/>
          <w:numId w:val="532"/>
        </w:numPr>
        <w:rPr>
          <w:rFonts w:ascii="Arial" w:cs="Arial" w:eastAsia="Arial" w:hAnsi="Arial"/>
          <w:sz w:val="17"/>
          <w:szCs w:val="17"/>
          <w:color w:val="auto"/>
        </w:rPr>
      </w:pPr>
      <w:r>
        <w:rPr>
          <w:rFonts w:ascii="Arial" w:cs="Arial" w:eastAsia="Arial" w:hAnsi="Arial"/>
          <w:sz w:val="17"/>
          <w:szCs w:val="17"/>
          <w:color w:val="auto"/>
        </w:rPr>
        <w:t>the Master Lease is in full force and effect and the Sublandlord has not entered into any other agreements pursuant to the Master Lease; (c) that Sublandlord and Landlord are not in default thereunder (and no condition exists which with the expiration of any applicable cure periods would result in a default thereunder) and Sublandlord has not received any notice of a default by Sublandlord thereunder or delivered to Landlord a notice claiming a default by Landlord thereunder and that Sublandlord has not mortgaged its leasehold estate in the Sublease Premises; (d) Sublandlord has no claims, defenses, or right of offset against payment of Rent under the Master Lease; (e) all conditions precedent to Sublandlord being able to seek the approval of the Landlord to assign or sublease the Master Lease as provided herein have been performed by Sublandlord, such that this Sublease can be entered into between the Sublandlord and Subtenant and be binding in accordance with its terms on the Sublandlord, Subtenant and the Landlord, upon receipt of Landlord’s written approval as provided in the Master Lease; and (f) Sublandlord shall not terminate the Master Lease or amend the Master Lease to increase Subtenant’s obligations to Landlord or diminish Subtenant’s rights hereunder.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619" w:name="page620"/>
    <w:bookmarkEnd w:id="619"/>
    <w:p>
      <w:pPr>
        <w:jc w:val="center"/>
        <w:ind w:right="-11"/>
        <w:spacing w:after="0"/>
        <w:rPr>
          <w:sz w:val="20"/>
          <w:szCs w:val="20"/>
          <w:color w:val="auto"/>
        </w:rPr>
      </w:pPr>
      <w:r>
        <w:rPr>
          <w:rFonts w:ascii="Arial" w:cs="Arial" w:eastAsia="Arial" w:hAnsi="Arial"/>
          <w:sz w:val="18"/>
          <w:szCs w:val="18"/>
          <w:b w:val="1"/>
          <w:bCs w:val="1"/>
          <w:u w:val="single" w:color="auto"/>
          <w:color w:val="auto"/>
        </w:rPr>
        <w:t>ARTICLE 3 - SUBLEASE TERM</w:t>
      </w:r>
    </w:p>
    <w:p>
      <w:pPr>
        <w:spacing w:after="0" w:line="225" w:lineRule="exact"/>
        <w:rPr>
          <w:sz w:val="20"/>
          <w:szCs w:val="20"/>
          <w:color w:val="auto"/>
        </w:rPr>
      </w:pPr>
    </w:p>
    <w:p>
      <w:pPr>
        <w:ind w:left="-8" w:right="20" w:firstLine="462"/>
        <w:spacing w:after="0" w:line="298" w:lineRule="auto"/>
        <w:tabs>
          <w:tab w:leader="none" w:pos="738" w:val="left"/>
        </w:tabs>
        <w:numPr>
          <w:ilvl w:val="1"/>
          <w:numId w:val="533"/>
        </w:numPr>
        <w:rPr>
          <w:rFonts w:ascii="Arial" w:cs="Arial" w:eastAsia="Arial" w:hAnsi="Arial"/>
          <w:sz w:val="16"/>
          <w:szCs w:val="16"/>
          <w:color w:val="auto"/>
        </w:rPr>
      </w:pPr>
      <w:r>
        <w:rPr>
          <w:rFonts w:ascii="Arial" w:cs="Arial" w:eastAsia="Arial" w:hAnsi="Arial"/>
          <w:sz w:val="16"/>
          <w:szCs w:val="16"/>
          <w:color w:val="auto"/>
        </w:rPr>
        <w:t xml:space="preserve">The term of this Sublease (the </w:t>
      </w:r>
      <w:r>
        <w:rPr>
          <w:rFonts w:ascii="Arial" w:cs="Arial" w:eastAsia="Arial" w:hAnsi="Arial"/>
          <w:sz w:val="16"/>
          <w:szCs w:val="16"/>
          <w:b w:val="1"/>
          <w:bCs w:val="1"/>
          <w:color w:val="auto"/>
        </w:rPr>
        <w:t>“Sublease Term”)</w:t>
      </w:r>
      <w:r>
        <w:rPr>
          <w:rFonts w:ascii="Arial" w:cs="Arial" w:eastAsia="Arial" w:hAnsi="Arial"/>
          <w:sz w:val="16"/>
          <w:szCs w:val="16"/>
          <w:color w:val="auto"/>
        </w:rPr>
        <w:t xml:space="preserve"> shall commence on the </w:t>
      </w:r>
      <w:r>
        <w:rPr>
          <w:rFonts w:ascii="Arial" w:cs="Arial" w:eastAsia="Arial" w:hAnsi="Arial"/>
          <w:sz w:val="16"/>
          <w:szCs w:val="16"/>
          <w:b w:val="1"/>
          <w:bCs w:val="1"/>
          <w:color w:val="auto"/>
        </w:rPr>
        <w:t>“Sublease Commencement Date”</w:t>
      </w:r>
      <w:r>
        <w:rPr>
          <w:rFonts w:ascii="Arial" w:cs="Arial" w:eastAsia="Arial" w:hAnsi="Arial"/>
          <w:sz w:val="16"/>
          <w:szCs w:val="16"/>
          <w:color w:val="auto"/>
        </w:rPr>
        <w:t xml:space="preserve"> and shall expire on November 30, 2021 (the </w:t>
      </w:r>
      <w:r>
        <w:rPr>
          <w:rFonts w:ascii="Arial" w:cs="Arial" w:eastAsia="Arial" w:hAnsi="Arial"/>
          <w:sz w:val="16"/>
          <w:szCs w:val="16"/>
          <w:b w:val="1"/>
          <w:bCs w:val="1"/>
          <w:color w:val="auto"/>
        </w:rPr>
        <w:t>“Sublease Expiration Date”),</w:t>
      </w:r>
      <w:r>
        <w:rPr>
          <w:rFonts w:ascii="Arial" w:cs="Arial" w:eastAsia="Arial" w:hAnsi="Arial"/>
          <w:sz w:val="16"/>
          <w:szCs w:val="16"/>
          <w:color w:val="auto"/>
        </w:rPr>
        <w:t xml:space="preserve"> unless sooner terminated as provided in the Master Lease or this Sublease. Sublandlord shall deliver the Sublease Premises to Subtenant on the Sublease Commencement Date, provided that Subtenant has previously furnished Sublandlord and Landlord with evidence of insurance as provided in Article 9, and deposited with Sublandlord the Security Deposit as provided in Article 13. The Sublease Commencement Date shall not be delayed if the delivery of the Sublease Premises is delayed due to Subtenant’s failure to timely deliver the foregoing items.</w:t>
      </w:r>
    </w:p>
    <w:p>
      <w:pPr>
        <w:spacing w:after="0" w:line="157" w:lineRule="exact"/>
        <w:rPr>
          <w:rFonts w:ascii="Arial" w:cs="Arial" w:eastAsia="Arial" w:hAnsi="Arial"/>
          <w:sz w:val="16"/>
          <w:szCs w:val="16"/>
          <w:color w:val="auto"/>
        </w:rPr>
      </w:pPr>
    </w:p>
    <w:p>
      <w:pPr>
        <w:ind w:left="-8" w:right="80" w:firstLine="462"/>
        <w:spacing w:after="0" w:line="286" w:lineRule="auto"/>
        <w:tabs>
          <w:tab w:leader="none" w:pos="730" w:val="left"/>
        </w:tabs>
        <w:numPr>
          <w:ilvl w:val="1"/>
          <w:numId w:val="533"/>
        </w:numPr>
        <w:rPr>
          <w:rFonts w:ascii="Arial" w:cs="Arial" w:eastAsia="Arial" w:hAnsi="Arial"/>
          <w:sz w:val="16"/>
          <w:szCs w:val="16"/>
          <w:color w:val="auto"/>
        </w:rPr>
      </w:pPr>
      <w:r>
        <w:rPr>
          <w:rFonts w:ascii="Arial" w:cs="Arial" w:eastAsia="Arial" w:hAnsi="Arial"/>
          <w:sz w:val="16"/>
          <w:szCs w:val="16"/>
          <w:color w:val="auto"/>
        </w:rPr>
        <w:t>Early Termination Option of the Sublease Term. Subtenant shall have an option to terminate this Sublease as of November 30, 2019 (the “Early Termination Date”) with respect to the entire Sublease Premise. Subtenant may exercise this early termination option by (i) written notice to Sublandlord given no later than seven (7) months prior to the Early Termination Date, and (ii) Subtenant’s payment to Sublandlord of a fee (the “Termination Fee”) equal to the sum of (A) the unamortized cost (as of the Early Termination Date) of the brokerage commissions paid by Sublandlord in connection with this Lease to the brokers involved in this Sublease as identified in Article 17, and (B) (i) an amount equal to six (6) months of the then current monthly Base Rent, plus (ii) an amount equal to six (6) months of the then current payment for Tenant’s Share of Building Direct Expenses (as defined in the Master Lease). For purposes of clause (A) above, the amortization shall be computed on a straight line basis over the period commencing on the first day of the Sublease Term and ending on the Lease Expiration Date, with interest at the rate of eight percent (8%) per annum. The Termination Fee shall be paid to Sublandlord within thirty (30) days after Subtenant receives Sublandlord’s written notice of the amount of the Termination Fee, , and, if not so paid, then Tenant’s Early Termination Option shall be deemed to have not been validly exercised. Upon any such early termination, Sublandlord shall return the Security Deposit to Subtenant as provided in Article 13. Notwithstanding the foregoing, if Subtenant shall be in Default (as such term is defined in Article 10 below) at the time it exercises the Early Termination Option or at any time thereafter before the Early Termination Date, then at Sublandlord’s election, such exercise shall be deemed void and of no force or effect and the Termination Fee paid by Subtenant shall be returned to Subtenant.</w:t>
      </w:r>
    </w:p>
    <w:p>
      <w:pPr>
        <w:spacing w:after="0" w:line="173" w:lineRule="exact"/>
        <w:rPr>
          <w:rFonts w:ascii="Arial" w:cs="Arial" w:eastAsia="Arial" w:hAnsi="Arial"/>
          <w:sz w:val="16"/>
          <w:szCs w:val="16"/>
          <w:color w:val="auto"/>
        </w:rPr>
      </w:pPr>
    </w:p>
    <w:p>
      <w:pPr>
        <w:ind w:left="292" w:hanging="292"/>
        <w:spacing w:after="0"/>
        <w:tabs>
          <w:tab w:leader="none" w:pos="292" w:val="left"/>
        </w:tabs>
        <w:numPr>
          <w:ilvl w:val="0"/>
          <w:numId w:val="53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8" w:firstLine="8"/>
        <w:spacing w:after="0" w:line="271" w:lineRule="auto"/>
        <w:tabs>
          <w:tab w:leader="none" w:pos="287" w:val="left"/>
        </w:tabs>
        <w:numPr>
          <w:ilvl w:val="0"/>
          <w:numId w:val="534"/>
        </w:numPr>
        <w:rPr>
          <w:rFonts w:ascii="Arial" w:cs="Arial" w:eastAsia="Arial" w:hAnsi="Arial"/>
          <w:sz w:val="17"/>
          <w:szCs w:val="17"/>
          <w:color w:val="auto"/>
        </w:rPr>
      </w:pPr>
      <w:r>
        <w:rPr>
          <w:rFonts w:ascii="Arial" w:cs="Arial" w:eastAsia="Arial" w:hAnsi="Arial"/>
          <w:sz w:val="17"/>
          <w:szCs w:val="17"/>
          <w:color w:val="auto"/>
        </w:rPr>
        <w:t>Subtenant must submit to Sublandlord and Landlord for their prior written approval, plans and descriptions of any part of Subtenant’s security system that will be located outside of the Sublease Premises, connecting with Building utilities, monitoring areas outside of the Sublease Premises and/or otherwise potentially impacting the use and enjoyment of the Building for other tenants of the Building; any modification of the plans and descriptions submitted will require Sublandlord’s and Landlord’s additional prior written approval and Subtenant may not make any changes prior to receipt of Landlord’s and Sublandlord’s written approval. Any equipment installed by Subtenant without Landlord’s or Sublandlord’s approval will be subject to removal by Landlord and/or Sublandlord and Subtenant shall indemnify Sublandlord for all expenses and costs incurred in connection to with such removal and repair. Upon termination or expiration of this Sublease, Subtenant shall remove all such equipment and restore the Sublease Premises and the common areas, if applicable, to its condition on the Sublease Commencement Date</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12"/>
          </w:cols>
          <w:pgMar w:left="328" w:top="338" w:right="359" w:bottom="1440" w:gutter="0" w:footer="0" w:header="0"/>
        </w:sectPr>
      </w:pPr>
    </w:p>
    <w:bookmarkStart w:id="620" w:name="page621"/>
    <w:bookmarkEnd w:id="620"/>
    <w:p>
      <w:pPr>
        <w:jc w:val="center"/>
        <w:ind w:right="-31"/>
        <w:spacing w:after="0"/>
        <w:rPr>
          <w:sz w:val="20"/>
          <w:szCs w:val="20"/>
          <w:color w:val="auto"/>
        </w:rPr>
      </w:pPr>
      <w:r>
        <w:rPr>
          <w:rFonts w:ascii="Arial" w:cs="Arial" w:eastAsia="Arial" w:hAnsi="Arial"/>
          <w:sz w:val="18"/>
          <w:szCs w:val="18"/>
          <w:b w:val="1"/>
          <w:bCs w:val="1"/>
          <w:u w:val="single" w:color="auto"/>
          <w:color w:val="auto"/>
        </w:rPr>
        <w:t>ARTICLE 4 - BASE RENT</w:t>
      </w:r>
    </w:p>
    <w:p>
      <w:pPr>
        <w:spacing w:after="0" w:line="225" w:lineRule="exact"/>
        <w:rPr>
          <w:sz w:val="20"/>
          <w:szCs w:val="20"/>
          <w:color w:val="auto"/>
        </w:rPr>
      </w:pPr>
    </w:p>
    <w:p>
      <w:pPr>
        <w:ind w:left="512" w:right="40" w:hanging="512"/>
        <w:spacing w:after="0" w:line="282" w:lineRule="auto"/>
        <w:tabs>
          <w:tab w:leader="none" w:pos="527"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xml:space="preserve">Subtenant shall pay to Sublandlord as base rent for the Sublease Premises under this Sublease the following amounts per month (the </w:t>
      </w:r>
      <w:r>
        <w:rPr>
          <w:rFonts w:ascii="Arial" w:cs="Arial" w:eastAsia="Arial" w:hAnsi="Arial"/>
          <w:sz w:val="18"/>
          <w:szCs w:val="18"/>
          <w:b w:val="1"/>
          <w:bCs w:val="1"/>
          <w:color w:val="auto"/>
        </w:rPr>
        <w:t>“Base Rent”),</w:t>
      </w:r>
      <w:r>
        <w:rPr>
          <w:rFonts w:ascii="Arial" w:cs="Arial" w:eastAsia="Arial" w:hAnsi="Arial"/>
          <w:sz w:val="18"/>
          <w:szCs w:val="18"/>
          <w:color w:val="auto"/>
        </w:rPr>
        <w:t xml:space="preserve"> except as expressly provided in this Article 4 below:</w:t>
      </w:r>
    </w:p>
    <w:p>
      <w:pPr>
        <w:spacing w:after="0" w:line="145" w:lineRule="exact"/>
        <w:rPr>
          <w:sz w:val="20"/>
          <w:szCs w:val="20"/>
          <w:color w:val="auto"/>
        </w:rPr>
      </w:pPr>
    </w:p>
    <w:tbl>
      <w:tblPr>
        <w:tblLayout w:type="fixed"/>
        <w:tblInd w:w="1292"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left="296"/>
              <w:spacing w:after="0"/>
              <w:rPr>
                <w:sz w:val="20"/>
                <w:szCs w:val="20"/>
                <w:color w:val="auto"/>
              </w:rPr>
            </w:pPr>
            <w:r>
              <w:rPr>
                <w:rFonts w:ascii="Arial" w:cs="Arial" w:eastAsia="Arial" w:hAnsi="Arial"/>
                <w:sz w:val="14"/>
                <w:szCs w:val="14"/>
                <w:b w:val="1"/>
                <w:bCs w:val="1"/>
                <w:color w:val="auto"/>
                <w:w w:val="95"/>
              </w:rPr>
              <w:t>Annual Rate</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Monthly Base</w:t>
            </w:r>
          </w:p>
        </w:tc>
        <w:tc>
          <w:tcPr>
            <w:tcW w:w="260" w:type="dxa"/>
            <w:vAlign w:val="bottom"/>
          </w:tcPr>
          <w:p>
            <w:pPr>
              <w:spacing w:after="0"/>
              <w:rPr>
                <w:sz w:val="14"/>
                <w:szCs w:val="14"/>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Annual Base</w:t>
            </w:r>
          </w:p>
        </w:tc>
        <w:tc>
          <w:tcPr>
            <w:tcW w:w="0" w:type="dxa"/>
            <w:vAlign w:val="bottom"/>
          </w:tcPr>
          <w:p>
            <w:pPr>
              <w:spacing w:after="0"/>
              <w:rPr>
                <w:sz w:val="1"/>
                <w:szCs w:val="1"/>
                <w:color w:val="auto"/>
              </w:rPr>
            </w:pPr>
          </w:p>
        </w:tc>
      </w:tr>
      <w:tr>
        <w:trPr>
          <w:trHeight w:val="148"/>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 Year</w:t>
            </w:r>
          </w:p>
        </w:tc>
        <w:tc>
          <w:tcPr>
            <w:tcW w:w="1280" w:type="dxa"/>
            <w:vAlign w:val="bottom"/>
          </w:tcPr>
          <w:p>
            <w:pPr>
              <w:jc w:val="center"/>
              <w:ind w:left="316"/>
              <w:spacing w:after="0" w:line="149" w:lineRule="exact"/>
              <w:rPr>
                <w:sz w:val="20"/>
                <w:szCs w:val="20"/>
                <w:color w:val="auto"/>
              </w:rPr>
            </w:pPr>
            <w:r>
              <w:rPr>
                <w:rFonts w:ascii="Arial" w:cs="Arial" w:eastAsia="Arial" w:hAnsi="Arial"/>
                <w:sz w:val="14"/>
                <w:szCs w:val="14"/>
                <w:b w:val="1"/>
                <w:bCs w:val="1"/>
                <w:color w:val="auto"/>
                <w:w w:val="91"/>
              </w:rPr>
              <w:t>Per Square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280" w:type="dxa"/>
            <w:vAlign w:val="bottom"/>
          </w:tcPr>
          <w:p>
            <w:pPr>
              <w:jc w:val="center"/>
              <w:ind w:left="316"/>
              <w:spacing w:after="0"/>
              <w:rPr>
                <w:sz w:val="20"/>
                <w:szCs w:val="20"/>
                <w:color w:val="auto"/>
              </w:rPr>
            </w:pPr>
            <w:r>
              <w:rPr>
                <w:rFonts w:ascii="Arial" w:cs="Arial" w:eastAsia="Arial" w:hAnsi="Arial"/>
                <w:sz w:val="14"/>
                <w:szCs w:val="14"/>
                <w:b w:val="1"/>
                <w:bCs w:val="1"/>
                <w:color w:val="auto"/>
                <w:w w:val="92"/>
              </w:rPr>
              <w:t>Foot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Rent</w:t>
            </w:r>
          </w:p>
        </w:tc>
        <w:tc>
          <w:tcPr>
            <w:tcW w:w="26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Rent</w:t>
            </w:r>
          </w:p>
        </w:tc>
        <w:tc>
          <w:tcPr>
            <w:tcW w:w="0" w:type="dxa"/>
            <w:vAlign w:val="bottom"/>
          </w:tcPr>
          <w:p>
            <w:pPr>
              <w:spacing w:after="0"/>
              <w:rPr>
                <w:sz w:val="1"/>
                <w:szCs w:val="1"/>
                <w:color w:val="auto"/>
              </w:rPr>
            </w:pPr>
          </w:p>
        </w:tc>
      </w:tr>
      <w:tr>
        <w:trPr>
          <w:trHeight w:val="209"/>
        </w:trPr>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7"/>
              </w:rPr>
              <w:t>32,353.00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388,236.00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18"/>
                <w:szCs w:val="18"/>
                <w:color w:val="auto"/>
              </w:rPr>
            </w:pPr>
          </w:p>
        </w:tc>
        <w:tc>
          <w:tcPr>
            <w:tcW w:w="1280" w:type="dxa"/>
            <w:vAlign w:val="bottom"/>
          </w:tcPr>
          <w:p>
            <w:pPr>
              <w:jc w:val="right"/>
              <w:ind w:right="109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5.03</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660"/>
              <w:spacing w:after="0"/>
              <w:rPr>
                <w:sz w:val="20"/>
                <w:szCs w:val="20"/>
                <w:color w:val="auto"/>
              </w:rPr>
            </w:pPr>
            <w:r>
              <w:rPr>
                <w:rFonts w:ascii="Arial" w:cs="Arial" w:eastAsia="Arial" w:hAnsi="Arial"/>
                <w:sz w:val="18"/>
                <w:szCs w:val="18"/>
                <w:color w:val="auto"/>
              </w:rPr>
              <w:t>33,485.00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401,816.00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34,683.00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416,196.00</w:t>
            </w:r>
          </w:p>
        </w:tc>
        <w:tc>
          <w:tcPr>
            <w:tcW w:w="0" w:type="dxa"/>
            <w:vAlign w:val="bottom"/>
          </w:tcPr>
          <w:p>
            <w:pPr>
              <w:spacing w:after="0"/>
              <w:rPr>
                <w:sz w:val="1"/>
                <w:szCs w:val="1"/>
                <w:color w:val="auto"/>
              </w:rPr>
            </w:pPr>
          </w:p>
        </w:tc>
      </w:tr>
      <w:tr>
        <w:trPr>
          <w:trHeight w:val="216"/>
        </w:trPr>
        <w:tc>
          <w:tcPr>
            <w:tcW w:w="2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18"/>
                <w:szCs w:val="18"/>
                <w:color w:val="auto"/>
              </w:rPr>
            </w:pPr>
          </w:p>
        </w:tc>
        <w:tc>
          <w:tcPr>
            <w:tcW w:w="1280" w:type="dxa"/>
            <w:vAlign w:val="bottom"/>
          </w:tcPr>
          <w:p>
            <w:pPr>
              <w:jc w:val="right"/>
              <w:ind w:right="109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5.39</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660"/>
              <w:spacing w:after="0"/>
              <w:rPr>
                <w:sz w:val="20"/>
                <w:szCs w:val="20"/>
                <w:color w:val="auto"/>
              </w:rPr>
            </w:pPr>
            <w:r>
              <w:rPr>
                <w:rFonts w:ascii="Arial" w:cs="Arial" w:eastAsia="Arial" w:hAnsi="Arial"/>
                <w:sz w:val="18"/>
                <w:szCs w:val="18"/>
                <w:color w:val="auto"/>
              </w:rPr>
              <w:t>35,881.00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430,575.00</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37,146.00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445,753.00</w:t>
            </w:r>
          </w:p>
        </w:tc>
        <w:tc>
          <w:tcPr>
            <w:tcW w:w="0" w:type="dxa"/>
            <w:vAlign w:val="bottom"/>
          </w:tcPr>
          <w:p>
            <w:pPr>
              <w:spacing w:after="0"/>
              <w:rPr>
                <w:sz w:val="1"/>
                <w:szCs w:val="1"/>
                <w:color w:val="auto"/>
              </w:rPr>
            </w:pPr>
          </w:p>
        </w:tc>
      </w:tr>
      <w:tr>
        <w:trPr>
          <w:trHeight w:val="230"/>
        </w:trPr>
        <w:tc>
          <w:tcPr>
            <w:tcW w:w="23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80" w:type="dxa"/>
            <w:vAlign w:val="bottom"/>
          </w:tcPr>
          <w:p>
            <w:pPr>
              <w:spacing w:after="0"/>
              <w:rPr>
                <w:sz w:val="20"/>
                <w:szCs w:val="20"/>
                <w:color w:val="auto"/>
              </w:rPr>
            </w:pPr>
          </w:p>
        </w:tc>
        <w:tc>
          <w:tcPr>
            <w:tcW w:w="1280" w:type="dxa"/>
            <w:vAlign w:val="bottom"/>
          </w:tcPr>
          <w:p>
            <w:pPr>
              <w:jc w:val="right"/>
              <w:ind w:right="109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5.77</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680"/>
              <w:spacing w:after="0"/>
              <w:rPr>
                <w:sz w:val="20"/>
                <w:szCs w:val="20"/>
                <w:color w:val="auto"/>
              </w:rPr>
            </w:pPr>
            <w:r>
              <w:rPr>
                <w:rFonts w:ascii="Arial" w:cs="Arial" w:eastAsia="Arial" w:hAnsi="Arial"/>
                <w:sz w:val="18"/>
                <w:szCs w:val="18"/>
                <w:color w:val="auto"/>
              </w:rPr>
              <w:t>38,411.00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460,931.00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196850</wp:posOffset>
            </wp:positionV>
            <wp:extent cx="180022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97" w:lineRule="exact"/>
        <w:rPr>
          <w:sz w:val="20"/>
          <w:szCs w:val="20"/>
          <w:color w:val="auto"/>
        </w:rPr>
      </w:pPr>
    </w:p>
    <w:p>
      <w:pPr>
        <w:ind w:left="1612" w:right="260"/>
        <w:spacing w:after="0" w:line="279" w:lineRule="auto"/>
        <w:rPr>
          <w:sz w:val="20"/>
          <w:szCs w:val="20"/>
          <w:color w:val="auto"/>
        </w:rPr>
      </w:pPr>
      <w:r>
        <w:rPr>
          <w:rFonts w:ascii="Arial" w:cs="Arial" w:eastAsia="Arial" w:hAnsi="Arial"/>
          <w:sz w:val="17"/>
          <w:szCs w:val="17"/>
          <w:color w:val="auto"/>
        </w:rPr>
        <w:t>*Lease Year 1 shall be the period from the Sublease Commencement Date through and including November 30, 2016. Subject to and in accordance with the terms and conditions of this Article IV, (i) Additional Rent will abate for the fifteen (15) day period commencing with the Sublease Commencement Date, and (ii) Base Rent will abate for the seventy seven (77) day period commencing with the Sublease Commencement Date. No other payments will abate during either period.</w:t>
      </w:r>
    </w:p>
    <w:p>
      <w:pPr>
        <w:spacing w:after="0" w:line="171" w:lineRule="exact"/>
        <w:rPr>
          <w:sz w:val="20"/>
          <w:szCs w:val="20"/>
          <w:color w:val="auto"/>
        </w:rPr>
      </w:pPr>
    </w:p>
    <w:p>
      <w:pPr>
        <w:ind w:left="512" w:hanging="512"/>
        <w:spacing w:after="0" w:line="287" w:lineRule="auto"/>
        <w:tabs>
          <w:tab w:leader="none" w:pos="517" w:val="left"/>
        </w:tabs>
        <w:numPr>
          <w:ilvl w:val="0"/>
          <w:numId w:val="536"/>
        </w:numPr>
        <w:rPr>
          <w:rFonts w:ascii="Arial" w:cs="Arial" w:eastAsia="Arial" w:hAnsi="Arial"/>
          <w:sz w:val="16"/>
          <w:szCs w:val="16"/>
          <w:color w:val="auto"/>
        </w:rPr>
      </w:pPr>
      <w:r>
        <w:rPr>
          <w:rFonts w:ascii="Arial" w:cs="Arial" w:eastAsia="Arial" w:hAnsi="Arial"/>
          <w:sz w:val="16"/>
          <w:szCs w:val="16"/>
          <w:color w:val="auto"/>
        </w:rPr>
        <w:t>Base Rent shall be payable in monthly installments as set forth in this Section. Subtenant shall pay, without prior notice or demand, to Sublandlord via wire or electronic transfer to the account named in Article 11 or such other location as Sublandlord may designate in writing in legal tender for private or public debts in the United States of America, the Rent, in advance on or before five (5) business days before each payment of Rent is due under the Master Lease, without any notice, setoff or deduction whatsoever. For the first calendar month of the Sublease Term in which any Base Rent or Additional Rent becomes payable (i.e., after expiration of the applicable abatement period described above) such amount shall be paid on the first day of that calendar month. For any payment of Rent for a period which is shorter than one month, the Rent for any fractional month shall accrue on a daily basis If any rental payment date (including the Sublease Commencement Date) falls on a day of the month other than the first (1st) day of such month or if any rental payment is for a period which is shorter than one (1) month, then the Rent amount due for any such fractional month shall be a proportionate amount of a full calendar month amount based on the number of days for which any Rent amounts are payable for such fractional month divided by the actual number of days in the calendar month during which such fractional month occurs. All other payments or adjustments required to be made under the terms of this Sublease that require proration on a time basis shall be prorated on the same basis.</w:t>
      </w:r>
    </w:p>
    <w:p>
      <w:pPr>
        <w:spacing w:after="0" w:line="171" w:lineRule="exact"/>
        <w:rPr>
          <w:rFonts w:ascii="Arial" w:cs="Arial" w:eastAsia="Arial" w:hAnsi="Arial"/>
          <w:sz w:val="16"/>
          <w:szCs w:val="16"/>
          <w:color w:val="auto"/>
        </w:rPr>
      </w:pPr>
    </w:p>
    <w:p>
      <w:pPr>
        <w:ind w:left="512" w:right="80" w:hanging="512"/>
        <w:spacing w:after="0" w:line="296" w:lineRule="auto"/>
        <w:tabs>
          <w:tab w:leader="none" w:pos="517" w:val="left"/>
        </w:tabs>
        <w:numPr>
          <w:ilvl w:val="0"/>
          <w:numId w:val="53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and provided that no Default by Subtenant occurs hereunder, Sublandlord hereby agrees that Additional Rent and Base Rent shall abate as provided in (A) above</w:t>
      </w:r>
      <w:r>
        <w:rPr>
          <w:rFonts w:ascii="Arial" w:cs="Arial" w:eastAsia="Arial" w:hAnsi="Arial"/>
          <w:sz w:val="16"/>
          <w:szCs w:val="16"/>
          <w:b w:val="1"/>
          <w:bCs w:val="1"/>
          <w:color w:val="auto"/>
        </w:rPr>
        <w:t>.</w:t>
      </w:r>
      <w:r>
        <w:rPr>
          <w:rFonts w:ascii="Arial" w:cs="Arial" w:eastAsia="Arial" w:hAnsi="Arial"/>
          <w:sz w:val="16"/>
          <w:szCs w:val="16"/>
          <w:color w:val="auto"/>
        </w:rPr>
        <w:t xml:space="preserve"> During such the respective periods that Base Rent and Additional Rent abate, Subtenant shall still be responsible for the payment of all of its other monetary obligations under this Sublease and the Master Lease. In the event of a Default by Subtenant under the terms of this Sublease or the Master Lease that results in termination of this Sublease, Sublandlord shall be entitled to the recovery of the Additional Rent and Base Rent that was abated under the provisions of this Article 4.</w:t>
      </w:r>
    </w:p>
    <w:p>
      <w:pPr>
        <w:spacing w:after="0" w:line="161" w:lineRule="exact"/>
        <w:rPr>
          <w:rFonts w:ascii="Arial" w:cs="Arial" w:eastAsia="Arial" w:hAnsi="Arial"/>
          <w:sz w:val="16"/>
          <w:szCs w:val="16"/>
          <w:color w:val="auto"/>
        </w:rPr>
      </w:pPr>
    </w:p>
    <w:p>
      <w:pPr>
        <w:ind w:left="512" w:right="180" w:hanging="512"/>
        <w:spacing w:after="0" w:line="275" w:lineRule="auto"/>
        <w:tabs>
          <w:tab w:leader="none" w:pos="527" w:val="left"/>
        </w:tabs>
        <w:numPr>
          <w:ilvl w:val="0"/>
          <w:numId w:val="536"/>
        </w:numPr>
        <w:rPr>
          <w:rFonts w:ascii="Arial" w:cs="Arial" w:eastAsia="Arial" w:hAnsi="Arial"/>
          <w:sz w:val="17"/>
          <w:szCs w:val="17"/>
          <w:color w:val="auto"/>
        </w:rPr>
      </w:pPr>
      <w:r>
        <w:rPr>
          <w:rFonts w:ascii="Arial" w:cs="Arial" w:eastAsia="Arial" w:hAnsi="Arial"/>
          <w:sz w:val="17"/>
          <w:szCs w:val="17"/>
          <w:color w:val="auto"/>
        </w:rPr>
        <w:t xml:space="preserve">Subtenant’s failure to pay the Base Rent, Additional Rent (as defined in the Master Lease) or any other amounts due under this Sublease or the Master Lease within five (5) business days after Subtenant’s receipt of written notice from Sublandlord shall result in the imposition of a service charge for such late payment in the same amounts and at the same rates as provided in the Master Lease on such amounts due and on such time frames provided </w:t>
      </w:r>
      <w:r>
        <w:rPr>
          <w:rFonts w:ascii="Arial" w:cs="Arial" w:eastAsia="Arial" w:hAnsi="Arial"/>
          <w:sz w:val="17"/>
          <w:szCs w:val="17"/>
          <w:b w:val="1"/>
          <w:bCs w:val="1"/>
          <w:color w:val="auto"/>
        </w:rPr>
        <w:t>(“Service Charge</w:t>
      </w:r>
      <w:r>
        <w:rPr>
          <w:rFonts w:ascii="Arial" w:cs="Arial" w:eastAsia="Arial" w:hAnsi="Arial"/>
          <w:sz w:val="17"/>
          <w:szCs w:val="17"/>
          <w:color w:val="auto"/>
        </w:rPr>
        <w:t>”). Sublandlord and Subtenant agree that this Service Charge represents a reasonable estimate of the costs and expenses Sublandlord will incur and is fair compensation to Sublandlord for its loss suffered</w:t>
      </w:r>
    </w:p>
    <w:p>
      <w:pPr>
        <w:spacing w:after="0" w:line="17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153275" cy="298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92"/>
          </w:cols>
          <w:pgMar w:left="328" w:top="338" w:right="379" w:bottom="1440" w:gutter="0" w:footer="0" w:header="0"/>
        </w:sectPr>
      </w:pPr>
    </w:p>
    <w:bookmarkStart w:id="621" w:name="page622"/>
    <w:bookmarkEnd w:id="621"/>
    <w:p>
      <w:pPr>
        <w:ind w:left="520"/>
        <w:spacing w:after="0"/>
        <w:rPr>
          <w:sz w:val="20"/>
          <w:szCs w:val="20"/>
          <w:color w:val="auto"/>
        </w:rPr>
      </w:pPr>
      <w:r>
        <w:rPr>
          <w:rFonts w:ascii="Arial" w:cs="Arial" w:eastAsia="Arial" w:hAnsi="Arial"/>
          <w:sz w:val="18"/>
          <w:szCs w:val="18"/>
          <w:color w:val="auto"/>
        </w:rPr>
        <w:t>by reason of late payment by Subtenant.</w:t>
      </w:r>
    </w:p>
    <w:p>
      <w:pPr>
        <w:spacing w:after="0" w:line="225" w:lineRule="exact"/>
        <w:rPr>
          <w:sz w:val="20"/>
          <w:szCs w:val="20"/>
          <w:color w:val="auto"/>
        </w:rPr>
      </w:pPr>
    </w:p>
    <w:p>
      <w:pPr>
        <w:ind w:left="520" w:right="500" w:hanging="512"/>
        <w:spacing w:after="0" w:line="277" w:lineRule="auto"/>
        <w:tabs>
          <w:tab w:leader="none" w:pos="529"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All payments to Sublandlord shall be made by federal funds wire transfer according to wiring instructions specified in Article 11 herein, or as otherwise instructed by Sublandlord in writing from time to time.</w:t>
      </w:r>
    </w:p>
    <w:p>
      <w:pPr>
        <w:spacing w:after="0" w:line="170" w:lineRule="exact"/>
        <w:rPr>
          <w:rFonts w:ascii="Arial" w:cs="Arial" w:eastAsia="Arial" w:hAnsi="Arial"/>
          <w:sz w:val="18"/>
          <w:szCs w:val="18"/>
          <w:color w:val="auto"/>
        </w:rPr>
      </w:pPr>
    </w:p>
    <w:p>
      <w:pPr>
        <w:ind w:left="520" w:right="160" w:hanging="512"/>
        <w:spacing w:after="0" w:line="291" w:lineRule="auto"/>
        <w:tabs>
          <w:tab w:leader="none" w:pos="532" w:val="left"/>
        </w:tabs>
        <w:numPr>
          <w:ilvl w:val="0"/>
          <w:numId w:val="537"/>
        </w:numPr>
        <w:rPr>
          <w:rFonts w:ascii="Arial" w:cs="Arial" w:eastAsia="Arial" w:hAnsi="Arial"/>
          <w:sz w:val="16"/>
          <w:szCs w:val="16"/>
          <w:color w:val="auto"/>
        </w:rPr>
      </w:pPr>
      <w:r>
        <w:rPr>
          <w:rFonts w:ascii="Arial" w:cs="Arial" w:eastAsia="Arial" w:hAnsi="Arial"/>
          <w:sz w:val="16"/>
          <w:szCs w:val="16"/>
          <w:color w:val="auto"/>
        </w:rPr>
        <w:t>At any time during the Sublease Term, Sublandlord may deliver to Subtenant a notice in the form of Exhibit C, attached hereto (the “Notice of Sublease Term Dates”), as a confirmation of the information set forth therein, which Subtenant shall execute and return to Sublandlord within five</w:t>
      </w:r>
    </w:p>
    <w:p>
      <w:pPr>
        <w:ind w:left="520" w:right="340"/>
        <w:spacing w:after="0" w:line="253" w:lineRule="auto"/>
        <w:rPr>
          <w:rFonts w:ascii="Arial" w:cs="Arial" w:eastAsia="Arial" w:hAnsi="Arial"/>
          <w:sz w:val="16"/>
          <w:szCs w:val="16"/>
          <w:color w:val="auto"/>
        </w:rPr>
      </w:pPr>
      <w:r>
        <w:rPr>
          <w:rFonts w:ascii="Arial" w:cs="Arial" w:eastAsia="Arial" w:hAnsi="Arial"/>
          <w:sz w:val="18"/>
          <w:szCs w:val="18"/>
          <w:color w:val="auto"/>
        </w:rPr>
        <w:t>(5) business days of receipt thereof, and thereafter the dates set forth on such notice shall be conclusive and binding upon Subtenant; provided, however, that all information set forth in any Notice of Lease Term Dates shall be consistent with the terms and conditions of this Sublease, and such Notice of Sublease Term Dates shall not constitute an amendment hereto. Failure of Subtenant to timely execute and deliver the Notice of Sublease Term Dates shall constitute an acknowledgment by Subtenant that the statements included in such notice are true and correct, without exception.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5 - EXPENSES AND TAXES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addition to Base Rent, Subtenant shall be responsible for payment of Tenant’s Share of Additional Rent (as defined in the Master Lease) for all costs and expenses of every kind and nature which may be imposed by Landlord, pursuant to the Master Lease as incorporated into this Sublease and other charges assessed by Landlord due to Subtenant’s actions or inactions</w:t>
      </w:r>
      <w:r>
        <w:rPr>
          <w:rFonts w:ascii="Arial" w:cs="Arial" w:eastAsia="Arial" w:hAnsi="Arial"/>
          <w:sz w:val="17"/>
          <w:szCs w:val="17"/>
          <w:b w:val="1"/>
          <w:bCs w:val="1"/>
          <w:color w:val="auto"/>
        </w:rPr>
        <w:t>. Additional Rent</w:t>
      </w:r>
      <w:r>
        <w:rPr>
          <w:rFonts w:ascii="Arial" w:cs="Arial" w:eastAsia="Arial" w:hAnsi="Arial"/>
          <w:sz w:val="17"/>
          <w:szCs w:val="17"/>
          <w:color w:val="auto"/>
        </w:rPr>
        <w:t xml:space="preserve"> payments shall be due and payable monthly in advance on or before the first day of each and every calendar month during the Sublease Term, without deduction or offset, and is subject to adjustment as provided in the Master Lease. As used in this Agreement, “Rent” shall include Base Rent and Additional Rent and shall be paid to Sublandlord as provided in Section 11. Any additional charges assessed by Landlord or Sublandlord shall be paid directly to the party assessing such additional charges, provided that Landlord agrees to accept direct payment when applicable.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6 - USE OF SUBLEASE PREMISES; RIGHT OF QUIET ENJOYMENT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Subtenant shall use and occupy the Sublease Premises for general office use consistent with a first-class office building, and for no other use or purpose.</w:t>
      </w:r>
    </w:p>
    <w:p>
      <w:pPr>
        <w:spacing w:after="0" w:line="248" w:lineRule="exact"/>
        <w:rPr>
          <w:sz w:val="20"/>
          <w:szCs w:val="20"/>
          <w:color w:val="auto"/>
        </w:rPr>
      </w:pPr>
    </w:p>
    <w:p>
      <w:pPr>
        <w:ind w:right="120" w:firstLine="21"/>
        <w:spacing w:after="0" w:line="259" w:lineRule="auto"/>
        <w:rPr>
          <w:sz w:val="20"/>
          <w:szCs w:val="20"/>
          <w:color w:val="auto"/>
        </w:rPr>
      </w:pPr>
      <w:r>
        <w:rPr>
          <w:rFonts w:ascii="Arial" w:cs="Arial" w:eastAsia="Arial" w:hAnsi="Arial"/>
          <w:sz w:val="18"/>
          <w:szCs w:val="18"/>
          <w:color w:val="auto"/>
        </w:rPr>
        <w:t>In addition to the payment of Rent in accordance with the terms of this Sublease, Subtenant shall perform and observe those terms to be performed by Sublandlord under the provisions of the Master Lease which arise or accrue during the Sublease Term, other than expressly as provided herein, and agrees to be bound by such terms and conditions of the Master Lease and the rights of Landlord under the Master Lease shall also be applicable to Sublandlord under this Sublease.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Subject to the foregoing paragraph, Subtenant hereby acknowledges that this Sublease is subordinate and subject to the Master Lease and that in the event of any termination of the Master Lease, the terms and conditions of Article 15 of this Sublease shall govern.</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Whenever the provisions of the Master Lease require the written consent of the Landlord, such provisions shall be construed to require the written consent of both the Landlord and the Sublandlord. Notwithstanding anything to the contrary in this Sublease, if any of the express provisions of this Sublease shall conflict with any of the provisions of the Master Lease incorporated herein by reference, such conflict shall be resolved in every instance in favor of this Sublease; however, nothing contained in this Sublease shall be deemed, in any way, to modify any of the provisions of the Master Lease or provide Subtenant with any rights greater than those of Sublandlord.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22" w:name="page623"/>
    <w:bookmarkEnd w:id="622"/>
    <w:p>
      <w:pPr>
        <w:jc w:val="center"/>
        <w:ind w:right="-59"/>
        <w:spacing w:after="0"/>
        <w:rPr>
          <w:sz w:val="20"/>
          <w:szCs w:val="20"/>
          <w:color w:val="auto"/>
        </w:rPr>
      </w:pPr>
      <w:r>
        <w:rPr>
          <w:rFonts w:ascii="Arial" w:cs="Arial" w:eastAsia="Arial" w:hAnsi="Arial"/>
          <w:sz w:val="18"/>
          <w:szCs w:val="18"/>
          <w:b w:val="1"/>
          <w:bCs w:val="1"/>
          <w:u w:val="single" w:color="auto"/>
          <w:color w:val="auto"/>
        </w:rPr>
        <w:t>ARTICLE 7 - SALES, ASSIGNMENT AND SUBLEASE</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Subtenant shall not sell or assign this Sublease or further sublet the Sublease Premises or any part or interest therein without the prior written consents of both Sublandlord and Landlord, which consents shall be subject to the same standard as contained in the Master Lease. If consent is once given by Sublandlord or Landlord to the assignment of this Sublease or to a subletting of the Sublease Premises or any interest therein, neither Sublandlord nor Landlord shall be barred from subsequently refusing to consent to any further assignment hereof or sublease of the Sublease Premises. To the extent Subtenant assigns or further sublets its rights hereunder, and such rental proceeds therefrom exceed the Rent due hereunder, Subtenant shall be liable to Landlord for a Transfer Premium as described in Article 14.3 of the Master Lease in addition to the costs and expenses incurred by Sublandlord and Landlord in reviewing such request.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8 - INDEMNIFICATION</w:t>
      </w:r>
    </w:p>
    <w:p>
      <w:pPr>
        <w:spacing w:after="0" w:line="229" w:lineRule="exact"/>
        <w:rPr>
          <w:sz w:val="20"/>
          <w:szCs w:val="20"/>
          <w:color w:val="auto"/>
        </w:rPr>
      </w:pPr>
    </w:p>
    <w:p>
      <w:pPr>
        <w:ind w:right="60" w:firstLine="8"/>
        <w:spacing w:after="0" w:line="301" w:lineRule="auto"/>
        <w:rPr>
          <w:sz w:val="20"/>
          <w:szCs w:val="20"/>
          <w:color w:val="auto"/>
        </w:rPr>
      </w:pPr>
      <w:r>
        <w:rPr>
          <w:rFonts w:ascii="Arial" w:cs="Arial" w:eastAsia="Arial" w:hAnsi="Arial"/>
          <w:sz w:val="16"/>
          <w:szCs w:val="16"/>
          <w:color w:val="auto"/>
        </w:rPr>
        <w:t>Subtenant shall indemnify, defend and hold Sublandlord and Landlord harmless from and against any and all costs, damages or expenses, including reasonable attorneys’ fees, relating to or resulting from any Defaults hereunder as to the Master Lease or this Sublease, and all matters to the extent related to actions or omissions of Subtenant (or Subtenant’s agents, employees, or invitees), subsequent to the Sublease Commencement Date of this Sublease, except to the extent any of the foregoing result from the negligence or willful misconduct of Sublandlord and/or Landlord.</w:t>
      </w:r>
    </w:p>
    <w:p>
      <w:pPr>
        <w:spacing w:after="0" w:line="157" w:lineRule="exact"/>
        <w:rPr>
          <w:sz w:val="20"/>
          <w:szCs w:val="20"/>
          <w:color w:val="auto"/>
        </w:rPr>
      </w:pPr>
    </w:p>
    <w:p>
      <w:pPr>
        <w:ind w:right="260" w:firstLine="8"/>
        <w:spacing w:after="0" w:line="286" w:lineRule="auto"/>
        <w:rPr>
          <w:sz w:val="20"/>
          <w:szCs w:val="20"/>
          <w:color w:val="auto"/>
        </w:rPr>
      </w:pPr>
      <w:r>
        <w:rPr>
          <w:rFonts w:ascii="Arial" w:cs="Arial" w:eastAsia="Arial" w:hAnsi="Arial"/>
          <w:sz w:val="17"/>
          <w:szCs w:val="17"/>
          <w:color w:val="auto"/>
        </w:rPr>
        <w:t>Notwithstanding anything contained in this Sublease to the contrary, in no event will either party be liable to the other for consequential, incidental, indirect, punitive or special damages (including loss of profits or business) regardless of whether such liability is based on breach of contract, tort, strict liability, breach of warranties, failure of essential purpose or otherwise, and even if advised of the likelihood of such damages.</w:t>
      </w:r>
    </w:p>
    <w:p>
      <w:pPr>
        <w:spacing w:after="0" w:line="165" w:lineRule="exact"/>
        <w:rPr>
          <w:sz w:val="20"/>
          <w:szCs w:val="20"/>
          <w:color w:val="auto"/>
        </w:rPr>
      </w:pPr>
    </w:p>
    <w:p>
      <w:pPr>
        <w:jc w:val="both"/>
        <w:ind w:right="140" w:firstLine="8"/>
        <w:spacing w:after="0" w:line="311" w:lineRule="auto"/>
        <w:rPr>
          <w:sz w:val="20"/>
          <w:szCs w:val="20"/>
          <w:color w:val="auto"/>
        </w:rPr>
      </w:pPr>
      <w:r>
        <w:rPr>
          <w:rFonts w:ascii="Arial" w:cs="Arial" w:eastAsia="Arial" w:hAnsi="Arial"/>
          <w:sz w:val="16"/>
          <w:szCs w:val="16"/>
          <w:color w:val="auto"/>
        </w:rPr>
        <w:t>Sublandlord represents and warrants that it has not taken any act or refrained from taking any action and/or caused any damage to the Sublease Premises which would create a liability or obligation on the part of the Subtenant whereby Subtenant would be unable to surrender the Sublease Premises in a safe, clean and neat condition as the Sublease Premises were in as of the Sublease Commencement Date, normal wear and tear excepted.</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9 - INSURANCE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Subtenant shall obtain all insurance required of Sublandlord pursuant to the Master Lease, except as provided in Section 10.3.2(ii) of the Master Lease, and Sublandlord and Landlord shall be named as an additional insureds on such insurance policies to the extent Landlord and/or Sublandlord possesses an insurable interest. Prior to Subtenant’s use and/or occupancy of the Sublease Premises and no later than upon execution of this Sublease, Subtenant shall provide Sublandlord and Landlord with a certificate of insurance evidencing that such insurance is in full force and effect.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10 - DEFAULT</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default provisions in Article 19 of the Master Lease are incorporated herein by reference, and shall apply with respect to any default by Subtenant or default by Sublandlord under this Sublease or relating to the Sublease Premises. A default by Subtenant under this Sublease (a “Default”) shall occur as provided in Article 19 of the Master Lease, including the applicable cure periods, except that all references to “Lease” in Subsections 19.1.1 and 19.1.2 of Article 19 shall be deemed to refer to “Sublease.” By way of clarification and to eliminate any doubt as to whether a default has occurred under this Sublease, all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623" w:name="page624"/>
    <w:bookmarkEnd w:id="623"/>
    <w:p>
      <w:pPr>
        <w:spacing w:after="0" w:line="289" w:lineRule="auto"/>
        <w:rPr>
          <w:sz w:val="20"/>
          <w:szCs w:val="20"/>
          <w:color w:val="auto"/>
        </w:rPr>
      </w:pPr>
      <w:r>
        <w:rPr>
          <w:rFonts w:ascii="Arial" w:cs="Arial" w:eastAsia="Arial" w:hAnsi="Arial"/>
          <w:sz w:val="16"/>
          <w:szCs w:val="16"/>
          <w:color w:val="auto"/>
        </w:rPr>
        <w:t>references in Article 19 of the Master Lease to “Tenant”,”Landlord”, “Lease” and “Premises” shall be deemed to refer to “Subtenant”, “Sublandlord”, “Sublease” and “Sublease Premises”. As between Sublandlord and Subtenant, in the event of Default by Subtenant in the any payment of Rent as and when due, or in the performance of any of Subtenant’s other obligations hereunder, Sublandlord shall have the right to exercise any and all available rights and remedies available at law or in equity by reason of any such Default by Subtenant, including, without limitation, all the rights of Landlord under the Master Lease. Upon any default of the Master Lease by Landlord, Sublandlord shall promptly, upon Subtenant’s request, enforce the performance of Landlord, or any obligation of, or right against the Landlord, under or in connection with the Master Lease. In any dispute relating to an alleged Default or default hereunder the prevailing party (i.e., in the case of Subtenant for any action brought by Sublandlord, Sublandlord shall be the party entitled to receive) shall be entitled to reasonable attorneys’ fees and costs, in preparation, at trial, on appeal or in any ancillary proceeding associated therewith; Subtenant shall indemnify and hold harmless Sublandlord for any amounts expended by Sublandlord if Subtenant is not the prevailing party in any such claims.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11 - NOTICES</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Any notice, demand, consent or waiver required or permitted to be given or served by either party to this Sublease shall be in writing and shall be deemed to have been duly given if delivered in person (inclusive of overnight delivery, with delivery receipt) or sent by United States certified or registered mail, return receipt requested (but only effective three (3) business days after mailing), addressed to the other party or by email with confirmation of receipt as follows: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If to Sublandlord:</w:t>
            </w:r>
          </w:p>
        </w:tc>
        <w:tc>
          <w:tcPr>
            <w:tcW w:w="5120" w:type="dxa"/>
            <w:vAlign w:val="bottom"/>
          </w:tcPr>
          <w:p>
            <w:pPr>
              <w:ind w:left="1220"/>
              <w:spacing w:after="0"/>
              <w:rPr>
                <w:sz w:val="20"/>
                <w:szCs w:val="20"/>
                <w:color w:val="auto"/>
              </w:rPr>
            </w:pPr>
            <w:r>
              <w:rPr>
                <w:rFonts w:ascii="Arial" w:cs="Arial" w:eastAsia="Arial" w:hAnsi="Arial"/>
                <w:sz w:val="18"/>
                <w:szCs w:val="18"/>
                <w:color w:val="auto"/>
              </w:rPr>
              <w:t>If to Subtenant:</w:t>
            </w:r>
          </w:p>
        </w:tc>
      </w:tr>
      <w:tr>
        <w:trPr>
          <w:trHeight w:val="418"/>
        </w:trPr>
        <w:tc>
          <w:tcPr>
            <w:tcW w:w="3220" w:type="dxa"/>
            <w:vAlign w:val="bottom"/>
            <w:gridSpan w:val="2"/>
          </w:tcPr>
          <w:p>
            <w:pPr>
              <w:spacing w:after="0"/>
              <w:rPr>
                <w:sz w:val="20"/>
                <w:szCs w:val="20"/>
                <w:color w:val="auto"/>
              </w:rPr>
            </w:pPr>
            <w:r>
              <w:rPr>
                <w:rFonts w:ascii="Arial" w:cs="Arial" w:eastAsia="Arial" w:hAnsi="Arial"/>
                <w:sz w:val="18"/>
                <w:szCs w:val="18"/>
                <w:color w:val="auto"/>
              </w:rPr>
              <w:t>Knowles Electronics, LLC</w:t>
            </w:r>
          </w:p>
        </w:tc>
        <w:tc>
          <w:tcPr>
            <w:tcW w:w="5120" w:type="dxa"/>
            <w:vAlign w:val="bottom"/>
          </w:tcPr>
          <w:p>
            <w:pPr>
              <w:ind w:left="1220"/>
              <w:spacing w:after="0"/>
              <w:rPr>
                <w:sz w:val="20"/>
                <w:szCs w:val="20"/>
                <w:color w:val="auto"/>
              </w:rPr>
            </w:pPr>
            <w:r>
              <w:rPr>
                <w:rFonts w:ascii="Arial" w:cs="Arial" w:eastAsia="Arial" w:hAnsi="Arial"/>
                <w:sz w:val="18"/>
                <w:szCs w:val="18"/>
                <w:b w:val="1"/>
                <w:bCs w:val="1"/>
                <w:color w:val="auto"/>
                <w:w w:val="89"/>
              </w:rPr>
              <w:t>Until and after the Sublease Commencement Date:</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1151 Maplewood Drive</w:t>
            </w:r>
          </w:p>
        </w:tc>
        <w:tc>
          <w:tcPr>
            <w:tcW w:w="51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Itasca, IL</w:t>
            </w:r>
          </w:p>
        </w:tc>
        <w:tc>
          <w:tcPr>
            <w:tcW w:w="2440" w:type="dxa"/>
            <w:vAlign w:val="bottom"/>
          </w:tcPr>
          <w:p>
            <w:pPr>
              <w:jc w:val="right"/>
              <w:ind w:right="1830"/>
              <w:spacing w:after="0"/>
              <w:rPr>
                <w:sz w:val="20"/>
                <w:szCs w:val="20"/>
                <w:color w:val="auto"/>
              </w:rPr>
            </w:pPr>
            <w:r>
              <w:rPr>
                <w:rFonts w:ascii="Arial" w:cs="Arial" w:eastAsia="Arial" w:hAnsi="Arial"/>
                <w:sz w:val="18"/>
                <w:szCs w:val="18"/>
                <w:color w:val="auto"/>
                <w:w w:val="99"/>
              </w:rPr>
              <w:t>60143</w:t>
            </w:r>
          </w:p>
        </w:tc>
        <w:tc>
          <w:tcPr>
            <w:tcW w:w="5120" w:type="dxa"/>
            <w:vAlign w:val="bottom"/>
          </w:tcPr>
          <w:p>
            <w:pPr>
              <w:spacing w:after="0"/>
              <w:rPr>
                <w:sz w:val="18"/>
                <w:szCs w:val="18"/>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Attention: Brian Modloff</w:t>
            </w:r>
          </w:p>
        </w:tc>
        <w:tc>
          <w:tcPr>
            <w:tcW w:w="5120" w:type="dxa"/>
            <w:vAlign w:val="bottom"/>
          </w:tcPr>
          <w:p>
            <w:pPr>
              <w:ind w:left="1220"/>
              <w:spacing w:after="0"/>
              <w:rPr>
                <w:sz w:val="20"/>
                <w:szCs w:val="20"/>
                <w:color w:val="auto"/>
              </w:rPr>
            </w:pPr>
            <w:r>
              <w:rPr>
                <w:rFonts w:ascii="Arial" w:cs="Arial" w:eastAsia="Arial" w:hAnsi="Arial"/>
                <w:sz w:val="18"/>
                <w:szCs w:val="18"/>
                <w:color w:val="auto"/>
              </w:rPr>
              <w:t>CrowdStrike, Inc.</w:t>
            </w:r>
          </w:p>
        </w:tc>
      </w:tr>
      <w:tr>
        <w:trPr>
          <w:trHeight w:val="216"/>
        </w:trPr>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20" w:type="dxa"/>
            <w:vAlign w:val="bottom"/>
          </w:tcPr>
          <w:p>
            <w:pPr>
              <w:ind w:left="1220"/>
              <w:spacing w:after="0"/>
              <w:rPr>
                <w:sz w:val="20"/>
                <w:szCs w:val="20"/>
                <w:color w:val="auto"/>
              </w:rPr>
            </w:pPr>
            <w:r>
              <w:rPr>
                <w:rFonts w:ascii="Arial" w:cs="Arial" w:eastAsia="Arial" w:hAnsi="Arial"/>
                <w:sz w:val="18"/>
                <w:szCs w:val="18"/>
                <w:color w:val="auto"/>
              </w:rPr>
              <w:t>15440 Laguna Canyon Rd., Suite 250</w:t>
            </w:r>
          </w:p>
        </w:tc>
      </w:tr>
      <w:tr>
        <w:trPr>
          <w:trHeight w:val="216"/>
        </w:trPr>
        <w:tc>
          <w:tcPr>
            <w:tcW w:w="7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20" w:type="dxa"/>
            <w:vAlign w:val="bottom"/>
          </w:tcPr>
          <w:p>
            <w:pPr>
              <w:ind w:left="1220"/>
              <w:spacing w:after="0"/>
              <w:rPr>
                <w:sz w:val="20"/>
                <w:szCs w:val="20"/>
                <w:color w:val="auto"/>
              </w:rPr>
            </w:pPr>
            <w:r>
              <w:rPr>
                <w:rFonts w:ascii="Arial" w:cs="Arial" w:eastAsia="Arial" w:hAnsi="Arial"/>
                <w:sz w:val="18"/>
                <w:szCs w:val="18"/>
                <w:color w:val="auto"/>
              </w:rPr>
              <w:t>Irvine, CA 92618</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with a copy to:</w:t>
            </w:r>
          </w:p>
        </w:tc>
        <w:tc>
          <w:tcPr>
            <w:tcW w:w="5120" w:type="dxa"/>
            <w:vAlign w:val="bottom"/>
          </w:tcPr>
          <w:p>
            <w:pPr>
              <w:ind w:left="1220"/>
              <w:spacing w:after="0"/>
              <w:rPr>
                <w:sz w:val="20"/>
                <w:szCs w:val="20"/>
                <w:color w:val="auto"/>
              </w:rPr>
            </w:pPr>
            <w:r>
              <w:rPr>
                <w:rFonts w:ascii="Arial" w:cs="Arial" w:eastAsia="Arial" w:hAnsi="Arial"/>
                <w:sz w:val="18"/>
                <w:szCs w:val="18"/>
                <w:color w:val="auto"/>
              </w:rPr>
              <w:t>Attention: General Counsel</w:t>
            </w:r>
          </w:p>
        </w:tc>
      </w:tr>
      <w:tr>
        <w:trPr>
          <w:trHeight w:val="418"/>
        </w:trPr>
        <w:tc>
          <w:tcPr>
            <w:tcW w:w="3220" w:type="dxa"/>
            <w:vAlign w:val="bottom"/>
            <w:gridSpan w:val="2"/>
          </w:tcPr>
          <w:p>
            <w:pPr>
              <w:spacing w:after="0"/>
              <w:rPr>
                <w:sz w:val="20"/>
                <w:szCs w:val="20"/>
                <w:color w:val="auto"/>
              </w:rPr>
            </w:pPr>
            <w:r>
              <w:rPr>
                <w:rFonts w:ascii="Arial" w:cs="Arial" w:eastAsia="Arial" w:hAnsi="Arial"/>
                <w:sz w:val="18"/>
                <w:szCs w:val="18"/>
                <w:color w:val="auto"/>
              </w:rPr>
              <w:t>Knowles Electronics, LLC</w:t>
            </w:r>
          </w:p>
        </w:tc>
        <w:tc>
          <w:tcPr>
            <w:tcW w:w="5120" w:type="dxa"/>
            <w:vAlign w:val="bottom"/>
          </w:tcPr>
          <w:p>
            <w:pPr>
              <w:spacing w:after="0"/>
              <w:rPr>
                <w:sz w:val="24"/>
                <w:szCs w:val="24"/>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1151 Maplewood Drive</w:t>
            </w:r>
          </w:p>
        </w:tc>
        <w:tc>
          <w:tcPr>
            <w:tcW w:w="51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Itasca, IL</w:t>
            </w:r>
          </w:p>
        </w:tc>
        <w:tc>
          <w:tcPr>
            <w:tcW w:w="2440" w:type="dxa"/>
            <w:vAlign w:val="bottom"/>
          </w:tcPr>
          <w:p>
            <w:pPr>
              <w:jc w:val="right"/>
              <w:ind w:right="1830"/>
              <w:spacing w:after="0"/>
              <w:rPr>
                <w:sz w:val="20"/>
                <w:szCs w:val="20"/>
                <w:color w:val="auto"/>
              </w:rPr>
            </w:pPr>
            <w:r>
              <w:rPr>
                <w:rFonts w:ascii="Arial" w:cs="Arial" w:eastAsia="Arial" w:hAnsi="Arial"/>
                <w:sz w:val="18"/>
                <w:szCs w:val="18"/>
                <w:color w:val="auto"/>
                <w:w w:val="99"/>
              </w:rPr>
              <w:t>60143</w:t>
            </w:r>
          </w:p>
        </w:tc>
        <w:tc>
          <w:tcPr>
            <w:tcW w:w="51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w w:val="99"/>
              </w:rPr>
              <w:t>Attention:</w:t>
            </w:r>
          </w:p>
        </w:tc>
        <w:tc>
          <w:tcPr>
            <w:tcW w:w="2440" w:type="dxa"/>
            <w:vAlign w:val="bottom"/>
          </w:tcPr>
          <w:p>
            <w:pPr>
              <w:jc w:val="right"/>
              <w:ind w:right="1110"/>
              <w:spacing w:after="0"/>
              <w:rPr>
                <w:sz w:val="20"/>
                <w:szCs w:val="20"/>
                <w:color w:val="auto"/>
              </w:rPr>
            </w:pPr>
            <w:r>
              <w:rPr>
                <w:rFonts w:ascii="Arial" w:cs="Arial" w:eastAsia="Arial" w:hAnsi="Arial"/>
                <w:sz w:val="18"/>
                <w:szCs w:val="18"/>
                <w:color w:val="auto"/>
                <w:w w:val="90"/>
              </w:rPr>
              <w:t>General Counsel</w:t>
            </w:r>
          </w:p>
        </w:tc>
        <w:tc>
          <w:tcPr>
            <w:tcW w:w="51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Payment of Rent, the Security Deposit and any other sums due Sublandlord hereunder shall be made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24" w:name="page625"/>
    <w:bookmarkEnd w:id="624"/>
    <w:p>
      <w:pPr>
        <w:jc w:val="center"/>
        <w:ind w:right="-159"/>
        <w:spacing w:after="0"/>
        <w:rPr>
          <w:sz w:val="20"/>
          <w:szCs w:val="20"/>
          <w:color w:val="auto"/>
        </w:rPr>
      </w:pPr>
      <w:r>
        <w:rPr>
          <w:rFonts w:ascii="Arial" w:cs="Arial" w:eastAsia="Arial" w:hAnsi="Arial"/>
          <w:sz w:val="18"/>
          <w:szCs w:val="18"/>
          <w:color w:val="auto"/>
        </w:rPr>
        <w:t>To Sublandlord: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Via Wire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Name: Knowles Electronics,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18"/>
          <w:szCs w:val="18"/>
          <w:color w:val="auto"/>
        </w:rPr>
        <w:t>ABA Routing Number:</w:t>
      </w:r>
      <w:r>
        <w:rPr>
          <w:sz w:val="20"/>
          <w:szCs w:val="20"/>
          <w:color w:val="auto"/>
        </w:rPr>
        <w:tab/>
      </w:r>
      <w:r>
        <w:rPr>
          <w:rFonts w:ascii="Arial" w:cs="Arial" w:eastAsia="Arial" w:hAnsi="Arial"/>
          <w:sz w:val="16"/>
          <w:szCs w:val="16"/>
          <w:color w:val="auto"/>
        </w:rPr>
        <w:t>Swift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Payments that Subtenant owes to Landlord shall be paid as described in the Master Lease.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12 - AUTHORITY AND CONTINUING LIABILITY OF SUBLANDLORD</w:t>
      </w:r>
    </w:p>
    <w:p>
      <w:pPr>
        <w:spacing w:after="0" w:line="229" w:lineRule="exact"/>
        <w:rPr>
          <w:sz w:val="20"/>
          <w:szCs w:val="20"/>
          <w:color w:val="auto"/>
        </w:rPr>
      </w:pPr>
    </w:p>
    <w:p>
      <w:pPr>
        <w:ind w:right="40" w:firstLine="8"/>
        <w:spacing w:after="0" w:line="273" w:lineRule="auto"/>
        <w:rPr>
          <w:sz w:val="20"/>
          <w:szCs w:val="20"/>
          <w:color w:val="auto"/>
        </w:rPr>
      </w:pPr>
      <w:r>
        <w:rPr>
          <w:rFonts w:ascii="Arial" w:cs="Arial" w:eastAsia="Arial" w:hAnsi="Arial"/>
          <w:sz w:val="17"/>
          <w:szCs w:val="17"/>
          <w:color w:val="auto"/>
        </w:rPr>
        <w:t>Subtenant and Sublandlord each hereby covenant, warrant and represent to the other that each individual executing or delivering this Sublease on behalf of Subtenant or Sublandlord respectively is duly authorized to do so in accordance with the organizational documents of Subtenant and Sublandlord respectively; that this Sublease is binding upon each; that each of Subtenant and Sublandlord is duly organized in the State of origin and is authorized to conduct business in the State of California; and that the execution and delivery of this Sublease by will not result in any breach of, or constitute a default under, any mortgage, deed of trust, lease, loan, credit agreement, partnership agreement or other contract or instrument to which Subtenant or Sublandlord respectively is a party or by which Subtenant or Sublandlord may be bound.</w:t>
      </w:r>
    </w:p>
    <w:p>
      <w:pPr>
        <w:spacing w:after="0" w:line="178" w:lineRule="exact"/>
        <w:rPr>
          <w:sz w:val="20"/>
          <w:szCs w:val="20"/>
          <w:color w:val="auto"/>
        </w:rPr>
      </w:pPr>
    </w:p>
    <w:p>
      <w:pPr>
        <w:ind w:right="60" w:firstLine="4"/>
        <w:spacing w:after="0" w:line="259" w:lineRule="auto"/>
        <w:rPr>
          <w:sz w:val="20"/>
          <w:szCs w:val="20"/>
          <w:color w:val="auto"/>
        </w:rPr>
      </w:pPr>
      <w:r>
        <w:rPr>
          <w:rFonts w:ascii="Arial" w:cs="Arial" w:eastAsia="Arial" w:hAnsi="Arial"/>
          <w:sz w:val="18"/>
          <w:szCs w:val="18"/>
          <w:color w:val="auto"/>
        </w:rPr>
        <w:t>Sublandlord hereby acknowledges that this Sublease does not relieve it from its liability for the payment of rent and the performance and observance of all of the terms, conditions, covenants and obligations under the Master Lease. Sublandlord further acknowledges that this Sublease shall not be construed to modify, waive, impair, or affect any of the terms, provisions or conditions of the Master Lease, except as expressly stated in this Sublease with respect to extension of the Master Lease.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13 — SECURITY DEPOSIT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Concurrent with Subtenant’s execution of this Sublease, Subtenant shall deposit with Sublandlord a security deposit (the “Security Deposit”) in the amount stated in the Terms of Sublease, as security for the faithful performance by Subtenant of all of its obligations under this Sublease and the Master Lease. If Subtenant Defaults with respect to any provisions of this Sublease (including any obligations under the Master Lease), beyond any applicable notice and cure period set forth, including but not limited to, the provisions relating to the payment of Rent, the removal of property and the repair of damage, Sublandlord may, without notice to Subtenant, but shall not be required to apply all or any part of the Security Deposit for the payment of any Rent or any other sum in Default and Subtenant shall, upon demand therefor, restore the Security Deposit to its original amount. Any alterations or improvements approved by Landlord or Sublandlord with the condition that such items be removed at the time of termination or expiration of the Sublease must be removed by Subtenant; Subtenant agrees that the cost of such removal and repair will be deducted from the Security Deposit and may include repairs to the Common Areas due to changes or damage caused by Subtenant. Any unapplied portion of the Security Deposit shall be returned to Subtenant, or at Sublandlord’s option, to the last assignee of Tenant’s interest hereunder, within sixty (60) days following the expiration of the Sublease Term. Tenant shall not be entitled to any interest on the Security Deposit and Sublandlord shall have the right to commingle the Security Deposit with</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625" w:name="page626"/>
    <w:bookmarkEnd w:id="625"/>
    <w:p>
      <w:pPr>
        <w:ind w:right="100"/>
        <w:spacing w:after="0" w:line="254" w:lineRule="auto"/>
        <w:rPr>
          <w:sz w:val="20"/>
          <w:szCs w:val="20"/>
          <w:color w:val="auto"/>
        </w:rPr>
      </w:pPr>
      <w:r>
        <w:rPr>
          <w:rFonts w:ascii="Arial" w:cs="Arial" w:eastAsia="Arial" w:hAnsi="Arial"/>
          <w:sz w:val="18"/>
          <w:szCs w:val="18"/>
          <w:color w:val="auto"/>
        </w:rPr>
        <w:t>Sublandlord’s other funds. Subtenant hereby waives the provisions of Section 1950.7 of the California Civil Code and all other provisions of law, now or hereafter in effect, which (i) establish the time frame by which a landlord must refund a security deposit under a lease, and/or (ii) provide that a landlord may claim from a security deposit only those sums reasonably necessary to remedy defaults in the payment of rent, to repair damage caused by a tenant or to clean the premises, it being agreed that Sublandlord may, in addition, claim those sums specified in this Article 13 above and/or those sums reasonably necessary to compensate Sublandlord or Landlord for any loss or damage caused by Subtenant’s Default under this Sublease, including, but not limited to, all damages or rent due upon termination of this Sublease pursuant to Section 1951.2 of the California Civil Code (as such provision may be amended or modified).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14 - LANDLORD’S CONSENT</w:t>
      </w:r>
    </w:p>
    <w:p>
      <w:pPr>
        <w:spacing w:after="0" w:line="229" w:lineRule="exact"/>
        <w:rPr>
          <w:sz w:val="20"/>
          <w:szCs w:val="20"/>
          <w:color w:val="auto"/>
        </w:rPr>
      </w:pPr>
    </w:p>
    <w:p>
      <w:pPr>
        <w:ind w:right="60" w:firstLine="17"/>
        <w:spacing w:after="0" w:line="257" w:lineRule="auto"/>
        <w:rPr>
          <w:sz w:val="20"/>
          <w:szCs w:val="20"/>
          <w:color w:val="auto"/>
        </w:rPr>
      </w:pPr>
      <w:r>
        <w:rPr>
          <w:rFonts w:ascii="Arial" w:cs="Arial" w:eastAsia="Arial" w:hAnsi="Arial"/>
          <w:sz w:val="18"/>
          <w:szCs w:val="18"/>
          <w:color w:val="auto"/>
        </w:rPr>
        <w:t xml:space="preserve">It is acknowledged and agreed that this Sublease is conditioned upon Landlord granting its written consent to the terms and conditions hereof, subject to and in accordance with the terms of Article 14 of the Master Lease (such consent being referred to as the </w:t>
      </w:r>
      <w:r>
        <w:rPr>
          <w:rFonts w:ascii="Arial" w:cs="Arial" w:eastAsia="Arial" w:hAnsi="Arial"/>
          <w:sz w:val="18"/>
          <w:szCs w:val="18"/>
          <w:b w:val="1"/>
          <w:bCs w:val="1"/>
          <w:color w:val="auto"/>
        </w:rPr>
        <w:t>“Consent”).</w:t>
      </w:r>
      <w:r>
        <w:rPr>
          <w:rFonts w:ascii="Arial" w:cs="Arial" w:eastAsia="Arial" w:hAnsi="Arial"/>
          <w:sz w:val="18"/>
          <w:szCs w:val="18"/>
          <w:color w:val="auto"/>
        </w:rPr>
        <w:t xml:space="preserve"> Unless specifically set forth in writing, Landlord’s Consent does not constitute approval by Landlord of any of the provisions of this Sublease, or agreement thereto or therewith, but only approval of the sublet of the Sublease Premises to Subtenant. Sublandlord shall be solely responsible for all costs to obtain Landlord’s consent to this Sublease.</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Sublandlord shall use commercially reasonable efforts to deliver to Subtenant the Consent of Landlord to this Sublease within thirty (30) days after full execution of this Sublease. Sublandlord shall make a written request to cause Landlord to include in the Consent a commercially reasonable non-disturbance agreement that would recognize Subtenant under a direct lease with substantially the same terms and conditions of this Sublease. Any payment of attorneys’ fees required by Landlord as a condition to delivering such non-disturbance agreement shall be split equally between Sublandlord and Subtenant. Subtenant shall cooperate with Sublandlord in seeking the Consent, including, without limitation, promptly supplying all information and documentation reasonably requested by Landlord with respect to Subtenant. If the Consent of Landlord to this Sublease is not obtained within sixty (60) days after full execution of this Sublease, provided that Subtenant has promptly and diligently furnished to Sublandlord and Landlord all information reasonably requested by them, Subtenant shall have the right to terminate this Sublease by giving written notice to Sublandlord pursuant to Article 11, in which case the Security Deposit shall be promptly returned to Subtenant and the parties shall have no further obligation to each other. To the extent that any delays in Consent is caused by Subtenant’s actions or inactions shall not postpone any of Subtenant’s obligations for payment of Rent under this Sublease.</w:t>
      </w:r>
    </w:p>
    <w:p>
      <w:pPr>
        <w:spacing w:after="0" w:line="182" w:lineRule="exact"/>
        <w:rPr>
          <w:sz w:val="20"/>
          <w:szCs w:val="20"/>
          <w:color w:val="auto"/>
        </w:rPr>
      </w:pPr>
    </w:p>
    <w:p>
      <w:pPr>
        <w:ind w:right="100" w:firstLine="8"/>
        <w:spacing w:after="0" w:line="263" w:lineRule="auto"/>
        <w:rPr>
          <w:sz w:val="20"/>
          <w:szCs w:val="20"/>
          <w:color w:val="auto"/>
        </w:rPr>
      </w:pPr>
      <w:r>
        <w:rPr>
          <w:rFonts w:ascii="Arial" w:cs="Arial" w:eastAsia="Arial" w:hAnsi="Arial"/>
          <w:sz w:val="18"/>
          <w:szCs w:val="18"/>
          <w:color w:val="auto"/>
        </w:rPr>
        <w:t>This Sublease is also conditioned upon Subtenant receiving adequate assurances (as determined by Subtenant) that Landlord will agree to allow Subtenant to install a biometric lock on the doors of the Premises and audio/video monitoring equipment, as shown on the plans and specifications attached as Exhibit D.</w:t>
      </w:r>
    </w:p>
    <w:p>
      <w:pPr>
        <w:spacing w:after="0" w:line="180"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ARTICLE 15 - TERMINATION OF MASTER LEASE</w:t>
      </w:r>
    </w:p>
    <w:p>
      <w:pPr>
        <w:spacing w:after="0" w:line="229" w:lineRule="exact"/>
        <w:rPr>
          <w:sz w:val="20"/>
          <w:szCs w:val="20"/>
          <w:color w:val="auto"/>
        </w:rPr>
      </w:pPr>
    </w:p>
    <w:p>
      <w:pPr>
        <w:jc w:val="both"/>
        <w:ind w:right="40" w:firstLine="17"/>
        <w:spacing w:after="0" w:line="257" w:lineRule="auto"/>
        <w:rPr>
          <w:sz w:val="20"/>
          <w:szCs w:val="20"/>
          <w:color w:val="auto"/>
        </w:rPr>
      </w:pPr>
      <w:r>
        <w:rPr>
          <w:rFonts w:ascii="Arial" w:cs="Arial" w:eastAsia="Arial" w:hAnsi="Arial"/>
          <w:sz w:val="18"/>
          <w:szCs w:val="18"/>
          <w:color w:val="auto"/>
        </w:rPr>
        <w:t xml:space="preserve">If at any time prior to the expiration or termination of this Sublease, the Master Lease shall expire or terminate (or Sublandlord’s right to possession shall terminate without termination of the Master Lease), this Sublease shall simultaneously expire or terminate. However, Subtenant agrees, at the election and upon the written demand of Landlord, and not otherwise, to attorn to Landlord for the remainder of the Sublease Term, with such reasonable modifications to the Master Lease, as Landlord and Subtenant may agree upon,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Landlord takes over and otherwise assumes all of the right, title and interest of Sublandlord under this Sublease.</w:t>
      </w:r>
    </w:p>
    <w:p>
      <w:pPr>
        <w:spacing w:after="0" w:line="188" w:lineRule="exact"/>
        <w:rPr>
          <w:sz w:val="20"/>
          <w:szCs w:val="20"/>
          <w:color w:val="auto"/>
        </w:rPr>
      </w:pPr>
    </w:p>
    <w:p>
      <w:pPr>
        <w:ind w:right="280" w:firstLine="4"/>
        <w:spacing w:after="0" w:line="277" w:lineRule="auto"/>
        <w:rPr>
          <w:sz w:val="20"/>
          <w:szCs w:val="20"/>
          <w:color w:val="auto"/>
        </w:rPr>
      </w:pPr>
      <w:r>
        <w:rPr>
          <w:rFonts w:ascii="Arial" w:cs="Arial" w:eastAsia="Arial" w:hAnsi="Arial"/>
          <w:sz w:val="18"/>
          <w:szCs w:val="18"/>
          <w:color w:val="auto"/>
        </w:rPr>
        <w:t>The foregoing provisions of this paragraph shall apply notwithstanding that, as a matter of law, this Sublease shall terminate upon the termination of the Master Lease and shall be self-operative upon such written demand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26" w:name="page627"/>
    <w:bookmarkEnd w:id="626"/>
    <w:p>
      <w:pPr>
        <w:ind w:right="60"/>
        <w:spacing w:after="0" w:line="259" w:lineRule="auto"/>
        <w:rPr>
          <w:sz w:val="20"/>
          <w:szCs w:val="20"/>
          <w:color w:val="auto"/>
        </w:rPr>
      </w:pPr>
      <w:r>
        <w:rPr>
          <w:rFonts w:ascii="Arial" w:cs="Arial" w:eastAsia="Arial" w:hAnsi="Arial"/>
          <w:sz w:val="18"/>
          <w:szCs w:val="18"/>
          <w:color w:val="auto"/>
        </w:rPr>
        <w:t>of the Landlord, and no further instrument shall be required to give effect to said provisions; provided, however, Subtenant agrees to execute an attornment agreement, in form and substance acceptable to Landlord and Subtenant, pursuant to which Subtenant confirms that all obligations owed to Sublandlord under this Sublease shall become obligations owed to Landlord for the balance of the Sublease Term, and Landlord agrees to take over all of the right, title and interest of Sublandlord under this Sublease.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16 - NO PRIVITY</w:t>
      </w:r>
    </w:p>
    <w:p>
      <w:pPr>
        <w:spacing w:after="0" w:line="229" w:lineRule="exact"/>
        <w:rPr>
          <w:sz w:val="20"/>
          <w:szCs w:val="20"/>
          <w:color w:val="auto"/>
        </w:rPr>
      </w:pPr>
    </w:p>
    <w:p>
      <w:pPr>
        <w:ind w:right="120" w:firstLine="8"/>
        <w:spacing w:after="0" w:line="257" w:lineRule="auto"/>
        <w:rPr>
          <w:sz w:val="20"/>
          <w:szCs w:val="20"/>
          <w:color w:val="auto"/>
        </w:rPr>
      </w:pPr>
      <w:r>
        <w:rPr>
          <w:rFonts w:ascii="Arial" w:cs="Arial" w:eastAsia="Arial" w:hAnsi="Arial"/>
          <w:sz w:val="18"/>
          <w:szCs w:val="18"/>
          <w:color w:val="auto"/>
        </w:rPr>
        <w:t>Notwithstanding anything to the contrary in this Sublease, unless Subtenant attorns to Landlord in accordance with the terms of Article 15 above, in no event shall Landlord be deemed to be in privity of contract with Subtenant or owe any obligation or duty to Subtenant under the Master Lease or this Sublease, any duties of Landlord under the Master Lease are required by law being in favor of, for the benefit of, and enforceable solely by Sublandlord. Sublandlord agrees to coordinate with Subtenant to seek to obtain notice and opportunity to cure rights for Subtenant with respect to any breach or default by Sublandlord under the Master Lease.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17 - REAL ESTATE BROKERS</w:t>
      </w:r>
    </w:p>
    <w:p>
      <w:pPr>
        <w:spacing w:after="0" w:line="229" w:lineRule="exact"/>
        <w:rPr>
          <w:sz w:val="20"/>
          <w:szCs w:val="20"/>
          <w:color w:val="auto"/>
        </w:rPr>
      </w:pPr>
    </w:p>
    <w:p>
      <w:pPr>
        <w:ind w:right="180" w:firstLine="21"/>
        <w:spacing w:after="0" w:line="289" w:lineRule="auto"/>
        <w:rPr>
          <w:sz w:val="20"/>
          <w:szCs w:val="20"/>
          <w:color w:val="auto"/>
        </w:rPr>
      </w:pPr>
      <w:r>
        <w:rPr>
          <w:rFonts w:ascii="Arial" w:cs="Arial" w:eastAsia="Arial" w:hAnsi="Arial"/>
          <w:sz w:val="16"/>
          <w:szCs w:val="16"/>
          <w:color w:val="auto"/>
        </w:rPr>
        <w:t xml:space="preserve">Sublandlord and Subtenant each confirm and agree that no broker other than Cushman &amp; Wakefield (Douglas Sugimoto) representing Sublandlord and Jones Lang LaSalle (Steve Levere) representing Subtenant (collectively, the </w:t>
      </w:r>
      <w:r>
        <w:rPr>
          <w:rFonts w:ascii="Arial" w:cs="Arial" w:eastAsia="Arial" w:hAnsi="Arial"/>
          <w:sz w:val="16"/>
          <w:szCs w:val="16"/>
          <w:b w:val="1"/>
          <w:bCs w:val="1"/>
          <w:color w:val="auto"/>
        </w:rPr>
        <w:t>“Brokers”)</w:t>
      </w:r>
      <w:r>
        <w:rPr>
          <w:rFonts w:ascii="Arial" w:cs="Arial" w:eastAsia="Arial" w:hAnsi="Arial"/>
          <w:sz w:val="16"/>
          <w:szCs w:val="16"/>
          <w:color w:val="auto"/>
        </w:rPr>
        <w:t xml:space="preserve"> is entitled to a commission in connection with this Sublease, which commission shall be payable only pursuant to the terms of a separate written agreement between Sublandlord and its Broker. Sublandlord and Subtenant jointly and severally agree to indemnify and hold Landlord harmless from all loss, costs (including, without limitation, reasonable attorney’s fees), damages and expenses arising from any claims or demands of any other broker or finder for any commission or fee due or alleged to be due in connection with this Sublease by reason of the act of the indemnifying party. Further, each of Sublandlord and Subtenant agree to indemnify and hold harmless the other party hereto from all loss, costs (including, without limitation, reasonable attorney’s fees), damages and expenses arising from any claims or demands of any broker or finder for any commission or fee due or alleged to be due in connection with this Sublease by reason of the act of the indemnifying party, except with respect to the Brokers, as set forth herein.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 xml:space="preserve">ARTICLE </w:t>
      </w:r>
      <w:r>
        <w:rPr>
          <w:rFonts w:ascii="Arial" w:cs="Arial" w:eastAsia="Arial" w:hAnsi="Arial"/>
          <w:sz w:val="18"/>
          <w:szCs w:val="18"/>
          <w:u w:val="single" w:color="auto"/>
          <w:color w:val="auto"/>
        </w:rPr>
        <w:t>18 -</w:t>
      </w:r>
      <w:r>
        <w:rPr>
          <w:rFonts w:ascii="Arial" w:cs="Arial" w:eastAsia="Arial" w:hAnsi="Arial"/>
          <w:sz w:val="18"/>
          <w:szCs w:val="18"/>
          <w:b w:val="1"/>
          <w:bCs w:val="1"/>
          <w:u w:val="single" w:color="auto"/>
          <w:color w:val="auto"/>
        </w:rPr>
        <w:t xml:space="preserve"> DELIVERY OF COPIES OF NOTICES</w:t>
      </w:r>
    </w:p>
    <w:p>
      <w:pPr>
        <w:spacing w:after="0" w:line="229" w:lineRule="exact"/>
        <w:rPr>
          <w:sz w:val="20"/>
          <w:szCs w:val="20"/>
          <w:color w:val="auto"/>
        </w:rPr>
      </w:pPr>
    </w:p>
    <w:p>
      <w:pPr>
        <w:ind w:right="100" w:firstLine="4"/>
        <w:spacing w:after="0" w:line="301" w:lineRule="auto"/>
        <w:rPr>
          <w:sz w:val="20"/>
          <w:szCs w:val="20"/>
          <w:color w:val="auto"/>
        </w:rPr>
      </w:pPr>
      <w:r>
        <w:rPr>
          <w:rFonts w:ascii="Arial" w:cs="Arial" w:eastAsia="Arial" w:hAnsi="Arial"/>
          <w:sz w:val="16"/>
          <w:szCs w:val="16"/>
          <w:color w:val="auto"/>
        </w:rPr>
        <w:t>Sublandlord and Subtenant agree to promptly deliver within three (3) business days (unless such notices requires performance within a lesser period of time, in which case such time for delivery shall be similarly reduced) copies of all notices sent or received under the Master Lease and under this Sublease to Landlord and to each other, as applicable. Sublandlord is required to provide to Subtenant any and all notices received from Landlord, with sufficient time to ensure that Subtenant has sufficient opportunity to exercise any option to cure any alleged breach of Sublandlord in the Master Lease.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19 - CONDITION OF SUBLEASE PREMISES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Subtenant acknowledges that it is subleasing the Sublease Premises “AS IS” and to the best of Sublandlord’s information and belief, the Sublease Premises is in good repair and working order. Subtenant acknowledges that it has had access to the Sublease Premises prior to the Sublease Commencement Date and the opportunity to inspect the Sublease Premises to make its own determination regarding the present condition of the Sublease Premises. Accordingly, Sublandlord’sacknowledgement of condition, as expressly stated in this Article 19, is limited to defects that are known to Sublandlord.. Sublandlord lacks sufficient knowledge to make any representation or warranty about the Building outside of the Sublease Premises and consequently, except as expressly provided in this Article 19, makes no representation or warranty regarding such areas. Sublandlord is not obligated to perform any work of improvement, including repainting, to prepare the Sublease Premises for Subtenant’s occupancy.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27" w:name="page628"/>
    <w:bookmarkEnd w:id="627"/>
    <w:p>
      <w:pPr>
        <w:spacing w:after="0" w:line="259" w:lineRule="auto"/>
        <w:rPr>
          <w:sz w:val="20"/>
          <w:szCs w:val="20"/>
          <w:color w:val="auto"/>
        </w:rPr>
      </w:pPr>
      <w:r>
        <w:rPr>
          <w:rFonts w:ascii="Arial" w:cs="Arial" w:eastAsia="Arial" w:hAnsi="Arial"/>
          <w:sz w:val="18"/>
          <w:szCs w:val="18"/>
          <w:color w:val="auto"/>
        </w:rPr>
        <w:t>Sublandlord has provided Subtenant an inventory of the furniture, fixtures and equipment (“FF&amp;E”) in the Sublease Premises. Not later than the date of full execution of this Sublease,, Subtenant will advise Sublandlord in writing which items of FF &amp; E Subtenant would like removed from the Sublease Premises; Sublandlord will remove those items on or before the later of (i) the Sublease Commencement Date; or (ii) ten (10) business days of receipt of Subtenant’s request for removal of FF&amp;E.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Sublandlord will lease the remaining FF&amp;E items on such inventory to Subtenant for one dollar ($1.00) per year Subtenant shall be solely responsible for upkeep, maintenance, repair and insuring all FF&amp;E remaining in the Sublease Premises. Subtenant will promptly notify Sublandlord of any items of FF&amp;E that are damaged and cannot be repaired and reimburse Sublandlord for such items. No FF&amp;E may be removed from the Sublease Premises (other than for repair or maintenance) without Sublandlord’s prior written consent.</w:t>
      </w:r>
    </w:p>
    <w:p>
      <w:pPr>
        <w:spacing w:after="0" w:line="18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the event that Subtenant does not exercise the early termination option and is not in Default under the Master Lease or Sublease as of December 1, 2019, Sublandlord will sell Subtenant all FF&amp;E for the sum of an additional dollar ($1.00). If Subtenant elects not to purchase the FF&amp;E, Sublandlord shall remove all FF&amp;E on the Sublease Expiration Date and repair all damage to the Premises caused by such removal. All FF&amp;E is leased (and if sold, will be sold) to Subtenant “AS IS and WITH ALL FAULTS” with no warranties other than any manufacturers warranties, as may be in effect.</w:t>
      </w:r>
    </w:p>
    <w:p>
      <w:pPr>
        <w:spacing w:after="0" w:line="15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Subtenant represents and warrants that they will continue existing and replacement service agreements for FF&amp;E remaining in the Sublease Premises throughout the Sublease Term and will assume the applicable monthly service and maintenance charges, including without limitation, Sublandlord’s security system, CCTV system and card reader system. Upon request of Sublandlord, Subtenant will furnish evidence of such policies for service and maintenance of other information related to such FF&amp;E as may be requested by Sublandlord.</w:t>
      </w:r>
    </w:p>
    <w:p>
      <w:pPr>
        <w:spacing w:after="0" w:line="171" w:lineRule="exact"/>
        <w:rPr>
          <w:sz w:val="20"/>
          <w:szCs w:val="20"/>
          <w:color w:val="auto"/>
        </w:rPr>
      </w:pPr>
    </w:p>
    <w:p>
      <w:pPr>
        <w:ind w:right="160" w:firstLine="25"/>
        <w:spacing w:after="0" w:line="277" w:lineRule="auto"/>
        <w:rPr>
          <w:sz w:val="20"/>
          <w:szCs w:val="20"/>
          <w:color w:val="auto"/>
        </w:rPr>
      </w:pPr>
      <w:r>
        <w:rPr>
          <w:rFonts w:ascii="Arial" w:cs="Arial" w:eastAsia="Arial" w:hAnsi="Arial"/>
          <w:sz w:val="18"/>
          <w:szCs w:val="18"/>
          <w:color w:val="auto"/>
        </w:rPr>
        <w:t>Subtenant acknowledges and agrees that Subtenant is not entitled to receive a tenant improvement allowance or any other allowance from Sublandlord or Landlord in connection with this Sublease.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Subtenant is not authorized to make or do any alterations or improvements in or to the Sublease Premises without Sublandlord’s and Landlord’s consent as required by the Master Lease and this Sublease.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Any improvements constructed to the Sublease Premises by Subtenant in accordance with this Sublease shall (i) be at Subtenant’s sole costs and expense;</w:t>
      </w:r>
    </w:p>
    <w:p>
      <w:pPr>
        <w:spacing w:after="0" w:line="46" w:lineRule="exact"/>
        <w:rPr>
          <w:sz w:val="20"/>
          <w:szCs w:val="20"/>
          <w:color w:val="auto"/>
        </w:rPr>
      </w:pPr>
    </w:p>
    <w:p>
      <w:pPr>
        <w:ind w:right="220" w:firstLine="8"/>
        <w:spacing w:after="0" w:line="253" w:lineRule="auto"/>
        <w:tabs>
          <w:tab w:leader="none" w:pos="265" w:val="left"/>
        </w:tabs>
        <w:numPr>
          <w:ilvl w:val="0"/>
          <w:numId w:val="538"/>
        </w:numPr>
        <w:rPr>
          <w:rFonts w:ascii="Arial" w:cs="Arial" w:eastAsia="Arial" w:hAnsi="Arial"/>
          <w:sz w:val="18"/>
          <w:szCs w:val="18"/>
          <w:color w:val="auto"/>
        </w:rPr>
      </w:pPr>
      <w:r>
        <w:rPr>
          <w:rFonts w:ascii="Arial" w:cs="Arial" w:eastAsia="Arial" w:hAnsi="Arial"/>
          <w:sz w:val="18"/>
          <w:szCs w:val="18"/>
          <w:color w:val="auto"/>
        </w:rPr>
        <w:t>be subject to the approval and consent of the Sublandlord and Landlord pursuant to the Master Lease and this Sublease; (iii) be subject to removal by Subtenant at the expense of Subtenant at the end of the Sublease Term (unless Sublandlord or Landlord otherwise instructs Subtenant in writing or have been pre-approved as an improvement that does not require removal); and (iv) comply with all applicable Laws, ordinances and codes and all of the provisions of the Master Lease.</w:t>
      </w:r>
    </w:p>
    <w:p>
      <w:pPr>
        <w:spacing w:after="0" w:line="19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Subtenant shall surrender the Sublease Premises to Sublandlord on the Sublease Expiration Date or such earlier termination date in the condition required by this Sublease and in accordance with the terms of the Master Lease, and in a broom-clean condition, normal wear and tear, casualty and condemnation, and damage by Landlord or Sublandlord excepted, and as set forth in Article 15 of the Master Lease, provided, however, that in no event shall Subtenant be required to remove any alterations or improvements to the Sublease Premises that were installed before the Sublease Commencement Date.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20 - PARKING AND COMMON AREAS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Sublandlord shall make available to Subtenant its unreserved parking passes as provided by Landlord, subject to and in accordance with Article 28 of the Master Lease.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 xml:space="preserve">ARTICLE </w:t>
      </w:r>
      <w:r>
        <w:rPr>
          <w:rFonts w:ascii="Arial" w:cs="Arial" w:eastAsia="Arial" w:hAnsi="Arial"/>
          <w:sz w:val="18"/>
          <w:szCs w:val="18"/>
          <w:u w:val="single" w:color="auto"/>
          <w:color w:val="auto"/>
        </w:rPr>
        <w:t>22 -</w:t>
      </w:r>
      <w:r>
        <w:rPr>
          <w:rFonts w:ascii="Arial" w:cs="Arial" w:eastAsia="Arial" w:hAnsi="Arial"/>
          <w:sz w:val="18"/>
          <w:szCs w:val="18"/>
          <w:b w:val="1"/>
          <w:bCs w:val="1"/>
          <w:u w:val="single" w:color="auto"/>
          <w:color w:val="auto"/>
        </w:rPr>
        <w:t xml:space="preserve"> HAZARDOUS MATERIALS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Subtenant shall not use, generate, manufacture, store or dispose of, on or about the Sublease Premises or Building, or transport to or from the Sublease Premises or Building, any Hazardous Materials. Notwithstanding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28" w:name="page629"/>
    <w:bookmarkEnd w:id="628"/>
    <w:p>
      <w:pPr>
        <w:ind w:right="180"/>
        <w:spacing w:after="0" w:line="284" w:lineRule="auto"/>
        <w:rPr>
          <w:sz w:val="20"/>
          <w:szCs w:val="20"/>
          <w:color w:val="auto"/>
        </w:rPr>
      </w:pPr>
      <w:r>
        <w:rPr>
          <w:rFonts w:ascii="Arial" w:cs="Arial" w:eastAsia="Arial" w:hAnsi="Arial"/>
          <w:sz w:val="16"/>
          <w:szCs w:val="16"/>
          <w:color w:val="auto"/>
        </w:rPr>
        <w:t xml:space="preserve">the provisions of this Article 22, Subtenant and Sublandlord shall have the right to use, generate and store on the Sublease Premises and the Building, and transport to and from the Sublease Premises and the Building, those Hazardous Materials which are generally used in the ordinary course of business; provided, however, that Subtenant’s and Sublandlord’s use, generation, storage and transport thereof is in compliance with all applicable federal, state and local laws, regulations and ordinances and Subtenant is further subject to the restrictions in set forth below. As used in this Sublease, </w:t>
      </w:r>
      <w:r>
        <w:rPr>
          <w:rFonts w:ascii="Arial" w:cs="Arial" w:eastAsia="Arial" w:hAnsi="Arial"/>
          <w:sz w:val="16"/>
          <w:szCs w:val="16"/>
          <w:b w:val="1"/>
          <w:bCs w:val="1"/>
          <w:color w:val="auto"/>
        </w:rPr>
        <w:t>“Hazardous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Materials” </w:t>
      </w:r>
      <w:r>
        <w:rPr>
          <w:rFonts w:ascii="Arial" w:cs="Arial" w:eastAsia="Arial" w:hAnsi="Arial"/>
          <w:sz w:val="16"/>
          <w:szCs w:val="16"/>
          <w:color w:val="auto"/>
        </w:rPr>
        <w:t>shall mean any material or substance that is now or hereafter defined or regulated by any statute, regulation, ordinance, or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thereunder, as radioactive, toxic, hazardous, or waste, or a chemical known to the state of California to cause cancer or reproductive toxicity, including but not limited to (i) petroleum and any of its constituents or byproducts, (ii) radioactive materials, (iii) asbestos in any form or condition, and</w:t>
      </w:r>
    </w:p>
    <w:p>
      <w:pPr>
        <w:spacing w:after="0" w:line="2" w:lineRule="exact"/>
        <w:rPr>
          <w:sz w:val="20"/>
          <w:szCs w:val="20"/>
          <w:color w:val="auto"/>
        </w:rPr>
      </w:pPr>
    </w:p>
    <w:p>
      <w:pPr>
        <w:ind w:right="160" w:firstLine="8"/>
        <w:spacing w:after="0" w:line="292" w:lineRule="auto"/>
        <w:tabs>
          <w:tab w:leader="none" w:pos="305" w:val="left"/>
        </w:tabs>
        <w:numPr>
          <w:ilvl w:val="0"/>
          <w:numId w:val="539"/>
        </w:numPr>
        <w:rPr>
          <w:rFonts w:ascii="Arial" w:cs="Arial" w:eastAsia="Arial" w:hAnsi="Arial"/>
          <w:sz w:val="16"/>
          <w:szCs w:val="16"/>
          <w:color w:val="auto"/>
        </w:rPr>
      </w:pPr>
      <w:r>
        <w:rPr>
          <w:rFonts w:ascii="Arial" w:cs="Arial" w:eastAsia="Arial" w:hAnsi="Arial"/>
          <w:sz w:val="16"/>
          <w:szCs w:val="16"/>
          <w:color w:val="auto"/>
        </w:rPr>
        <w:t>substances or materials regulated by any of the following, as amended from time to time, and any rules promulgated thereunder: the Comprehensive Environmental Response Compensation and Liability Act of 1980, 42 U.S.C. §§9601 et seq.; the Resource Conservation and Recovery Act, 42 U.S.C. §§6901, et seq.; the Toxic Substances Control Act, 15 U.S.C. §§2601, et seq.; the Clean Water Act, 33 U.S.C. §§1251 et seq; the Clean Air Act, 42 U.S.C. §§7401 et seq. The California Health and Safety Code; The California Water Code; The California Labor Code; The California Public Resources Code; The California Fish and Game Code. Notwithstanding anything herein to the contrary, Subtenant further agrees as follows:</w:t>
      </w:r>
    </w:p>
    <w:p>
      <w:pPr>
        <w:spacing w:after="0" w:line="162" w:lineRule="exact"/>
        <w:rPr>
          <w:rFonts w:ascii="Arial" w:cs="Arial" w:eastAsia="Arial" w:hAnsi="Arial"/>
          <w:sz w:val="16"/>
          <w:szCs w:val="16"/>
          <w:color w:val="auto"/>
        </w:rPr>
      </w:pPr>
    </w:p>
    <w:p>
      <w:pPr>
        <w:ind w:left="1160" w:hanging="504"/>
        <w:spacing w:after="0"/>
        <w:tabs>
          <w:tab w:leader="none" w:pos="116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Subtenant will not use, store or bring onto the Building, Property or Sublease Premises any chlorinated solvents.</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1"/>
          <w:numId w:val="539"/>
        </w:numPr>
        <w:rPr>
          <w:rFonts w:ascii="Arial" w:cs="Arial" w:eastAsia="Arial" w:hAnsi="Arial"/>
          <w:sz w:val="18"/>
          <w:szCs w:val="18"/>
          <w:color w:val="auto"/>
        </w:rPr>
      </w:pPr>
      <w:r>
        <w:rPr>
          <w:rFonts w:ascii="Arial" w:cs="Arial" w:eastAsia="Arial" w:hAnsi="Arial"/>
          <w:sz w:val="18"/>
          <w:szCs w:val="18"/>
          <w:color w:val="auto"/>
        </w:rPr>
        <w:t>Subtenant will not discharge any material to the storm water system, whether or not such material is Hazardous Material.</w:t>
      </w:r>
    </w:p>
    <w:p>
      <w:pPr>
        <w:spacing w:after="0" w:line="225" w:lineRule="exact"/>
        <w:rPr>
          <w:rFonts w:ascii="Arial" w:cs="Arial" w:eastAsia="Arial" w:hAnsi="Arial"/>
          <w:sz w:val="18"/>
          <w:szCs w:val="18"/>
          <w:color w:val="auto"/>
        </w:rPr>
      </w:pPr>
    </w:p>
    <w:p>
      <w:pPr>
        <w:ind w:left="1180" w:right="60" w:hanging="524"/>
        <w:spacing w:after="0" w:line="291" w:lineRule="auto"/>
        <w:tabs>
          <w:tab w:leader="none" w:pos="1175" w:val="left"/>
        </w:tabs>
        <w:numPr>
          <w:ilvl w:val="1"/>
          <w:numId w:val="539"/>
        </w:numPr>
        <w:rPr>
          <w:rFonts w:ascii="Arial" w:cs="Arial" w:eastAsia="Arial" w:hAnsi="Arial"/>
          <w:sz w:val="16"/>
          <w:szCs w:val="16"/>
          <w:color w:val="auto"/>
        </w:rPr>
      </w:pPr>
      <w:r>
        <w:rPr>
          <w:rFonts w:ascii="Arial" w:cs="Arial" w:eastAsia="Arial" w:hAnsi="Arial"/>
          <w:sz w:val="16"/>
          <w:szCs w:val="16"/>
          <w:color w:val="auto"/>
        </w:rPr>
        <w:t>Prior to using, storing or generating any Hazardous Materials at the Building or Sublease Premises which is permitted hereunder, Subtenant will obtain Landlord’s written consent for such use, storage or generation. Subtenant’s request for consent shall include the following:</w:t>
      </w:r>
    </w:p>
    <w:p>
      <w:pPr>
        <w:ind w:left="1180" w:right="100"/>
        <w:spacing w:after="0" w:line="260" w:lineRule="auto"/>
        <w:rPr>
          <w:rFonts w:ascii="Arial" w:cs="Arial" w:eastAsia="Arial" w:hAnsi="Arial"/>
          <w:sz w:val="16"/>
          <w:szCs w:val="16"/>
          <w:color w:val="auto"/>
        </w:rPr>
      </w:pPr>
      <w:r>
        <w:rPr>
          <w:rFonts w:ascii="Arial" w:cs="Arial" w:eastAsia="Arial" w:hAnsi="Arial"/>
          <w:sz w:val="18"/>
          <w:szCs w:val="18"/>
          <w:color w:val="auto"/>
        </w:rPr>
        <w:t>(i) the chemicals and quantities; (ii) copies of any MSDS for such chemicals; and (iii) copies of any Subtenant written policies with respect to the use of such materials and any accidental spills.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23 — DAMAGE AND DESTRUCTION</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If Subtenant is deprived of substantial use of the Sublease Premises by reason of fire, earthquake, or any other casualty as provided in Article 11 of the Master Lease, and Subtenant cannot be restored to full use and possession of the Sublease Premise within one hundred and eighty (180) days (ninety (90) days if the casualty occurs within the last year of the Sublease Term) after date of the casualty, as reasonably determined by Subtenant, Subtenant shall have the right to terminate this Sublease by giving written notice to Sublandlord within sixty (60) days after the date of Subtenant’s discovery of the damage.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Sublease on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SUBLANDLORD:</w:t>
            </w:r>
          </w:p>
        </w:tc>
        <w:tc>
          <w:tcPr>
            <w:tcW w:w="5960" w:type="dxa"/>
            <w:vAlign w:val="bottom"/>
            <w:gridSpan w:val="2"/>
          </w:tcPr>
          <w:p>
            <w:pPr>
              <w:ind w:left="360"/>
              <w:spacing w:after="0"/>
              <w:rPr>
                <w:sz w:val="20"/>
                <w:szCs w:val="20"/>
                <w:color w:val="auto"/>
              </w:rPr>
            </w:pPr>
            <w:r>
              <w:rPr>
                <w:rFonts w:ascii="Arial" w:cs="Arial" w:eastAsia="Arial" w:hAnsi="Arial"/>
                <w:sz w:val="18"/>
                <w:szCs w:val="18"/>
                <w:b w:val="1"/>
                <w:bCs w:val="1"/>
                <w:color w:val="auto"/>
              </w:rPr>
              <w:t>SUBTENANT:</w:t>
            </w:r>
          </w:p>
        </w:tc>
        <w:tc>
          <w:tcPr>
            <w:tcW w:w="40" w:type="dxa"/>
            <w:vAlign w:val="bottom"/>
          </w:tcPr>
          <w:p>
            <w:pPr>
              <w:spacing w:after="0"/>
              <w:rPr>
                <w:sz w:val="18"/>
                <w:szCs w:val="18"/>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KNOWLES ELECTRONICS, LLC</w:t>
            </w:r>
          </w:p>
        </w:tc>
        <w:tc>
          <w:tcPr>
            <w:tcW w:w="5960" w:type="dxa"/>
            <w:vAlign w:val="bottom"/>
            <w:gridSpan w:val="2"/>
          </w:tcPr>
          <w:p>
            <w:pPr>
              <w:ind w:left="360"/>
              <w:spacing w:after="0"/>
              <w:rPr>
                <w:sz w:val="20"/>
                <w:szCs w:val="20"/>
                <w:color w:val="auto"/>
              </w:rPr>
            </w:pPr>
            <w:r>
              <w:rPr>
                <w:rFonts w:ascii="Arial" w:cs="Arial" w:eastAsia="Arial" w:hAnsi="Arial"/>
                <w:sz w:val="18"/>
                <w:szCs w:val="18"/>
                <w:b w:val="1"/>
                <w:bCs w:val="1"/>
                <w:color w:val="auto"/>
              </w:rPr>
              <w:t>CrowdStrike, Inc.</w:t>
            </w:r>
          </w:p>
        </w:tc>
        <w:tc>
          <w:tcPr>
            <w:tcW w:w="4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By:   /s/ Brian Modloff</w:t>
            </w:r>
          </w:p>
        </w:tc>
        <w:tc>
          <w:tcPr>
            <w:tcW w:w="5960" w:type="dxa"/>
            <w:vAlign w:val="bottom"/>
            <w:gridSpan w:val="2"/>
          </w:tcPr>
          <w:p>
            <w:pPr>
              <w:ind w:left="360"/>
              <w:spacing w:after="0"/>
              <w:rPr>
                <w:sz w:val="20"/>
                <w:szCs w:val="20"/>
                <w:color w:val="auto"/>
              </w:rPr>
            </w:pPr>
            <w:r>
              <w:rPr>
                <w:rFonts w:ascii="Arial" w:cs="Arial" w:eastAsia="Arial" w:hAnsi="Arial"/>
                <w:sz w:val="18"/>
                <w:szCs w:val="18"/>
                <w:b w:val="1"/>
                <w:bCs w:val="1"/>
                <w:color w:val="auto"/>
              </w:rPr>
              <w:t>By:   Burt Podbere</w:t>
            </w: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Print Name: Brian Modloff</w:t>
            </w:r>
          </w:p>
        </w:tc>
        <w:tc>
          <w:tcPr>
            <w:tcW w:w="5960" w:type="dxa"/>
            <w:vAlign w:val="bottom"/>
            <w:gridSpan w:val="2"/>
          </w:tcPr>
          <w:p>
            <w:pPr>
              <w:ind w:left="360"/>
              <w:spacing w:after="0"/>
              <w:rPr>
                <w:sz w:val="20"/>
                <w:szCs w:val="20"/>
                <w:color w:val="auto"/>
              </w:rPr>
            </w:pPr>
            <w:r>
              <w:rPr>
                <w:rFonts w:ascii="Arial" w:cs="Arial" w:eastAsia="Arial" w:hAnsi="Arial"/>
                <w:sz w:val="18"/>
                <w:szCs w:val="18"/>
                <w:b w:val="1"/>
                <w:bCs w:val="1"/>
                <w:color w:val="auto"/>
              </w:rPr>
              <w:t>Print Name: Burt Podbere</w:t>
            </w:r>
          </w:p>
        </w:tc>
        <w:tc>
          <w:tcPr>
            <w:tcW w:w="40" w:type="dxa"/>
            <w:vAlign w:val="bottom"/>
          </w:tcPr>
          <w:p>
            <w:pPr>
              <w:spacing w:after="0"/>
              <w:rPr>
                <w:sz w:val="24"/>
                <w:szCs w:val="24"/>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Title: Director- Global Facilities/HR Mgr</w:t>
            </w:r>
          </w:p>
        </w:tc>
        <w:tc>
          <w:tcPr>
            <w:tcW w:w="5960" w:type="dxa"/>
            <w:vAlign w:val="bottom"/>
            <w:gridSpan w:val="2"/>
          </w:tcPr>
          <w:p>
            <w:pPr>
              <w:ind w:left="360"/>
              <w:spacing w:after="0"/>
              <w:rPr>
                <w:sz w:val="20"/>
                <w:szCs w:val="20"/>
                <w:color w:val="auto"/>
              </w:rPr>
            </w:pPr>
            <w:r>
              <w:rPr>
                <w:rFonts w:ascii="Arial" w:cs="Arial" w:eastAsia="Arial" w:hAnsi="Arial"/>
                <w:sz w:val="18"/>
                <w:szCs w:val="18"/>
                <w:b w:val="1"/>
                <w:bCs w:val="1"/>
                <w:color w:val="auto"/>
              </w:rPr>
              <w:t>Title: CFO</w:t>
            </w:r>
          </w:p>
        </w:tc>
        <w:tc>
          <w:tcPr>
            <w:tcW w:w="40" w:type="dxa"/>
            <w:vAlign w:val="bottom"/>
          </w:tcPr>
          <w:p>
            <w:pPr>
              <w:spacing w:after="0"/>
              <w:rPr>
                <w:sz w:val="24"/>
                <w:szCs w:val="24"/>
                <w:color w:val="auto"/>
              </w:rPr>
            </w:pP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Date: 17-Dec 2015</w:t>
            </w:r>
          </w:p>
        </w:tc>
        <w:tc>
          <w:tcPr>
            <w:tcW w:w="5960" w:type="dxa"/>
            <w:vAlign w:val="bottom"/>
            <w:gridSpan w:val="2"/>
          </w:tcPr>
          <w:p>
            <w:pPr>
              <w:ind w:left="360"/>
              <w:spacing w:after="0"/>
              <w:rPr>
                <w:sz w:val="20"/>
                <w:szCs w:val="20"/>
                <w:color w:val="auto"/>
              </w:rPr>
            </w:pPr>
            <w:r>
              <w:rPr>
                <w:rFonts w:ascii="Arial" w:cs="Arial" w:eastAsia="Arial" w:hAnsi="Arial"/>
                <w:sz w:val="18"/>
                <w:szCs w:val="18"/>
                <w:b w:val="1"/>
                <w:bCs w:val="1"/>
                <w:color w:val="auto"/>
              </w:rPr>
              <w:t>Date: 12/17/2015</w:t>
            </w:r>
          </w:p>
        </w:tc>
        <w:tc>
          <w:tcPr>
            <w:tcW w:w="4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13</w:t>
            </w: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629" w:name="page630"/>
    <w:bookmarkEnd w:id="629"/>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38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rPr>
              <w:t>NOTICE OF LEASE TERM DATES</w:t>
            </w:r>
          </w:p>
        </w:tc>
        <w:tc>
          <w:tcPr>
            <w:tcW w:w="2620" w:type="dxa"/>
            <w:vAlign w:val="bottom"/>
          </w:tcPr>
          <w:p>
            <w:pPr>
              <w:spacing w:after="0"/>
              <w:rPr>
                <w:sz w:val="17"/>
                <w:szCs w:val="17"/>
                <w:color w:val="auto"/>
              </w:rPr>
            </w:pPr>
          </w:p>
        </w:tc>
      </w:tr>
      <w:tr>
        <w:trPr>
          <w:trHeight w:val="453"/>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80" w:type="dxa"/>
            <w:vAlign w:val="bottom"/>
            <w:tcBorders>
              <w:top w:val="single" w:sz="8" w:color="auto"/>
            </w:tcBorders>
          </w:tcPr>
          <w:p>
            <w:pPr>
              <w:jc w:val="center"/>
              <w:ind w:left="670"/>
              <w:spacing w:after="0"/>
              <w:rPr>
                <w:sz w:val="20"/>
                <w:szCs w:val="20"/>
                <w:color w:val="auto"/>
              </w:rPr>
            </w:pPr>
            <w:r>
              <w:rPr>
                <w:rFonts w:ascii="Arial" w:cs="Arial" w:eastAsia="Arial" w:hAnsi="Arial"/>
                <w:sz w:val="18"/>
                <w:szCs w:val="18"/>
                <w:color w:val="auto"/>
                <w:w w:val="92"/>
              </w:rPr>
              <w:t>Date:</w:t>
            </w:r>
          </w:p>
        </w:tc>
        <w:tc>
          <w:tcPr>
            <w:tcW w:w="78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To:</w:t>
            </w:r>
          </w:p>
        </w:tc>
        <w:tc>
          <w:tcPr>
            <w:tcW w:w="3700" w:type="dxa"/>
            <w:vAlign w:val="bottom"/>
            <w:gridSpan w:val="2"/>
          </w:tcPr>
          <w:p>
            <w:pPr>
              <w:ind w:left="140"/>
              <w:spacing w:after="0"/>
              <w:rPr>
                <w:sz w:val="20"/>
                <w:szCs w:val="20"/>
                <w:color w:val="auto"/>
              </w:rPr>
            </w:pPr>
            <w:r>
              <w:rPr>
                <w:rFonts w:ascii="Arial" w:cs="Arial" w:eastAsia="Arial" w:hAnsi="Arial"/>
                <w:sz w:val="18"/>
                <w:szCs w:val="18"/>
                <w:color w:val="auto"/>
              </w:rPr>
              <w:t>CrowdStrike, Inc.</w:t>
            </w: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Attention:</w:t>
            </w: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Re:</w:t>
            </w:r>
          </w:p>
        </w:tc>
        <w:tc>
          <w:tcPr>
            <w:tcW w:w="10160" w:type="dxa"/>
            <w:vAlign w:val="bottom"/>
            <w:gridSpan w:val="5"/>
          </w:tcPr>
          <w:p>
            <w:pPr>
              <w:ind w:left="120"/>
              <w:spacing w:after="0"/>
              <w:rPr>
                <w:sz w:val="20"/>
                <w:szCs w:val="20"/>
                <w:color w:val="auto"/>
              </w:rPr>
            </w:pPr>
            <w:r>
              <w:rPr>
                <w:rFonts w:ascii="Arial" w:cs="Arial" w:eastAsia="Arial" w:hAnsi="Arial"/>
                <w:sz w:val="18"/>
                <w:szCs w:val="18"/>
                <w:color w:val="auto"/>
                <w:w w:val="96"/>
              </w:rPr>
              <w:t xml:space="preserve">Sublease dated as of November  , 2015 between Knowles Electronics, LLC </w:t>
            </w:r>
            <w:r>
              <w:rPr>
                <w:rFonts w:ascii="Arial" w:cs="Arial" w:eastAsia="Arial" w:hAnsi="Arial"/>
                <w:sz w:val="18"/>
                <w:szCs w:val="18"/>
                <w:b w:val="1"/>
                <w:bCs w:val="1"/>
                <w:color w:val="auto"/>
                <w:w w:val="96"/>
              </w:rPr>
              <w:t>(“Sublandlord”)</w:t>
            </w:r>
            <w:r>
              <w:rPr>
                <w:rFonts w:ascii="Arial" w:cs="Arial" w:eastAsia="Arial" w:hAnsi="Arial"/>
                <w:sz w:val="18"/>
                <w:szCs w:val="18"/>
                <w:color w:val="auto"/>
                <w:w w:val="96"/>
              </w:rPr>
              <w:t xml:space="preserve"> and CrowdStrike, Inc. (“Subt</w:t>
            </w:r>
            <w:r>
              <w:rPr>
                <w:rFonts w:ascii="Arial" w:cs="Arial" w:eastAsia="Arial" w:hAnsi="Arial"/>
                <w:sz w:val="18"/>
                <w:szCs w:val="18"/>
                <w:b w:val="1"/>
                <w:bCs w:val="1"/>
                <w:color w:val="auto"/>
                <w:w w:val="96"/>
              </w:rPr>
              <w:t>enant”)</w:t>
            </w: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w w:val="96"/>
              </w:rPr>
              <w:t>concerning Suite 300 at 150 Mathilda Place, Sunnyvale, California</w:t>
            </w: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Dear</w:t>
            </w:r>
          </w:p>
        </w:tc>
        <w:tc>
          <w:tcPr>
            <w:tcW w:w="540" w:type="dxa"/>
            <w:vAlign w:val="bottom"/>
          </w:tcPr>
          <w:p>
            <w:pPr>
              <w:spacing w:after="0"/>
              <w:rPr>
                <w:sz w:val="24"/>
                <w:szCs w:val="24"/>
                <w:color w:val="auto"/>
              </w:rPr>
            </w:pPr>
          </w:p>
        </w:tc>
        <w:tc>
          <w:tcPr>
            <w:tcW w:w="3160" w:type="dxa"/>
            <w:vAlign w:val="bottom"/>
          </w:tcPr>
          <w:p>
            <w:pPr>
              <w:ind w:left="760"/>
              <w:spacing w:after="0"/>
              <w:rPr>
                <w:sz w:val="20"/>
                <w:szCs w:val="20"/>
                <w:color w:val="auto"/>
              </w:rPr>
            </w:pPr>
            <w:r>
              <w:rPr>
                <w:rFonts w:ascii="Arial" w:cs="Arial" w:eastAsia="Arial" w:hAnsi="Arial"/>
                <w:sz w:val="18"/>
                <w:szCs w:val="18"/>
                <w:color w:val="auto"/>
              </w:rPr>
              <w:t>:</w:t>
            </w: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8080" w:type="dxa"/>
            <w:vAlign w:val="bottom"/>
            <w:gridSpan w:val="5"/>
          </w:tcPr>
          <w:p>
            <w:pPr>
              <w:ind w:left="160"/>
              <w:spacing w:after="0"/>
              <w:rPr>
                <w:sz w:val="20"/>
                <w:szCs w:val="20"/>
                <w:color w:val="auto"/>
              </w:rPr>
            </w:pPr>
            <w:r>
              <w:rPr>
                <w:rFonts w:ascii="Arial" w:cs="Arial" w:eastAsia="Arial" w:hAnsi="Arial"/>
                <w:sz w:val="18"/>
                <w:szCs w:val="18"/>
                <w:color w:val="auto"/>
                <w:w w:val="98"/>
              </w:rPr>
              <w:t xml:space="preserve">In accordance with the Sublease (the </w:t>
            </w:r>
            <w:r>
              <w:rPr>
                <w:rFonts w:ascii="Arial" w:cs="Arial" w:eastAsia="Arial" w:hAnsi="Arial"/>
                <w:sz w:val="18"/>
                <w:szCs w:val="18"/>
                <w:b w:val="1"/>
                <w:bCs w:val="1"/>
                <w:color w:val="auto"/>
                <w:w w:val="98"/>
              </w:rPr>
              <w:t>“Sublease”),</w:t>
            </w:r>
            <w:r>
              <w:rPr>
                <w:rFonts w:ascii="Arial" w:cs="Arial" w:eastAsia="Arial" w:hAnsi="Arial"/>
                <w:sz w:val="18"/>
                <w:szCs w:val="18"/>
                <w:color w:val="auto"/>
                <w:w w:val="98"/>
              </w:rPr>
              <w:t xml:space="preserve"> we wish to advise you and/or confirm as follows:</w:t>
            </w:r>
          </w:p>
        </w:tc>
        <w:tc>
          <w:tcPr>
            <w:tcW w:w="262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I.</w:t>
            </w: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The Sublease Term shall commence on or has commenced on</w:t>
            </w:r>
          </w:p>
        </w:tc>
        <w:tc>
          <w:tcPr>
            <w:tcW w:w="2300" w:type="dxa"/>
            <w:vAlign w:val="bottom"/>
            <w:gridSpan w:val="2"/>
          </w:tcPr>
          <w:p>
            <w:pPr>
              <w:jc w:val="right"/>
              <w:ind w:right="560"/>
              <w:spacing w:after="0"/>
              <w:rPr>
                <w:sz w:val="20"/>
                <w:szCs w:val="20"/>
                <w:color w:val="auto"/>
              </w:rPr>
            </w:pPr>
            <w:r>
              <w:rPr>
                <w:rFonts w:ascii="Arial" w:cs="Arial" w:eastAsia="Arial" w:hAnsi="Arial"/>
                <w:sz w:val="18"/>
                <w:szCs w:val="18"/>
                <w:color w:val="auto"/>
              </w:rPr>
              <w:t>for a term ending on</w:t>
            </w:r>
          </w:p>
        </w:tc>
        <w:tc>
          <w:tcPr>
            <w:tcW w:w="2620" w:type="dxa"/>
            <w:vAlign w:val="bottom"/>
          </w:tcPr>
          <w:p>
            <w:pPr>
              <w:ind w:left="560"/>
              <w:spacing w:after="0"/>
              <w:rPr>
                <w:sz w:val="20"/>
                <w:szCs w:val="20"/>
                <w:color w:val="auto"/>
              </w:rPr>
            </w:pPr>
            <w:r>
              <w:rPr>
                <w:rFonts w:ascii="Arial" w:cs="Arial" w:eastAsia="Arial" w:hAnsi="Arial"/>
                <w:sz w:val="18"/>
                <w:szCs w:val="18"/>
                <w:color w:val="auto"/>
                <w:w w:val="88"/>
              </w:rPr>
              <w:t>, unless terminated earlier as</w:t>
            </w:r>
          </w:p>
        </w:tc>
      </w:tr>
      <w:tr>
        <w:trPr>
          <w:trHeight w:val="230"/>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60" w:type="dxa"/>
            <w:vAlign w:val="bottom"/>
          </w:tcPr>
          <w:p>
            <w:pPr>
              <w:ind w:left="140"/>
              <w:spacing w:after="0"/>
              <w:rPr>
                <w:sz w:val="20"/>
                <w:szCs w:val="20"/>
                <w:color w:val="auto"/>
              </w:rPr>
            </w:pPr>
            <w:r>
              <w:rPr>
                <w:rFonts w:ascii="Arial" w:cs="Arial" w:eastAsia="Arial" w:hAnsi="Arial"/>
                <w:sz w:val="18"/>
                <w:szCs w:val="18"/>
                <w:color w:val="auto"/>
              </w:rPr>
              <w:t>provided in the Sublease.</w:t>
            </w: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2.</w:t>
            </w:r>
          </w:p>
        </w:tc>
        <w:tc>
          <w:tcPr>
            <w:tcW w:w="3160" w:type="dxa"/>
            <w:vAlign w:val="bottom"/>
          </w:tcPr>
          <w:p>
            <w:pPr>
              <w:ind w:left="120"/>
              <w:spacing w:after="0"/>
              <w:rPr>
                <w:sz w:val="20"/>
                <w:szCs w:val="20"/>
                <w:color w:val="auto"/>
              </w:rPr>
            </w:pPr>
            <w:r>
              <w:rPr>
                <w:rFonts w:ascii="Arial" w:cs="Arial" w:eastAsia="Arial" w:hAnsi="Arial"/>
                <w:sz w:val="18"/>
                <w:szCs w:val="18"/>
                <w:color w:val="auto"/>
              </w:rPr>
              <w:t>Base Rent commenced to accrue on</w:t>
            </w:r>
          </w:p>
        </w:tc>
        <w:tc>
          <w:tcPr>
            <w:tcW w:w="2080" w:type="dxa"/>
            <w:vAlign w:val="bottom"/>
          </w:tcPr>
          <w:p>
            <w:pPr>
              <w:ind w:left="400"/>
              <w:spacing w:after="0"/>
              <w:rPr>
                <w:sz w:val="20"/>
                <w:szCs w:val="20"/>
                <w:color w:val="auto"/>
              </w:rPr>
            </w:pPr>
            <w:r>
              <w:rPr>
                <w:rFonts w:ascii="Arial" w:cs="Arial" w:eastAsia="Arial" w:hAnsi="Arial"/>
                <w:sz w:val="18"/>
                <w:szCs w:val="18"/>
                <w:color w:val="auto"/>
              </w:rPr>
              <w:t>, in the amount of</w:t>
            </w:r>
          </w:p>
        </w:tc>
        <w:tc>
          <w:tcPr>
            <w:tcW w:w="2300" w:type="dxa"/>
            <w:vAlign w:val="bottom"/>
            <w:gridSpan w:val="2"/>
          </w:tcPr>
          <w:p>
            <w:pPr>
              <w:jc w:val="right"/>
              <w:ind w:right="1440"/>
              <w:spacing w:after="0"/>
              <w:rPr>
                <w:sz w:val="20"/>
                <w:szCs w:val="20"/>
                <w:color w:val="auto"/>
              </w:rPr>
            </w:pPr>
            <w:r>
              <w:rPr>
                <w:rFonts w:ascii="Arial" w:cs="Arial" w:eastAsia="Arial" w:hAnsi="Arial"/>
                <w:sz w:val="18"/>
                <w:szCs w:val="18"/>
                <w:color w:val="auto"/>
              </w:rPr>
              <w:t>.</w:t>
            </w:r>
          </w:p>
        </w:tc>
        <w:tc>
          <w:tcPr>
            <w:tcW w:w="2620" w:type="dxa"/>
            <w:vAlign w:val="bottom"/>
          </w:tcPr>
          <w:p>
            <w:pPr>
              <w:spacing w:after="0"/>
              <w:rPr>
                <w:sz w:val="24"/>
                <w:szCs w:val="24"/>
                <w:color w:val="auto"/>
              </w:rPr>
            </w:pPr>
          </w:p>
        </w:tc>
      </w:tr>
    </w:tbl>
    <w:p>
      <w:pPr>
        <w:spacing w:after="0" w:line="188" w:lineRule="exact"/>
        <w:rPr>
          <w:sz w:val="20"/>
          <w:szCs w:val="20"/>
          <w:color w:val="auto"/>
        </w:rPr>
      </w:pPr>
    </w:p>
    <w:p>
      <w:pPr>
        <w:ind w:left="1160" w:hanging="504"/>
        <w:spacing w:after="0"/>
        <w:tabs>
          <w:tab w:leader="none" w:pos="11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Your rent checks should be made payable to at</w:t>
      </w:r>
    </w:p>
    <w:p>
      <w:pPr>
        <w:spacing w:after="0" w:line="238" w:lineRule="exact"/>
        <w:rPr>
          <w:rFonts w:ascii="Arial" w:cs="Arial" w:eastAsia="Arial" w:hAnsi="Arial"/>
          <w:sz w:val="18"/>
          <w:szCs w:val="18"/>
          <w:color w:val="auto"/>
        </w:rPr>
      </w:pPr>
    </w:p>
    <w:p>
      <w:pPr>
        <w:ind w:left="1160" w:hanging="504"/>
        <w:spacing w:after="0"/>
        <w:tabs>
          <w:tab w:leader="none" w:pos="11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exact number of rentable square feet within the Premises is 6,657 square feet.</w:t>
      </w:r>
    </w:p>
    <w:p>
      <w:pPr>
        <w:spacing w:after="0" w:line="225" w:lineRule="exact"/>
        <w:rPr>
          <w:rFonts w:ascii="Arial" w:cs="Arial" w:eastAsia="Arial" w:hAnsi="Arial"/>
          <w:sz w:val="18"/>
          <w:szCs w:val="18"/>
          <w:color w:val="auto"/>
        </w:rPr>
      </w:pPr>
    </w:p>
    <w:p>
      <w:pPr>
        <w:ind w:left="1160" w:hanging="504"/>
        <w:spacing w:after="0"/>
        <w:tabs>
          <w:tab w:leader="none" w:pos="11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Tenant’s Share as adjusted based upon the exact number of rentable square feet within the Premises is 4.97%.</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Failure of Tenant to timely execute and deliver this Notice of Lease Term Dates shall constitute an acknowledgment by Tenant that the statements included in this notice are true and correct, without exception.</w:t>
      </w:r>
    </w:p>
    <w:p>
      <w:pPr>
        <w:spacing w:after="0" w:line="16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SUBLANDLORD: KNOWLES ELECTRONICS, LLC</w:t>
      </w:r>
    </w:p>
    <w:p>
      <w:pPr>
        <w:spacing w:after="0" w:line="22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 w:lineRule="exact"/>
        <w:rPr>
          <w:sz w:val="20"/>
          <w:szCs w:val="20"/>
          <w:color w:val="auto"/>
        </w:rPr>
      </w:pPr>
    </w:p>
    <w:p>
      <w:pPr>
        <w:jc w:val="center"/>
        <w:ind w:left="14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5715</wp:posOffset>
            </wp:positionV>
            <wp:extent cx="290576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5715</wp:posOffset>
            </wp:positionV>
            <wp:extent cx="290576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SUBTENANT: CROWDSTRIKE,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0324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103245"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10324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7153275" cy="298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SUNNYVALE CITY CENTER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SPF MATHILDA, LLC,</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Landlord,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KNOWLES ELECTRONICS, LLC,</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Delaware limited liability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25" w:right="379" w:bottom="1440" w:gutter="0" w:footer="0" w:header="0"/>
        </w:sectPr>
      </w:pPr>
    </w:p>
    <w:bookmarkStart w:id="630" w:name="page631"/>
    <w:bookmarkEnd w:id="630"/>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411"/>
        </w:trPr>
        <w:tc>
          <w:tcPr>
            <w:tcW w:w="1240" w:type="dxa"/>
            <w:vAlign w:val="bottom"/>
          </w:tcPr>
          <w:p>
            <w:pPr>
              <w:spacing w:after="0"/>
              <w:rPr>
                <w:sz w:val="20"/>
                <w:szCs w:val="20"/>
                <w:color w:val="auto"/>
              </w:rPr>
            </w:pPr>
            <w:r>
              <w:rPr>
                <w:rFonts w:ascii="Arial" w:cs="Arial" w:eastAsia="Arial" w:hAnsi="Arial"/>
                <w:sz w:val="18"/>
                <w:szCs w:val="18"/>
                <w:color w:val="auto"/>
              </w:rPr>
              <w:t>ARTICLE 1</w:t>
            </w:r>
          </w:p>
        </w:tc>
        <w:tc>
          <w:tcPr>
            <w:tcW w:w="9440" w:type="dxa"/>
            <w:vAlign w:val="bottom"/>
          </w:tcPr>
          <w:p>
            <w:pPr>
              <w:ind w:left="260"/>
              <w:spacing w:after="0"/>
              <w:rPr>
                <w:sz w:val="20"/>
                <w:szCs w:val="20"/>
                <w:color w:val="auto"/>
              </w:rPr>
            </w:pPr>
            <w:r>
              <w:rPr>
                <w:rFonts w:ascii="Arial" w:cs="Arial" w:eastAsia="Arial" w:hAnsi="Arial"/>
                <w:sz w:val="18"/>
                <w:szCs w:val="18"/>
                <w:color w:val="auto"/>
              </w:rPr>
              <w:t>PREMISES, BUILDING, PROJECT, AND COMMON AREAS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w:t>
            </w:r>
          </w:p>
        </w:tc>
        <w:tc>
          <w:tcPr>
            <w:tcW w:w="9440" w:type="dxa"/>
            <w:vAlign w:val="bottom"/>
          </w:tcPr>
          <w:p>
            <w:pPr>
              <w:ind w:left="260"/>
              <w:spacing w:after="0"/>
              <w:rPr>
                <w:sz w:val="20"/>
                <w:szCs w:val="20"/>
                <w:color w:val="auto"/>
              </w:rPr>
            </w:pPr>
            <w:r>
              <w:rPr>
                <w:rFonts w:ascii="Arial" w:cs="Arial" w:eastAsia="Arial" w:hAnsi="Arial"/>
                <w:sz w:val="18"/>
                <w:szCs w:val="18"/>
                <w:color w:val="auto"/>
              </w:rPr>
              <w:t>LEASE TERM</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3</w:t>
            </w:r>
          </w:p>
        </w:tc>
        <w:tc>
          <w:tcPr>
            <w:tcW w:w="9440" w:type="dxa"/>
            <w:vAlign w:val="bottom"/>
          </w:tcPr>
          <w:p>
            <w:pPr>
              <w:ind w:left="260"/>
              <w:spacing w:after="0"/>
              <w:rPr>
                <w:sz w:val="20"/>
                <w:szCs w:val="20"/>
                <w:color w:val="auto"/>
              </w:rPr>
            </w:pPr>
            <w:r>
              <w:rPr>
                <w:rFonts w:ascii="Arial" w:cs="Arial" w:eastAsia="Arial" w:hAnsi="Arial"/>
                <w:sz w:val="18"/>
                <w:szCs w:val="18"/>
                <w:color w:val="auto"/>
              </w:rPr>
              <w:t>BASE RENT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4</w:t>
            </w:r>
          </w:p>
        </w:tc>
        <w:tc>
          <w:tcPr>
            <w:tcW w:w="9440" w:type="dxa"/>
            <w:vAlign w:val="bottom"/>
          </w:tcPr>
          <w:p>
            <w:pPr>
              <w:ind w:left="260"/>
              <w:spacing w:after="0"/>
              <w:rPr>
                <w:sz w:val="20"/>
                <w:szCs w:val="20"/>
                <w:color w:val="auto"/>
              </w:rPr>
            </w:pPr>
            <w:r>
              <w:rPr>
                <w:rFonts w:ascii="Arial" w:cs="Arial" w:eastAsia="Arial" w:hAnsi="Arial"/>
                <w:sz w:val="18"/>
                <w:szCs w:val="18"/>
                <w:color w:val="auto"/>
              </w:rPr>
              <w:t>ADDITIONAL RENT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5</w:t>
            </w:r>
          </w:p>
        </w:tc>
        <w:tc>
          <w:tcPr>
            <w:tcW w:w="9440" w:type="dxa"/>
            <w:vAlign w:val="bottom"/>
          </w:tcPr>
          <w:p>
            <w:pPr>
              <w:ind w:left="260"/>
              <w:spacing w:after="0"/>
              <w:rPr>
                <w:sz w:val="20"/>
                <w:szCs w:val="20"/>
                <w:color w:val="auto"/>
              </w:rPr>
            </w:pPr>
            <w:r>
              <w:rPr>
                <w:rFonts w:ascii="Arial" w:cs="Arial" w:eastAsia="Arial" w:hAnsi="Arial"/>
                <w:sz w:val="18"/>
                <w:szCs w:val="18"/>
                <w:color w:val="auto"/>
              </w:rPr>
              <w:t>USE OF PREMISES</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6</w:t>
            </w:r>
          </w:p>
        </w:tc>
        <w:tc>
          <w:tcPr>
            <w:tcW w:w="9440" w:type="dxa"/>
            <w:vAlign w:val="bottom"/>
          </w:tcPr>
          <w:p>
            <w:pPr>
              <w:ind w:left="260"/>
              <w:spacing w:after="0"/>
              <w:rPr>
                <w:sz w:val="20"/>
                <w:szCs w:val="20"/>
                <w:color w:val="auto"/>
              </w:rPr>
            </w:pPr>
            <w:r>
              <w:rPr>
                <w:rFonts w:ascii="Arial" w:cs="Arial" w:eastAsia="Arial" w:hAnsi="Arial"/>
                <w:sz w:val="18"/>
                <w:szCs w:val="18"/>
                <w:color w:val="auto"/>
              </w:rPr>
              <w:t>SERVICES AND UTILITIES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7</w:t>
            </w:r>
          </w:p>
        </w:tc>
        <w:tc>
          <w:tcPr>
            <w:tcW w:w="9440" w:type="dxa"/>
            <w:vAlign w:val="bottom"/>
          </w:tcPr>
          <w:p>
            <w:pPr>
              <w:ind w:left="260"/>
              <w:spacing w:after="0"/>
              <w:rPr>
                <w:sz w:val="20"/>
                <w:szCs w:val="20"/>
                <w:color w:val="auto"/>
              </w:rPr>
            </w:pPr>
            <w:r>
              <w:rPr>
                <w:rFonts w:ascii="Arial" w:cs="Arial" w:eastAsia="Arial" w:hAnsi="Arial"/>
                <w:sz w:val="18"/>
                <w:szCs w:val="18"/>
                <w:color w:val="auto"/>
              </w:rPr>
              <w:t>REPAIRS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8</w:t>
            </w:r>
          </w:p>
        </w:tc>
        <w:tc>
          <w:tcPr>
            <w:tcW w:w="9440" w:type="dxa"/>
            <w:vAlign w:val="bottom"/>
          </w:tcPr>
          <w:p>
            <w:pPr>
              <w:ind w:left="260"/>
              <w:spacing w:after="0"/>
              <w:rPr>
                <w:sz w:val="20"/>
                <w:szCs w:val="20"/>
                <w:color w:val="auto"/>
              </w:rPr>
            </w:pPr>
            <w:r>
              <w:rPr>
                <w:rFonts w:ascii="Arial" w:cs="Arial" w:eastAsia="Arial" w:hAnsi="Arial"/>
                <w:sz w:val="18"/>
                <w:szCs w:val="18"/>
                <w:color w:val="auto"/>
              </w:rPr>
              <w:t>ADDITIONS AND ALTERATIONS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9</w:t>
            </w:r>
          </w:p>
        </w:tc>
        <w:tc>
          <w:tcPr>
            <w:tcW w:w="9440" w:type="dxa"/>
            <w:vAlign w:val="bottom"/>
          </w:tcPr>
          <w:p>
            <w:pPr>
              <w:ind w:left="260"/>
              <w:spacing w:after="0"/>
              <w:rPr>
                <w:sz w:val="20"/>
                <w:szCs w:val="20"/>
                <w:color w:val="auto"/>
              </w:rPr>
            </w:pPr>
            <w:r>
              <w:rPr>
                <w:rFonts w:ascii="Arial" w:cs="Arial" w:eastAsia="Arial" w:hAnsi="Arial"/>
                <w:sz w:val="18"/>
                <w:szCs w:val="18"/>
                <w:color w:val="auto"/>
              </w:rPr>
              <w:t>COVENANT AGAINST LIENS</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10</w:t>
            </w:r>
          </w:p>
        </w:tc>
        <w:tc>
          <w:tcPr>
            <w:tcW w:w="944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11</w:t>
            </w:r>
          </w:p>
        </w:tc>
        <w:tc>
          <w:tcPr>
            <w:tcW w:w="9440" w:type="dxa"/>
            <w:vAlign w:val="bottom"/>
          </w:tcPr>
          <w:p>
            <w:pPr>
              <w:ind w:left="260"/>
              <w:spacing w:after="0"/>
              <w:rPr>
                <w:sz w:val="20"/>
                <w:szCs w:val="20"/>
                <w:color w:val="auto"/>
              </w:rPr>
            </w:pPr>
            <w:r>
              <w:rPr>
                <w:rFonts w:ascii="Arial" w:cs="Arial" w:eastAsia="Arial" w:hAnsi="Arial"/>
                <w:sz w:val="18"/>
                <w:szCs w:val="18"/>
                <w:color w:val="auto"/>
              </w:rPr>
              <w:t>DAMAGE AND DESTRUCTION</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12</w:t>
            </w:r>
          </w:p>
        </w:tc>
        <w:tc>
          <w:tcPr>
            <w:tcW w:w="9440" w:type="dxa"/>
            <w:vAlign w:val="bottom"/>
          </w:tcPr>
          <w:p>
            <w:pPr>
              <w:ind w:left="260"/>
              <w:spacing w:after="0"/>
              <w:rPr>
                <w:sz w:val="20"/>
                <w:szCs w:val="20"/>
                <w:color w:val="auto"/>
              </w:rPr>
            </w:pPr>
            <w:r>
              <w:rPr>
                <w:rFonts w:ascii="Arial" w:cs="Arial" w:eastAsia="Arial" w:hAnsi="Arial"/>
                <w:sz w:val="18"/>
                <w:szCs w:val="18"/>
                <w:color w:val="auto"/>
              </w:rPr>
              <w:t>NONWAIVER</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13</w:t>
            </w:r>
          </w:p>
        </w:tc>
        <w:tc>
          <w:tcPr>
            <w:tcW w:w="9440" w:type="dxa"/>
            <w:vAlign w:val="bottom"/>
          </w:tcPr>
          <w:p>
            <w:pPr>
              <w:ind w:left="260"/>
              <w:spacing w:after="0"/>
              <w:rPr>
                <w:sz w:val="20"/>
                <w:szCs w:val="20"/>
                <w:color w:val="auto"/>
              </w:rPr>
            </w:pPr>
            <w:r>
              <w:rPr>
                <w:rFonts w:ascii="Arial" w:cs="Arial" w:eastAsia="Arial" w:hAnsi="Arial"/>
                <w:sz w:val="18"/>
                <w:szCs w:val="18"/>
                <w:color w:val="auto"/>
              </w:rPr>
              <w:t>CONDEMNATION</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14</w:t>
            </w:r>
          </w:p>
        </w:tc>
        <w:tc>
          <w:tcPr>
            <w:tcW w:w="9440" w:type="dxa"/>
            <w:vAlign w:val="bottom"/>
          </w:tcPr>
          <w:p>
            <w:pPr>
              <w:ind w:left="260"/>
              <w:spacing w:after="0"/>
              <w:rPr>
                <w:sz w:val="20"/>
                <w:szCs w:val="20"/>
                <w:color w:val="auto"/>
              </w:rPr>
            </w:pPr>
            <w:r>
              <w:rPr>
                <w:rFonts w:ascii="Arial" w:cs="Arial" w:eastAsia="Arial" w:hAnsi="Arial"/>
                <w:sz w:val="18"/>
                <w:szCs w:val="18"/>
                <w:color w:val="auto"/>
              </w:rPr>
              <w:t>ASSIGNMENT AND SUBLETTING</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15</w:t>
            </w:r>
          </w:p>
        </w:tc>
        <w:tc>
          <w:tcPr>
            <w:tcW w:w="9440" w:type="dxa"/>
            <w:vAlign w:val="bottom"/>
          </w:tcPr>
          <w:p>
            <w:pPr>
              <w:ind w:left="260"/>
              <w:spacing w:after="0"/>
              <w:rPr>
                <w:sz w:val="20"/>
                <w:szCs w:val="20"/>
                <w:color w:val="auto"/>
              </w:rPr>
            </w:pPr>
            <w:r>
              <w:rPr>
                <w:rFonts w:ascii="Arial" w:cs="Arial" w:eastAsia="Arial" w:hAnsi="Arial"/>
                <w:sz w:val="18"/>
                <w:szCs w:val="18"/>
                <w:color w:val="auto"/>
              </w:rPr>
              <w:t>SURRENDER OF PREMISES; OWNERSHIP AND REMOVAL OF TRADE FIXTURES</w:t>
            </w: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16</w:t>
            </w:r>
          </w:p>
        </w:tc>
        <w:tc>
          <w:tcPr>
            <w:tcW w:w="9440" w:type="dxa"/>
            <w:vAlign w:val="bottom"/>
          </w:tcPr>
          <w:p>
            <w:pPr>
              <w:ind w:left="260"/>
              <w:spacing w:after="0"/>
              <w:rPr>
                <w:sz w:val="20"/>
                <w:szCs w:val="20"/>
                <w:color w:val="auto"/>
              </w:rPr>
            </w:pPr>
            <w:r>
              <w:rPr>
                <w:rFonts w:ascii="Arial" w:cs="Arial" w:eastAsia="Arial" w:hAnsi="Arial"/>
                <w:sz w:val="18"/>
                <w:szCs w:val="18"/>
                <w:color w:val="auto"/>
              </w:rPr>
              <w:t>HOLDING OVER</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17</w:t>
            </w:r>
          </w:p>
        </w:tc>
        <w:tc>
          <w:tcPr>
            <w:tcW w:w="9440" w:type="dxa"/>
            <w:vAlign w:val="bottom"/>
          </w:tcPr>
          <w:p>
            <w:pPr>
              <w:ind w:left="260"/>
              <w:spacing w:after="0"/>
              <w:rPr>
                <w:sz w:val="20"/>
                <w:szCs w:val="20"/>
                <w:color w:val="auto"/>
              </w:rPr>
            </w:pPr>
            <w:r>
              <w:rPr>
                <w:rFonts w:ascii="Arial" w:cs="Arial" w:eastAsia="Arial" w:hAnsi="Arial"/>
                <w:sz w:val="18"/>
                <w:szCs w:val="18"/>
                <w:color w:val="auto"/>
              </w:rPr>
              <w:t>ESTOPPEL CERTIFICATES</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18</w:t>
            </w:r>
          </w:p>
        </w:tc>
        <w:tc>
          <w:tcPr>
            <w:tcW w:w="9440" w:type="dxa"/>
            <w:vAlign w:val="bottom"/>
          </w:tcPr>
          <w:p>
            <w:pPr>
              <w:ind w:left="260"/>
              <w:spacing w:after="0"/>
              <w:rPr>
                <w:sz w:val="20"/>
                <w:szCs w:val="20"/>
                <w:color w:val="auto"/>
              </w:rPr>
            </w:pPr>
            <w:r>
              <w:rPr>
                <w:rFonts w:ascii="Arial" w:cs="Arial" w:eastAsia="Arial" w:hAnsi="Arial"/>
                <w:sz w:val="18"/>
                <w:szCs w:val="18"/>
                <w:color w:val="auto"/>
              </w:rPr>
              <w:t>SUBORDINATION</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19</w:t>
            </w:r>
          </w:p>
        </w:tc>
        <w:tc>
          <w:tcPr>
            <w:tcW w:w="9440" w:type="dxa"/>
            <w:vAlign w:val="bottom"/>
          </w:tcPr>
          <w:p>
            <w:pPr>
              <w:ind w:left="260"/>
              <w:spacing w:after="0"/>
              <w:rPr>
                <w:sz w:val="20"/>
                <w:szCs w:val="20"/>
                <w:color w:val="auto"/>
              </w:rPr>
            </w:pPr>
            <w:r>
              <w:rPr>
                <w:rFonts w:ascii="Arial" w:cs="Arial" w:eastAsia="Arial" w:hAnsi="Arial"/>
                <w:sz w:val="18"/>
                <w:szCs w:val="18"/>
                <w:color w:val="auto"/>
              </w:rPr>
              <w:t>DEFAULTS; REMEDIES</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20</w:t>
            </w:r>
          </w:p>
        </w:tc>
        <w:tc>
          <w:tcPr>
            <w:tcW w:w="9440" w:type="dxa"/>
            <w:vAlign w:val="bottom"/>
          </w:tcPr>
          <w:p>
            <w:pPr>
              <w:ind w:left="260"/>
              <w:spacing w:after="0"/>
              <w:rPr>
                <w:sz w:val="20"/>
                <w:szCs w:val="20"/>
                <w:color w:val="auto"/>
              </w:rPr>
            </w:pPr>
            <w:r>
              <w:rPr>
                <w:rFonts w:ascii="Arial" w:cs="Arial" w:eastAsia="Arial" w:hAnsi="Arial"/>
                <w:sz w:val="18"/>
                <w:szCs w:val="18"/>
                <w:color w:val="auto"/>
              </w:rPr>
              <w:t>COVENANT OF QUIET ENJOYMENT</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21</w:t>
            </w:r>
          </w:p>
        </w:tc>
        <w:tc>
          <w:tcPr>
            <w:tcW w:w="9440" w:type="dxa"/>
            <w:vAlign w:val="bottom"/>
          </w:tcPr>
          <w:p>
            <w:pPr>
              <w:ind w:left="260"/>
              <w:spacing w:after="0"/>
              <w:rPr>
                <w:sz w:val="20"/>
                <w:szCs w:val="20"/>
                <w:color w:val="auto"/>
              </w:rPr>
            </w:pPr>
            <w:r>
              <w:rPr>
                <w:rFonts w:ascii="Arial" w:cs="Arial" w:eastAsia="Arial" w:hAnsi="Arial"/>
                <w:sz w:val="18"/>
                <w:szCs w:val="18"/>
                <w:color w:val="auto"/>
              </w:rPr>
              <w:t>SECURITY DEPOSIT</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22</w:t>
            </w:r>
          </w:p>
        </w:tc>
        <w:tc>
          <w:tcPr>
            <w:tcW w:w="9440" w:type="dxa"/>
            <w:vAlign w:val="bottom"/>
          </w:tcPr>
          <w:p>
            <w:pPr>
              <w:ind w:left="260"/>
              <w:spacing w:after="0"/>
              <w:rPr>
                <w:sz w:val="20"/>
                <w:szCs w:val="20"/>
                <w:color w:val="auto"/>
              </w:rPr>
            </w:pPr>
            <w:r>
              <w:rPr>
                <w:rFonts w:ascii="Arial" w:cs="Arial" w:eastAsia="Arial" w:hAnsi="Arial"/>
                <w:sz w:val="18"/>
                <w:szCs w:val="18"/>
                <w:color w:val="auto"/>
              </w:rPr>
              <w:t>SUBSTITUTION OF OTHER PREMISES</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23</w:t>
            </w:r>
          </w:p>
        </w:tc>
        <w:tc>
          <w:tcPr>
            <w:tcW w:w="9440" w:type="dxa"/>
            <w:vAlign w:val="bottom"/>
          </w:tcPr>
          <w:p>
            <w:pPr>
              <w:ind w:left="260"/>
              <w:spacing w:after="0"/>
              <w:rPr>
                <w:sz w:val="20"/>
                <w:szCs w:val="20"/>
                <w:color w:val="auto"/>
              </w:rPr>
            </w:pPr>
            <w:r>
              <w:rPr>
                <w:rFonts w:ascii="Arial" w:cs="Arial" w:eastAsia="Arial" w:hAnsi="Arial"/>
                <w:sz w:val="18"/>
                <w:szCs w:val="18"/>
                <w:color w:val="auto"/>
              </w:rPr>
              <w:t>SIGNS</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24</w:t>
            </w:r>
          </w:p>
        </w:tc>
        <w:tc>
          <w:tcPr>
            <w:tcW w:w="9440" w:type="dxa"/>
            <w:vAlign w:val="bottom"/>
          </w:tcPr>
          <w:p>
            <w:pPr>
              <w:ind w:left="260"/>
              <w:spacing w:after="0"/>
              <w:rPr>
                <w:sz w:val="20"/>
                <w:szCs w:val="20"/>
                <w:color w:val="auto"/>
              </w:rPr>
            </w:pPr>
            <w:r>
              <w:rPr>
                <w:rFonts w:ascii="Arial" w:cs="Arial" w:eastAsia="Arial" w:hAnsi="Arial"/>
                <w:sz w:val="18"/>
                <w:szCs w:val="18"/>
                <w:color w:val="auto"/>
              </w:rPr>
              <w:t>COMPLIANCE WITH LAW</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25</w:t>
            </w:r>
          </w:p>
        </w:tc>
        <w:tc>
          <w:tcPr>
            <w:tcW w:w="9440" w:type="dxa"/>
            <w:vAlign w:val="bottom"/>
          </w:tcPr>
          <w:p>
            <w:pPr>
              <w:ind w:left="260"/>
              <w:spacing w:after="0"/>
              <w:rPr>
                <w:sz w:val="20"/>
                <w:szCs w:val="20"/>
                <w:color w:val="auto"/>
              </w:rPr>
            </w:pPr>
            <w:r>
              <w:rPr>
                <w:rFonts w:ascii="Arial" w:cs="Arial" w:eastAsia="Arial" w:hAnsi="Arial"/>
                <w:sz w:val="18"/>
                <w:szCs w:val="18"/>
                <w:color w:val="auto"/>
              </w:rPr>
              <w:t>LATE CHARGES</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26</w:t>
            </w:r>
          </w:p>
        </w:tc>
        <w:tc>
          <w:tcPr>
            <w:tcW w:w="9440" w:type="dxa"/>
            <w:vAlign w:val="bottom"/>
          </w:tcPr>
          <w:p>
            <w:pPr>
              <w:ind w:left="260"/>
              <w:spacing w:after="0"/>
              <w:rPr>
                <w:sz w:val="20"/>
                <w:szCs w:val="20"/>
                <w:color w:val="auto"/>
              </w:rPr>
            </w:pPr>
            <w:r>
              <w:rPr>
                <w:rFonts w:ascii="Arial" w:cs="Arial" w:eastAsia="Arial" w:hAnsi="Arial"/>
                <w:sz w:val="18"/>
                <w:szCs w:val="18"/>
                <w:color w:val="auto"/>
              </w:rPr>
              <w:t>LANDLORD’S RIGHT TO CURE DEFAULT; PAYMENTS BY TENANT</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27</w:t>
            </w:r>
          </w:p>
        </w:tc>
        <w:tc>
          <w:tcPr>
            <w:tcW w:w="9440" w:type="dxa"/>
            <w:vAlign w:val="bottom"/>
          </w:tcPr>
          <w:p>
            <w:pPr>
              <w:ind w:left="260"/>
              <w:spacing w:after="0"/>
              <w:rPr>
                <w:sz w:val="20"/>
                <w:szCs w:val="20"/>
                <w:color w:val="auto"/>
              </w:rPr>
            </w:pPr>
            <w:r>
              <w:rPr>
                <w:rFonts w:ascii="Arial" w:cs="Arial" w:eastAsia="Arial" w:hAnsi="Arial"/>
                <w:sz w:val="18"/>
                <w:szCs w:val="18"/>
                <w:color w:val="auto"/>
              </w:rPr>
              <w:t>ENTRY BY LANDLORD</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28</w:t>
            </w:r>
          </w:p>
        </w:tc>
        <w:tc>
          <w:tcPr>
            <w:tcW w:w="9440" w:type="dxa"/>
            <w:vAlign w:val="bottom"/>
          </w:tcPr>
          <w:p>
            <w:pPr>
              <w:ind w:left="260"/>
              <w:spacing w:after="0"/>
              <w:rPr>
                <w:sz w:val="20"/>
                <w:szCs w:val="20"/>
                <w:color w:val="auto"/>
              </w:rPr>
            </w:pPr>
            <w:r>
              <w:rPr>
                <w:rFonts w:ascii="Arial" w:cs="Arial" w:eastAsia="Arial" w:hAnsi="Arial"/>
                <w:sz w:val="18"/>
                <w:szCs w:val="18"/>
                <w:color w:val="auto"/>
              </w:rPr>
              <w:t>TENANT PARKING</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ARTICLE 29</w:t>
            </w:r>
          </w:p>
        </w:tc>
        <w:tc>
          <w:tcPr>
            <w:tcW w:w="9440" w:type="dxa"/>
            <w:vAlign w:val="bottom"/>
          </w:tcPr>
          <w:p>
            <w:pPr>
              <w:ind w:left="260"/>
              <w:spacing w:after="0"/>
              <w:rPr>
                <w:sz w:val="20"/>
                <w:szCs w:val="20"/>
                <w:color w:val="auto"/>
              </w:rPr>
            </w:pPr>
            <w:r>
              <w:rPr>
                <w:rFonts w:ascii="Arial" w:cs="Arial" w:eastAsia="Arial" w:hAnsi="Arial"/>
                <w:sz w:val="18"/>
                <w:szCs w:val="18"/>
                <w:color w:val="auto"/>
              </w:rPr>
              <w:t>MISCELLANEOUS PROVISIONS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3" w:lineRule="exact"/>
        <w:rPr>
          <w:sz w:val="20"/>
          <w:szCs w:val="20"/>
          <w:color w:val="auto"/>
        </w:rPr>
      </w:pPr>
    </w:p>
    <w:p>
      <w:pPr>
        <w:ind w:left="960" w:hanging="952"/>
        <w:spacing w:after="0"/>
        <w:tabs>
          <w:tab w:leader="none" w:pos="9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OUTLINE OF PREMISES</w:t>
      </w:r>
    </w:p>
    <w:p>
      <w:pPr>
        <w:spacing w:after="0" w:line="9" w:lineRule="exact"/>
        <w:rPr>
          <w:sz w:val="20"/>
          <w:szCs w:val="20"/>
          <w:color w:val="auto"/>
        </w:rPr>
      </w:pPr>
    </w:p>
    <w:p>
      <w:pPr>
        <w:ind w:left="960" w:hanging="952"/>
        <w:spacing w:after="0"/>
        <w:tabs>
          <w:tab w:leader="none" w:pos="9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 w:lineRule="exact"/>
        <w:rPr>
          <w:sz w:val="20"/>
          <w:szCs w:val="20"/>
          <w:color w:val="auto"/>
        </w:rPr>
      </w:pPr>
    </w:p>
    <w:p>
      <w:pPr>
        <w:ind w:left="960" w:hanging="952"/>
        <w:spacing w:after="0"/>
        <w:tabs>
          <w:tab w:leader="none" w:pos="9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FORM OF NOTICE OF LEASE TERM DATES</w:t>
      </w:r>
    </w:p>
    <w:p>
      <w:pPr>
        <w:spacing w:after="0" w:line="9" w:lineRule="exact"/>
        <w:rPr>
          <w:sz w:val="20"/>
          <w:szCs w:val="20"/>
          <w:color w:val="auto"/>
        </w:rPr>
      </w:pPr>
    </w:p>
    <w:p>
      <w:pPr>
        <w:ind w:left="960" w:hanging="952"/>
        <w:spacing w:after="0"/>
        <w:tabs>
          <w:tab w:leader="none" w:pos="9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RULES AND REGULATIONS</w:t>
      </w:r>
    </w:p>
    <w:p>
      <w:pPr>
        <w:spacing w:after="0" w:line="9" w:lineRule="exact"/>
        <w:rPr>
          <w:sz w:val="20"/>
          <w:szCs w:val="20"/>
          <w:color w:val="auto"/>
        </w:rPr>
      </w:pPr>
    </w:p>
    <w:p>
      <w:pPr>
        <w:ind w:left="960" w:hanging="952"/>
        <w:spacing w:after="0"/>
        <w:tabs>
          <w:tab w:leader="none" w:pos="9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FORM OF TENANT’S ESTOPPEL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31" w:name="page632"/>
    <w:bookmarkEnd w:id="631"/>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7380" w:type="dxa"/>
            <w:vAlign w:val="bottom"/>
            <w:gridSpan w:val="2"/>
          </w:tcPr>
          <w:p>
            <w:pPr>
              <w:jc w:val="right"/>
              <w:ind w:right="5234"/>
              <w:spacing w:after="0"/>
              <w:rPr>
                <w:sz w:val="20"/>
                <w:szCs w:val="20"/>
                <w:color w:val="auto"/>
              </w:rPr>
            </w:pPr>
            <w:r>
              <w:rPr>
                <w:rFonts w:ascii="Arial" w:cs="Arial" w:eastAsia="Arial" w:hAnsi="Arial"/>
                <w:sz w:val="18"/>
                <w:szCs w:val="18"/>
                <w:b w:val="1"/>
                <w:bCs w:val="1"/>
                <w:color w:val="auto"/>
              </w:rPr>
              <w:t>INDEX</w:t>
            </w:r>
          </w:p>
        </w:tc>
      </w:tr>
      <w:tr>
        <w:trPr>
          <w:trHeight w:val="171"/>
        </w:trPr>
        <w:tc>
          <w:tcPr>
            <w:tcW w:w="38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Page(s)</w:t>
            </w:r>
          </w:p>
        </w:tc>
      </w:tr>
      <w:tr>
        <w:trPr>
          <w:trHeight w:val="344"/>
        </w:trPr>
        <w:tc>
          <w:tcPr>
            <w:tcW w:w="3860" w:type="dxa"/>
            <w:vAlign w:val="bottom"/>
          </w:tcPr>
          <w:p>
            <w:pPr>
              <w:spacing w:after="0"/>
              <w:rPr>
                <w:sz w:val="20"/>
                <w:szCs w:val="20"/>
                <w:color w:val="auto"/>
              </w:rPr>
            </w:pPr>
            <w:r>
              <w:rPr>
                <w:rFonts w:ascii="Arial" w:cs="Arial" w:eastAsia="Arial" w:hAnsi="Arial"/>
                <w:sz w:val="18"/>
                <w:szCs w:val="18"/>
                <w:color w:val="auto"/>
              </w:rPr>
              <w:t>Additional Notice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Additional Rent</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Affiliate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Alterations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Base Rent</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Brokers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w:t>
            </w:r>
          </w:p>
        </w:tc>
        <w:tc>
          <w:tcPr>
            <w:tcW w:w="6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Common Areas,</w:t>
            </w:r>
          </w:p>
        </w:tc>
        <w:tc>
          <w:tcPr>
            <w:tcW w:w="6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Direct Expenses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Hours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Operating Expenses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Building Tax Expenses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City Parking Access Area</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City Parking Rights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Common Areas</w:t>
            </w:r>
          </w:p>
        </w:tc>
        <w:tc>
          <w:tcPr>
            <w:tcW w:w="6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Comparable Buildings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Comparable Transactions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Concessions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Contemplated Effective Date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Contemplated Transfer Space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Cost Pools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Damage Termination Date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Damage Termination Notice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Direct Expenses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Early Termination Date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Eligibility Period</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Energy Disclosure Requirements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Estimate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Estimate Statement</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Estimated Direct Expenses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Excess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Expense Year</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Extension Option</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Fair Market Value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First Offer Notice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First Offer Space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Fitness Center</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Fitness Center Users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Force Majeure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Holidays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HVAC</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Identification Requirements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Initial Notice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Intention to Transfer Notice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Landlord</w:t>
            </w:r>
          </w:p>
        </w:tc>
        <w:tc>
          <w:tcPr>
            <w:tcW w:w="6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Landlord Default</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Landlord Parties</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Landlord Repair Notice</w:t>
            </w:r>
          </w:p>
        </w:tc>
        <w:tc>
          <w:tcPr>
            <w:tcW w:w="7380" w:type="dxa"/>
            <w:vAlign w:val="bottom"/>
            <w:gridSpan w:val="2"/>
          </w:tcPr>
          <w:p>
            <w:pPr>
              <w:jc w:val="right"/>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32" w:name="page633"/>
    <w:bookmarkEnd w:id="632"/>
    <w:tbl>
      <w:tblPr>
        <w:tblLayout w:type="fixed"/>
        <w:tblInd w:w="0" w:type="dxa"/>
        <w:tblCellMar>
          <w:top w:w="0" w:type="dxa"/>
          <w:left w:w="0" w:type="dxa"/>
          <w:bottom w:w="0" w:type="dxa"/>
          <w:right w:w="0" w:type="dxa"/>
        </w:tblCellMar>
      </w:tblPr>
      <w:tr>
        <w:trPr>
          <w:trHeight w:val="171"/>
        </w:trPr>
        <w:tc>
          <w:tcPr>
            <w:tcW w:w="106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Page(s)</w:t>
            </w:r>
          </w:p>
        </w:tc>
      </w:tr>
      <w:tr>
        <w:trPr>
          <w:trHeight w:val="344"/>
        </w:trPr>
        <w:tc>
          <w:tcPr>
            <w:tcW w:w="10680" w:type="dxa"/>
            <w:vAlign w:val="bottom"/>
          </w:tcPr>
          <w:p>
            <w:pPr>
              <w:spacing w:after="0"/>
              <w:rPr>
                <w:sz w:val="20"/>
                <w:szCs w:val="20"/>
                <w:color w:val="auto"/>
              </w:rPr>
            </w:pPr>
            <w:r>
              <w:rPr>
                <w:rFonts w:ascii="Arial" w:cs="Arial" w:eastAsia="Arial" w:hAnsi="Arial"/>
                <w:sz w:val="18"/>
                <w:szCs w:val="18"/>
                <w:color w:val="auto"/>
              </w:rPr>
              <w:t>Lease</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Lease Commencement Date</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Lease Expiration Date</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Lease Term</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Lease Year</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Lines</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Mail</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Management Fee Cap</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Nine Month Period</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Notice of Lease Term Dates</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Notices</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Option Rent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Option Rent Notice</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Option Term</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Original Improvements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Original Tenant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Other Improvements</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Premises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Project,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Proposition 13</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Renovations</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Rent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Right of First Offer</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Security Deposit</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Statement</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Subject Space</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Summary</w:t>
            </w:r>
          </w:p>
        </w:tc>
        <w:tc>
          <w:tcPr>
            <w:tcW w:w="560" w:type="dxa"/>
            <w:vAlign w:val="bottom"/>
          </w:tcPr>
          <w:p>
            <w:pPr>
              <w:spacing w:after="0"/>
              <w:rPr>
                <w:sz w:val="18"/>
                <w:szCs w:val="18"/>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Superior Rights 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Tax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Tenant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Tenant Energy Use Disclosure</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Tenant Improvements</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Tenant’s Agents</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Tenant’s Share</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Tenant’s Termination Option</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Termination Fee</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TI Allowance Period</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Transfer Notice</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Transferee</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Underlying Documents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680" w:type="dxa"/>
            <w:vAlign w:val="bottom"/>
          </w:tcPr>
          <w:p>
            <w:pPr>
              <w:spacing w:after="0"/>
              <w:rPr>
                <w:sz w:val="20"/>
                <w:szCs w:val="20"/>
                <w:color w:val="auto"/>
              </w:rPr>
            </w:pPr>
            <w:r>
              <w:rPr>
                <w:rFonts w:ascii="Arial" w:cs="Arial" w:eastAsia="Arial" w:hAnsi="Arial"/>
                <w:sz w:val="18"/>
                <w:szCs w:val="18"/>
                <w:color w:val="auto"/>
              </w:rPr>
              <w:t>Waiver Period</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33" w:name="page634"/>
    <w:bookmarkEnd w:id="633"/>
    <w:p>
      <w:pPr>
        <w:jc w:val="center"/>
        <w:ind w:right="40"/>
        <w:spacing w:after="0"/>
        <w:rPr>
          <w:sz w:val="20"/>
          <w:szCs w:val="20"/>
          <w:color w:val="auto"/>
        </w:rPr>
      </w:pPr>
      <w:r>
        <w:rPr>
          <w:rFonts w:ascii="Arial" w:cs="Arial" w:eastAsia="Arial" w:hAnsi="Arial"/>
          <w:sz w:val="18"/>
          <w:szCs w:val="18"/>
          <w:b w:val="1"/>
          <w:bCs w:val="1"/>
          <w:u w:val="single" w:color="auto"/>
          <w:color w:val="auto"/>
        </w:rPr>
        <w:t>SUNNYVALE CITY CENTER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OFFICE LEASE</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This Office Lease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as of the date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Summary of Basic Lease Information (the “</w:t>
      </w:r>
      <w:r>
        <w:rPr>
          <w:rFonts w:ascii="Arial" w:cs="Arial" w:eastAsia="Arial" w:hAnsi="Arial"/>
          <w:sz w:val="18"/>
          <w:szCs w:val="18"/>
          <w:b w:val="1"/>
          <w:bCs w:val="1"/>
          <w:color w:val="auto"/>
        </w:rPr>
        <w:t>Summary</w:t>
      </w:r>
      <w:r>
        <w:rPr>
          <w:rFonts w:ascii="Arial" w:cs="Arial" w:eastAsia="Arial" w:hAnsi="Arial"/>
          <w:sz w:val="18"/>
          <w:szCs w:val="18"/>
          <w:color w:val="auto"/>
        </w:rPr>
        <w:t>”) below, is made by and between SPF MATHILDA,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KNOWLES ELECTRONICS, LLC, a Delaware limited liability company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940" w:type="dxa"/>
            <w:vAlign w:val="bottom"/>
            <w:gridSpan w:val="2"/>
          </w:tcPr>
          <w:p>
            <w:pPr>
              <w:ind w:left="1100"/>
              <w:spacing w:after="0"/>
              <w:rPr>
                <w:sz w:val="20"/>
                <w:szCs w:val="20"/>
                <w:color w:val="auto"/>
              </w:rPr>
            </w:pPr>
            <w:r>
              <w:rPr>
                <w:rFonts w:ascii="Arial" w:cs="Arial" w:eastAsia="Arial" w:hAnsi="Arial"/>
                <w:sz w:val="18"/>
                <w:szCs w:val="18"/>
                <w:b w:val="1"/>
                <w:bCs w:val="1"/>
                <w:color w:val="auto"/>
              </w:rPr>
              <w:t>SUMMARY OF BASIC LEASE INFORMATION</w:t>
            </w:r>
          </w:p>
        </w:tc>
      </w:tr>
      <w:tr>
        <w:trPr>
          <w:trHeight w:val="453"/>
        </w:trPr>
        <w:tc>
          <w:tcPr>
            <w:tcW w:w="2600" w:type="dxa"/>
            <w:vAlign w:val="bottom"/>
            <w:gridSpan w:val="2"/>
          </w:tcPr>
          <w:p>
            <w:pPr>
              <w:spacing w:after="0"/>
              <w:rPr>
                <w:sz w:val="20"/>
                <w:szCs w:val="20"/>
                <w:color w:val="auto"/>
              </w:rPr>
            </w:pPr>
            <w:r>
              <w:rPr>
                <w:rFonts w:ascii="Arial" w:cs="Arial" w:eastAsia="Arial" w:hAnsi="Arial"/>
                <w:sz w:val="18"/>
                <w:szCs w:val="18"/>
                <w:color w:val="auto"/>
              </w:rPr>
              <w:t>TERMS OF LEASE</w:t>
            </w:r>
          </w:p>
        </w:tc>
        <w:tc>
          <w:tcPr>
            <w:tcW w:w="1100" w:type="dxa"/>
            <w:vAlign w:val="bottom"/>
          </w:tcPr>
          <w:p>
            <w:pPr>
              <w:spacing w:after="0"/>
              <w:rPr>
                <w:sz w:val="24"/>
                <w:szCs w:val="24"/>
                <w:color w:val="auto"/>
              </w:rPr>
            </w:pPr>
          </w:p>
        </w:tc>
        <w:tc>
          <w:tcPr>
            <w:tcW w:w="384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DESCRIPTION</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2140" w:type="dxa"/>
            <w:vAlign w:val="bottom"/>
          </w:tcPr>
          <w:p>
            <w:pPr>
              <w:ind w:left="320"/>
              <w:spacing w:after="0"/>
              <w:rPr>
                <w:sz w:val="20"/>
                <w:szCs w:val="20"/>
                <w:color w:val="auto"/>
              </w:rPr>
            </w:pPr>
            <w:r>
              <w:rPr>
                <w:rFonts w:ascii="Arial" w:cs="Arial" w:eastAsia="Arial" w:hAnsi="Arial"/>
                <w:sz w:val="18"/>
                <w:szCs w:val="18"/>
                <w:color w:val="auto"/>
              </w:rPr>
              <w:t>Date:</w:t>
            </w:r>
          </w:p>
        </w:tc>
        <w:tc>
          <w:tcPr>
            <w:tcW w:w="1100" w:type="dxa"/>
            <w:vAlign w:val="bottom"/>
          </w:tcPr>
          <w:p>
            <w:pPr>
              <w:spacing w:after="0"/>
              <w:rPr>
                <w:sz w:val="24"/>
                <w:szCs w:val="24"/>
                <w:color w:val="auto"/>
              </w:rPr>
            </w:pPr>
          </w:p>
        </w:tc>
        <w:tc>
          <w:tcPr>
            <w:tcW w:w="3840" w:type="dxa"/>
            <w:vAlign w:val="bottom"/>
          </w:tcPr>
          <w:p>
            <w:pPr>
              <w:ind w:left="1940"/>
              <w:spacing w:after="0"/>
              <w:rPr>
                <w:sz w:val="20"/>
                <w:szCs w:val="20"/>
                <w:color w:val="auto"/>
              </w:rPr>
            </w:pPr>
            <w:r>
              <w:rPr>
                <w:rFonts w:ascii="Arial" w:cs="Arial" w:eastAsia="Arial" w:hAnsi="Arial"/>
                <w:sz w:val="18"/>
                <w:szCs w:val="18"/>
                <w:color w:val="auto"/>
              </w:rPr>
              <w:t>August 15, 2014</w:t>
            </w:r>
          </w:p>
        </w:tc>
      </w:tr>
    </w:tbl>
    <w:p>
      <w:pPr>
        <w:spacing w:after="0" w:line="202" w:lineRule="exact"/>
        <w:rPr>
          <w:sz w:val="20"/>
          <w:szCs w:val="20"/>
          <w:color w:val="auto"/>
        </w:rPr>
      </w:pPr>
    </w:p>
    <w:p>
      <w:pPr>
        <w:ind w:left="780" w:hanging="772"/>
        <w:spacing w:after="0"/>
        <w:tabs>
          <w:tab w:leader="none" w:pos="78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Premises (</w:t>
      </w:r>
      <w:r>
        <w:rPr>
          <w:rFonts w:ascii="Arial" w:cs="Arial" w:eastAsia="Arial" w:hAnsi="Arial"/>
          <w:sz w:val="18"/>
          <w:szCs w:val="18"/>
          <w:u w:val="single" w:color="auto"/>
          <w:color w:val="auto"/>
        </w:rPr>
        <w:t>Article 1</w:t>
      </w:r>
      <w:r>
        <w:rPr>
          <w:rFonts w:ascii="Arial" w:cs="Arial" w:eastAsia="Arial" w:hAnsi="Arial"/>
          <w:sz w:val="18"/>
          <w:szCs w:val="18"/>
          <w:color w:val="auto"/>
        </w:rPr>
        <w:t>).</w:t>
      </w:r>
    </w:p>
    <w:p>
      <w:pPr>
        <w:spacing w:after="0" w:line="225"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79"/>
              </w:rPr>
              <w:t>2.1</w:t>
            </w:r>
          </w:p>
        </w:tc>
        <w:tc>
          <w:tcPr>
            <w:tcW w:w="2680" w:type="dxa"/>
            <w:vAlign w:val="bottom"/>
          </w:tcPr>
          <w:p>
            <w:pPr>
              <w:ind w:left="240"/>
              <w:spacing w:after="0"/>
              <w:rPr>
                <w:sz w:val="20"/>
                <w:szCs w:val="20"/>
                <w:color w:val="auto"/>
              </w:rPr>
            </w:pPr>
            <w:r>
              <w:rPr>
                <w:rFonts w:ascii="Arial" w:cs="Arial" w:eastAsia="Arial" w:hAnsi="Arial"/>
                <w:sz w:val="18"/>
                <w:szCs w:val="18"/>
                <w:color w:val="auto"/>
              </w:rPr>
              <w:t>Building:</w:t>
            </w:r>
          </w:p>
        </w:tc>
        <w:tc>
          <w:tcPr>
            <w:tcW w:w="7220" w:type="dxa"/>
            <w:vAlign w:val="bottom"/>
            <w:gridSpan w:val="3"/>
          </w:tcPr>
          <w:p>
            <w:pPr>
              <w:ind w:left="1740"/>
              <w:spacing w:after="0"/>
              <w:rPr>
                <w:sz w:val="20"/>
                <w:szCs w:val="20"/>
                <w:color w:val="auto"/>
              </w:rPr>
            </w:pPr>
            <w:r>
              <w:rPr>
                <w:rFonts w:ascii="Arial" w:cs="Arial" w:eastAsia="Arial" w:hAnsi="Arial"/>
                <w:sz w:val="18"/>
                <w:szCs w:val="18"/>
                <w:color w:val="auto"/>
              </w:rPr>
              <w:t>150 Mathilda Place, Sunnyvale, California</w:t>
            </w:r>
          </w:p>
        </w:tc>
      </w:tr>
      <w:tr>
        <w:trPr>
          <w:trHeight w:val="418"/>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79"/>
              </w:rPr>
              <w:t>2.2</w:t>
            </w:r>
          </w:p>
        </w:tc>
        <w:tc>
          <w:tcPr>
            <w:tcW w:w="2680" w:type="dxa"/>
            <w:vAlign w:val="bottom"/>
          </w:tcPr>
          <w:p>
            <w:pPr>
              <w:ind w:left="240"/>
              <w:spacing w:after="0"/>
              <w:rPr>
                <w:sz w:val="20"/>
                <w:szCs w:val="20"/>
                <w:color w:val="auto"/>
              </w:rPr>
            </w:pPr>
            <w:r>
              <w:rPr>
                <w:rFonts w:ascii="Arial" w:cs="Arial" w:eastAsia="Arial" w:hAnsi="Arial"/>
                <w:sz w:val="18"/>
                <w:szCs w:val="18"/>
                <w:color w:val="auto"/>
              </w:rPr>
              <w:t>Premises:</w:t>
            </w:r>
          </w:p>
        </w:tc>
        <w:tc>
          <w:tcPr>
            <w:tcW w:w="7220" w:type="dxa"/>
            <w:vAlign w:val="bottom"/>
            <w:gridSpan w:val="3"/>
          </w:tcPr>
          <w:p>
            <w:pPr>
              <w:ind w:left="1740"/>
              <w:spacing w:after="0"/>
              <w:rPr>
                <w:sz w:val="20"/>
                <w:szCs w:val="20"/>
                <w:color w:val="auto"/>
              </w:rPr>
            </w:pPr>
            <w:r>
              <w:rPr>
                <w:rFonts w:ascii="Arial" w:cs="Arial" w:eastAsia="Arial" w:hAnsi="Arial"/>
                <w:sz w:val="18"/>
                <w:szCs w:val="18"/>
                <w:color w:val="auto"/>
                <w:w w:val="90"/>
              </w:rPr>
              <w:t>Approximately 6,657 rentable square feet of space located on the third (3</w:t>
            </w:r>
            <w:r>
              <w:rPr>
                <w:rFonts w:ascii="Arial" w:cs="Arial" w:eastAsia="Arial" w:hAnsi="Arial"/>
                <w:sz w:val="23"/>
                <w:szCs w:val="23"/>
                <w:color w:val="auto"/>
                <w:w w:val="90"/>
                <w:vertAlign w:val="superscript"/>
              </w:rPr>
              <w:t>rd</w:t>
            </w:r>
            <w:r>
              <w:rPr>
                <w:rFonts w:ascii="Arial" w:cs="Arial" w:eastAsia="Arial" w:hAnsi="Arial"/>
                <w:sz w:val="18"/>
                <w:szCs w:val="18"/>
                <w:color w:val="auto"/>
                <w:w w:val="90"/>
              </w:rPr>
              <w:t>)</w:t>
            </w:r>
          </w:p>
        </w:tc>
      </w:tr>
      <w:tr>
        <w:trPr>
          <w:trHeight w:val="212"/>
        </w:trPr>
        <w:tc>
          <w:tcPr>
            <w:tcW w:w="4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7220" w:type="dxa"/>
            <w:vAlign w:val="bottom"/>
            <w:gridSpan w:val="3"/>
          </w:tcPr>
          <w:p>
            <w:pPr>
              <w:ind w:left="1740"/>
              <w:spacing w:after="0"/>
              <w:rPr>
                <w:sz w:val="20"/>
                <w:szCs w:val="20"/>
                <w:color w:val="auto"/>
              </w:rPr>
            </w:pPr>
            <w:r>
              <w:rPr>
                <w:rFonts w:ascii="Arial" w:cs="Arial" w:eastAsia="Arial" w:hAnsi="Arial"/>
                <w:sz w:val="18"/>
                <w:szCs w:val="18"/>
                <w:color w:val="auto"/>
                <w:w w:val="91"/>
              </w:rPr>
              <w:t>floor of the Building and commonly known as Suite 300, as further set forth</w:t>
            </w:r>
          </w:p>
        </w:tc>
      </w:tr>
      <w:tr>
        <w:trPr>
          <w:trHeight w:val="194"/>
        </w:trPr>
        <w:tc>
          <w:tcPr>
            <w:tcW w:w="4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220" w:type="dxa"/>
            <w:vAlign w:val="bottom"/>
            <w:gridSpan w:val="3"/>
          </w:tcPr>
          <w:p>
            <w:pPr>
              <w:ind w:left="1740"/>
              <w:spacing w:after="0" w:line="194" w:lineRule="exact"/>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Office Lease.</w:t>
            </w:r>
          </w:p>
        </w:tc>
      </w:tr>
      <w:tr>
        <w:trPr>
          <w:trHeight w:val="20"/>
        </w:trPr>
        <w:tc>
          <w:tcPr>
            <w:tcW w:w="4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780" w:hanging="772"/>
        <w:spacing w:after="0"/>
        <w:tabs>
          <w:tab w:leader="none" w:pos="78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Lease Term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3.1</w:t>
            </w:r>
          </w:p>
        </w:tc>
        <w:tc>
          <w:tcPr>
            <w:tcW w:w="3780" w:type="dxa"/>
            <w:vAlign w:val="bottom"/>
            <w:gridSpan w:val="4"/>
          </w:tcPr>
          <w:p>
            <w:pPr>
              <w:ind w:left="120"/>
              <w:spacing w:after="0"/>
              <w:rPr>
                <w:sz w:val="20"/>
                <w:szCs w:val="20"/>
                <w:color w:val="auto"/>
              </w:rPr>
            </w:pPr>
            <w:r>
              <w:rPr>
                <w:rFonts w:ascii="Arial" w:cs="Arial" w:eastAsia="Arial" w:hAnsi="Arial"/>
                <w:sz w:val="18"/>
                <w:szCs w:val="18"/>
                <w:color w:val="auto"/>
              </w:rPr>
              <w:t>Length of Term:</w:t>
            </w:r>
          </w:p>
        </w:tc>
        <w:tc>
          <w:tcPr>
            <w:tcW w:w="30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w w:val="95"/>
              </w:rPr>
              <w:t>Seven (7) years.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3.2</w:t>
            </w:r>
          </w:p>
        </w:tc>
        <w:tc>
          <w:tcPr>
            <w:tcW w:w="3780" w:type="dxa"/>
            <w:vAlign w:val="bottom"/>
            <w:gridSpan w:val="4"/>
          </w:tcPr>
          <w:p>
            <w:pPr>
              <w:ind w:left="120"/>
              <w:spacing w:after="0"/>
              <w:rPr>
                <w:sz w:val="20"/>
                <w:szCs w:val="20"/>
                <w:color w:val="auto"/>
              </w:rPr>
            </w:pPr>
            <w:r>
              <w:rPr>
                <w:rFonts w:ascii="Arial" w:cs="Arial" w:eastAsia="Arial" w:hAnsi="Arial"/>
                <w:sz w:val="18"/>
                <w:szCs w:val="18"/>
                <w:color w:val="auto"/>
              </w:rPr>
              <w:t>Lease Commencement Date:</w:t>
            </w:r>
          </w:p>
        </w:tc>
        <w:tc>
          <w:tcPr>
            <w:tcW w:w="300" w:type="dxa"/>
            <w:vAlign w:val="bottom"/>
          </w:tcPr>
          <w:p>
            <w:pPr>
              <w:spacing w:after="0"/>
              <w:rPr>
                <w:sz w:val="24"/>
                <w:szCs w:val="24"/>
                <w:color w:val="auto"/>
              </w:rPr>
            </w:pPr>
          </w:p>
        </w:tc>
        <w:tc>
          <w:tcPr>
            <w:tcW w:w="5860" w:type="dxa"/>
            <w:vAlign w:val="bottom"/>
            <w:gridSpan w:val="11"/>
          </w:tcPr>
          <w:p>
            <w:pPr>
              <w:ind w:left="220"/>
              <w:spacing w:after="0"/>
              <w:rPr>
                <w:sz w:val="20"/>
                <w:szCs w:val="20"/>
                <w:color w:val="auto"/>
              </w:rPr>
            </w:pPr>
            <w:r>
              <w:rPr>
                <w:rFonts w:ascii="Arial" w:cs="Arial" w:eastAsia="Arial" w:hAnsi="Arial"/>
                <w:sz w:val="18"/>
                <w:szCs w:val="18"/>
                <w:color w:val="auto"/>
                <w:w w:val="97"/>
              </w:rPr>
              <w:t>The earlier to occur of (i) the date upon which Tenant first commences to</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gridSpan w:val="11"/>
          </w:tcPr>
          <w:p>
            <w:pPr>
              <w:ind w:left="220"/>
              <w:spacing w:after="0"/>
              <w:rPr>
                <w:sz w:val="20"/>
                <w:szCs w:val="20"/>
                <w:color w:val="auto"/>
              </w:rPr>
            </w:pPr>
            <w:r>
              <w:rPr>
                <w:rFonts w:ascii="Arial" w:cs="Arial" w:eastAsia="Arial" w:hAnsi="Arial"/>
                <w:sz w:val="18"/>
                <w:szCs w:val="18"/>
                <w:color w:val="auto"/>
              </w:rPr>
              <w:t>conduct business in the Premises, and (ii) December 1, 2014.</w:t>
            </w: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3.3</w:t>
            </w:r>
          </w:p>
        </w:tc>
        <w:tc>
          <w:tcPr>
            <w:tcW w:w="3780" w:type="dxa"/>
            <w:vAlign w:val="bottom"/>
            <w:gridSpan w:val="4"/>
          </w:tcPr>
          <w:p>
            <w:pPr>
              <w:ind w:left="120"/>
              <w:spacing w:after="0"/>
              <w:rPr>
                <w:sz w:val="20"/>
                <w:szCs w:val="20"/>
                <w:color w:val="auto"/>
              </w:rPr>
            </w:pPr>
            <w:r>
              <w:rPr>
                <w:rFonts w:ascii="Arial" w:cs="Arial" w:eastAsia="Arial" w:hAnsi="Arial"/>
                <w:sz w:val="18"/>
                <w:szCs w:val="18"/>
                <w:color w:val="auto"/>
              </w:rPr>
              <w:t>Lease Expiration Date:</w:t>
            </w:r>
          </w:p>
        </w:tc>
        <w:tc>
          <w:tcPr>
            <w:tcW w:w="300" w:type="dxa"/>
            <w:vAlign w:val="bottom"/>
          </w:tcPr>
          <w:p>
            <w:pPr>
              <w:spacing w:after="0"/>
              <w:rPr>
                <w:sz w:val="24"/>
                <w:szCs w:val="24"/>
                <w:color w:val="auto"/>
              </w:rPr>
            </w:pPr>
          </w:p>
        </w:tc>
        <w:tc>
          <w:tcPr>
            <w:tcW w:w="5860" w:type="dxa"/>
            <w:vAlign w:val="bottom"/>
            <w:gridSpan w:val="11"/>
          </w:tcPr>
          <w:p>
            <w:pPr>
              <w:ind w:left="220"/>
              <w:spacing w:after="0"/>
              <w:rPr>
                <w:sz w:val="20"/>
                <w:szCs w:val="20"/>
                <w:color w:val="auto"/>
              </w:rPr>
            </w:pPr>
            <w:r>
              <w:rPr>
                <w:rFonts w:ascii="Arial" w:cs="Arial" w:eastAsia="Arial" w:hAnsi="Arial"/>
                <w:sz w:val="18"/>
                <w:szCs w:val="18"/>
                <w:color w:val="auto"/>
                <w:w w:val="92"/>
              </w:rPr>
              <w:t>If the Lease Commencement Date shall be the first day of a calendar month,</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11"/>
          </w:tcPr>
          <w:p>
            <w:pPr>
              <w:ind w:left="220"/>
              <w:spacing w:after="0"/>
              <w:rPr>
                <w:sz w:val="20"/>
                <w:szCs w:val="20"/>
                <w:color w:val="auto"/>
              </w:rPr>
            </w:pPr>
            <w:r>
              <w:rPr>
                <w:rFonts w:ascii="Arial" w:cs="Arial" w:eastAsia="Arial" w:hAnsi="Arial"/>
                <w:sz w:val="18"/>
                <w:szCs w:val="18"/>
                <w:color w:val="auto"/>
                <w:w w:val="96"/>
              </w:rPr>
              <w:t>then the day immediately preceding the seven (7) year anniversary of the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11"/>
          </w:tcPr>
          <w:p>
            <w:pPr>
              <w:ind w:left="220"/>
              <w:spacing w:after="0"/>
              <w:rPr>
                <w:sz w:val="20"/>
                <w:szCs w:val="20"/>
                <w:color w:val="auto"/>
              </w:rPr>
            </w:pPr>
            <w:r>
              <w:rPr>
                <w:rFonts w:ascii="Arial" w:cs="Arial" w:eastAsia="Arial" w:hAnsi="Arial"/>
                <w:sz w:val="18"/>
                <w:szCs w:val="18"/>
                <w:color w:val="auto"/>
                <w:w w:val="92"/>
              </w:rPr>
              <w:t>Lease Commencement Date; or, if the Lease Commencement Date shall be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11"/>
          </w:tcPr>
          <w:p>
            <w:pPr>
              <w:ind w:left="220"/>
              <w:spacing w:after="0"/>
              <w:rPr>
                <w:sz w:val="20"/>
                <w:szCs w:val="20"/>
                <w:color w:val="auto"/>
              </w:rPr>
            </w:pPr>
            <w:r>
              <w:rPr>
                <w:rFonts w:ascii="Arial" w:cs="Arial" w:eastAsia="Arial" w:hAnsi="Arial"/>
                <w:sz w:val="18"/>
                <w:szCs w:val="18"/>
                <w:color w:val="auto"/>
                <w:w w:val="92"/>
              </w:rPr>
              <w:t>other than the first day of a calendar month, then the last day of the month in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11"/>
          </w:tcPr>
          <w:p>
            <w:pPr>
              <w:ind w:left="220"/>
              <w:spacing w:after="0"/>
              <w:rPr>
                <w:sz w:val="20"/>
                <w:szCs w:val="20"/>
                <w:color w:val="auto"/>
              </w:rPr>
            </w:pPr>
            <w:r>
              <w:rPr>
                <w:rFonts w:ascii="Arial" w:cs="Arial" w:eastAsia="Arial" w:hAnsi="Arial"/>
                <w:sz w:val="18"/>
                <w:szCs w:val="18"/>
                <w:color w:val="auto"/>
                <w:w w:val="97"/>
              </w:rPr>
              <w:t>which the seven (7) year anniversary of the Lease Commencement Date</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rPr>
              <w:t>occurs.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4780" w:type="dxa"/>
            <w:vAlign w:val="bottom"/>
            <w:gridSpan w:val="5"/>
          </w:tcPr>
          <w:p>
            <w:pPr>
              <w:ind w:left="440"/>
              <w:spacing w:after="0"/>
              <w:rPr>
                <w:sz w:val="20"/>
                <w:szCs w:val="20"/>
                <w:color w:val="auto"/>
              </w:rPr>
            </w:pPr>
            <w:r>
              <w:rPr>
                <w:rFonts w:ascii="Arial" w:cs="Arial" w:eastAsia="Arial" w:hAnsi="Arial"/>
                <w:sz w:val="18"/>
                <w:szCs w:val="18"/>
                <w:color w:val="auto"/>
              </w:rPr>
              <w:t>Base Rent (Article 3):</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4"/>
              </w:rPr>
              <w:t>Approximately</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Monthly</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Monthly</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Period During</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Annual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3"/>
              </w:rPr>
              <w:t>Rental Rate</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Installment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4"/>
              </w:rPr>
              <w:t>per Rentable</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rPr>
              <w:t>Lease Term</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Base Rent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of Base Rent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2"/>
              </w:rPr>
              <w:t>Square Foot</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22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Lease Year 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359,478.00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29,956.50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3"/>
          </w:tcPr>
          <w:p>
            <w:pPr>
              <w:ind w:left="500"/>
              <w:spacing w:after="0"/>
              <w:rPr>
                <w:sz w:val="20"/>
                <w:szCs w:val="20"/>
                <w:color w:val="auto"/>
              </w:rPr>
            </w:pPr>
            <w:r>
              <w:rPr>
                <w:rFonts w:ascii="Arial" w:cs="Arial" w:eastAsia="Arial" w:hAnsi="Arial"/>
                <w:sz w:val="18"/>
                <w:szCs w:val="18"/>
                <w:color w:val="auto"/>
              </w:rPr>
              <w:t>Lease Year 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372,059.76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31,004.98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Lease Year 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385,081.80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32,090.15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3"/>
          </w:tcPr>
          <w:p>
            <w:pPr>
              <w:ind w:left="500"/>
              <w:spacing w:after="0"/>
              <w:rPr>
                <w:sz w:val="20"/>
                <w:szCs w:val="20"/>
                <w:color w:val="auto"/>
              </w:rPr>
            </w:pPr>
            <w:r>
              <w:rPr>
                <w:rFonts w:ascii="Arial" w:cs="Arial" w:eastAsia="Arial" w:hAnsi="Arial"/>
                <w:sz w:val="18"/>
                <w:szCs w:val="18"/>
                <w:color w:val="auto"/>
              </w:rPr>
              <w:t>Lease Year 4</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398,559.72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33,213.31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Lease Year 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412,509.36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34,375.78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3"/>
          </w:tcPr>
          <w:p>
            <w:pPr>
              <w:ind w:left="500"/>
              <w:spacing w:after="0"/>
              <w:rPr>
                <w:sz w:val="20"/>
                <w:szCs w:val="20"/>
                <w:color w:val="auto"/>
              </w:rPr>
            </w:pPr>
            <w:r>
              <w:rPr>
                <w:rFonts w:ascii="Arial" w:cs="Arial" w:eastAsia="Arial" w:hAnsi="Arial"/>
                <w:sz w:val="18"/>
                <w:szCs w:val="18"/>
                <w:color w:val="auto"/>
              </w:rPr>
              <w:t>Lease Year 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426,947.16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35,578.93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Lease Year 7</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441,890.28</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36,824.19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3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8" w:right="299" w:bottom="1440" w:gutter="0" w:footer="0" w:header="0"/>
        </w:sectPr>
      </w:pPr>
    </w:p>
    <w:bookmarkStart w:id="634" w:name="page635"/>
    <w:bookmarkEnd w:id="634"/>
    <w:p>
      <w:pPr>
        <w:ind w:left="760" w:hanging="752"/>
        <w:spacing w:after="0"/>
        <w:tabs>
          <w:tab w:leader="none" w:pos="760" w:val="left"/>
        </w:tabs>
        <w:numPr>
          <w:ilvl w:val="0"/>
          <w:numId w:val="54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4040" w:type="dxa"/>
            <w:vAlign w:val="bottom"/>
            <w:gridSpan w:val="14"/>
          </w:tcPr>
          <w:p>
            <w:pPr>
              <w:ind w:left="260"/>
              <w:spacing w:after="0"/>
              <w:rPr>
                <w:sz w:val="20"/>
                <w:szCs w:val="20"/>
                <w:color w:val="auto"/>
              </w:rPr>
            </w:pPr>
            <w:r>
              <w:rPr>
                <w:rFonts w:ascii="Arial" w:cs="Arial" w:eastAsia="Arial" w:hAnsi="Arial"/>
                <w:sz w:val="18"/>
                <w:szCs w:val="18"/>
                <w:color w:val="auto"/>
              </w:rPr>
              <w:t>Tenant’s Share (Article 4):</w:t>
            </w:r>
          </w:p>
        </w:tc>
        <w:tc>
          <w:tcPr>
            <w:tcW w:w="2380" w:type="dxa"/>
            <w:vAlign w:val="bottom"/>
            <w:gridSpan w:val="2"/>
          </w:tcPr>
          <w:p>
            <w:pPr>
              <w:ind w:left="1080"/>
              <w:spacing w:after="0"/>
              <w:rPr>
                <w:sz w:val="20"/>
                <w:szCs w:val="20"/>
                <w:color w:val="auto"/>
              </w:rPr>
            </w:pPr>
            <w:r>
              <w:rPr>
                <w:rFonts w:ascii="Arial" w:cs="Arial" w:eastAsia="Arial" w:hAnsi="Arial"/>
                <w:sz w:val="18"/>
                <w:szCs w:val="18"/>
                <w:color w:val="auto"/>
              </w:rPr>
              <w:t>4.97%.</w:t>
            </w:r>
          </w:p>
        </w:tc>
        <w:tc>
          <w:tcPr>
            <w:tcW w:w="40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4040" w:type="dxa"/>
            <w:vAlign w:val="bottom"/>
            <w:gridSpan w:val="14"/>
          </w:tcPr>
          <w:p>
            <w:pPr>
              <w:ind w:left="260"/>
              <w:spacing w:after="0"/>
              <w:rPr>
                <w:sz w:val="20"/>
                <w:szCs w:val="20"/>
                <w:color w:val="auto"/>
              </w:rPr>
            </w:pPr>
            <w:r>
              <w:rPr>
                <w:rFonts w:ascii="Arial" w:cs="Arial" w:eastAsia="Arial" w:hAnsi="Arial"/>
                <w:sz w:val="18"/>
                <w:szCs w:val="18"/>
                <w:color w:val="auto"/>
              </w:rPr>
              <w:t>Permitted Use (Article 5):</w:t>
            </w: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General office use consistent with a first-class office building.</w:t>
            </w: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4040" w:type="dxa"/>
            <w:vAlign w:val="bottom"/>
            <w:gridSpan w:val="14"/>
          </w:tcPr>
          <w:p>
            <w:pPr>
              <w:ind w:left="260"/>
              <w:spacing w:after="0"/>
              <w:rPr>
                <w:sz w:val="20"/>
                <w:szCs w:val="20"/>
                <w:color w:val="auto"/>
              </w:rPr>
            </w:pPr>
            <w:r>
              <w:rPr>
                <w:rFonts w:ascii="Arial" w:cs="Arial" w:eastAsia="Arial" w:hAnsi="Arial"/>
                <w:sz w:val="18"/>
                <w:szCs w:val="18"/>
                <w:color w:val="auto"/>
              </w:rPr>
              <w:t>Security Deposit (Article 21):</w:t>
            </w:r>
          </w:p>
        </w:tc>
        <w:tc>
          <w:tcPr>
            <w:tcW w:w="2380" w:type="dxa"/>
            <w:vAlign w:val="bottom"/>
            <w:gridSpan w:val="2"/>
          </w:tcPr>
          <w:p>
            <w:pPr>
              <w:ind w:left="1080"/>
              <w:spacing w:after="0"/>
              <w:rPr>
                <w:sz w:val="20"/>
                <w:szCs w:val="20"/>
                <w:color w:val="auto"/>
              </w:rPr>
            </w:pPr>
            <w:r>
              <w:rPr>
                <w:rFonts w:ascii="Arial" w:cs="Arial" w:eastAsia="Arial" w:hAnsi="Arial"/>
                <w:sz w:val="18"/>
                <w:szCs w:val="18"/>
                <w:color w:val="auto"/>
              </w:rPr>
              <w:t>$73,648.38.</w:t>
            </w:r>
          </w:p>
        </w:tc>
        <w:tc>
          <w:tcPr>
            <w:tcW w:w="40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4040" w:type="dxa"/>
            <w:vAlign w:val="bottom"/>
            <w:gridSpan w:val="14"/>
          </w:tcPr>
          <w:p>
            <w:pPr>
              <w:ind w:left="260"/>
              <w:spacing w:after="0"/>
              <w:rPr>
                <w:sz w:val="20"/>
                <w:szCs w:val="20"/>
                <w:color w:val="auto"/>
              </w:rPr>
            </w:pPr>
            <w:r>
              <w:rPr>
                <w:rFonts w:ascii="Arial" w:cs="Arial" w:eastAsia="Arial" w:hAnsi="Arial"/>
                <w:sz w:val="18"/>
                <w:szCs w:val="18"/>
                <w:color w:val="auto"/>
              </w:rPr>
              <w:t>Parking Pass Ratio (Article 28):</w:t>
            </w: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w w:val="88"/>
              </w:rPr>
              <w:t>2.86 unreserved parking passes for every 1,000 rentable square feet of the</w:t>
            </w:r>
          </w:p>
        </w:tc>
      </w:tr>
      <w:tr>
        <w:trPr>
          <w:trHeight w:val="237"/>
        </w:trPr>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Premises.</w:t>
            </w: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040" w:type="dxa"/>
            <w:vAlign w:val="bottom"/>
            <w:gridSpan w:val="14"/>
          </w:tcPr>
          <w:p>
            <w:pPr>
              <w:ind w:left="260"/>
              <w:spacing w:after="0"/>
              <w:rPr>
                <w:sz w:val="20"/>
                <w:szCs w:val="20"/>
                <w:color w:val="auto"/>
              </w:rPr>
            </w:pPr>
            <w:r>
              <w:rPr>
                <w:rFonts w:ascii="Arial" w:cs="Arial" w:eastAsia="Arial" w:hAnsi="Arial"/>
                <w:sz w:val="18"/>
                <w:szCs w:val="18"/>
                <w:color w:val="auto"/>
              </w:rPr>
              <w:t>Address of Tenant (Section 29.18):</w:t>
            </w: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Knowles Electronics, LLC</w:t>
            </w:r>
          </w:p>
        </w:tc>
      </w:tr>
      <w:tr>
        <w:trPr>
          <w:trHeight w:val="222"/>
        </w:trPr>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1151 Maplewood Drive</w:t>
            </w:r>
          </w:p>
        </w:tc>
      </w:tr>
      <w:tr>
        <w:trPr>
          <w:trHeight w:val="216"/>
        </w:trPr>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Itasca, Illinois 60143</w:t>
            </w:r>
          </w:p>
        </w:tc>
      </w:tr>
      <w:tr>
        <w:trPr>
          <w:trHeight w:val="230"/>
        </w:trPr>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Attention: General Counsel</w:t>
            </w:r>
          </w:p>
        </w:tc>
      </w:tr>
      <w:tr>
        <w:trPr>
          <w:trHeight w:val="432"/>
        </w:trPr>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and</w:t>
            </w:r>
          </w:p>
        </w:tc>
      </w:tr>
      <w:tr>
        <w:trPr>
          <w:trHeight w:val="418"/>
        </w:trPr>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Knowles Electronics, LLC</w:t>
            </w:r>
          </w:p>
        </w:tc>
      </w:tr>
      <w:tr>
        <w:trPr>
          <w:trHeight w:val="216"/>
        </w:trPr>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150 Mathilda Place, Suite 300</w:t>
            </w:r>
          </w:p>
        </w:tc>
      </w:tr>
      <w:tr>
        <w:trPr>
          <w:trHeight w:val="216"/>
        </w:trPr>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Sunnyvale, California</w:t>
            </w:r>
          </w:p>
        </w:tc>
      </w:tr>
      <w:tr>
        <w:trPr>
          <w:trHeight w:val="230"/>
        </w:trPr>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Attention: Brian Modloff</w:t>
            </w:r>
          </w:p>
        </w:tc>
      </w:tr>
      <w:tr>
        <w:trPr>
          <w:trHeight w:val="391"/>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4040" w:type="dxa"/>
            <w:vAlign w:val="bottom"/>
            <w:gridSpan w:val="14"/>
          </w:tcPr>
          <w:p>
            <w:pPr>
              <w:ind w:left="260"/>
              <w:spacing w:after="0"/>
              <w:rPr>
                <w:sz w:val="20"/>
                <w:szCs w:val="20"/>
                <w:color w:val="auto"/>
              </w:rPr>
            </w:pPr>
            <w:r>
              <w:rPr>
                <w:rFonts w:ascii="Arial" w:cs="Arial" w:eastAsia="Arial" w:hAnsi="Arial"/>
                <w:sz w:val="18"/>
                <w:szCs w:val="18"/>
                <w:color w:val="auto"/>
              </w:rPr>
              <w:t>Address of Landlord (Section 29.18):</w:t>
            </w: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See Section 29.18 of the Lease.</w:t>
            </w: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4040" w:type="dxa"/>
            <w:vAlign w:val="bottom"/>
            <w:gridSpan w:val="14"/>
          </w:tcPr>
          <w:p>
            <w:pPr>
              <w:ind w:left="260"/>
              <w:spacing w:after="0"/>
              <w:rPr>
                <w:sz w:val="20"/>
                <w:szCs w:val="20"/>
                <w:color w:val="auto"/>
              </w:rPr>
            </w:pPr>
            <w:r>
              <w:rPr>
                <w:rFonts w:ascii="Arial" w:cs="Arial" w:eastAsia="Arial" w:hAnsi="Arial"/>
                <w:sz w:val="18"/>
                <w:szCs w:val="18"/>
                <w:color w:val="auto"/>
              </w:rPr>
              <w:t>Broker(s) (Section 29.24):</w:t>
            </w: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Representing Landlord:</w:t>
            </w:r>
          </w:p>
        </w:tc>
      </w:tr>
      <w:tr>
        <w:trPr>
          <w:trHeight w:val="438"/>
        </w:trPr>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Cassidy Turley Northern California Inc.</w:t>
            </w:r>
          </w:p>
        </w:tc>
      </w:tr>
      <w:tr>
        <w:trPr>
          <w:trHeight w:val="230"/>
        </w:trPr>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0" w:type="dxa"/>
            <w:vAlign w:val="bottom"/>
            <w:gridSpan w:val="3"/>
          </w:tcPr>
          <w:p>
            <w:pPr>
              <w:ind w:left="1080"/>
              <w:spacing w:after="0"/>
              <w:rPr>
                <w:sz w:val="20"/>
                <w:szCs w:val="20"/>
                <w:color w:val="auto"/>
              </w:rPr>
            </w:pPr>
            <w:r>
              <w:rPr>
                <w:rFonts w:ascii="Arial" w:cs="Arial" w:eastAsia="Arial" w:hAnsi="Arial"/>
                <w:sz w:val="18"/>
                <w:szCs w:val="18"/>
                <w:color w:val="auto"/>
              </w:rPr>
              <w:t>300 Santana Row, Fifth Floor</w:t>
            </w:r>
          </w:p>
        </w:tc>
      </w:tr>
    </w:tbl>
    <w:p>
      <w:pPr>
        <w:ind w:left="562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Attention: Steve Horton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CBRE,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225 W. Santa Clara Street, Suite 1050</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Attention: Jeff Houston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Representing Tenant: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Cushman &amp; Wakefield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560 S. Winchester Boulevard,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Suite 200 San Jose, California 95128</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Attention: Doug Sugimoto</w:t>
      </w:r>
    </w:p>
    <w:p>
      <w:pPr>
        <w:spacing w:after="0" w:line="211" w:lineRule="exact"/>
        <w:rPr>
          <w:sz w:val="20"/>
          <w:szCs w:val="20"/>
          <w:color w:val="auto"/>
        </w:rPr>
      </w:pPr>
    </w:p>
    <w:p>
      <w:pPr>
        <w:ind w:left="760" w:hanging="752"/>
        <w:spacing w:after="0"/>
        <w:tabs>
          <w:tab w:leader="none" w:pos="7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14.</w:t>
            </w:r>
          </w:p>
        </w:tc>
        <w:tc>
          <w:tcPr>
            <w:tcW w:w="3600" w:type="dxa"/>
            <w:vAlign w:val="bottom"/>
            <w:gridSpan w:val="3"/>
          </w:tcPr>
          <w:p>
            <w:pPr>
              <w:ind w:left="260"/>
              <w:spacing w:after="0"/>
              <w:rPr>
                <w:sz w:val="20"/>
                <w:szCs w:val="20"/>
                <w:color w:val="auto"/>
              </w:rPr>
            </w:pPr>
            <w:r>
              <w:rPr>
                <w:rFonts w:ascii="Arial" w:cs="Arial" w:eastAsia="Arial" w:hAnsi="Arial"/>
                <w:sz w:val="18"/>
                <w:szCs w:val="18"/>
                <w:color w:val="auto"/>
              </w:rPr>
              <w:t>Tenant Improvement</w:t>
            </w:r>
          </w:p>
        </w:tc>
        <w:tc>
          <w:tcPr>
            <w:tcW w:w="7180" w:type="dxa"/>
            <w:vAlign w:val="bottom"/>
          </w:tcPr>
          <w:p>
            <w:pPr>
              <w:ind w:left="1520"/>
              <w:spacing w:after="0"/>
              <w:rPr>
                <w:sz w:val="20"/>
                <w:szCs w:val="20"/>
                <w:color w:val="auto"/>
              </w:rPr>
            </w:pPr>
            <w:r>
              <w:rPr>
                <w:rFonts w:ascii="Arial" w:cs="Arial" w:eastAsia="Arial" w:hAnsi="Arial"/>
                <w:sz w:val="18"/>
                <w:szCs w:val="18"/>
                <w:color w:val="auto"/>
              </w:rPr>
              <w:t>$79,884.00 (i.e., $12.00 per rentable square feet).</w:t>
            </w:r>
          </w:p>
        </w:tc>
      </w:tr>
      <w:tr>
        <w:trPr>
          <w:trHeight w:val="194"/>
        </w:trPr>
        <w:tc>
          <w:tcPr>
            <w:tcW w:w="500" w:type="dxa"/>
            <w:vAlign w:val="bottom"/>
          </w:tcPr>
          <w:p>
            <w:pPr>
              <w:spacing w:after="0"/>
              <w:rPr>
                <w:sz w:val="16"/>
                <w:szCs w:val="16"/>
                <w:color w:val="auto"/>
              </w:rPr>
            </w:pPr>
          </w:p>
        </w:tc>
        <w:tc>
          <w:tcPr>
            <w:tcW w:w="3600" w:type="dxa"/>
            <w:vAlign w:val="bottom"/>
            <w:gridSpan w:val="3"/>
          </w:tcPr>
          <w:p>
            <w:pPr>
              <w:ind w:left="260"/>
              <w:spacing w:after="0" w:line="194" w:lineRule="exact"/>
              <w:rPr>
                <w:sz w:val="20"/>
                <w:szCs w:val="20"/>
                <w:color w:val="auto"/>
              </w:rPr>
            </w:pPr>
            <w:r>
              <w:rPr>
                <w:rFonts w:ascii="Arial" w:cs="Arial" w:eastAsia="Arial" w:hAnsi="Arial"/>
                <w:sz w:val="18"/>
                <w:szCs w:val="18"/>
                <w:color w:val="auto"/>
              </w:rPr>
              <w:t>Allowance (</w:t>
            </w:r>
            <w:r>
              <w:rPr>
                <w:rFonts w:ascii="Arial" w:cs="Arial" w:eastAsia="Arial" w:hAnsi="Arial"/>
                <w:sz w:val="18"/>
                <w:szCs w:val="18"/>
                <w:b w:val="1"/>
                <w:bCs w:val="1"/>
                <w:color w:val="auto"/>
              </w:rPr>
              <w:t>Section 8.6</w:t>
            </w:r>
            <w:r>
              <w:rPr>
                <w:rFonts w:ascii="Arial" w:cs="Arial" w:eastAsia="Arial" w:hAnsi="Arial"/>
                <w:sz w:val="18"/>
                <w:szCs w:val="18"/>
                <w:color w:val="auto"/>
              </w:rPr>
              <w:t>):</w:t>
            </w:r>
          </w:p>
        </w:tc>
        <w:tc>
          <w:tcPr>
            <w:tcW w:w="7180" w:type="dxa"/>
            <w:vAlign w:val="bottom"/>
          </w:tcPr>
          <w:p>
            <w:pPr>
              <w:spacing w:after="0"/>
              <w:rPr>
                <w:sz w:val="16"/>
                <w:szCs w:val="16"/>
                <w:color w:val="auto"/>
              </w:rPr>
            </w:pPr>
          </w:p>
        </w:tc>
      </w:tr>
      <w:tr>
        <w:trPr>
          <w:trHeight w:val="368"/>
        </w:trPr>
        <w:tc>
          <w:tcPr>
            <w:tcW w:w="5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635" w:name="page636"/>
    <w:bookmarkEnd w:id="635"/>
    <w:p>
      <w:pPr>
        <w:jc w:val="center"/>
        <w:spacing w:after="0"/>
        <w:rPr>
          <w:sz w:val="20"/>
          <w:szCs w:val="20"/>
          <w:color w:val="auto"/>
        </w:rPr>
      </w:pPr>
      <w:r>
        <w:rPr>
          <w:rFonts w:ascii="Arial" w:cs="Arial" w:eastAsia="Arial" w:hAnsi="Arial"/>
          <w:sz w:val="18"/>
          <w:szCs w:val="18"/>
          <w:b w:val="1"/>
          <w:bCs w:val="1"/>
          <w:u w:val="single" w:color="auto"/>
          <w:color w:val="auto"/>
        </w:rPr>
        <w:t>ARTICLE 1</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u w:val="single" w:color="auto"/>
          <w:color w:val="auto"/>
        </w:rPr>
        <w:t>PREMISES, BUILDING, PROJECT, AND COMMON AREAS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u w:val="single" w:color="auto"/>
          <w:color w:val="auto"/>
        </w:rPr>
        <w:t>Premises, Building, Project and Common Areas</w:t>
      </w:r>
      <w:r>
        <w:rPr>
          <w:rFonts w:ascii="Arial" w:cs="Arial" w:eastAsia="Arial" w:hAnsi="Arial"/>
          <w:sz w:val="16"/>
          <w:szCs w:val="16"/>
          <w:b w:val="1"/>
          <w:bCs w:val="1"/>
          <w:color w:val="auto"/>
        </w:rPr>
        <w:t>.</w:t>
      </w:r>
    </w:p>
    <w:p>
      <w:pPr>
        <w:spacing w:after="0" w:line="225"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u w:val="single" w:color="auto"/>
          <w:color w:val="auto"/>
        </w:rPr>
        <w:t>The Premises</w:t>
      </w:r>
      <w:r>
        <w:rPr>
          <w:rFonts w:ascii="Arial" w:cs="Arial" w:eastAsia="Arial" w:hAnsi="Arial"/>
          <w:sz w:val="17"/>
          <w:szCs w:val="17"/>
          <w:color w:val="auto"/>
        </w:rPr>
        <w:t xml:space="preserve">. Landlord hereby leases to Tenant and Tenant hereby leases from Landlord the premises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Premises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The outline of the Premises is set forth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attached hereto and each floor or floors of the Premises has the number of rentable square feet as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of the Summary.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is to show the approximate location of the Premises in the “Building,” as that term is defined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below,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below, or the elements thereof or of the accessways to the Premises or the “Project,” as that term is defined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below. Landlord shall cause those portions of the Building systems located within and exclusively serving the Premises to be, as of the Commencement Date, in good working order and condition; provided, however, that the foregoing shall not imply any representation or warranty as to the useful life of such systems. Except as specifically set forth in this Lease,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The taking of possession of the Premises by Tenant shall conclusively establish that the Premises and the Building were at such time in good and sanitary order, condition and repair.</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u w:val="single" w:color="auto"/>
          <w:color w:val="auto"/>
        </w:rPr>
        <w:t>The Building and The Project</w:t>
      </w:r>
      <w:r>
        <w:rPr>
          <w:rFonts w:ascii="Arial" w:cs="Arial" w:eastAsia="Arial" w:hAnsi="Arial"/>
          <w:sz w:val="16"/>
          <w:szCs w:val="16"/>
          <w:color w:val="auto"/>
        </w:rPr>
        <w:t>. The Premises are a part of the building set forth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2.1</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 the Summary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Building</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The Building is part of an office project known as “</w:t>
      </w:r>
      <w:r>
        <w:rPr>
          <w:rFonts w:ascii="Arial" w:cs="Arial" w:eastAsia="Arial" w:hAnsi="Arial"/>
          <w:sz w:val="17"/>
          <w:szCs w:val="17"/>
          <w:b w:val="1"/>
          <w:bCs w:val="1"/>
          <w:color w:val="auto"/>
        </w:rPr>
        <w:t>Sunnyvale City Center.</w:t>
      </w:r>
      <w:r>
        <w:rPr>
          <w:rFonts w:ascii="Arial" w:cs="Arial" w:eastAsia="Arial" w:hAnsi="Arial"/>
          <w:sz w:val="17"/>
          <w:szCs w:val="17"/>
          <w:color w:val="auto"/>
        </w:rPr>
        <w:t>” The term “</w:t>
      </w:r>
      <w:r>
        <w:rPr>
          <w:rFonts w:ascii="Arial" w:cs="Arial" w:eastAsia="Arial" w:hAnsi="Arial"/>
          <w:sz w:val="17"/>
          <w:szCs w:val="17"/>
          <w:b w:val="1"/>
          <w:bCs w:val="1"/>
          <w:color w:val="auto"/>
        </w:rPr>
        <w:t>Project,</w:t>
      </w:r>
      <w:r>
        <w:rPr>
          <w:rFonts w:ascii="Arial" w:cs="Arial" w:eastAsia="Arial" w:hAnsi="Arial"/>
          <w:sz w:val="17"/>
          <w:szCs w:val="17"/>
          <w:color w:val="auto"/>
        </w:rPr>
        <w:t>” as used in this Lease, shall mean (i)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Building and the Common Areas, (ii) the land (which is improved with landscaping, subterranean parking facilities and other improvements) upon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Building and the Common Areas are located, (iii) the other office buildings located adjacent to the Building and the land upon which such adjacent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 building is located, and (iv) at Landlord’s discretion, any additional real property, areas, land, buildings or other improvements added thereto outside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Project.</w:t>
      </w:r>
    </w:p>
    <w:p>
      <w:pPr>
        <w:spacing w:after="0" w:line="207"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Common Areas</w:t>
      </w:r>
      <w:r>
        <w:rPr>
          <w:rFonts w:ascii="Arial" w:cs="Arial" w:eastAsia="Arial" w:hAnsi="Arial"/>
          <w:sz w:val="17"/>
          <w:szCs w:val="17"/>
          <w:color w:val="auto"/>
        </w:rPr>
        <w:t xml:space="preserve">. Tenant shall have the non-exclusive right to use in common with other tenants in the Project, and subject to the rules and regulations referred to in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including certain areas designated for the exclusive use of certain tenants, or to be shared by Landlord and certain tenants, are collectively referred to herein as the “</w:t>
      </w:r>
      <w:r>
        <w:rPr>
          <w:rFonts w:ascii="Arial" w:cs="Arial" w:eastAsia="Arial" w:hAnsi="Arial"/>
          <w:sz w:val="17"/>
          <w:szCs w:val="17"/>
          <w:b w:val="1"/>
          <w:bCs w:val="1"/>
          <w:color w:val="auto"/>
        </w:rPr>
        <w:t>Common Areas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The Common Areas shall consist of the “Project Common Areas” and the “Building Common Areas.” The term “</w:t>
      </w:r>
      <w:r>
        <w:rPr>
          <w:rFonts w:ascii="Arial" w:cs="Arial" w:eastAsia="Arial" w:hAnsi="Arial"/>
          <w:sz w:val="17"/>
          <w:szCs w:val="17"/>
          <w:b w:val="1"/>
          <w:bCs w:val="1"/>
          <w:color w:val="auto"/>
        </w:rPr>
        <w:t>Project</w:t>
      </w:r>
      <w:r>
        <w:rPr>
          <w:rFonts w:ascii="Arial" w:cs="Arial" w:eastAsia="Arial" w:hAnsi="Arial"/>
          <w:sz w:val="17"/>
          <w:szCs w:val="17"/>
          <w:color w:val="auto"/>
        </w:rPr>
        <w:t xml:space="preserve"> </w:t>
      </w:r>
      <w:r>
        <w:rPr>
          <w:rFonts w:ascii="Arial" w:cs="Arial" w:eastAsia="Arial" w:hAnsi="Arial"/>
          <w:sz w:val="17"/>
          <w:szCs w:val="17"/>
          <w:b w:val="1"/>
          <w:bCs w:val="1"/>
          <w:color w:val="auto"/>
        </w:rPr>
        <w:t>Common Areas,</w:t>
      </w:r>
      <w:r>
        <w:rPr>
          <w:rFonts w:ascii="Arial" w:cs="Arial" w:eastAsia="Arial" w:hAnsi="Arial"/>
          <w:sz w:val="17"/>
          <w:szCs w:val="17"/>
          <w:color w:val="auto"/>
        </w:rPr>
        <w:t>” as used in this Lease, shall mean the portion of the Project designated as such by Landlord. The term “</w:t>
      </w:r>
      <w:r>
        <w:rPr>
          <w:rFonts w:ascii="Arial" w:cs="Arial" w:eastAsia="Arial" w:hAnsi="Arial"/>
          <w:sz w:val="17"/>
          <w:szCs w:val="17"/>
          <w:b w:val="1"/>
          <w:bCs w:val="1"/>
          <w:color w:val="auto"/>
        </w:rPr>
        <w:t>Building Common Areas,</w:t>
      </w:r>
      <w:r>
        <w:rPr>
          <w:rFonts w:ascii="Arial" w:cs="Arial" w:eastAsia="Arial" w:hAnsi="Arial"/>
          <w:sz w:val="17"/>
          <w:szCs w:val="17"/>
          <w:color w:val="auto"/>
        </w:rPr>
        <w:t>” as</w:t>
      </w:r>
      <w:r>
        <w:rPr>
          <w:rFonts w:ascii="Arial" w:cs="Arial" w:eastAsia="Arial" w:hAnsi="Arial"/>
          <w:sz w:val="17"/>
          <w:szCs w:val="17"/>
          <w:b w:val="1"/>
          <w:bCs w:val="1"/>
          <w:color w:val="auto"/>
        </w:rPr>
        <w:t xml:space="preserve"> </w:t>
      </w:r>
      <w:r>
        <w:rPr>
          <w:rFonts w:ascii="Arial" w:cs="Arial" w:eastAsia="Arial" w:hAnsi="Arial"/>
          <w:sz w:val="17"/>
          <w:szCs w:val="17"/>
          <w:color w:val="auto"/>
        </w:rPr>
        <w:t>used in this Lease, shall mean the portions of the Common Areas located within the Building designated as such by Landlord. The manner in which the Common Areas are maintained and operated shall be at the sole discretion of Landlord, provided that Landlord shall maintain and operate the same in a manner consistent with that of other Class A, mid-rise office buildings in the downtown areas of Sunnyvale, Palo Alto and Mountain View, California, which buildings are comparable in quality of appearance, services, and amenities (the “</w:t>
      </w:r>
      <w:r>
        <w:rPr>
          <w:rFonts w:ascii="Arial" w:cs="Arial" w:eastAsia="Arial" w:hAnsi="Arial"/>
          <w:sz w:val="17"/>
          <w:szCs w:val="17"/>
          <w:b w:val="1"/>
          <w:bCs w:val="1"/>
          <w:color w:val="auto"/>
        </w:rPr>
        <w:t>Comparable Buildings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and the use thereof shall be subject to such rules, regulations and restrictions as Landlord may make from time to time. Landlord reserves the right to close temporarily, make alterations or additions to, or change the location of elements of the Project and the Common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153275" cy="298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36" w:name="page637"/>
    <w:bookmarkEnd w:id="636"/>
    <w:p>
      <w:pPr>
        <w:ind w:right="260" w:firstLine="648"/>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Rentable Square Feet of Premises</w:t>
      </w:r>
      <w:r>
        <w:rPr>
          <w:rFonts w:ascii="Arial" w:cs="Arial" w:eastAsia="Arial" w:hAnsi="Arial"/>
          <w:sz w:val="18"/>
          <w:szCs w:val="18"/>
          <w:color w:val="auto"/>
        </w:rPr>
        <w:t xml:space="preserve">. For purposes of this Lease, “rentable square feet” of the Premises shall be deemed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Summary and shall not be subject to remeasurement or modification.</w:t>
      </w:r>
    </w:p>
    <w:p>
      <w:pPr>
        <w:spacing w:after="0" w:line="162"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Right of First Offer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Right of First Offer</w:t>
      </w:r>
      <w:r>
        <w:rPr>
          <w:rFonts w:ascii="Arial" w:cs="Arial" w:eastAsia="Arial" w:hAnsi="Arial"/>
          <w:sz w:val="18"/>
          <w:szCs w:val="18"/>
          <w:color w:val="auto"/>
        </w:rPr>
        <w:t>. Landlord hereby grants to the Tenant originally named in this Lease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color w:val="auto"/>
        </w:rPr>
        <w:t>Tenant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Permitted Transferee (as defined below) a continuing right of first offer (the “</w:t>
      </w:r>
      <w:r>
        <w:rPr>
          <w:rFonts w:ascii="Arial" w:cs="Arial" w:eastAsia="Arial" w:hAnsi="Arial"/>
          <w:sz w:val="18"/>
          <w:szCs w:val="18"/>
          <w:b w:val="1"/>
          <w:bCs w:val="1"/>
          <w:color w:val="auto"/>
        </w:rPr>
        <w:t>Right of First Offer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two (2) spaces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third (3</w:t>
      </w:r>
      <w:r>
        <w:rPr>
          <w:rFonts w:ascii="Arial" w:cs="Arial" w:eastAsia="Arial" w:hAnsi="Arial"/>
          <w:sz w:val="23"/>
          <w:szCs w:val="23"/>
          <w:color w:val="auto"/>
          <w:vertAlign w:val="superscript"/>
        </w:rPr>
        <w:t>rd</w:t>
      </w:r>
      <w:r>
        <w:rPr>
          <w:rFonts w:ascii="Arial" w:cs="Arial" w:eastAsia="Arial" w:hAnsi="Arial"/>
          <w:sz w:val="18"/>
          <w:szCs w:val="18"/>
          <w:color w:val="auto"/>
        </w:rPr>
        <w:t>) floor of the Building which are contiguous to the Premises (collectively, “</w:t>
      </w:r>
      <w:r>
        <w:rPr>
          <w:rFonts w:ascii="Arial" w:cs="Arial" w:eastAsia="Arial" w:hAnsi="Arial"/>
          <w:sz w:val="18"/>
          <w:szCs w:val="18"/>
          <w:b w:val="1"/>
          <w:bCs w:val="1"/>
          <w:color w:val="auto"/>
        </w:rPr>
        <w:t>First Offer Space</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Notwithstanding the foregoing, such first offer right of Tenant shall be subordinate to (i) all rights of tenants under leases of the First Offer Space existing as of the date of this Lease, (ii) all renewals or extensions of then existing leases of the First Offer Space, whether or not such renewals or extensions are specifically contemplated by the terms of such lease(s), and (iii) all existing rights of other tenants of the Project, which rights relate to the First Offer Space and which rights are set forth in leases of space in the Project existing as of the date of this Lease, each including any renewal, extension, expansion, first offer, first negotiation and other similar rights, regardless of whether such rights are executed strictly in accordance with their respective terms or pursuant to lease amendments or new leases (all such tenants under existing leases of the First Offer Space and such other tenants of the Project being referred to herein, collectively, the “</w:t>
      </w:r>
      <w:r>
        <w:rPr>
          <w:rFonts w:ascii="Arial" w:cs="Arial" w:eastAsia="Arial" w:hAnsi="Arial"/>
          <w:sz w:val="18"/>
          <w:szCs w:val="18"/>
          <w:b w:val="1"/>
          <w:bCs w:val="1"/>
          <w:color w:val="auto"/>
        </w:rPr>
        <w:t>Superior Right Holders</w:t>
      </w:r>
      <w:r>
        <w:rPr>
          <w:rFonts w:ascii="Arial" w:cs="Arial" w:eastAsia="Arial" w:hAnsi="Arial"/>
          <w:sz w:val="18"/>
          <w:szCs w:val="18"/>
          <w:color w:val="auto"/>
        </w:rPr>
        <w:t xml:space="preserve">”). Tenant’s Right of First Offer shall be on the terms and conditions set forth in this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199" w:lineRule="exact"/>
        <w:rPr>
          <w:sz w:val="20"/>
          <w:szCs w:val="20"/>
          <w:color w:val="auto"/>
        </w:rPr>
      </w:pPr>
    </w:p>
    <w:p>
      <w:pPr>
        <w:ind w:firstLine="1296"/>
        <w:spacing w:after="0" w:line="29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u w:val="single" w:color="auto"/>
          <w:color w:val="auto"/>
        </w:rPr>
        <w:t>Procedure for Offer</w:t>
      </w:r>
      <w:r>
        <w:rPr>
          <w:rFonts w:ascii="Arial" w:cs="Arial" w:eastAsia="Arial" w:hAnsi="Arial"/>
          <w:sz w:val="16"/>
          <w:szCs w:val="16"/>
          <w:color w:val="auto"/>
        </w:rPr>
        <w:t>. Landlord shall notify Tenant (a “</w:t>
      </w:r>
      <w:r>
        <w:rPr>
          <w:rFonts w:ascii="Arial" w:cs="Arial" w:eastAsia="Arial" w:hAnsi="Arial"/>
          <w:sz w:val="16"/>
          <w:szCs w:val="16"/>
          <w:b w:val="1"/>
          <w:bCs w:val="1"/>
          <w:color w:val="auto"/>
        </w:rPr>
        <w:t>First Offer Notice</w:t>
      </w:r>
      <w:r>
        <w:rPr>
          <w:rFonts w:ascii="Arial" w:cs="Arial" w:eastAsia="Arial" w:hAnsi="Arial"/>
          <w:sz w:val="16"/>
          <w:szCs w:val="16"/>
          <w:color w:val="auto"/>
        </w:rPr>
        <w:t>”) from time to time when the First Offer Space or any portion thereof becomes available for lease to third parties, provided that no Superior Right Holder wishes to lease such space. Pursuant to such First Offer Notice, Landlord shall offer to lease to Tenant the then available First Offer Space. A First Offer Notice shall describe the space so offered to Tenant (including the rentable square footage and location thereof) and shall set forth (i) the First Offer Rent, as that term is defined below, for the First Offer Space during the “First Offer Term,” as that term is defined below, (ii) the date on which Landlord anticipates the First Offer Space to become available for delivery to Tenant, (iii) the amount of any tenant improvement allowance, or a description of any work to be performed by Landlord, if any, (iv) the amount of any free rent or other rent concessions, if any, and (v) the other economic terms upon which Landlord is willing to lease such space to Tenant.</w:t>
      </w:r>
    </w:p>
    <w:p>
      <w:pPr>
        <w:spacing w:after="0" w:line="161" w:lineRule="exact"/>
        <w:rPr>
          <w:sz w:val="20"/>
          <w:szCs w:val="20"/>
          <w:color w:val="auto"/>
        </w:rPr>
      </w:pPr>
    </w:p>
    <w:p>
      <w:pPr>
        <w:ind w:right="80" w:firstLine="1296"/>
        <w:spacing w:after="0" w:line="26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u w:val="single" w:color="auto"/>
          <w:color w:val="auto"/>
        </w:rPr>
        <w:t>Procedure for Acceptance</w:t>
      </w:r>
      <w:r>
        <w:rPr>
          <w:rFonts w:ascii="Arial" w:cs="Arial" w:eastAsia="Arial" w:hAnsi="Arial"/>
          <w:sz w:val="17"/>
          <w:szCs w:val="17"/>
          <w:color w:val="auto"/>
        </w:rPr>
        <w:t>. If Tenant wishes to exercise the Right of First Offer with respect to the space described in a First Offer Notice, then within five (5) business days of delivery of such First Offer Notice to Tenant, Tenant shall deliver notice to Landlord irrevocably exercising its right of first offer with respect to the entire space described in such First Offer Notice on the terms contained therein. If Tenant does not so notify Landlord within the five (5) business day period, then Landlord shall be released of its obligation to lease such First Offer Space to Tenant for a period of nine (9) months following the relevant First Offer Notice (the “</w:t>
      </w:r>
      <w:r>
        <w:rPr>
          <w:rFonts w:ascii="Arial" w:cs="Arial" w:eastAsia="Arial" w:hAnsi="Arial"/>
          <w:sz w:val="17"/>
          <w:szCs w:val="17"/>
          <w:b w:val="1"/>
          <w:bCs w:val="1"/>
          <w:color w:val="auto"/>
        </w:rPr>
        <w:t>Waiver Period</w:t>
      </w:r>
      <w:r>
        <w:rPr>
          <w:rFonts w:ascii="Arial" w:cs="Arial" w:eastAsia="Arial" w:hAnsi="Arial"/>
          <w:sz w:val="17"/>
          <w:szCs w:val="17"/>
          <w:color w:val="auto"/>
        </w:rPr>
        <w:t xml:space="preserve">”), and Landlord shall have the right during such Waiver Period to lease the First Offer Space to any third party for a term and on such other conditions as Landlord may determine in Landlord’s sole discretion. If Landlord has not leased the First Offer Space to a third party within the Waiver Period, then the provisions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again apply to the First Offer Space, provided, however, that if Landlord is actively and in good faith negotiating with a third party with respect to the First Offer Space at the end of such Waiver Period, the Waiver Period shall be extended through the date such negotiations conclude. Upon Landlord’s leasing the applicable First Offer Space to any third party during the Waiver Period, all rights of Tenant with respect to such First Offer Space under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cease until the First Offer Space becomes available for lease again at a future date.</w:t>
      </w:r>
    </w:p>
    <w:p>
      <w:pPr>
        <w:spacing w:after="0" w:line="182" w:lineRule="exact"/>
        <w:rPr>
          <w:sz w:val="20"/>
          <w:szCs w:val="20"/>
          <w:color w:val="auto"/>
        </w:rPr>
      </w:pPr>
    </w:p>
    <w:p>
      <w:pPr>
        <w:jc w:val="both"/>
        <w:ind w:right="260" w:firstLine="1296"/>
        <w:spacing w:after="0" w:line="26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u w:val="single" w:color="auto"/>
          <w:color w:val="auto"/>
        </w:rPr>
        <w:t>First Offer Space Rent</w:t>
      </w:r>
      <w:r>
        <w:rPr>
          <w:rFonts w:ascii="Arial" w:cs="Arial" w:eastAsia="Arial" w:hAnsi="Arial"/>
          <w:sz w:val="18"/>
          <w:szCs w:val="18"/>
          <w:color w:val="auto"/>
        </w:rPr>
        <w:t>. The rent (the “</w:t>
      </w:r>
      <w:r>
        <w:rPr>
          <w:rFonts w:ascii="Arial" w:cs="Arial" w:eastAsia="Arial" w:hAnsi="Arial"/>
          <w:sz w:val="18"/>
          <w:szCs w:val="18"/>
          <w:b w:val="1"/>
          <w:bCs w:val="1"/>
          <w:color w:val="auto"/>
        </w:rPr>
        <w:t>First Offer Rent</w:t>
      </w:r>
      <w:r>
        <w:rPr>
          <w:rFonts w:ascii="Arial" w:cs="Arial" w:eastAsia="Arial" w:hAnsi="Arial"/>
          <w:sz w:val="18"/>
          <w:szCs w:val="18"/>
          <w:color w:val="auto"/>
        </w:rPr>
        <w:t xml:space="preserve">”) payable by Tenant during the “First Offer Term” (as that term is defined in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below) shall be equal to the annual Fair Market Value (as defined in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below) of the First Offer Space as of the First Offer Commencement Date (defined in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below).</w:t>
      </w:r>
    </w:p>
    <w:p>
      <w:pPr>
        <w:spacing w:after="0" w:line="176" w:lineRule="exact"/>
        <w:rPr>
          <w:sz w:val="20"/>
          <w:szCs w:val="20"/>
          <w:color w:val="auto"/>
        </w:rPr>
      </w:pPr>
    </w:p>
    <w:p>
      <w:pPr>
        <w:ind w:right="180" w:firstLine="1296"/>
        <w:spacing w:after="0" w:line="281"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u w:val="single" w:color="auto"/>
          <w:color w:val="auto"/>
        </w:rPr>
        <w:t>Amendment to Lease</w:t>
      </w:r>
      <w:r>
        <w:rPr>
          <w:rFonts w:ascii="Arial" w:cs="Arial" w:eastAsia="Arial" w:hAnsi="Arial"/>
          <w:sz w:val="17"/>
          <w:szCs w:val="17"/>
          <w:color w:val="auto"/>
        </w:rPr>
        <w:t>. If Tenant timely exercises Tenant’s right to lease First Offer Space as set forth herein, then, within fifteen (15) days thereafter, Landlord and Tenant shall execute a lease amendment for such First Offer Space upon the terms and conditions as set forth in the First Offer Notice therefor and otherwise on the same terms and conditions set forth in the Lease, as hereby amended. Subject to any period of rental abatement and/or any period for construction of First Offer Space improvements contained in the First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153275" cy="298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37" w:name="page638"/>
    <w:bookmarkEnd w:id="637"/>
    <w:p>
      <w:pPr>
        <w:ind w:right="320"/>
        <w:spacing w:after="0" w:line="293" w:lineRule="auto"/>
        <w:rPr>
          <w:sz w:val="20"/>
          <w:szCs w:val="20"/>
          <w:color w:val="auto"/>
        </w:rPr>
      </w:pPr>
      <w:r>
        <w:rPr>
          <w:rFonts w:ascii="Arial" w:cs="Arial" w:eastAsia="Arial" w:hAnsi="Arial"/>
          <w:sz w:val="16"/>
          <w:szCs w:val="16"/>
          <w:color w:val="auto"/>
        </w:rPr>
        <w:t>Notice, Tenant shall commence payment of Rent for such First Offer Space, and the term of such First Offer Space (the “</w:t>
      </w:r>
      <w:r>
        <w:rPr>
          <w:rFonts w:ascii="Arial" w:cs="Arial" w:eastAsia="Arial" w:hAnsi="Arial"/>
          <w:sz w:val="16"/>
          <w:szCs w:val="16"/>
          <w:b w:val="1"/>
          <w:bCs w:val="1"/>
          <w:color w:val="auto"/>
        </w:rPr>
        <w:t>First Offer Term</w:t>
      </w:r>
      <w:r>
        <w:rPr>
          <w:rFonts w:ascii="Arial" w:cs="Arial" w:eastAsia="Arial" w:hAnsi="Arial"/>
          <w:sz w:val="16"/>
          <w:szCs w:val="16"/>
          <w:color w:val="auto"/>
        </w:rPr>
        <w:t>”) shall commence, upon the date (the “</w:t>
      </w:r>
      <w:r>
        <w:rPr>
          <w:rFonts w:ascii="Arial" w:cs="Arial" w:eastAsia="Arial" w:hAnsi="Arial"/>
          <w:sz w:val="16"/>
          <w:szCs w:val="16"/>
          <w:b w:val="1"/>
          <w:bCs w:val="1"/>
          <w:color w:val="auto"/>
        </w:rPr>
        <w:t>First Offer Commencement Date</w:t>
      </w:r>
      <w:r>
        <w:rPr>
          <w:rFonts w:ascii="Arial" w:cs="Arial" w:eastAsia="Arial" w:hAnsi="Arial"/>
          <w:sz w:val="16"/>
          <w:szCs w:val="16"/>
          <w:color w:val="auto"/>
        </w:rPr>
        <w:t>”) that is the later of (a) the date of delivery of such First Offer Space to Tenant, and</w:t>
      </w:r>
    </w:p>
    <w:p>
      <w:pPr>
        <w:spacing w:after="0" w:line="1" w:lineRule="exact"/>
        <w:rPr>
          <w:sz w:val="20"/>
          <w:szCs w:val="20"/>
          <w:color w:val="auto"/>
        </w:rPr>
      </w:pPr>
    </w:p>
    <w:p>
      <w:pPr>
        <w:ind w:right="160" w:firstLine="8"/>
        <w:spacing w:after="0" w:line="229" w:lineRule="auto"/>
        <w:tabs>
          <w:tab w:leader="none" w:pos="255"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commencement date determined in accordance with the terms and conditions of the First Offer Notice, and shall terminate on the date that is the later to occur of (i) the last day of the Lease Term (as the same previously may have been extended) and (ii) the date immediately preceding the fifth (5</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First Offer Commencement Date.</w:t>
      </w:r>
    </w:p>
    <w:p>
      <w:pPr>
        <w:spacing w:after="0" w:line="198" w:lineRule="exact"/>
        <w:rPr>
          <w:sz w:val="20"/>
          <w:szCs w:val="20"/>
          <w:color w:val="auto"/>
        </w:rPr>
      </w:pPr>
    </w:p>
    <w:p>
      <w:pPr>
        <w:ind w:right="120" w:firstLine="1296"/>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u w:val="single" w:color="auto"/>
          <w:color w:val="auto"/>
        </w:rPr>
        <w:t>Termination of Right of First Offer</w:t>
      </w:r>
      <w:r>
        <w:rPr>
          <w:rFonts w:ascii="Arial" w:cs="Arial" w:eastAsia="Arial" w:hAnsi="Arial"/>
          <w:sz w:val="17"/>
          <w:szCs w:val="17"/>
          <w:color w:val="auto"/>
        </w:rPr>
        <w:t xml:space="preserve">. The rights contained in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be personal to the Original Tenant or any Permitted Transferee, and may only be exercised by the Original Tenant or any Permitted Transferee if the Original Tenant or any Permitted Transferee is leasing the entire Premises and is not subleasing more than twenty-five percent (25%) of the entire Premises. Tenant shall not have the right to lease First Offer Space, as provided in this </w:t>
      </w:r>
      <w:r>
        <w:rPr>
          <w:rFonts w:ascii="Arial" w:cs="Arial" w:eastAsia="Arial" w:hAnsi="Arial"/>
          <w:sz w:val="17"/>
          <w:szCs w:val="17"/>
          <w:u w:val="single" w:color="auto"/>
          <w:color w:val="auto"/>
        </w:rPr>
        <w:t>Section 1.3</w:t>
      </w:r>
      <w:r>
        <w:rPr>
          <w:rFonts w:ascii="Arial" w:cs="Arial" w:eastAsia="Arial" w:hAnsi="Arial"/>
          <w:sz w:val="17"/>
          <w:szCs w:val="17"/>
          <w:color w:val="auto"/>
        </w:rPr>
        <w:t>, if, as of the date of the attempted exercise of any right of first offer by Tenant, or as of the scheduled date of delivery of such First Offer Space to Tenant, Tenant is in default under this Lease (after any applicable notice and cure periods) or Tenant has previously been in default (after any applicable notice and cure periods) under this Lease.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LEASE TERM</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u w:val="single" w:color="auto"/>
          <w:color w:val="auto"/>
        </w:rPr>
        <w:t>Initial Lease Term</w:t>
      </w:r>
      <w:r>
        <w:rPr>
          <w:rFonts w:ascii="Arial" w:cs="Arial" w:eastAsia="Arial" w:hAnsi="Arial"/>
          <w:sz w:val="17"/>
          <w:szCs w:val="17"/>
          <w:color w:val="auto"/>
        </w:rPr>
        <w:t>. The terms and provisions of this Lease shall be effective as of the date of this Lease. The term of this Lease (the “</w:t>
      </w:r>
      <w:r>
        <w:rPr>
          <w:rFonts w:ascii="Arial" w:cs="Arial" w:eastAsia="Arial" w:hAnsi="Arial"/>
          <w:sz w:val="17"/>
          <w:szCs w:val="17"/>
          <w:b w:val="1"/>
          <w:bCs w:val="1"/>
          <w:color w:val="auto"/>
        </w:rPr>
        <w:t>Lease Term</w:t>
      </w:r>
      <w:r>
        <w:rPr>
          <w:rFonts w:ascii="Arial" w:cs="Arial" w:eastAsia="Arial" w:hAnsi="Arial"/>
          <w:sz w:val="17"/>
          <w:szCs w:val="17"/>
          <w:color w:val="auto"/>
        </w:rPr>
        <w:t xml:space="preserve">”) shall be as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of the Summary, shall commence on the date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of the Summary (the “</w:t>
      </w:r>
      <w:r>
        <w:rPr>
          <w:rFonts w:ascii="Arial" w:cs="Arial" w:eastAsia="Arial" w:hAnsi="Arial"/>
          <w:sz w:val="17"/>
          <w:szCs w:val="17"/>
          <w:b w:val="1"/>
          <w:bCs w:val="1"/>
          <w:color w:val="auto"/>
        </w:rPr>
        <w:t>Lease</w:t>
      </w:r>
      <w:r>
        <w:rPr>
          <w:rFonts w:ascii="Arial" w:cs="Arial" w:eastAsia="Arial" w:hAnsi="Arial"/>
          <w:sz w:val="17"/>
          <w:szCs w:val="17"/>
          <w:color w:val="auto"/>
        </w:rPr>
        <w:t xml:space="preserve"> </w:t>
      </w:r>
      <w:r>
        <w:rPr>
          <w:rFonts w:ascii="Arial" w:cs="Arial" w:eastAsia="Arial" w:hAnsi="Arial"/>
          <w:sz w:val="17"/>
          <w:szCs w:val="17"/>
          <w:b w:val="1"/>
          <w:bCs w:val="1"/>
          <w:color w:val="auto"/>
        </w:rPr>
        <w:t>Commencement Date</w:t>
      </w:r>
      <w:r>
        <w:rPr>
          <w:rFonts w:ascii="Arial" w:cs="Arial" w:eastAsia="Arial" w:hAnsi="Arial"/>
          <w:sz w:val="17"/>
          <w:szCs w:val="17"/>
          <w:color w:val="auto"/>
        </w:rPr>
        <w:t>”), and shall terminate on the date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Summary (the “</w:t>
      </w:r>
      <w:r>
        <w:rPr>
          <w:rFonts w:ascii="Arial" w:cs="Arial" w:eastAsia="Arial" w:hAnsi="Arial"/>
          <w:sz w:val="17"/>
          <w:szCs w:val="17"/>
          <w:b w:val="1"/>
          <w:bCs w:val="1"/>
          <w:color w:val="auto"/>
        </w:rPr>
        <w:t>Lease Expiration Date</w:t>
      </w:r>
      <w:r>
        <w:rPr>
          <w:rFonts w:ascii="Arial" w:cs="Arial" w:eastAsia="Arial" w:hAnsi="Arial"/>
          <w:sz w:val="17"/>
          <w:szCs w:val="17"/>
          <w:color w:val="auto"/>
        </w:rPr>
        <w:t>”) unless this Lease is</w:t>
      </w:r>
      <w:r>
        <w:rPr>
          <w:rFonts w:ascii="Arial" w:cs="Arial" w:eastAsia="Arial" w:hAnsi="Arial"/>
          <w:sz w:val="17"/>
          <w:szCs w:val="17"/>
          <w:b w:val="1"/>
          <w:bCs w:val="1"/>
          <w:color w:val="auto"/>
        </w:rPr>
        <w:t xml:space="preserve"> </w:t>
      </w:r>
      <w:r>
        <w:rPr>
          <w:rFonts w:ascii="Arial" w:cs="Arial" w:eastAsia="Arial" w:hAnsi="Arial"/>
          <w:sz w:val="17"/>
          <w:szCs w:val="17"/>
          <w:color w:val="auto"/>
        </w:rPr>
        <w:t>sooner terminated as hereinafter provided. For purposes of this Lease, the term “</w:t>
      </w:r>
      <w:r>
        <w:rPr>
          <w:rFonts w:ascii="Arial" w:cs="Arial" w:eastAsia="Arial" w:hAnsi="Arial"/>
          <w:sz w:val="17"/>
          <w:szCs w:val="17"/>
          <w:b w:val="1"/>
          <w:bCs w:val="1"/>
          <w:color w:val="auto"/>
        </w:rPr>
        <w:t>Lease Year</w:t>
      </w:r>
      <w:r>
        <w:rPr>
          <w:rFonts w:ascii="Arial" w:cs="Arial" w:eastAsia="Arial" w:hAnsi="Arial"/>
          <w:sz w:val="17"/>
          <w:szCs w:val="17"/>
          <w:color w:val="auto"/>
        </w:rPr>
        <w:t xml:space="preserve">” shall mean each consecutive twelve (12) month period during the Lease Term; provided, however, that the first Lease Year shall commence on the Lease Commencement Date and end on the last day of the eleventh full calendar month thereafter and the second and each succeeding Lease Year shall commence on the first day of the next calendar month; and further provided that the last Lease Year shall end on the Lease Expiration Date. At any time during the Lease Term, Landlord may deliver to Tenant a notice in the form as set forth in </w:t>
      </w:r>
      <w:r>
        <w:rPr>
          <w:rFonts w:ascii="Arial" w:cs="Arial" w:eastAsia="Arial" w:hAnsi="Arial"/>
          <w:sz w:val="17"/>
          <w:szCs w:val="17"/>
          <w:b w:val="1"/>
          <w:bCs w:val="1"/>
          <w:u w:val="single" w:color="auto"/>
          <w:color w:val="auto"/>
        </w:rPr>
        <w:t>Exhibit C</w:t>
      </w:r>
      <w:r>
        <w:rPr>
          <w:rFonts w:ascii="Arial" w:cs="Arial" w:eastAsia="Arial" w:hAnsi="Arial"/>
          <w:sz w:val="17"/>
          <w:szCs w:val="17"/>
          <w:b w:val="1"/>
          <w:bCs w:val="1"/>
          <w:color w:val="auto"/>
        </w:rPr>
        <w:t>,</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Notice of Lease Term Dates</w:t>
      </w:r>
      <w:r>
        <w:rPr>
          <w:rFonts w:ascii="Arial" w:cs="Arial" w:eastAsia="Arial" w:hAnsi="Arial"/>
          <w:sz w:val="17"/>
          <w:szCs w:val="17"/>
          <w:color w:val="auto"/>
        </w:rPr>
        <w:t>”), as a confirmation of the information set forth therein, which Tenant shall execute and return to Landlord within five (5) days of receipt thereof, and thereafter the dates set forth on such notice shall be conclusive and binding upon Tenant; provided, however, that all information set forth in any Notice of Lease Term Dates shall be consistent with the terms and conditions of this Lease, and such Notice of Lease Term Dates shall not constitute an amendment hereto. Failure of Tenant to timely execute and deliver the Notice of Lease Term Dates shall constitute an acknowledgment by Tenant that the statements included in such notice are true and correct, without exception.</w:t>
      </w:r>
    </w:p>
    <w:p>
      <w:pPr>
        <w:spacing w:after="0" w:line="180" w:lineRule="exact"/>
        <w:rPr>
          <w:sz w:val="20"/>
          <w:szCs w:val="20"/>
          <w:color w:val="auto"/>
        </w:rPr>
      </w:pPr>
    </w:p>
    <w:p>
      <w:pPr>
        <w:ind w:firstLine="648"/>
        <w:spacing w:after="0" w:line="269" w:lineRule="auto"/>
        <w:rPr>
          <w:sz w:val="20"/>
          <w:szCs w:val="20"/>
          <w:color w:val="auto"/>
        </w:rPr>
      </w:pPr>
      <w:r>
        <w:rPr>
          <w:rFonts w:ascii="Arial" w:cs="Arial" w:eastAsia="Arial" w:hAnsi="Arial"/>
          <w:sz w:val="16"/>
          <w:szCs w:val="16"/>
          <w:color w:val="auto"/>
        </w:rPr>
        <w:t xml:space="preserve">Tenant and its authorized agents, contractors, subcontractors and employees shall be granted a license by Landlord to enter upon the Premises, at Tenant’s sole risk and expense, at least four (4) months prior to the Lease Commencement Date for the purpose of constructing the Tenant Improvements (as defined below) and installing furniture, fixtures and equipment; provided, however, that (a) the provisions of this Lease, other than with respect to the payment of Base Rent and Building Direct Expenses (as defined below), shall apply during such early entry, including, but not limited to, the provisions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relating to Tenant’s indemnification of the Landlord Parties (as defined below), (b) prior to any such entry, Tenant shall pay for and provide evidence of the insurance to be provided by Tenant pursuant to the provisions of </w:t>
      </w:r>
      <w:r>
        <w:rPr>
          <w:rFonts w:ascii="Arial" w:cs="Arial" w:eastAsia="Arial" w:hAnsi="Arial"/>
          <w:sz w:val="16"/>
          <w:szCs w:val="16"/>
          <w:u w:val="single" w:color="auto"/>
          <w:color w:val="auto"/>
        </w:rPr>
        <w:t>Article 10</w:t>
      </w:r>
      <w:r>
        <w:rPr>
          <w:rFonts w:ascii="Arial" w:cs="Arial" w:eastAsia="Arial" w:hAnsi="Arial"/>
          <w:sz w:val="16"/>
          <w:szCs w:val="16"/>
          <w:color w:val="auto"/>
        </w:rPr>
        <w:t>, (c) Tenant shall pay all utility, service and maintenance charges for the Premises attributable to Tenant’s early entry and use of the Premises as reasonably determined by Landlord, and (d) prior to such entry, Tenant shall have delivered to Landlord an executed original of this Lease and payment in an amount equal to: (i) Base Rent for the first (1</w:t>
      </w:r>
      <w:r>
        <w:rPr>
          <w:rFonts w:ascii="Arial" w:cs="Arial" w:eastAsia="Arial" w:hAnsi="Arial"/>
          <w:sz w:val="20"/>
          <w:szCs w:val="20"/>
          <w:color w:val="auto"/>
          <w:vertAlign w:val="superscript"/>
        </w:rPr>
        <w:t>st</w:t>
      </w:r>
      <w:r>
        <w:rPr>
          <w:rFonts w:ascii="Arial" w:cs="Arial" w:eastAsia="Arial" w:hAnsi="Arial"/>
          <w:sz w:val="16"/>
          <w:szCs w:val="16"/>
          <w:color w:val="auto"/>
        </w:rPr>
        <w:t>) month of the Lease Term in which Base Rent is due, plus (ii) Building Direct Expenses for the first (1</w:t>
      </w:r>
      <w:r>
        <w:rPr>
          <w:rFonts w:ascii="Arial" w:cs="Arial" w:eastAsia="Arial" w:hAnsi="Arial"/>
          <w:sz w:val="20"/>
          <w:szCs w:val="20"/>
          <w:color w:val="auto"/>
          <w:vertAlign w:val="superscript"/>
        </w:rPr>
        <w:t>st</w:t>
      </w:r>
      <w:r>
        <w:rPr>
          <w:rFonts w:ascii="Arial" w:cs="Arial" w:eastAsia="Arial" w:hAnsi="Arial"/>
          <w:sz w:val="16"/>
          <w:szCs w:val="16"/>
          <w:color w:val="auto"/>
        </w:rPr>
        <w:t>) months of the Lease Term in which Building Direct Expenses are due, plus</w:t>
      </w:r>
    </w:p>
    <w:p>
      <w:pPr>
        <w:spacing w:after="0" w:line="1" w:lineRule="exact"/>
        <w:rPr>
          <w:sz w:val="20"/>
          <w:szCs w:val="20"/>
          <w:color w:val="auto"/>
        </w:rPr>
      </w:pPr>
    </w:p>
    <w:p>
      <w:pPr>
        <w:ind w:right="320" w:firstLine="8"/>
        <w:spacing w:after="0" w:line="258" w:lineRule="auto"/>
        <w:tabs>
          <w:tab w:leader="none" w:pos="315" w:val="left"/>
        </w:tabs>
        <w:numPr>
          <w:ilvl w:val="0"/>
          <w:numId w:val="551"/>
        </w:numPr>
        <w:rPr>
          <w:rFonts w:ascii="Arial" w:cs="Arial" w:eastAsia="Arial" w:hAnsi="Arial"/>
          <w:sz w:val="18"/>
          <w:szCs w:val="18"/>
          <w:color w:val="auto"/>
        </w:rPr>
      </w:pPr>
      <w:r>
        <w:rPr>
          <w:rFonts w:ascii="Arial" w:cs="Arial" w:eastAsia="Arial" w:hAnsi="Arial"/>
          <w:sz w:val="18"/>
          <w:szCs w:val="18"/>
          <w:color w:val="auto"/>
        </w:rPr>
        <w:t xml:space="preserve">the Security Deposit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Summary. Upon Tenant’s breach of any of the foregoing conditions, Landlord may, in addition to exercising any of its other rights and remedies set forth herein, revoke such license upon Notice 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638" w:name="page639"/>
    <w:bookmarkEnd w:id="638"/>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u w:val="single" w:color="auto"/>
          <w:color w:val="auto"/>
        </w:rPr>
        <w:t>Option Term</w:t>
      </w:r>
      <w:r>
        <w:rPr>
          <w:rFonts w:ascii="Arial" w:cs="Arial" w:eastAsia="Arial" w:hAnsi="Arial"/>
          <w:sz w:val="16"/>
          <w:szCs w:val="16"/>
          <w:color w:val="auto"/>
        </w:rPr>
        <w:t>.</w:t>
      </w:r>
    </w:p>
    <w:p>
      <w:pPr>
        <w:spacing w:after="0" w:line="225"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u w:val="single" w:color="auto"/>
          <w:color w:val="auto"/>
        </w:rPr>
        <w:t>Option Right</w:t>
      </w:r>
      <w:r>
        <w:rPr>
          <w:rFonts w:ascii="Arial" w:cs="Arial" w:eastAsia="Arial" w:hAnsi="Arial"/>
          <w:sz w:val="18"/>
          <w:szCs w:val="18"/>
          <w:color w:val="auto"/>
        </w:rPr>
        <w:t>. Landlord hereby grants the Original Tenant one (1) option to extend (“</w:t>
      </w:r>
      <w:r>
        <w:rPr>
          <w:rFonts w:ascii="Arial" w:cs="Arial" w:eastAsia="Arial" w:hAnsi="Arial"/>
          <w:sz w:val="18"/>
          <w:szCs w:val="18"/>
          <w:b w:val="1"/>
          <w:bCs w:val="1"/>
          <w:color w:val="auto"/>
        </w:rPr>
        <w:t>Extension Option</w:t>
      </w:r>
      <w:r>
        <w:rPr>
          <w:rFonts w:ascii="Arial" w:cs="Arial" w:eastAsia="Arial" w:hAnsi="Arial"/>
          <w:sz w:val="18"/>
          <w:szCs w:val="18"/>
          <w:color w:val="auto"/>
        </w:rPr>
        <w:t>”) the Lease Term for a period of five (5) years (the “</w:t>
      </w:r>
      <w:r>
        <w:rPr>
          <w:rFonts w:ascii="Arial" w:cs="Arial" w:eastAsia="Arial" w:hAnsi="Arial"/>
          <w:sz w:val="18"/>
          <w:szCs w:val="18"/>
          <w:b w:val="1"/>
          <w:bCs w:val="1"/>
          <w:color w:val="auto"/>
        </w:rPr>
        <w:t>Option Term</w:t>
      </w:r>
      <w:r>
        <w:rPr>
          <w:rFonts w:ascii="Arial" w:cs="Arial" w:eastAsia="Arial" w:hAnsi="Arial"/>
          <w:sz w:val="18"/>
          <w:szCs w:val="18"/>
          <w:color w:val="auto"/>
        </w:rPr>
        <w:t xml:space="preserve">”), which option shall be exercisable only by written notice delivered by Tenant to Landlord as provided below, provided that, as of the date of delivery of such notice, Tenant is not in monetary default under this Lease and Tenant has not previously been in monetary default under this Lease. Upon the proper exercise of such Extension Option, and provided that, at Landlord’s option, as of the end of the initial Lease Term, Tenant is not in monetary default under this Lease and Tenant has not previously been in monetary default under this Lease, the Lease Term, as it applies to the Premises, shall be extended for a period of five (5) years. The rights contained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be personal to the Original Tenant and may only be exercised by the Original Tenant (and not any assignee, sublessee or other transferee of Tenant’s interest in this Lease) if the Original Tenant occupies the entire Premises.</w:t>
      </w:r>
    </w:p>
    <w:p>
      <w:pPr>
        <w:spacing w:after="0" w:line="192" w:lineRule="exact"/>
        <w:rPr>
          <w:sz w:val="20"/>
          <w:szCs w:val="20"/>
          <w:color w:val="auto"/>
        </w:rPr>
      </w:pPr>
    </w:p>
    <w:p>
      <w:pPr>
        <w:ind w:firstLine="1296"/>
        <w:spacing w:after="0" w:line="267"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b w:val="1"/>
          <w:bCs w:val="1"/>
          <w:u w:val="single" w:color="auto"/>
          <w:color w:val="auto"/>
        </w:rPr>
        <w:t>Option Rent</w:t>
      </w:r>
      <w:r>
        <w:rPr>
          <w:rFonts w:ascii="Arial" w:cs="Arial" w:eastAsia="Arial" w:hAnsi="Arial"/>
          <w:sz w:val="17"/>
          <w:szCs w:val="17"/>
          <w:color w:val="auto"/>
        </w:rPr>
        <w:t>. The rent payable by Tenant during the Option Term (the “</w:t>
      </w:r>
      <w:r>
        <w:rPr>
          <w:rFonts w:ascii="Arial" w:cs="Arial" w:eastAsia="Arial" w:hAnsi="Arial"/>
          <w:sz w:val="17"/>
          <w:szCs w:val="17"/>
          <w:b w:val="1"/>
          <w:bCs w:val="1"/>
          <w:color w:val="auto"/>
        </w:rPr>
        <w:t>Option Rent</w:t>
      </w:r>
      <w:r>
        <w:rPr>
          <w:rFonts w:ascii="Arial" w:cs="Arial" w:eastAsia="Arial" w:hAnsi="Arial"/>
          <w:sz w:val="17"/>
          <w:szCs w:val="17"/>
          <w:color w:val="auto"/>
        </w:rPr>
        <w:t>”) shall be equal to one hundred percent (100%) of the Fair Market Value (as hereinafter defined) of the Premises. “</w:t>
      </w:r>
      <w:r>
        <w:rPr>
          <w:rFonts w:ascii="Arial" w:cs="Arial" w:eastAsia="Arial" w:hAnsi="Arial"/>
          <w:sz w:val="17"/>
          <w:szCs w:val="17"/>
          <w:b w:val="1"/>
          <w:bCs w:val="1"/>
          <w:color w:val="auto"/>
        </w:rPr>
        <w:t>Fair Market Value</w:t>
      </w:r>
      <w:r>
        <w:rPr>
          <w:rFonts w:ascii="Arial" w:cs="Arial" w:eastAsia="Arial" w:hAnsi="Arial"/>
          <w:sz w:val="17"/>
          <w:szCs w:val="17"/>
          <w:color w:val="auto"/>
        </w:rPr>
        <w:t>” shall mean the fixed rent component (and one hundred percent (100%) of the additional rent component) of the rent (including any additional rent and considering any “triple net” applicable thereto or “base year” or “expense stop” applicable thereto), on an annual per rentable square foot basis, including all escalations, at which tenants, as of the commencement of the Option Term (or the First Offer Space during the First Offer Term, if applicable) , are leasing non-sublease, non-encumbered, non-equity space comparable in size, location and quality to the Premises (or First Offer Space, if applicable) for a term of five (5) years, in an arm’s length transaction consummated during the twelve (12) month period prior to the date on which Landlord delivers to Tenant the “Option Rent Notice,” as this term is defined below, (or the First Offer Notice, as applicable) which comparable space is located in the Project, or if there is not a sufficient number of comparable transactions in the Project, then in the Comparable Buildings (“</w:t>
      </w:r>
      <w:r>
        <w:rPr>
          <w:rFonts w:ascii="Arial" w:cs="Arial" w:eastAsia="Arial" w:hAnsi="Arial"/>
          <w:sz w:val="17"/>
          <w:szCs w:val="17"/>
          <w:b w:val="1"/>
          <w:bCs w:val="1"/>
          <w:color w:val="auto"/>
        </w:rPr>
        <w:t>Comparable Transactions</w:t>
      </w:r>
      <w:r>
        <w:rPr>
          <w:rFonts w:ascii="Arial" w:cs="Arial" w:eastAsia="Arial" w:hAnsi="Arial"/>
          <w:sz w:val="17"/>
          <w:szCs w:val="17"/>
          <w:color w:val="auto"/>
        </w:rPr>
        <w:t>”), taking into consideration only the following concessions (“</w:t>
      </w:r>
      <w:r>
        <w:rPr>
          <w:rFonts w:ascii="Arial" w:cs="Arial" w:eastAsia="Arial" w:hAnsi="Arial"/>
          <w:sz w:val="17"/>
          <w:szCs w:val="17"/>
          <w:b w:val="1"/>
          <w:bCs w:val="1"/>
          <w:color w:val="auto"/>
        </w:rPr>
        <w:t>Concessions</w:t>
      </w:r>
      <w:r>
        <w:rPr>
          <w:rFonts w:ascii="Arial" w:cs="Arial" w:eastAsia="Arial" w:hAnsi="Arial"/>
          <w:sz w:val="17"/>
          <w:szCs w:val="17"/>
          <w:color w:val="auto"/>
        </w:rPr>
        <w:t xml:space="preserve">”): (a) rental abatement concessions, if any, being granted such tenants in connection with such comparable space, and (b) tenant improvements or allowances provided or to be provided for such comparable space, taking into account, and deducting the value of, the existing improvements in the Premises (or the First Offer Space, if applicable), such value to be based upon the age, quality and layout of the improvements and the extent to which the same could be utilized by Tenant based upon the fact that the precise tenant improvements existing in the Premises are specifically suitable to Tenant; provided, however, that notwithstanding anything to the contrary herein, no consideration shall be given to (i) the fact that Landlord is or is not required to pay a real estate brokerage commission in connection with Tenant’s exercise of its right to lease the Premises during the Option Term (or the First Offer Space during the First Offer Term, if applicable) or the fact that the Comparable Transactions do or do not involve the payment of real estate brokerage commissions, and (ii) any period of rental abatement, if any, granted to tenants in Comparable Transactions in connection with the design, permitting and construction of tenant improvements in such comparable spaces; provided that, Tenant shall continue to pay Tenant’s Share of Building Direct Expenses during the Option Term in accordance with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below. The Option Rent (or First Offer Rent, if applicable) shall additionally include a determination as to whether, and if so to what extent, Tenant must provide Landlord with financial security, such as a security deposit, letter of credit or guaranty, for Tenant’s rent obligations during the Option Term (or First Offer Term, if applicable). Such determination shall be made by reviewing the extent of financial security then generally being imposed in Comparable Transactions upon tenants of comparable financial condition and credit history to the then existing financial condition and credit history of Tenant (with appropriate adjustments to account for differences in the then-existing financial condition of Tenant and such other tenants).</w:t>
      </w:r>
    </w:p>
    <w:p>
      <w:pPr>
        <w:spacing w:after="0" w:line="181"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xml:space="preserve">. The Extension Option contained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be exercised by Tenant, if at all, only in the following manner: (i) Tenant shall deliver irrevocable written notice to Landlord not more than twelve (12) months nor less than ten (10) months prior to the expiration of the initial Lease Term exercising its option; (ii) Landlord, after receipt of Tenant’s notice, shall deliver notice (the </w:t>
      </w:r>
      <w:r>
        <w:rPr>
          <w:rFonts w:ascii="Arial" w:cs="Arial" w:eastAsia="Arial" w:hAnsi="Arial"/>
          <w:sz w:val="16"/>
          <w:szCs w:val="16"/>
          <w:b w:val="1"/>
          <w:bCs w:val="1"/>
          <w:color w:val="auto"/>
        </w:rPr>
        <w:t>“Option Rent Notice”</w:t>
      </w:r>
      <w:r>
        <w:rPr>
          <w:rFonts w:ascii="Arial" w:cs="Arial" w:eastAsia="Arial" w:hAnsi="Arial"/>
          <w:sz w:val="16"/>
          <w:szCs w:val="16"/>
          <w:color w:val="auto"/>
        </w:rPr>
        <w:t>), to Tenant not later than thirty (30) days following Landlord’s receipt of the Option Rent Notice, setting forth the Option Rent; and (iii) if Tenant wishes to exercise such option, Tenant shall, on or before the earlier of (A) the date occurring nine (9) months prior to the expiration of the initial Lease Term, and</w:t>
      </w:r>
    </w:p>
    <w:p>
      <w:pPr>
        <w:spacing w:after="0" w:line="2" w:lineRule="exact"/>
        <w:rPr>
          <w:sz w:val="20"/>
          <w:szCs w:val="20"/>
          <w:color w:val="auto"/>
        </w:rPr>
      </w:pPr>
    </w:p>
    <w:p>
      <w:pPr>
        <w:ind w:right="120" w:firstLine="8"/>
        <w:spacing w:after="0" w:line="260" w:lineRule="auto"/>
        <w:tabs>
          <w:tab w:leader="none" w:pos="285" w:val="left"/>
        </w:tabs>
        <w:numPr>
          <w:ilvl w:val="0"/>
          <w:numId w:val="552"/>
        </w:numPr>
        <w:rPr>
          <w:rFonts w:ascii="Arial" w:cs="Arial" w:eastAsia="Arial" w:hAnsi="Arial"/>
          <w:sz w:val="18"/>
          <w:szCs w:val="18"/>
          <w:color w:val="auto"/>
        </w:rPr>
      </w:pPr>
      <w:r>
        <w:rPr>
          <w:rFonts w:ascii="Arial" w:cs="Arial" w:eastAsia="Arial" w:hAnsi="Arial"/>
          <w:sz w:val="18"/>
          <w:szCs w:val="18"/>
          <w:color w:val="auto"/>
        </w:rPr>
        <w:t>the date occurring thirty (30) days after Tenant’s receipt of the Option Rent Notice, exercise the option by delivering irrevocable written notice thereof to the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153275" cy="298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u w:val="single" w:color="auto"/>
          <w:color w:val="auto"/>
        </w:rPr>
        <w:t>Tenant’s Termination Option</w:t>
      </w:r>
      <w:r>
        <w:rPr>
          <w:rFonts w:ascii="Arial" w:cs="Arial" w:eastAsia="Arial" w:hAnsi="Arial"/>
          <w:sz w:val="16"/>
          <w:szCs w:val="16"/>
          <w:color w:val="auto"/>
        </w:rPr>
        <w:t>.</w:t>
      </w:r>
    </w:p>
    <w:p>
      <w:pPr>
        <w:spacing w:after="0" w:line="225" w:lineRule="exact"/>
        <w:rPr>
          <w:sz w:val="20"/>
          <w:szCs w:val="20"/>
          <w:color w:val="auto"/>
        </w:rPr>
      </w:pPr>
    </w:p>
    <w:p>
      <w:pPr>
        <w:ind w:right="20" w:firstLine="1296"/>
        <w:spacing w:after="0" w:line="261"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Termination Option</w:t>
      </w:r>
      <w:r>
        <w:rPr>
          <w:rFonts w:ascii="Arial" w:cs="Arial" w:eastAsia="Arial" w:hAnsi="Arial"/>
          <w:sz w:val="17"/>
          <w:szCs w:val="17"/>
          <w:color w:val="auto"/>
        </w:rPr>
        <w:t>. Tenant shall have the option (“</w:t>
      </w:r>
      <w:r>
        <w:rPr>
          <w:rFonts w:ascii="Arial" w:cs="Arial" w:eastAsia="Arial" w:hAnsi="Arial"/>
          <w:sz w:val="17"/>
          <w:szCs w:val="17"/>
          <w:b w:val="1"/>
          <w:bCs w:val="1"/>
          <w:color w:val="auto"/>
        </w:rPr>
        <w:t>Tenant’s Termination Option</w:t>
      </w:r>
      <w:r>
        <w:rPr>
          <w:rFonts w:ascii="Arial" w:cs="Arial" w:eastAsia="Arial" w:hAnsi="Arial"/>
          <w:sz w:val="17"/>
          <w:szCs w:val="17"/>
          <w:color w:val="auto"/>
        </w:rPr>
        <w:t>”) to terminate this Lease as of the expiration of the sixtieth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full month of the Lease Term (the “</w:t>
      </w:r>
      <w:r>
        <w:rPr>
          <w:rFonts w:ascii="Arial" w:cs="Arial" w:eastAsia="Arial" w:hAnsi="Arial"/>
          <w:sz w:val="17"/>
          <w:szCs w:val="17"/>
          <w:b w:val="1"/>
          <w:bCs w:val="1"/>
          <w:color w:val="auto"/>
        </w:rPr>
        <w:t>Early Termination Date</w:t>
      </w:r>
      <w:r>
        <w:rPr>
          <w:rFonts w:ascii="Arial" w:cs="Arial" w:eastAsia="Arial" w:hAnsi="Arial"/>
          <w:sz w:val="17"/>
          <w:szCs w:val="17"/>
          <w:color w:val="auto"/>
        </w:rPr>
        <w:t>”) with respect to the entire Premises. Tenant’s Termination Option shall be exercised, if at all, by (i) written notice to Landlord given no later than six (6) months prior to the Early Termination Date, and (ii) Tenant’s payment to Landlord of a fee (the “</w:t>
      </w:r>
      <w:r>
        <w:rPr>
          <w:rFonts w:ascii="Arial" w:cs="Arial" w:eastAsia="Arial" w:hAnsi="Arial"/>
          <w:sz w:val="17"/>
          <w:szCs w:val="17"/>
          <w:b w:val="1"/>
          <w:bCs w:val="1"/>
          <w:color w:val="auto"/>
        </w:rPr>
        <w:t>Termination Fee</w:t>
      </w:r>
      <w:r>
        <w:rPr>
          <w:rFonts w:ascii="Arial" w:cs="Arial" w:eastAsia="Arial" w:hAnsi="Arial"/>
          <w:sz w:val="17"/>
          <w:szCs w:val="17"/>
          <w:color w:val="auto"/>
        </w:rPr>
        <w:t xml:space="preserve">”) equal to the sum of (A) the unamortized cost (as of the Early Termination Date) of (1) the brokerage commissions paid by Landlord in connection with this Lease to the brokers identified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the Summary, and (2) the Tenant Improvement Allowance, (B) an amount equal to six (6) months of the then current monthly Base Rent, and (C) an amount equal to six (6) months of the then current payment for Tenant’s Share of Building Direct Expenses. For purposes of clause (A) above, the amortization shall be computed on a straight line basis over the period commencing on the first day of the Lease Term and ending on the Lease Expiration Date, with interest at the rate of eight percent (8%) per annum. The Termination Fee shall be paid to Landlord within thirty (30) days after Tenant’s delivery of its exercise notice, and if not so paid, then Tenant’s Termination Option shall be deemed to have not been validly exercised.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If Tenant shall lease the Offer Space pursuant to </w:t>
      </w:r>
      <w:r>
        <w:rPr>
          <w:rFonts w:ascii="Arial" w:cs="Arial" w:eastAsia="Arial" w:hAnsi="Arial"/>
          <w:sz w:val="17"/>
          <w:szCs w:val="17"/>
          <w:u w:val="single" w:color="auto"/>
          <w:color w:val="auto"/>
        </w:rPr>
        <w:t>Section 1.3</w:t>
      </w:r>
      <w:r>
        <w:rPr>
          <w:rFonts w:ascii="Arial" w:cs="Arial" w:eastAsia="Arial" w:hAnsi="Arial"/>
          <w:sz w:val="17"/>
          <w:szCs w:val="17"/>
          <w:color w:val="auto"/>
        </w:rPr>
        <w:t>, or Tenant shall otherwise lease any space in the Building in addition to the original Premises leased under this Lease, the Termination Fee shall be increased by an amount equal to the unamortized amount (as of the Early Termination Date) of any tenant improvement allowance granted by Landlord to Tenant with respect to Tenant’s lease of such space (or the cost of any work performed by Landlord in connection with Tenant’s initial occupancy of such space, as the case may be), any brokerage commissions paid by Landlord in connection with Tenant’s lease of such space, and any free rental period with respect to Tenant’s lease of such space, such amortization to be computed on a straight line basis over the period commencing on the rent commencement date under this Lease with respect to such space (or, if the rent commencement date is not the first day of a calendar month, on the first day of the first full calendar month after the rent commencement date), and ending on the Lease Expiration Date, together with interest at the rate of eight percent (8%) per annum</w:t>
      </w:r>
    </w:p>
    <w:p>
      <w:pPr>
        <w:spacing w:after="0" w:line="178" w:lineRule="exact"/>
        <w:rPr>
          <w:sz w:val="20"/>
          <w:szCs w:val="20"/>
          <w:color w:val="auto"/>
        </w:rPr>
      </w:pPr>
    </w:p>
    <w:p>
      <w:pPr>
        <w:ind w:right="20" w:firstLine="1296"/>
        <w:spacing w:after="0" w:line="293"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u w:val="single" w:color="auto"/>
          <w:color w:val="auto"/>
        </w:rPr>
        <w:t>Effect of Assignment; Default</w:t>
      </w:r>
      <w:r>
        <w:rPr>
          <w:rFonts w:ascii="Arial" w:cs="Arial" w:eastAsia="Arial" w:hAnsi="Arial"/>
          <w:sz w:val="16"/>
          <w:szCs w:val="16"/>
          <w:color w:val="auto"/>
        </w:rPr>
        <w:t xml:space="preserve">. Tenant’s Termination Option is personal to the Original Tenant and any Permitted Transferee. Accordingly, if the Original Tenant shall assign this Lease prior to its exercise of Tenant’s Termination Option (other than to a Permitted Transferee), then Tenant’s Termination Option shall thereupon be deemed terminated and Tenant shall have no rights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any purported exercise of Tenant’s Termination Option after the date of such assignment shall be deemed void and of no force or effect. Tenant’s assignment of this Lease after its exercise of Tenant’s Termination Option shall not in any way affect the validity of such exercise or the termination of this Lease as of the Early Termination Date in accordance with such exercise. Notwithstanding the foregoing, if Tenant shall be in default under this Lease beyond any applicable notice and cure</w:t>
      </w:r>
    </w:p>
    <w:p>
      <w:pPr>
        <w:sectPr>
          <w:pgSz w:w="11900" w:h="16838" w:orient="portrait"/>
          <w:cols w:equalWidth="0" w:num="1">
            <w:col w:w="11240"/>
          </w:cols>
          <w:pgMar w:left="320" w:top="338" w:right="339" w:bottom="0" w:gutter="0" w:footer="0" w:header="0"/>
        </w:sectPr>
      </w:pPr>
    </w:p>
    <w:bookmarkStart w:id="639" w:name="page640"/>
    <w:bookmarkEnd w:id="639"/>
    <w:p>
      <w:pPr>
        <w:ind w:right="200"/>
        <w:spacing w:after="0" w:line="277" w:lineRule="auto"/>
        <w:rPr>
          <w:sz w:val="20"/>
          <w:szCs w:val="20"/>
          <w:color w:val="auto"/>
        </w:rPr>
      </w:pPr>
      <w:r>
        <w:rPr>
          <w:rFonts w:ascii="Arial" w:cs="Arial" w:eastAsia="Arial" w:hAnsi="Arial"/>
          <w:sz w:val="18"/>
          <w:szCs w:val="18"/>
          <w:color w:val="auto"/>
        </w:rPr>
        <w:t>periods at the time it exercises Tenant’s Termination Option or any time after Tenant exercises Tenant’s Termination Option, then, at Landlord’s election, such exercise shall be deemed void and of no force or effect.</w:t>
      </w:r>
    </w:p>
    <w:p>
      <w:pPr>
        <w:spacing w:after="0" w:line="170" w:lineRule="exact"/>
        <w:rPr>
          <w:sz w:val="20"/>
          <w:szCs w:val="20"/>
          <w:color w:val="auto"/>
        </w:rPr>
      </w:pPr>
    </w:p>
    <w:p>
      <w:pPr>
        <w:jc w:val="both"/>
        <w:ind w:right="240"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Surrender</w:t>
      </w:r>
      <w:r>
        <w:rPr>
          <w:rFonts w:ascii="Arial" w:cs="Arial" w:eastAsia="Arial" w:hAnsi="Arial"/>
          <w:sz w:val="18"/>
          <w:szCs w:val="18"/>
          <w:color w:val="auto"/>
        </w:rPr>
        <w:t>. If Tenant shall exercise Tenant’s Termination Option, then, on or before the Early Termination Date, Tenant shall vacate and surrender the Premises to Landlord in the condition required by this Lease (as if the Early Termination Date were the original expiration date under this Lease).</w:t>
      </w:r>
    </w:p>
    <w:p>
      <w:pPr>
        <w:spacing w:after="0" w:line="184" w:lineRule="exact"/>
        <w:rPr>
          <w:sz w:val="20"/>
          <w:szCs w:val="20"/>
          <w:color w:val="auto"/>
        </w:rPr>
      </w:pPr>
    </w:p>
    <w:p>
      <w:pPr>
        <w:ind w:firstLine="1296"/>
        <w:spacing w:after="0" w:line="279"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Unexercised Rights</w:t>
      </w:r>
      <w:r>
        <w:rPr>
          <w:rFonts w:ascii="Arial" w:cs="Arial" w:eastAsia="Arial" w:hAnsi="Arial"/>
          <w:sz w:val="17"/>
          <w:szCs w:val="17"/>
          <w:color w:val="auto"/>
        </w:rPr>
        <w:t>. As of the date Tenant provides notice exercising Tenant’s Termination Option, any unexercised rights or options of Tenant to renew the Lease Term or to expand the Premises (whether expansion options, rights of first refusal, rights of first offer, or other similar rights), and any outstanding tenant improvement allowance not claimed and properly utilized by Tenant in accordance with this Lease as of such date, shall immediately be deemed terminated and no longer available or of any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153275" cy="298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40" w:name="page641"/>
    <w:bookmarkEnd w:id="640"/>
    <w:p>
      <w:pPr>
        <w:jc w:val="center"/>
        <w:ind w:right="-19"/>
        <w:spacing w:after="0"/>
        <w:rPr>
          <w:sz w:val="20"/>
          <w:szCs w:val="20"/>
          <w:color w:val="auto"/>
        </w:rPr>
      </w:pPr>
      <w:r>
        <w:rPr>
          <w:rFonts w:ascii="Arial" w:cs="Arial" w:eastAsia="Arial" w:hAnsi="Arial"/>
          <w:sz w:val="18"/>
          <w:szCs w:val="18"/>
          <w:b w:val="1"/>
          <w:bCs w:val="1"/>
          <w:u w:val="single" w:color="auto"/>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BASE RENT</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Tenant shall pay, without prior notice or demand, to Landlord or Landlord’s agent at the management office of the Project, or, at Landlord’s 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payable in equal monthly installments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in advance on or before the first day of each and every calendar month during the Lease Term, without any setoff or deduction whatsoever except as expressly provided in this Lease. The Base Rent for the first full month of the Lease Term which occurs after the expiration of any free rent period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ADDITIONAL RENT</w:t>
      </w:r>
    </w:p>
    <w:p>
      <w:pPr>
        <w:spacing w:after="0" w:line="225"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In addition to paying the Base Rent specified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Lease, Tenant shall pay “Tenant’s Share” of the annual “Building Direct Expenses,” as those terms are defined in </w:t>
      </w:r>
      <w:r>
        <w:rPr>
          <w:rFonts w:ascii="Arial" w:cs="Arial" w:eastAsia="Arial" w:hAnsi="Arial"/>
          <w:sz w:val="16"/>
          <w:szCs w:val="16"/>
          <w:u w:val="single" w:color="auto"/>
          <w:color w:val="auto"/>
        </w:rPr>
        <w:t>Sections 4.2.9 and 4.2.2</w:t>
      </w:r>
      <w:r>
        <w:rPr>
          <w:rFonts w:ascii="Arial" w:cs="Arial" w:eastAsia="Arial" w:hAnsi="Arial"/>
          <w:sz w:val="16"/>
          <w:szCs w:val="16"/>
          <w:color w:val="auto"/>
        </w:rPr>
        <w:t xml:space="preserve"> of this Lease, respectively. Such payments by Tenant, together with any and all other amounts payable by Tenant to Landlord pursuant to the terms of this Lease, are hereinafter collectively referred to as the “</w:t>
      </w:r>
      <w:r>
        <w:rPr>
          <w:rFonts w:ascii="Arial" w:cs="Arial" w:eastAsia="Arial" w:hAnsi="Arial"/>
          <w:sz w:val="16"/>
          <w:szCs w:val="16"/>
          <w:b w:val="1"/>
          <w:bCs w:val="1"/>
          <w:color w:val="auto"/>
        </w:rPr>
        <w:t>Additional Rent</w:t>
      </w:r>
      <w:r>
        <w:rPr>
          <w:rFonts w:ascii="Arial" w:cs="Arial" w:eastAsia="Arial" w:hAnsi="Arial"/>
          <w:sz w:val="16"/>
          <w:szCs w:val="16"/>
          <w:color w:val="auto"/>
        </w:rPr>
        <w:t>”, and the Base Rent and the Additional Rent are herein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survive the expiration of the Lease Term.</w:t>
      </w:r>
    </w:p>
    <w:p>
      <w:pPr>
        <w:spacing w:after="0" w:line="160"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Definitions of Key Terms Relating to Additional Rent</w:t>
      </w:r>
      <w:r>
        <w:rPr>
          <w:rFonts w:ascii="Arial" w:cs="Arial" w:eastAsia="Arial" w:hAnsi="Arial"/>
          <w:sz w:val="18"/>
          <w:szCs w:val="18"/>
          <w:b w:val="1"/>
          <w:bCs w:val="1"/>
          <w:color w:val="auto"/>
        </w:rPr>
        <w:t>.</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Article 4</w:t>
      </w:r>
      <w:r>
        <w:rPr>
          <w:rFonts w:ascii="Arial" w:cs="Arial" w:eastAsia="Arial" w:hAnsi="Arial"/>
          <w:sz w:val="18"/>
          <w:szCs w:val="18"/>
          <w:color w:val="auto"/>
        </w:rPr>
        <w:t>, the following terms shall have the meanings hereinafter set forth:</w:t>
      </w:r>
    </w:p>
    <w:p>
      <w:pPr>
        <w:spacing w:after="0" w:line="16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7"/>
          <w:szCs w:val="17"/>
          <w:color w:val="auto"/>
        </w:rPr>
        <w:t>Intentionally Omitted.</w:t>
      </w:r>
    </w:p>
    <w:p>
      <w:pPr>
        <w:spacing w:after="0" w:line="221" w:lineRule="exact"/>
        <w:rPr>
          <w:sz w:val="20"/>
          <w:szCs w:val="20"/>
          <w:color w:val="auto"/>
        </w:rPr>
      </w:pPr>
    </w:p>
    <w:p>
      <w:pPr>
        <w:ind w:right="480" w:firstLine="1296"/>
        <w:spacing w:after="0" w:line="282" w:lineRule="auto"/>
        <w:rPr>
          <w:sz w:val="20"/>
          <w:szCs w:val="20"/>
          <w:color w:val="auto"/>
        </w:rPr>
      </w:pPr>
      <w:r>
        <w:rPr>
          <w:rFonts w:ascii="Arial" w:cs="Arial" w:eastAsia="Arial" w:hAnsi="Arial"/>
          <w:sz w:val="18"/>
          <w:szCs w:val="18"/>
          <w:color w:val="auto"/>
        </w:rPr>
        <w:t>4.2.2 “</w:t>
      </w:r>
      <w:r>
        <w:rPr>
          <w:rFonts w:ascii="Arial" w:cs="Arial" w:eastAsia="Arial" w:hAnsi="Arial"/>
          <w:sz w:val="18"/>
          <w:szCs w:val="18"/>
          <w:b w:val="1"/>
          <w:bCs w:val="1"/>
          <w:color w:val="auto"/>
        </w:rPr>
        <w:t>Building Direct Expenses</w:t>
      </w:r>
      <w:r>
        <w:rPr>
          <w:rFonts w:ascii="Arial" w:cs="Arial" w:eastAsia="Arial" w:hAnsi="Arial"/>
          <w:sz w:val="18"/>
          <w:szCs w:val="18"/>
          <w:color w:val="auto"/>
        </w:rPr>
        <w:t xml:space="preserve">” shall mean “Building Operating Expenses” and “Building Tax Expenses”, as those terms are defined in </w:t>
      </w:r>
      <w:r>
        <w:rPr>
          <w:rFonts w:ascii="Arial" w:cs="Arial" w:eastAsia="Arial" w:hAnsi="Arial"/>
          <w:sz w:val="18"/>
          <w:szCs w:val="18"/>
          <w:u w:val="single" w:color="auto"/>
          <w:color w:val="auto"/>
        </w:rPr>
        <w:t>Sections 4.2.3 and 4.2.4</w:t>
      </w:r>
      <w:r>
        <w:rPr>
          <w:rFonts w:ascii="Arial" w:cs="Arial" w:eastAsia="Arial" w:hAnsi="Arial"/>
          <w:sz w:val="18"/>
          <w:szCs w:val="18"/>
          <w:color w:val="auto"/>
        </w:rPr>
        <w:t xml:space="preserve"> below, respectively.</w:t>
      </w:r>
    </w:p>
    <w:p>
      <w:pPr>
        <w:spacing w:after="0" w:line="162"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4.2.3 “</w:t>
      </w:r>
      <w:r>
        <w:rPr>
          <w:rFonts w:ascii="Arial" w:cs="Arial" w:eastAsia="Arial" w:hAnsi="Arial"/>
          <w:sz w:val="18"/>
          <w:szCs w:val="18"/>
          <w:b w:val="1"/>
          <w:bCs w:val="1"/>
          <w:color w:val="auto"/>
        </w:rPr>
        <w:t>Building Operating Expenses</w:t>
      </w:r>
      <w:r>
        <w:rPr>
          <w:rFonts w:ascii="Arial" w:cs="Arial" w:eastAsia="Arial" w:hAnsi="Arial"/>
          <w:sz w:val="18"/>
          <w:szCs w:val="18"/>
          <w:color w:val="auto"/>
        </w:rPr>
        <w:t xml:space="preserve">” shall mean the portion of “Operating Expenses,” as that term is defined in </w:t>
      </w:r>
      <w:r>
        <w:rPr>
          <w:rFonts w:ascii="Arial" w:cs="Arial" w:eastAsia="Arial" w:hAnsi="Arial"/>
          <w:sz w:val="18"/>
          <w:szCs w:val="18"/>
          <w:u w:val="single" w:color="auto"/>
          <w:color w:val="auto"/>
        </w:rPr>
        <w:t>Section 4.2.7</w:t>
      </w:r>
      <w:r>
        <w:rPr>
          <w:rFonts w:ascii="Arial" w:cs="Arial" w:eastAsia="Arial" w:hAnsi="Arial"/>
          <w:sz w:val="18"/>
          <w:szCs w:val="18"/>
          <w:color w:val="auto"/>
        </w:rPr>
        <w:t xml:space="preserve"> below, allocated to the tenants of the Building pursuant to the terms of </w:t>
      </w:r>
      <w:r>
        <w:rPr>
          <w:rFonts w:ascii="Arial" w:cs="Arial" w:eastAsia="Arial" w:hAnsi="Arial"/>
          <w:sz w:val="18"/>
          <w:szCs w:val="18"/>
          <w:u w:val="single" w:color="auto"/>
          <w:color w:val="auto"/>
        </w:rPr>
        <w:t>Section 4.3.1</w:t>
      </w:r>
      <w:r>
        <w:rPr>
          <w:rFonts w:ascii="Arial" w:cs="Arial" w:eastAsia="Arial" w:hAnsi="Arial"/>
          <w:sz w:val="18"/>
          <w:szCs w:val="18"/>
          <w:color w:val="auto"/>
        </w:rPr>
        <w:t xml:space="preserve"> below.</w:t>
      </w:r>
    </w:p>
    <w:p>
      <w:pPr>
        <w:spacing w:after="0" w:line="162"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4.2.4 “</w:t>
      </w:r>
      <w:r>
        <w:rPr>
          <w:rFonts w:ascii="Arial" w:cs="Arial" w:eastAsia="Arial" w:hAnsi="Arial"/>
          <w:sz w:val="18"/>
          <w:szCs w:val="18"/>
          <w:b w:val="1"/>
          <w:bCs w:val="1"/>
          <w:color w:val="auto"/>
        </w:rPr>
        <w:t>Building Tax Expenses</w:t>
      </w:r>
      <w:r>
        <w:rPr>
          <w:rFonts w:ascii="Arial" w:cs="Arial" w:eastAsia="Arial" w:hAnsi="Arial"/>
          <w:sz w:val="18"/>
          <w:szCs w:val="18"/>
          <w:color w:val="auto"/>
        </w:rPr>
        <w:t xml:space="preserve">” shall mean that portion of “Tax Expenses”, as that term is defined in </w:t>
      </w:r>
      <w:r>
        <w:rPr>
          <w:rFonts w:ascii="Arial" w:cs="Arial" w:eastAsia="Arial" w:hAnsi="Arial"/>
          <w:sz w:val="18"/>
          <w:szCs w:val="18"/>
          <w:u w:val="single" w:color="auto"/>
          <w:color w:val="auto"/>
        </w:rPr>
        <w:t>Section 4.2.8</w:t>
      </w:r>
      <w:r>
        <w:rPr>
          <w:rFonts w:ascii="Arial" w:cs="Arial" w:eastAsia="Arial" w:hAnsi="Arial"/>
          <w:sz w:val="18"/>
          <w:szCs w:val="18"/>
          <w:color w:val="auto"/>
        </w:rPr>
        <w:t xml:space="preserve"> below, allocated to the tenants of the Building pursuant to the terms of </w:t>
      </w:r>
      <w:r>
        <w:rPr>
          <w:rFonts w:ascii="Arial" w:cs="Arial" w:eastAsia="Arial" w:hAnsi="Arial"/>
          <w:sz w:val="18"/>
          <w:szCs w:val="18"/>
          <w:u w:val="single" w:color="auto"/>
          <w:color w:val="auto"/>
        </w:rPr>
        <w:t>Section 4.3.1</w:t>
      </w:r>
      <w:r>
        <w:rPr>
          <w:rFonts w:ascii="Arial" w:cs="Arial" w:eastAsia="Arial" w:hAnsi="Arial"/>
          <w:sz w:val="18"/>
          <w:szCs w:val="18"/>
          <w:color w:val="auto"/>
        </w:rPr>
        <w:t xml:space="preserve"> below.</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Expenses</w:t>
      </w:r>
      <w:r>
        <w:rPr>
          <w:rFonts w:ascii="Arial" w:cs="Arial" w:eastAsia="Arial" w:hAnsi="Arial"/>
          <w:sz w:val="16"/>
          <w:szCs w:val="16"/>
          <w:color w:val="auto"/>
        </w:rPr>
        <w:t>” shall mean “Operating Expenses” and “Tax Expenses.”</w:t>
      </w:r>
    </w:p>
    <w:p>
      <w:pPr>
        <w:spacing w:after="0" w:line="225" w:lineRule="exact"/>
        <w:rPr>
          <w:sz w:val="20"/>
          <w:szCs w:val="20"/>
          <w:color w:val="auto"/>
        </w:rPr>
      </w:pPr>
    </w:p>
    <w:p>
      <w:pPr>
        <w:ind w:right="20" w:firstLine="1296"/>
        <w:spacing w:after="0" w:line="293" w:lineRule="auto"/>
        <w:rPr>
          <w:sz w:val="20"/>
          <w:szCs w:val="20"/>
          <w:color w:val="auto"/>
        </w:rPr>
      </w:pPr>
      <w:r>
        <w:rPr>
          <w:rFonts w:ascii="Arial" w:cs="Arial" w:eastAsia="Arial" w:hAnsi="Arial"/>
          <w:sz w:val="16"/>
          <w:szCs w:val="16"/>
          <w:color w:val="auto"/>
        </w:rPr>
        <w:t>4.2.6 “</w:t>
      </w:r>
      <w:r>
        <w:rPr>
          <w:rFonts w:ascii="Arial" w:cs="Arial" w:eastAsia="Arial" w:hAnsi="Arial"/>
          <w:sz w:val="16"/>
          <w:szCs w:val="16"/>
          <w:b w:val="1"/>
          <w:bCs w:val="1"/>
          <w:color w:val="auto"/>
        </w:rPr>
        <w:t>Expense Year</w:t>
      </w:r>
      <w:r>
        <w:rPr>
          <w:rFonts w:ascii="Arial" w:cs="Arial" w:eastAsia="Arial" w:hAnsi="Arial"/>
          <w:sz w:val="16"/>
          <w:szCs w:val="16"/>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spacing w:after="0" w:line="1" w:lineRule="exact"/>
        <w:rPr>
          <w:sz w:val="20"/>
          <w:szCs w:val="20"/>
          <w:color w:val="auto"/>
        </w:rPr>
      </w:pPr>
    </w:p>
    <w:p>
      <w:pPr>
        <w:ind w:right="540" w:firstLine="8"/>
        <w:spacing w:after="0" w:line="260" w:lineRule="auto"/>
        <w:tabs>
          <w:tab w:leader="none" w:pos="345" w:val="left"/>
        </w:tabs>
        <w:numPr>
          <w:ilvl w:val="0"/>
          <w:numId w:val="553"/>
        </w:numPr>
        <w:rPr>
          <w:rFonts w:ascii="Arial" w:cs="Arial" w:eastAsia="Arial" w:hAnsi="Arial"/>
          <w:sz w:val="18"/>
          <w:szCs w:val="18"/>
          <w:color w:val="auto"/>
        </w:rPr>
      </w:pPr>
      <w:r>
        <w:rPr>
          <w:rFonts w:ascii="Arial" w:cs="Arial" w:eastAsia="Arial" w:hAnsi="Arial"/>
          <w:sz w:val="18"/>
          <w:szCs w:val="18"/>
          <w:color w:val="auto"/>
        </w:rPr>
        <w:t>consecutive month period, and, in the event of any such change, Tenant’s Share of Building Direct Expenses shall be equitably adjusted for any Expense Year involved in any such change.</w:t>
      </w:r>
    </w:p>
    <w:p>
      <w:pPr>
        <w:spacing w:after="0" w:line="181" w:lineRule="exact"/>
        <w:rPr>
          <w:sz w:val="20"/>
          <w:szCs w:val="20"/>
          <w:color w:val="auto"/>
        </w:rPr>
      </w:pPr>
    </w:p>
    <w:p>
      <w:pPr>
        <w:ind w:right="60" w:firstLine="1296"/>
        <w:spacing w:after="0" w:line="281" w:lineRule="auto"/>
        <w:rPr>
          <w:sz w:val="20"/>
          <w:szCs w:val="20"/>
          <w:color w:val="auto"/>
        </w:rPr>
      </w:pPr>
      <w:r>
        <w:rPr>
          <w:rFonts w:ascii="Arial" w:cs="Arial" w:eastAsia="Arial" w:hAnsi="Arial"/>
          <w:sz w:val="17"/>
          <w:szCs w:val="17"/>
          <w:color w:val="auto"/>
        </w:rPr>
        <w:t>4.2.7 “</w:t>
      </w:r>
      <w:r>
        <w:rPr>
          <w:rFonts w:ascii="Arial" w:cs="Arial" w:eastAsia="Arial" w:hAnsi="Arial"/>
          <w:sz w:val="17"/>
          <w:szCs w:val="17"/>
          <w:b w:val="1"/>
          <w:bCs w:val="1"/>
          <w:color w:val="auto"/>
        </w:rPr>
        <w:t>Operating Expenses</w:t>
      </w:r>
      <w:r>
        <w:rPr>
          <w:rFonts w:ascii="Arial" w:cs="Arial" w:eastAsia="Arial" w:hAnsi="Arial"/>
          <w:sz w:val="17"/>
          <w:szCs w:val="17"/>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in accordance with sound real estate accounting principles and consistent with Comparable Buildings. Without limiting the generality of the foregoing, Operating Expenses shall specifically include any and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153275" cy="298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41" w:name="page642"/>
    <w:bookmarkEnd w:id="641"/>
    <w:p>
      <w:pPr>
        <w:spacing w:after="0" w:line="283" w:lineRule="auto"/>
        <w:rPr>
          <w:sz w:val="20"/>
          <w:szCs w:val="20"/>
          <w:color w:val="auto"/>
        </w:rPr>
      </w:pPr>
      <w:r>
        <w:rPr>
          <w:rFonts w:ascii="Arial" w:cs="Arial" w:eastAsia="Arial" w:hAnsi="Arial"/>
          <w:sz w:val="16"/>
          <w:szCs w:val="16"/>
          <w:color w:val="auto"/>
        </w:rPr>
        <w:t>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fees and other costs, including reasonable management and/or incentive fees, consulting fees, legal fees and accounting fees, of all contractors and consultants in connection with the management, operation, maintenance and repair of the Project; (vii) payments under any equipment rental agreements and the fair rental value of any management office space; (viii) subject to item (f) below, wages, salaries and other compensation and benefits, including taxes levied thereon, of all persons engaged in the operation, maintenance and security of the Project; (ix) payments under any easement, license, operating agreement, declaration, restrictive covenant, or instrument pertaining to the sharing of costs by the Project, including, without limitation, any covenants, conditions and restrictions affecting the property, and reciprocal easement agreements affecting the Project, any parking licenses, and any agreements with transit agencies affecting the Project (collectively, “</w:t>
      </w:r>
      <w:r>
        <w:rPr>
          <w:rFonts w:ascii="Arial" w:cs="Arial" w:eastAsia="Arial" w:hAnsi="Arial"/>
          <w:sz w:val="16"/>
          <w:szCs w:val="16"/>
          <w:b w:val="1"/>
          <w:bCs w:val="1"/>
          <w:color w:val="auto"/>
        </w:rPr>
        <w:t>Underlying Documents</w:t>
      </w:r>
      <w:r>
        <w:rPr>
          <w:rFonts w:ascii="Arial" w:cs="Arial" w:eastAsia="Arial" w:hAnsi="Arial"/>
          <w:sz w:val="16"/>
          <w:szCs w:val="16"/>
          <w:color w:val="auto"/>
        </w:rPr>
        <w: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w:t>
      </w:r>
    </w:p>
    <w:p>
      <w:pPr>
        <w:ind w:right="60" w:firstLine="8"/>
        <w:spacing w:after="0" w:line="285" w:lineRule="auto"/>
        <w:tabs>
          <w:tab w:leader="none" w:pos="355" w:val="left"/>
        </w:tabs>
        <w:numPr>
          <w:ilvl w:val="0"/>
          <w:numId w:val="554"/>
        </w:numPr>
        <w:rPr>
          <w:rFonts w:ascii="Arial" w:cs="Arial" w:eastAsia="Arial" w:hAnsi="Arial"/>
          <w:sz w:val="16"/>
          <w:szCs w:val="16"/>
          <w:color w:val="auto"/>
        </w:rPr>
      </w:pPr>
      <w:r>
        <w:rPr>
          <w:rFonts w:ascii="Arial" w:cs="Arial" w:eastAsia="Arial" w:hAnsi="Arial"/>
          <w:sz w:val="16"/>
          <w:szCs w:val="16"/>
          <w:color w:val="auto"/>
        </w:rPr>
        <w:t xml:space="preserve">amortization (including interest on the unamortized cost) over the useful life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effect economies in the operation or maintenance of the Project, or any portion thereof, or reduce current or future Operating Expenses during the Lease Term, (B) that are required to comply with present or anticipated conservation programs, (C) which are replacements or modifications of nonstructural items located in the Common Areas required to keep the Common Areas in good order or condition, (D) that are required under any governmental law or regulation, or (E) that relate to the safety or security of the Project, its occupants and visitors, and are deemed advisable in the reasonable judgment of Landlord; provided, however, that any capital expenditure shall be amortized (including interest on the amortized cost) over its useful life as Landlord shall reasonably determine;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6"/>
          <w:szCs w:val="16"/>
          <w:u w:val="single" w:color="auto"/>
          <w:color w:val="auto"/>
        </w:rPr>
        <w:t>Section 4.2.8</w:t>
      </w:r>
      <w:r>
        <w:rPr>
          <w:rFonts w:ascii="Arial" w:cs="Arial" w:eastAsia="Arial" w:hAnsi="Arial"/>
          <w:sz w:val="16"/>
          <w:szCs w:val="16"/>
          <w:color w:val="auto"/>
        </w:rPr>
        <w:t xml:space="preserve"> below; and (xv) any fees, costs and expenses relating to operating, managing, owning, repairing, and maintaining the “Fitness Center,” as that term is defined in </w:t>
      </w:r>
      <w:r>
        <w:rPr>
          <w:rFonts w:ascii="Arial" w:cs="Arial" w:eastAsia="Arial" w:hAnsi="Arial"/>
          <w:sz w:val="16"/>
          <w:szCs w:val="16"/>
          <w:u w:val="single" w:color="auto"/>
          <w:color w:val="auto"/>
        </w:rPr>
        <w:t>Section 29.36</w:t>
      </w:r>
      <w:r>
        <w:rPr>
          <w:rFonts w:ascii="Arial" w:cs="Arial" w:eastAsia="Arial" w:hAnsi="Arial"/>
          <w:sz w:val="16"/>
          <w:szCs w:val="16"/>
          <w:color w:val="auto"/>
        </w:rPr>
        <w:t xml:space="preserve"> below, or other amenities at the Project. Notwithstanding the foregoing, for purposes of this Lease, Operating Expenses shall not, however, include:</w:t>
      </w:r>
    </w:p>
    <w:p>
      <w:pPr>
        <w:spacing w:after="0" w:line="171" w:lineRule="exact"/>
        <w:rPr>
          <w:rFonts w:ascii="Arial" w:cs="Arial" w:eastAsia="Arial" w:hAnsi="Arial"/>
          <w:sz w:val="16"/>
          <w:szCs w:val="16"/>
          <w:color w:val="auto"/>
        </w:rPr>
      </w:pPr>
    </w:p>
    <w:p>
      <w:pPr>
        <w:ind w:left="660" w:right="60" w:firstLine="1292"/>
        <w:spacing w:after="0" w:line="296" w:lineRule="auto"/>
        <w:tabs>
          <w:tab w:leader="none" w:pos="2601" w:val="left"/>
        </w:tabs>
        <w:numPr>
          <w:ilvl w:val="1"/>
          <w:numId w:val="554"/>
        </w:numPr>
        <w:rPr>
          <w:rFonts w:ascii="Arial" w:cs="Arial" w:eastAsia="Arial" w:hAnsi="Arial"/>
          <w:sz w:val="16"/>
          <w:szCs w:val="16"/>
          <w:color w:val="auto"/>
        </w:rPr>
      </w:pPr>
      <w:r>
        <w:rPr>
          <w:rFonts w:ascii="Arial" w:cs="Arial" w:eastAsia="Arial" w:hAnsi="Arial"/>
          <w:sz w:val="16"/>
          <w:szCs w:val="16"/>
          <w:color w:val="auto"/>
        </w:rPr>
        <w:t>costs, including marketing costs,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pacing w:after="0" w:line="161" w:lineRule="exact"/>
        <w:rPr>
          <w:rFonts w:ascii="Arial" w:cs="Arial" w:eastAsia="Arial" w:hAnsi="Arial"/>
          <w:sz w:val="16"/>
          <w:szCs w:val="16"/>
          <w:color w:val="auto"/>
        </w:rPr>
      </w:pPr>
    </w:p>
    <w:p>
      <w:pPr>
        <w:ind w:left="660" w:right="40" w:firstLine="1292"/>
        <w:spacing w:after="0" w:line="342" w:lineRule="auto"/>
        <w:tabs>
          <w:tab w:leader="none" w:pos="2611" w:val="left"/>
        </w:tabs>
        <w:numPr>
          <w:ilvl w:val="1"/>
          <w:numId w:val="554"/>
        </w:numPr>
        <w:rPr>
          <w:rFonts w:ascii="Arial" w:cs="Arial" w:eastAsia="Arial" w:hAnsi="Arial"/>
          <w:sz w:val="16"/>
          <w:szCs w:val="16"/>
          <w:color w:val="auto"/>
        </w:rPr>
      </w:pPr>
      <w:r>
        <w:rPr>
          <w:rFonts w:ascii="Arial" w:cs="Arial" w:eastAsia="Arial" w:hAnsi="Arial"/>
          <w:sz w:val="16"/>
          <w:szCs w:val="16"/>
          <w:color w:val="auto"/>
        </w:rPr>
        <w:t>except as set forth in items (xii), (xiii), and (xiv) above, depreciation, interest and principal payments on mortgages and other debt costs, if any, penalties and interest, costs of capital repairs and alterations, and costs of capital improvements and equipment;</w:t>
      </w:r>
    </w:p>
    <w:p>
      <w:pPr>
        <w:spacing w:after="0" w:line="123" w:lineRule="exact"/>
        <w:rPr>
          <w:rFonts w:ascii="Arial" w:cs="Arial" w:eastAsia="Arial" w:hAnsi="Arial"/>
          <w:sz w:val="16"/>
          <w:szCs w:val="16"/>
          <w:color w:val="auto"/>
        </w:rPr>
      </w:pPr>
    </w:p>
    <w:p>
      <w:pPr>
        <w:ind w:left="660" w:right="20" w:firstLine="1292"/>
        <w:spacing w:after="0" w:line="277" w:lineRule="auto"/>
        <w:tabs>
          <w:tab w:leader="none" w:pos="2615" w:val="left"/>
        </w:tabs>
        <w:numPr>
          <w:ilvl w:val="1"/>
          <w:numId w:val="554"/>
        </w:numPr>
        <w:rPr>
          <w:rFonts w:ascii="Arial" w:cs="Arial" w:eastAsia="Arial" w:hAnsi="Arial"/>
          <w:sz w:val="18"/>
          <w:szCs w:val="18"/>
          <w:color w:val="auto"/>
        </w:rPr>
      </w:pPr>
      <w:r>
        <w:rPr>
          <w:rFonts w:ascii="Arial" w:cs="Arial" w:eastAsia="Arial" w:hAnsi="Arial"/>
          <w:sz w:val="18"/>
          <w:szCs w:val="18"/>
          <w:color w:val="auto"/>
        </w:rPr>
        <w:t>costs for which the Landlord is reimbursed by any tenant or occupant of the Project or by insurance by its carrier or any tenant’s carrier or by anyone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42" w:name="page643"/>
    <w:bookmarkEnd w:id="642"/>
    <w:p>
      <w:pPr>
        <w:spacing w:after="0"/>
        <w:rPr>
          <w:sz w:val="20"/>
          <w:szCs w:val="20"/>
          <w:color w:val="auto"/>
        </w:rPr>
      </w:pPr>
      <w:r>
        <w:rPr>
          <w:rFonts w:ascii="Arial" w:cs="Arial" w:eastAsia="Arial" w:hAnsi="Arial"/>
          <w:sz w:val="18"/>
          <w:szCs w:val="18"/>
          <w:color w:val="auto"/>
        </w:rPr>
        <w:t>else, and electric power costs for which any tenant directly contracts with the local public service company;</w:t>
      </w:r>
    </w:p>
    <w:p>
      <w:pPr>
        <w:spacing w:after="0" w:line="225" w:lineRule="exact"/>
        <w:rPr>
          <w:sz w:val="20"/>
          <w:szCs w:val="20"/>
          <w:color w:val="auto"/>
        </w:rPr>
      </w:pPr>
    </w:p>
    <w:p>
      <w:pPr>
        <w:ind w:left="1940" w:hanging="648"/>
        <w:spacing w:after="0"/>
        <w:tabs>
          <w:tab w:leader="none" w:pos="194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225" w:lineRule="exact"/>
        <w:rPr>
          <w:rFonts w:ascii="Arial" w:cs="Arial" w:eastAsia="Arial" w:hAnsi="Arial"/>
          <w:sz w:val="18"/>
          <w:szCs w:val="18"/>
          <w:color w:val="auto"/>
        </w:rPr>
      </w:pPr>
    </w:p>
    <w:p>
      <w:pPr>
        <w:ind w:right="60" w:firstLine="1292"/>
        <w:spacing w:after="0" w:line="291" w:lineRule="auto"/>
        <w:tabs>
          <w:tab w:leader="none" w:pos="1955" w:val="left"/>
        </w:tabs>
        <w:numPr>
          <w:ilvl w:val="0"/>
          <w:numId w:val="555"/>
        </w:numPr>
        <w:rPr>
          <w:rFonts w:ascii="Arial" w:cs="Arial" w:eastAsia="Arial" w:hAnsi="Arial"/>
          <w:sz w:val="16"/>
          <w:szCs w:val="16"/>
          <w:color w:val="auto"/>
        </w:rPr>
      </w:pPr>
      <w:r>
        <w:rPr>
          <w:rFonts w:ascii="Arial" w:cs="Arial" w:eastAsia="Arial" w:hAnsi="Arial"/>
          <w:sz w:val="16"/>
          <w:szCs w:val="16"/>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and Landlord’s general corporate overhead and general and administrative expenses;</w:t>
      </w:r>
    </w:p>
    <w:p>
      <w:pPr>
        <w:spacing w:after="0" w:line="166" w:lineRule="exact"/>
        <w:rPr>
          <w:rFonts w:ascii="Arial" w:cs="Arial" w:eastAsia="Arial" w:hAnsi="Arial"/>
          <w:sz w:val="16"/>
          <w:szCs w:val="16"/>
          <w:color w:val="auto"/>
        </w:rPr>
      </w:pPr>
    </w:p>
    <w:p>
      <w:pPr>
        <w:ind w:firstLine="1292"/>
        <w:spacing w:after="0" w:line="301" w:lineRule="auto"/>
        <w:tabs>
          <w:tab w:leader="none" w:pos="1948"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the wages and benefits of any employee who does not devote substantially all of his or her employed time to the Project unless, and only to the extent that,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Building management personnel above the level of the on-site property manager or equivalent;</w:t>
      </w:r>
    </w:p>
    <w:p>
      <w:pPr>
        <w:spacing w:after="0" w:line="157" w:lineRule="exact"/>
        <w:rPr>
          <w:rFonts w:ascii="Arial" w:cs="Arial" w:eastAsia="Arial" w:hAnsi="Arial"/>
          <w:sz w:val="16"/>
          <w:szCs w:val="16"/>
          <w:color w:val="auto"/>
        </w:rPr>
      </w:pPr>
    </w:p>
    <w:p>
      <w:pPr>
        <w:ind w:left="1960" w:hanging="668"/>
        <w:spacing w:after="0"/>
        <w:tabs>
          <w:tab w:leader="none" w:pos="19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amount paid as ground rental for the Project by the Landlord;</w:t>
      </w:r>
    </w:p>
    <w:p>
      <w:pPr>
        <w:spacing w:after="0" w:line="225" w:lineRule="exact"/>
        <w:rPr>
          <w:rFonts w:ascii="Arial" w:cs="Arial" w:eastAsia="Arial" w:hAnsi="Arial"/>
          <w:sz w:val="18"/>
          <w:szCs w:val="18"/>
          <w:color w:val="auto"/>
        </w:rPr>
      </w:pPr>
    </w:p>
    <w:p>
      <w:pPr>
        <w:ind w:right="280" w:firstLine="1292"/>
        <w:spacing w:after="0" w:line="263" w:lineRule="auto"/>
        <w:tabs>
          <w:tab w:leader="none" w:pos="1951" w:val="left"/>
        </w:tabs>
        <w:numPr>
          <w:ilvl w:val="0"/>
          <w:numId w:val="555"/>
        </w:numPr>
        <w:rPr>
          <w:rFonts w:ascii="Arial" w:cs="Arial" w:eastAsia="Arial" w:hAnsi="Arial"/>
          <w:sz w:val="18"/>
          <w:szCs w:val="18"/>
          <w:color w:val="auto"/>
        </w:rPr>
      </w:pPr>
      <w:r>
        <w:rPr>
          <w:rFonts w:ascii="Arial" w:cs="Arial" w:eastAsia="Arial" w:hAnsi="Arial"/>
          <w:sz w:val="18"/>
          <w:szCs w:val="18"/>
          <w:color w:val="auto"/>
        </w:rPr>
        <w:t>except for a Project management fee to the extent allowed pursuant to item (l) below,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183" w:lineRule="exact"/>
        <w:rPr>
          <w:rFonts w:ascii="Arial" w:cs="Arial" w:eastAsia="Arial" w:hAnsi="Arial"/>
          <w:sz w:val="18"/>
          <w:szCs w:val="18"/>
          <w:color w:val="auto"/>
        </w:rPr>
      </w:pPr>
    </w:p>
    <w:p>
      <w:pPr>
        <w:ind w:right="380" w:firstLine="1292"/>
        <w:spacing w:after="0" w:line="277" w:lineRule="auto"/>
        <w:tabs>
          <w:tab w:leader="none" w:pos="196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70" w:lineRule="exact"/>
        <w:rPr>
          <w:rFonts w:ascii="Arial" w:cs="Arial" w:eastAsia="Arial" w:hAnsi="Arial"/>
          <w:sz w:val="18"/>
          <w:szCs w:val="18"/>
          <w:color w:val="auto"/>
        </w:rPr>
      </w:pPr>
    </w:p>
    <w:p>
      <w:pPr>
        <w:jc w:val="both"/>
        <w:ind w:right="80" w:firstLine="1292"/>
        <w:spacing w:after="0" w:line="259" w:lineRule="auto"/>
        <w:tabs>
          <w:tab w:leader="none" w:pos="195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spacing w:after="0" w:line="186" w:lineRule="exact"/>
        <w:rPr>
          <w:rFonts w:ascii="Arial" w:cs="Arial" w:eastAsia="Arial" w:hAnsi="Arial"/>
          <w:sz w:val="18"/>
          <w:szCs w:val="18"/>
          <w:color w:val="auto"/>
        </w:rPr>
      </w:pPr>
    </w:p>
    <w:p>
      <w:pPr>
        <w:ind w:right="500" w:firstLine="1292"/>
        <w:spacing w:after="0" w:line="277" w:lineRule="auto"/>
        <w:tabs>
          <w:tab w:leader="none" w:pos="1951" w:val="left"/>
        </w:tabs>
        <w:numPr>
          <w:ilvl w:val="0"/>
          <w:numId w:val="555"/>
        </w:numPr>
        <w:rPr>
          <w:rFonts w:ascii="Arial" w:cs="Arial" w:eastAsia="Arial" w:hAnsi="Arial"/>
          <w:sz w:val="18"/>
          <w:szCs w:val="18"/>
          <w:color w:val="auto"/>
        </w:rPr>
      </w:pPr>
      <w:r>
        <w:rPr>
          <w:rFonts w:ascii="Arial" w:cs="Arial" w:eastAsia="Arial" w:hAnsi="Arial"/>
          <w:sz w:val="18"/>
          <w:szCs w:val="18"/>
          <w:color w:val="auto"/>
        </w:rPr>
        <w:t>all items and services for which Tenant or any other tenant in the Project reimburses Landlord or which Landlord provides selectively to one or more tenants (other than Tenant) without reimbursement;</w:t>
      </w:r>
    </w:p>
    <w:p>
      <w:pPr>
        <w:spacing w:after="0" w:line="170" w:lineRule="exact"/>
        <w:rPr>
          <w:rFonts w:ascii="Arial" w:cs="Arial" w:eastAsia="Arial" w:hAnsi="Arial"/>
          <w:sz w:val="18"/>
          <w:szCs w:val="18"/>
          <w:color w:val="auto"/>
        </w:rPr>
      </w:pPr>
    </w:p>
    <w:p>
      <w:pPr>
        <w:ind w:left="1960" w:hanging="668"/>
        <w:spacing w:after="0"/>
        <w:tabs>
          <w:tab w:leader="none" w:pos="196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fees payable by Landlord for management of the Project in excess of three and one-half percent (3.5%) (the</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Fee Cap</w:t>
      </w:r>
      <w:r>
        <w:rPr>
          <w:rFonts w:ascii="Arial" w:cs="Arial" w:eastAsia="Arial" w:hAnsi="Arial"/>
          <w:sz w:val="18"/>
          <w:szCs w:val="18"/>
          <w:color w:val="auto"/>
        </w:rPr>
        <w:t>”) of Landlord’s gross rental revenues, adjusted and grossed up to reflect a one hundred percent (100%) occupancy of the Project with all tenants paying rent, including base rent, pass-throughs, and parking fees (but excluding the cost of after hours services or utilities) from the Project for any calendar year or portion thereof;</w:t>
      </w:r>
    </w:p>
    <w:p>
      <w:pPr>
        <w:spacing w:after="0" w:line="190" w:lineRule="exact"/>
        <w:rPr>
          <w:sz w:val="20"/>
          <w:szCs w:val="20"/>
          <w:color w:val="auto"/>
        </w:rPr>
      </w:pPr>
    </w:p>
    <w:p>
      <w:pPr>
        <w:ind w:left="1940" w:hanging="648"/>
        <w:spacing w:after="0"/>
        <w:tabs>
          <w:tab w:leader="none" w:pos="1940" w:val="left"/>
        </w:tabs>
        <w:numPr>
          <w:ilvl w:val="0"/>
          <w:numId w:val="556"/>
        </w:numPr>
        <w:rPr>
          <w:rFonts w:ascii="Arial" w:cs="Arial" w:eastAsia="Arial" w:hAnsi="Arial"/>
          <w:sz w:val="18"/>
          <w:szCs w:val="18"/>
          <w:color w:val="auto"/>
        </w:rPr>
      </w:pPr>
      <w:r>
        <w:rPr>
          <w:rFonts w:ascii="Arial" w:cs="Arial" w:eastAsia="Arial" w:hAnsi="Arial"/>
          <w:sz w:val="18"/>
          <w:szCs w:val="18"/>
          <w:color w:val="auto"/>
        </w:rPr>
        <w:t>any costs expressly excluded from Operating Expenses elsewhere in this Lease;</w:t>
      </w:r>
    </w:p>
    <w:p>
      <w:pPr>
        <w:spacing w:after="0" w:line="225" w:lineRule="exact"/>
        <w:rPr>
          <w:rFonts w:ascii="Arial" w:cs="Arial" w:eastAsia="Arial" w:hAnsi="Arial"/>
          <w:sz w:val="18"/>
          <w:szCs w:val="18"/>
          <w:color w:val="auto"/>
        </w:rPr>
      </w:pPr>
    </w:p>
    <w:p>
      <w:pPr>
        <w:jc w:val="both"/>
        <w:ind w:right="160" w:firstLine="1292"/>
        <w:spacing w:after="0" w:line="263" w:lineRule="auto"/>
        <w:tabs>
          <w:tab w:leader="none" w:pos="1951" w:val="left"/>
        </w:tabs>
        <w:numPr>
          <w:ilvl w:val="0"/>
          <w:numId w:val="556"/>
        </w:numPr>
        <w:rPr>
          <w:rFonts w:ascii="Arial" w:cs="Arial" w:eastAsia="Arial" w:hAnsi="Arial"/>
          <w:sz w:val="18"/>
          <w:szCs w:val="18"/>
          <w:color w:val="auto"/>
        </w:rPr>
      </w:pPr>
      <w:r>
        <w:rPr>
          <w:rFonts w:ascii="Arial" w:cs="Arial" w:eastAsia="Arial" w:hAnsi="Arial"/>
          <w:sz w:val="18"/>
          <w:szCs w:val="18"/>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192405</wp:posOffset>
            </wp:positionV>
            <wp:extent cx="7153275" cy="298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2" w:right="339" w:bottom="1440" w:gutter="0" w:footer="0" w:header="0"/>
        </w:sectPr>
      </w:pPr>
    </w:p>
    <w:bookmarkStart w:id="643" w:name="page644"/>
    <w:bookmarkEnd w:id="643"/>
    <w:p>
      <w:pPr>
        <w:ind w:left="660" w:right="160" w:firstLine="1292"/>
        <w:spacing w:after="0" w:line="277" w:lineRule="auto"/>
        <w:tabs>
          <w:tab w:leader="none" w:pos="2611" w:val="left"/>
        </w:tabs>
        <w:numPr>
          <w:ilvl w:val="0"/>
          <w:numId w:val="557"/>
        </w:numPr>
        <w:rPr>
          <w:rFonts w:ascii="Arial" w:cs="Arial" w:eastAsia="Arial" w:hAnsi="Arial"/>
          <w:sz w:val="18"/>
          <w:szCs w:val="18"/>
          <w:color w:val="auto"/>
        </w:rPr>
      </w:pPr>
      <w:r>
        <w:rPr>
          <w:rFonts w:ascii="Arial" w:cs="Arial" w:eastAsia="Arial" w:hAnsi="Arial"/>
          <w:sz w:val="18"/>
          <w:szCs w:val="18"/>
          <w:color w:val="auto"/>
        </w:rPr>
        <w:t>costs arising from the negligence or willful misconduct of Landlord or its agents, employees, vendors, contractors, or providers of materials or services;</w:t>
      </w:r>
    </w:p>
    <w:p>
      <w:pPr>
        <w:spacing w:after="0" w:line="170" w:lineRule="exact"/>
        <w:rPr>
          <w:rFonts w:ascii="Arial" w:cs="Arial" w:eastAsia="Arial" w:hAnsi="Arial"/>
          <w:sz w:val="18"/>
          <w:szCs w:val="18"/>
          <w:color w:val="auto"/>
        </w:rPr>
      </w:pPr>
    </w:p>
    <w:p>
      <w:pPr>
        <w:ind w:left="660" w:right="100" w:firstLine="1292"/>
        <w:spacing w:after="0" w:line="270" w:lineRule="auto"/>
        <w:tabs>
          <w:tab w:leader="none" w:pos="2611" w:val="left"/>
        </w:tabs>
        <w:numPr>
          <w:ilvl w:val="0"/>
          <w:numId w:val="557"/>
        </w:numPr>
        <w:rPr>
          <w:rFonts w:ascii="Arial" w:cs="Arial" w:eastAsia="Arial" w:hAnsi="Arial"/>
          <w:sz w:val="17"/>
          <w:szCs w:val="17"/>
          <w:color w:val="auto"/>
        </w:rPr>
      </w:pPr>
      <w:r>
        <w:rPr>
          <w:rFonts w:ascii="Arial" w:cs="Arial" w:eastAsia="Arial" w:hAnsi="Arial"/>
          <w:sz w:val="17"/>
          <w:szCs w:val="17"/>
          <w:color w:val="auto"/>
        </w:rPr>
        <w:t>costs incurred to comply with laws relating to the removal of hazardous material (as defined under applicable law) which was in existence in the Building or on the Project prior to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have then required the removal of such hazardous material or other remedial or containment action with respect thereto;</w:t>
      </w:r>
    </w:p>
    <w:p>
      <w:pPr>
        <w:spacing w:after="0" w:line="180" w:lineRule="exact"/>
        <w:rPr>
          <w:rFonts w:ascii="Arial" w:cs="Arial" w:eastAsia="Arial" w:hAnsi="Arial"/>
          <w:sz w:val="17"/>
          <w:szCs w:val="17"/>
          <w:color w:val="auto"/>
        </w:rPr>
      </w:pPr>
    </w:p>
    <w:p>
      <w:pPr>
        <w:ind w:left="2600" w:hanging="648"/>
        <w:spacing w:after="0"/>
        <w:tabs>
          <w:tab w:leader="none" w:pos="26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costs arising from Landlord’s charitable or political contributions;</w:t>
      </w:r>
    </w:p>
    <w:p>
      <w:pPr>
        <w:spacing w:after="0" w:line="225" w:lineRule="exact"/>
        <w:rPr>
          <w:rFonts w:ascii="Arial" w:cs="Arial" w:eastAsia="Arial" w:hAnsi="Arial"/>
          <w:sz w:val="18"/>
          <w:szCs w:val="18"/>
          <w:color w:val="auto"/>
        </w:rPr>
      </w:pPr>
    </w:p>
    <w:p>
      <w:pPr>
        <w:ind w:left="660" w:right="220" w:firstLine="1292"/>
        <w:spacing w:after="0" w:line="277" w:lineRule="auto"/>
        <w:tabs>
          <w:tab w:leader="none" w:pos="2622" w:val="left"/>
        </w:tabs>
        <w:numPr>
          <w:ilvl w:val="0"/>
          <w:numId w:val="557"/>
        </w:numPr>
        <w:rPr>
          <w:rFonts w:ascii="Arial" w:cs="Arial" w:eastAsia="Arial" w:hAnsi="Arial"/>
          <w:sz w:val="18"/>
          <w:szCs w:val="18"/>
          <w:color w:val="auto"/>
        </w:rPr>
      </w:pPr>
      <w:r>
        <w:rPr>
          <w:rFonts w:ascii="Arial" w:cs="Arial" w:eastAsia="Arial" w:hAnsi="Arial"/>
          <w:sz w:val="18"/>
          <w:szCs w:val="18"/>
          <w:color w:val="auto"/>
        </w:rPr>
        <w:t>any gifts provided to any entity whatsoever, including, but not limited to, Tenant, other tenants, employees, vendors, contractors, prospective tenants and agents; and</w:t>
      </w:r>
    </w:p>
    <w:p>
      <w:pPr>
        <w:spacing w:after="0" w:line="170" w:lineRule="exact"/>
        <w:rPr>
          <w:rFonts w:ascii="Arial" w:cs="Arial" w:eastAsia="Arial" w:hAnsi="Arial"/>
          <w:sz w:val="18"/>
          <w:szCs w:val="18"/>
          <w:color w:val="auto"/>
        </w:rPr>
      </w:pPr>
    </w:p>
    <w:p>
      <w:pPr>
        <w:ind w:left="2620" w:hanging="668"/>
        <w:spacing w:after="0"/>
        <w:tabs>
          <w:tab w:leader="none" w:pos="262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the cost of any magazine, newspaper, trade or other subscriptions.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ninety-five percent (95%) occupied during all or a portion of any Expense Year, Landlord shall make an appropriate adjustment to the components of Operating Expenses for such year to determine the amount of Operating Expenses that would have been incurred had the Project been ninety-five percent (95%) occupied; and the amount so determined shall be deemed to have been the amount of Operating Expenses for such year.</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944"/>
        <w:spacing w:after="0" w:line="273" w:lineRule="auto"/>
        <w:rPr>
          <w:sz w:val="20"/>
          <w:szCs w:val="20"/>
          <w:color w:val="auto"/>
        </w:rPr>
      </w:pPr>
      <w:r>
        <w:rPr>
          <w:rFonts w:ascii="Arial" w:cs="Arial" w:eastAsia="Arial" w:hAnsi="Arial"/>
          <w:sz w:val="17"/>
          <w:szCs w:val="17"/>
          <w:color w:val="auto"/>
        </w:rPr>
        <w:t>4.2.8.1 “</w:t>
      </w:r>
      <w:r>
        <w:rPr>
          <w:rFonts w:ascii="Arial" w:cs="Arial" w:eastAsia="Arial" w:hAnsi="Arial"/>
          <w:sz w:val="17"/>
          <w:szCs w:val="17"/>
          <w:b w:val="1"/>
          <w:bCs w:val="1"/>
          <w:color w:val="auto"/>
        </w:rPr>
        <w:t>Tax Expenses</w:t>
      </w:r>
      <w:r>
        <w:rPr>
          <w:rFonts w:ascii="Arial" w:cs="Arial" w:eastAsia="Arial" w:hAnsi="Arial"/>
          <w:sz w:val="17"/>
          <w:szCs w:val="17"/>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176" w:lineRule="exact"/>
        <w:rPr>
          <w:sz w:val="20"/>
          <w:szCs w:val="20"/>
          <w:color w:val="auto"/>
        </w:rPr>
      </w:pPr>
    </w:p>
    <w:p>
      <w:pPr>
        <w:ind w:firstLine="1944"/>
        <w:spacing w:after="0" w:line="286" w:lineRule="auto"/>
        <w:rPr>
          <w:sz w:val="20"/>
          <w:szCs w:val="20"/>
          <w:color w:val="auto"/>
        </w:rPr>
      </w:pPr>
      <w:r>
        <w:rPr>
          <w:rFonts w:ascii="Arial" w:cs="Arial" w:eastAsia="Arial" w:hAnsi="Arial"/>
          <w:sz w:val="16"/>
          <w:szCs w:val="16"/>
          <w:color w:val="auto"/>
        </w:rPr>
        <w:t>4.2.8.2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6"/>
          <w:szCs w:val="16"/>
          <w:b w:val="1"/>
          <w:bCs w:val="1"/>
          <w:color w:val="auto"/>
        </w:rPr>
        <w:t>Proposition</w:t>
      </w:r>
    </w:p>
    <w:p>
      <w:pPr>
        <w:spacing w:after="0" w:line="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color w:val="auto"/>
        </w:rPr>
        <w:t>”) and that assessments, taxes, fees, levies and charges may be imposed by governmental agencies for such services as fire protection, street, sidewalk</w:t>
      </w:r>
      <w:r>
        <w:rPr>
          <w:rFonts w:ascii="Arial" w:cs="Arial" w:eastAsia="Arial" w:hAnsi="Arial"/>
          <w:sz w:val="16"/>
          <w:szCs w:val="16"/>
          <w:b w:val="1"/>
          <w:bCs w:val="1"/>
          <w:color w:val="auto"/>
        </w:rPr>
        <w:t xml:space="preserve"> </w:t>
      </w:r>
      <w:r>
        <w:rPr>
          <w:rFonts w:ascii="Arial" w:cs="Arial" w:eastAsia="Arial" w:hAnsi="Arial"/>
          <w:sz w:val="16"/>
          <w:szCs w:val="16"/>
          <w:color w:val="auto"/>
        </w:rPr>
        <w:t>and road maintenance, refuse removal and for other governmental services formerly provided without charge to property owners or occupants, and, in further recognition of the decrease in the level and quality of governmental services and amenities as a result of Proposition 13,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153275" cy="298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644" w:name="page645"/>
    <w:bookmarkEnd w:id="644"/>
    <w:p>
      <w:pPr>
        <w:spacing w:after="0" w:line="254" w:lineRule="auto"/>
        <w:rPr>
          <w:sz w:val="20"/>
          <w:szCs w:val="20"/>
          <w:color w:val="auto"/>
        </w:rPr>
      </w:pPr>
      <w:r>
        <w:rPr>
          <w:rFonts w:ascii="Arial" w:cs="Arial" w:eastAsia="Arial" w:hAnsi="Arial"/>
          <w:sz w:val="18"/>
          <w:szCs w:val="18"/>
          <w:color w:val="auto"/>
        </w:rPr>
        <w:t>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(iv) Any assessment, tax, fee, levy or charge, upon this transaction or any document to which Tenant is a party, creating or transferring an interest or an estate in the Premises; and (v) All of the real estate taxes and assessments imposed upon or with respect to the Building and all of the real estate taxes and assessments imposed on or with respect to the land and other improvements of the Project.</w:t>
      </w:r>
    </w:p>
    <w:p>
      <w:pPr>
        <w:spacing w:after="0" w:line="192" w:lineRule="exact"/>
        <w:rPr>
          <w:sz w:val="20"/>
          <w:szCs w:val="20"/>
          <w:color w:val="auto"/>
        </w:rPr>
      </w:pPr>
    </w:p>
    <w:p>
      <w:pPr>
        <w:ind w:right="100" w:firstLine="1944"/>
        <w:spacing w:after="0" w:line="287" w:lineRule="auto"/>
        <w:rPr>
          <w:sz w:val="20"/>
          <w:szCs w:val="20"/>
          <w:color w:val="auto"/>
        </w:rPr>
      </w:pPr>
      <w:r>
        <w:rPr>
          <w:rFonts w:ascii="Arial" w:cs="Arial" w:eastAsia="Arial" w:hAnsi="Arial"/>
          <w:sz w:val="16"/>
          <w:szCs w:val="16"/>
          <w:color w:val="auto"/>
        </w:rPr>
        <w:t xml:space="preserve">4.2.8.3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included by Landlord as Building Tax Expenses pursuant to the terms of this Lease. Notwithstanding anything to the contrary contained in this </w:t>
      </w:r>
      <w:r>
        <w:rPr>
          <w:rFonts w:ascii="Arial" w:cs="Arial" w:eastAsia="Arial" w:hAnsi="Arial"/>
          <w:sz w:val="16"/>
          <w:szCs w:val="16"/>
          <w:u w:val="single" w:color="auto"/>
          <w:color w:val="auto"/>
        </w:rPr>
        <w:t>Section 4.2.8</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4.2.8.1</w:t>
      </w:r>
      <w:r>
        <w:rPr>
          <w:rFonts w:ascii="Arial" w:cs="Arial" w:eastAsia="Arial" w:hAnsi="Arial"/>
          <w:sz w:val="16"/>
          <w:szCs w:val="16"/>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and (iii) any items paid by Tenant under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this Lease.</w:t>
      </w:r>
    </w:p>
    <w:p>
      <w:pPr>
        <w:spacing w:after="0" w:line="168" w:lineRule="exact"/>
        <w:rPr>
          <w:sz w:val="20"/>
          <w:szCs w:val="20"/>
          <w:color w:val="auto"/>
        </w:rPr>
      </w:pPr>
    </w:p>
    <w:p>
      <w:pPr>
        <w:ind w:right="60" w:firstLine="1296"/>
        <w:spacing w:after="0" w:line="261" w:lineRule="auto"/>
        <w:rPr>
          <w:sz w:val="20"/>
          <w:szCs w:val="20"/>
          <w:color w:val="auto"/>
        </w:rPr>
      </w:pPr>
      <w:r>
        <w:rPr>
          <w:rFonts w:ascii="Arial" w:cs="Arial" w:eastAsia="Arial" w:hAnsi="Arial"/>
          <w:sz w:val="18"/>
          <w:szCs w:val="18"/>
          <w:color w:val="auto"/>
        </w:rPr>
        <w:t>4.2.9 “</w:t>
      </w:r>
      <w:r>
        <w:rPr>
          <w:rFonts w:ascii="Arial" w:cs="Arial" w:eastAsia="Arial" w:hAnsi="Arial"/>
          <w:sz w:val="18"/>
          <w:szCs w:val="18"/>
          <w:b w:val="1"/>
          <w:bCs w:val="1"/>
          <w:color w:val="auto"/>
        </w:rPr>
        <w:t>Tenant’s Share</w:t>
      </w:r>
      <w:r>
        <w:rPr>
          <w:rFonts w:ascii="Arial" w:cs="Arial" w:eastAsia="Arial" w:hAnsi="Arial"/>
          <w:sz w:val="18"/>
          <w:szCs w:val="18"/>
          <w:color w:val="auto"/>
        </w:rPr>
        <w:t xml:space="preserve">” shall mean the percentage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Summary. In the event that rentable square footage is either added to or removed from the Premises and/or the Building, Tenant’s Share shall be appropriately adjusted, and, as to the Expense Year in which such change occurs, Tenant’s Share for such Expense Year shall be determined on the basis of the number of days during such Expense Year that each such Tenant’s Share was in effect..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b w:val="1"/>
          <w:bCs w:val="1"/>
          <w:u w:val="single" w:color="auto"/>
          <w:color w:val="auto"/>
        </w:rPr>
        <w:t>Allocation of Direct Expenses</w:t>
      </w:r>
      <w:r>
        <w:rPr>
          <w:rFonts w:ascii="Arial" w:cs="Arial" w:eastAsia="Arial" w:hAnsi="Arial"/>
          <w:sz w:val="15"/>
          <w:szCs w:val="15"/>
          <w:color w:val="auto"/>
        </w:rPr>
        <w:t>.</w:t>
      </w:r>
    </w:p>
    <w:p>
      <w:pPr>
        <w:spacing w:after="0" w:line="225" w:lineRule="exact"/>
        <w:rPr>
          <w:sz w:val="20"/>
          <w:szCs w:val="20"/>
          <w:color w:val="auto"/>
        </w:rPr>
      </w:pPr>
    </w:p>
    <w:p>
      <w:pPr>
        <w:ind w:right="20" w:firstLine="1296"/>
        <w:spacing w:after="0" w:line="292"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b w:val="1"/>
          <w:bCs w:val="1"/>
          <w:u w:val="single" w:color="auto"/>
          <w:color w:val="auto"/>
        </w:rPr>
        <w:t>Method of Allocation</w:t>
      </w:r>
      <w:r>
        <w:rPr>
          <w:rFonts w:ascii="Arial" w:cs="Arial" w:eastAsia="Arial" w:hAnsi="Arial"/>
          <w:sz w:val="16"/>
          <w:szCs w:val="16"/>
          <w:color w:val="auto"/>
        </w:rPr>
        <w:t>. The parties acknowledge that the Building is a part of a multi-building project and that the costs and expenses incurred in connection with the Project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the Direct Expenses) should be shared between the tenants of the Building and the tenants of the other buildings in the Project. Accordingly,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Direct Expenses (which consists of Operating Expenses and Tax Expenses) are determined annually for the Project as a whole, and a portion of the Direct Expenses, which portion shall be determined by Landlord on an equitable basis, shall be allocated to the tenants of the Building (as opposed to the tenants of any other buildings in the Project) and such portion shall be the Building Direct Expenses for purposes of this Lease. Such portion of Direct Expenses allocated to the tenants of the Building shall include all Direct Expenses attributable solely to the Building and an equitable portion of the Direct Expenses attributable to the Project as a whole.</w:t>
      </w:r>
    </w:p>
    <w:p>
      <w:pPr>
        <w:spacing w:after="0" w:line="161" w:lineRule="exact"/>
        <w:rPr>
          <w:sz w:val="20"/>
          <w:szCs w:val="20"/>
          <w:color w:val="auto"/>
        </w:rPr>
      </w:pPr>
    </w:p>
    <w:p>
      <w:pPr>
        <w:ind w:right="40" w:firstLine="1296"/>
        <w:spacing w:after="0" w:line="303"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b w:val="1"/>
          <w:bCs w:val="1"/>
          <w:u w:val="single" w:color="auto"/>
          <w:color w:val="auto"/>
        </w:rPr>
        <w:t>Cost Pools</w:t>
      </w:r>
      <w:r>
        <w:rPr>
          <w:rFonts w:ascii="Arial" w:cs="Arial" w:eastAsia="Arial" w:hAnsi="Arial"/>
          <w:sz w:val="16"/>
          <w:szCs w:val="16"/>
          <w:color w:val="auto"/>
        </w:rPr>
        <w:t xml:space="preserve">. Landlord shall have the right, from time to time, to equitably allocate some or all of the Direct Expenses for the Project among different portions or occupants of the Project (the </w:t>
      </w:r>
      <w:r>
        <w:rPr>
          <w:rFonts w:ascii="Arial" w:cs="Arial" w:eastAsia="Arial" w:hAnsi="Arial"/>
          <w:sz w:val="16"/>
          <w:szCs w:val="16"/>
          <w:b w:val="1"/>
          <w:bCs w:val="1"/>
          <w:color w:val="auto"/>
        </w:rPr>
        <w:t>“Cost Pools”</w:t>
      </w:r>
      <w:r>
        <w:rPr>
          <w:rFonts w:ascii="Arial" w:cs="Arial" w:eastAsia="Arial" w:hAnsi="Arial"/>
          <w:sz w:val="16"/>
          <w:szCs w:val="16"/>
          <w:color w:val="auto"/>
        </w:rPr>
        <w:t>), in Landlord’s reasonable discretion. Such Cost Pools may include, but shall not be limited to, the office space tenants of a building of the Project or of the Project, and the retail space tenants of a building of the Project or of the Project. The Direct Expenses within each such Cost Pool shall be allocated and charged to the tenants within such Cost Pool in an equitable manner.</w:t>
      </w:r>
    </w:p>
    <w:p>
      <w:pPr>
        <w:spacing w:after="0" w:line="151"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Calculation and Payment of Additional Rent</w:t>
      </w:r>
      <w:r>
        <w:rPr>
          <w:rFonts w:ascii="Arial" w:cs="Arial" w:eastAsia="Arial" w:hAnsi="Arial"/>
          <w:sz w:val="18"/>
          <w:szCs w:val="18"/>
          <w:color w:val="auto"/>
        </w:rPr>
        <w:t xml:space="preserve">. Tenant shall pay to Landlord, in the manner set forth in </w:t>
      </w:r>
      <w:r>
        <w:rPr>
          <w:rFonts w:ascii="Arial" w:cs="Arial" w:eastAsia="Arial" w:hAnsi="Arial"/>
          <w:sz w:val="18"/>
          <w:szCs w:val="18"/>
          <w:u w:val="single" w:color="auto"/>
          <w:color w:val="auto"/>
        </w:rPr>
        <w:t>Section 4.4.1</w:t>
      </w:r>
      <w:r>
        <w:rPr>
          <w:rFonts w:ascii="Arial" w:cs="Arial" w:eastAsia="Arial" w:hAnsi="Arial"/>
          <w:sz w:val="18"/>
          <w:szCs w:val="18"/>
          <w:color w:val="auto"/>
        </w:rPr>
        <w:t xml:space="preserve"> below, and as Additional Rent, an amount equal to Tenant’s Share of Building Direct Expenses for each Expense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53275" cy="298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45" w:name="page646"/>
    <w:bookmarkEnd w:id="645"/>
    <w:p>
      <w:pPr>
        <w:ind w:right="20" w:firstLine="1296"/>
        <w:spacing w:after="0" w:line="285"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b w:val="1"/>
          <w:bCs w:val="1"/>
          <w:u w:val="single" w:color="auto"/>
          <w:color w:val="auto"/>
        </w:rPr>
        <w:t>Statement of Actual Building Direct Expenses and Payment by Tenant</w:t>
      </w:r>
      <w:r>
        <w:rPr>
          <w:rFonts w:ascii="Arial" w:cs="Arial" w:eastAsia="Arial" w:hAnsi="Arial"/>
          <w:sz w:val="16"/>
          <w:szCs w:val="16"/>
          <w:color w:val="auto"/>
        </w:rPr>
        <w:t>. Landlord shall endeavor to give to Tenant following the end of each Expense Year, a statement (the “</w:t>
      </w:r>
      <w:r>
        <w:rPr>
          <w:rFonts w:ascii="Arial" w:cs="Arial" w:eastAsia="Arial" w:hAnsi="Arial"/>
          <w:sz w:val="16"/>
          <w:szCs w:val="16"/>
          <w:b w:val="1"/>
          <w:bCs w:val="1"/>
          <w:color w:val="auto"/>
        </w:rPr>
        <w:t>Statement</w:t>
      </w:r>
      <w:r>
        <w:rPr>
          <w:rFonts w:ascii="Arial" w:cs="Arial" w:eastAsia="Arial" w:hAnsi="Arial"/>
          <w:sz w:val="16"/>
          <w:szCs w:val="16"/>
          <w:color w:val="auto"/>
        </w:rPr>
        <w:t xml:space="preserve">”) which shall state the Building Direct Expenses incurred or accrued for such preceding Expense Year, and which shall indicate the amount of Tenant’s Share of Building Direct Expenses. Upon receipt of the Statement for each Expense Year commencing or ending during the Lease Term, Tenant shall pay, with its next installment of Base Rent due, the full amount of Tenant’s Share of Building Direct Expenses for such Expense Year, less the amounts, if any, paid during such Expense Year as “Estimated Building Direct Expenses,” as that term is defined in </w:t>
      </w:r>
      <w:r>
        <w:rPr>
          <w:rFonts w:ascii="Arial" w:cs="Arial" w:eastAsia="Arial" w:hAnsi="Arial"/>
          <w:sz w:val="16"/>
          <w:szCs w:val="16"/>
          <w:u w:val="single" w:color="auto"/>
          <w:color w:val="auto"/>
        </w:rPr>
        <w:t>Section 4.4.2</w:t>
      </w:r>
      <w:r>
        <w:rPr>
          <w:rFonts w:ascii="Arial" w:cs="Arial" w:eastAsia="Arial" w:hAnsi="Arial"/>
          <w:sz w:val="16"/>
          <w:szCs w:val="16"/>
          <w:color w:val="auto"/>
        </w:rPr>
        <w:t xml:space="preserve"> below, and if Tenant paid more as Estimated Building Direct Expenses than the actual Tenant’s Share of Building Direct Expenses (an </w:t>
      </w:r>
      <w:r>
        <w:rPr>
          <w:rFonts w:ascii="Arial" w:cs="Arial" w:eastAsia="Arial" w:hAnsi="Arial"/>
          <w:sz w:val="16"/>
          <w:szCs w:val="16"/>
          <w:b w:val="1"/>
          <w:bCs w:val="1"/>
          <w:color w:val="auto"/>
        </w:rPr>
        <w:t>“Excess”</w:t>
      </w:r>
      <w:r>
        <w:rPr>
          <w:rFonts w:ascii="Arial" w:cs="Arial" w:eastAsia="Arial" w:hAnsi="Arial"/>
          <w:sz w:val="16"/>
          <w:szCs w:val="16"/>
          <w:color w:val="auto"/>
        </w:rPr>
        <w:t xml:space="preserve">), Tenant shall receive a credit in the amount of such Excess against Rent next due under this Lease. The failure of Landlord to timely furnish the Statement for any Expense Year shall not prejudice Landlord or Tenant from enforcing its rights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Even though the Lease Term has expired and Tenant has vacated the Premises, when the final determination is made of Tenant’s Share of Building Direct Expenses for the Expense Year in which this Lease terminates, if Tenant’s Share of Building Direct Expenses is greater than the amount of Estimated Building Direct Expenses previously paid by Tenant to landlord, then Tenant shall, within thirty (30) days after receipt of the Statement, pay to Landlord such amount, and if Tenant paid more as Estimated Building Direct Expenses than the actual Building Direct Expenses (again, an Excess), Landlord shall, within thirty (30) days, deliver a check payable to Tenant in the amount of such Excess. The provisions of this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shall survive the expiration or earlier termination of the Lease Term. Notwithstanding anything to the contrary contained in this Lease, Tenant shall not be responsible for Tenant’s Share of Building Direct Expenses attributable to any Expense Year which are first billed to Tenant more than two (2) calendar years after the expiration of such Expense Year, provided that in any event Tenant shall be responsible for Tenant’s Share of Building Direct Expenses levied by any governmental authority or by any public utility companies at any time following the expiration of such Expense Year which are attributable to any such Expense Year (provided that Landlord delivers to Tenant any such bill for such amounts within two (2) calendar years following Landlord’s receipt of the bill therefor), and provided that Tenant’s liability for Tenant’s Share of Building Direct Expenses levied by any governmental authority or by any public utility companies more than two (2) years after such Expense Year shall not exceed $30,000.00.</w:t>
      </w:r>
    </w:p>
    <w:p>
      <w:pPr>
        <w:spacing w:after="0" w:line="38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b w:val="1"/>
          <w:bCs w:val="1"/>
          <w:u w:val="single" w:color="auto"/>
          <w:color w:val="auto"/>
        </w:rPr>
        <w:t>Statement of Estimated Building Direct Expenses</w:t>
      </w:r>
      <w:r>
        <w:rPr>
          <w:rFonts w:ascii="Arial" w:cs="Arial" w:eastAsia="Arial" w:hAnsi="Arial"/>
          <w:sz w:val="17"/>
          <w:szCs w:val="17"/>
          <w:color w:val="auto"/>
        </w:rPr>
        <w:t xml:space="preserve">. In addition, Landlord shall endeavor to give Tenant a yearly expense estimate statement (the </w:t>
      </w:r>
      <w:r>
        <w:rPr>
          <w:rFonts w:ascii="Arial" w:cs="Arial" w:eastAsia="Arial" w:hAnsi="Arial"/>
          <w:sz w:val="17"/>
          <w:szCs w:val="17"/>
          <w:b w:val="1"/>
          <w:bCs w:val="1"/>
          <w:color w:val="auto"/>
        </w:rPr>
        <w:t>“Estimate Statement”)</w:t>
      </w:r>
      <w:r>
        <w:rPr>
          <w:rFonts w:ascii="Arial" w:cs="Arial" w:eastAsia="Arial" w:hAnsi="Arial"/>
          <w:sz w:val="17"/>
          <w:szCs w:val="17"/>
          <w:color w:val="auto"/>
        </w:rPr>
        <w:t xml:space="preserve"> which shall set forth Landlord’s reasonable estimate (the </w:t>
      </w:r>
      <w:r>
        <w:rPr>
          <w:rFonts w:ascii="Arial" w:cs="Arial" w:eastAsia="Arial" w:hAnsi="Arial"/>
          <w:sz w:val="17"/>
          <w:szCs w:val="17"/>
          <w:b w:val="1"/>
          <w:bCs w:val="1"/>
          <w:color w:val="auto"/>
        </w:rPr>
        <w:t>“Estimate”)</w:t>
      </w:r>
      <w:r>
        <w:rPr>
          <w:rFonts w:ascii="Arial" w:cs="Arial" w:eastAsia="Arial" w:hAnsi="Arial"/>
          <w:sz w:val="17"/>
          <w:szCs w:val="17"/>
          <w:color w:val="auto"/>
        </w:rPr>
        <w:t xml:space="preserve"> of what the total amount of Building Direct Expenses for the then-current Expense Year shall be and the estimated amount of Tenant’s Share of Building Direct Expenses (the </w:t>
      </w:r>
      <w:r>
        <w:rPr>
          <w:rFonts w:ascii="Arial" w:cs="Arial" w:eastAsia="Arial" w:hAnsi="Arial"/>
          <w:sz w:val="17"/>
          <w:szCs w:val="17"/>
          <w:b w:val="1"/>
          <w:bCs w:val="1"/>
          <w:color w:val="auto"/>
        </w:rPr>
        <w:t>“Estimated</w:t>
      </w:r>
      <w:r>
        <w:rPr>
          <w:rFonts w:ascii="Arial" w:cs="Arial" w:eastAsia="Arial" w:hAnsi="Arial"/>
          <w:sz w:val="17"/>
          <w:szCs w:val="17"/>
          <w:color w:val="auto"/>
        </w:rPr>
        <w:t xml:space="preserve"> </w:t>
      </w:r>
      <w:r>
        <w:rPr>
          <w:rFonts w:ascii="Arial" w:cs="Arial" w:eastAsia="Arial" w:hAnsi="Arial"/>
          <w:sz w:val="17"/>
          <w:szCs w:val="17"/>
          <w:b w:val="1"/>
          <w:bCs w:val="1"/>
          <w:color w:val="auto"/>
        </w:rPr>
        <w:t>Building Direct Expenses”</w:t>
      </w:r>
      <w:r>
        <w:rPr>
          <w:rFonts w:ascii="Arial" w:cs="Arial" w:eastAsia="Arial" w:hAnsi="Arial"/>
          <w:sz w:val="17"/>
          <w:szCs w:val="17"/>
          <w:color w:val="auto"/>
        </w:rPr>
        <w:t>). The failure of Landlord to timely furnish the Estimate Statement for any Expense Year shall not preclude Landlord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enforcing its rights to collect any Estimated Building Direct Expenses under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nor shall Landlord be prohibited from revising any Estimate Statement or Estimated Building Direct Expenses theretofore delivered to the extent necessary. Thereafter, Tenant shall pay, with its next installment of Base Rent due, a fraction of the Estimated Building Direct Expenses for the then-current Expense Year (reduced by any amounts paid pursuant to the last sentence of this </w:t>
      </w:r>
      <w:r>
        <w:rPr>
          <w:rFonts w:ascii="Arial" w:cs="Arial" w:eastAsia="Arial" w:hAnsi="Arial"/>
          <w:sz w:val="17"/>
          <w:szCs w:val="17"/>
          <w:u w:val="single" w:color="auto"/>
          <w:color w:val="auto"/>
        </w:rPr>
        <w:t>Section 4.4.2</w:t>
      </w:r>
      <w:r>
        <w:rPr>
          <w:rFonts w:ascii="Arial" w:cs="Arial" w:eastAsia="Arial" w:hAnsi="Arial"/>
          <w:sz w:val="17"/>
          <w:szCs w:val="17"/>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Building Direct Expenses set forth in the previous Estimate Statement delivered by Landlord to Tenant.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u w:val="single" w:color="auto"/>
          <w:color w:val="auto"/>
        </w:rPr>
        <w:t>Taxes and Other Charges for Which Tenant Is Directly Responsible</w:t>
      </w:r>
      <w:r>
        <w:rPr>
          <w:rFonts w:ascii="Arial" w:cs="Arial" w:eastAsia="Arial" w:hAnsi="Arial"/>
          <w:sz w:val="16"/>
          <w:szCs w:val="16"/>
          <w:color w:val="auto"/>
        </w:rPr>
        <w:t>.</w:t>
      </w:r>
    </w:p>
    <w:p>
      <w:pPr>
        <w:spacing w:after="0" w:line="229" w:lineRule="exact"/>
        <w:rPr>
          <w:sz w:val="20"/>
          <w:szCs w:val="20"/>
          <w:color w:val="auto"/>
        </w:rPr>
      </w:pPr>
    </w:p>
    <w:p>
      <w:pPr>
        <w:ind w:right="80" w:firstLine="1296"/>
        <w:spacing w:after="0" w:line="255" w:lineRule="auto"/>
        <w:rPr>
          <w:sz w:val="20"/>
          <w:szCs w:val="20"/>
          <w:color w:val="auto"/>
        </w:rPr>
      </w:pPr>
      <w:r>
        <w:rPr>
          <w:rFonts w:ascii="Arial" w:cs="Arial" w:eastAsia="Arial" w:hAnsi="Arial"/>
          <w:sz w:val="18"/>
          <w:szCs w:val="18"/>
          <w:color w:val="auto"/>
        </w:rPr>
        <w:t>4.5.1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53275" cy="298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46" w:name="page647"/>
    <w:bookmarkEnd w:id="646"/>
    <w:p>
      <w:pPr>
        <w:ind w:right="220"/>
        <w:spacing w:after="0" w:line="277" w:lineRule="auto"/>
        <w:rPr>
          <w:sz w:val="20"/>
          <w:szCs w:val="20"/>
          <w:color w:val="auto"/>
        </w:rPr>
      </w:pPr>
      <w:r>
        <w:rPr>
          <w:rFonts w:ascii="Arial" w:cs="Arial" w:eastAsia="Arial" w:hAnsi="Arial"/>
          <w:sz w:val="18"/>
          <w:szCs w:val="18"/>
          <w:color w:val="auto"/>
        </w:rPr>
        <w:t>demand repay to Landlord the taxes so levied against Landlord or the proportion of such taxes resulting from such increase in the assessment, as the case may be.</w:t>
      </w:r>
    </w:p>
    <w:p>
      <w:pPr>
        <w:spacing w:after="0" w:line="170"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4.5.2 If the tenant improvements in the Premises, whether installed and/or paid for by Landlord or Tenant and whether or not affixed to the real property so as to become a part thereof, are assessed for real property tax purposes at a valuation higher than the valuation at which tenant improvements conforming to Landlord’s </w:t>
      </w:r>
      <w:r>
        <w:rPr>
          <w:rFonts w:ascii="Arial" w:cs="Arial" w:eastAsia="Arial" w:hAnsi="Arial"/>
          <w:sz w:val="18"/>
          <w:szCs w:val="18"/>
          <w:b w:val="1"/>
          <w:bCs w:val="1"/>
          <w:color w:val="auto"/>
        </w:rPr>
        <w:t>“building standard”</w:t>
      </w:r>
      <w:r>
        <w:rPr>
          <w:rFonts w:ascii="Arial" w:cs="Arial" w:eastAsia="Arial" w:hAnsi="Arial"/>
          <w:sz w:val="18"/>
          <w:szCs w:val="18"/>
          <w:color w:val="auto"/>
        </w:rPr>
        <w:t xml:space="preserve">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Arial" w:cs="Arial" w:eastAsia="Arial" w:hAnsi="Arial"/>
          <w:sz w:val="18"/>
          <w:szCs w:val="18"/>
          <w:u w:val="single" w:color="auto"/>
          <w:color w:val="auto"/>
        </w:rPr>
        <w:t>Section 4.5.1</w:t>
      </w:r>
      <w:r>
        <w:rPr>
          <w:rFonts w:ascii="Arial" w:cs="Arial" w:eastAsia="Arial" w:hAnsi="Arial"/>
          <w:sz w:val="18"/>
          <w:szCs w:val="18"/>
          <w:color w:val="auto"/>
        </w:rPr>
        <w:t>, above.</w:t>
      </w:r>
    </w:p>
    <w:p>
      <w:pPr>
        <w:spacing w:after="0" w:line="188"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4.5.3 Notwithstanding any contrary provision herein, Tenant shall pay prior to delinquency any (i) rent tax or sales tax, service tax, transfer tax or value added tax, or any other applicable tax on the rent or services herein or otherwise respecting this Lease, (ii) taxes assessed upon or with respect to the possession, leasing, operation, management, maintenance, alteration, repair, use or occupancy by Tenant of the Premises or any portion of the Project, including the Project parking facility; or (iii) taxes assessed upon this transaction or any document to which Tenant is a party creating or transferring an interest or an estate in the Premises.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USE OF PREMISES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Permitted Use</w:t>
      </w:r>
      <w:r>
        <w:rPr>
          <w:rFonts w:ascii="Arial" w:cs="Arial" w:eastAsia="Arial" w:hAnsi="Arial"/>
          <w:sz w:val="18"/>
          <w:szCs w:val="18"/>
          <w:color w:val="auto"/>
        </w:rPr>
        <w:t xml:space="preserve">. Tenant shall use the Premises solely for the Permitted Use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 Subject to the terms of this Lease and Rules and Regulations and such security measures that Landlord may reasonably deem necessary or desirable for the safety and security of the Project, the Building or the Premises, Tenant shall have access to the Building and the Premises twenty-four (24) hours per day, seven (7) days per week, subject to full or partial closures which may be required from time to time for construction, maintenance, repairs, actual or threatened emergency or other events or circumstances which make it reasonably necessary to temporarily restrict or limit access.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Prohibited Uses</w:t>
      </w:r>
      <w:r>
        <w:rPr>
          <w:rFonts w:ascii="Arial" w:cs="Arial" w:eastAsia="Arial" w:hAnsi="Arial"/>
          <w:sz w:val="17"/>
          <w:szCs w:val="17"/>
          <w:color w:val="auto"/>
        </w:rPr>
        <w:t xml:space="preserve">. Tenant further covenants and agrees that Tenant shall not use, or suffer or permit any person or persons to use, the Premises or any part thereof for any use or purpose contrary to the provisions of the Rules and Regulations set forth in </w:t>
      </w:r>
      <w:r>
        <w:rPr>
          <w:rFonts w:ascii="Arial" w:cs="Arial" w:eastAsia="Arial" w:hAnsi="Arial"/>
          <w:sz w:val="17"/>
          <w:szCs w:val="17"/>
          <w:b w:val="1"/>
          <w:bCs w:val="1"/>
          <w:u w:val="single" w:color="auto"/>
          <w:color w:val="auto"/>
        </w:rPr>
        <w:t>Exhibit D</w:t>
      </w:r>
      <w:r>
        <w:rPr>
          <w:rFonts w:ascii="Arial" w:cs="Arial" w:eastAsia="Arial" w:hAnsi="Arial"/>
          <w:sz w:val="17"/>
          <w:szCs w:val="17"/>
          <w:b w:val="1"/>
          <w:bCs w:val="1"/>
          <w:color w:val="auto"/>
        </w:rPr>
        <w:t>,</w:t>
      </w:r>
      <w:r>
        <w:rPr>
          <w:rFonts w:ascii="Arial" w:cs="Arial" w:eastAsia="Arial" w:hAnsi="Arial"/>
          <w:sz w:val="17"/>
          <w:szCs w:val="17"/>
          <w:color w:val="auto"/>
        </w:rPr>
        <w:t xml:space="preserve">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Tenant shall not allow occupancy density of use of the Premises which is greater than the average density of the other tenants of the Project. Tenant shall not do or permit anything to be done in or about the Premises which will in any way damage the reputation of the Project or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SERVICES AND UTILITIES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u w:val="single" w:color="auto"/>
          <w:color w:val="auto"/>
        </w:rPr>
        <w:t>Standard Tenant Services</w:t>
      </w:r>
      <w:r>
        <w:rPr>
          <w:rFonts w:ascii="Arial" w:cs="Arial" w:eastAsia="Arial" w:hAnsi="Arial"/>
          <w:sz w:val="16"/>
          <w:szCs w:val="16"/>
          <w:color w:val="auto"/>
        </w:rPr>
        <w:t>. Landlord shall provide the following services on all days (unless otherwise stated below) during the 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211"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color w:val="auto"/>
        </w:rPr>
        <w:t>6.1.1 Subject to limitations imposed by all governmental rules, regulations and guidelines applicable thereto, Landlord shall provide heating and air conditioning (“</w:t>
      </w:r>
      <w:r>
        <w:rPr>
          <w:rFonts w:ascii="Arial" w:cs="Arial" w:eastAsia="Arial" w:hAnsi="Arial"/>
          <w:sz w:val="18"/>
          <w:szCs w:val="18"/>
          <w:b w:val="1"/>
          <w:bCs w:val="1"/>
          <w:color w:val="auto"/>
        </w:rPr>
        <w:t>HVAC</w:t>
      </w:r>
      <w:r>
        <w:rPr>
          <w:rFonts w:ascii="Arial" w:cs="Arial" w:eastAsia="Arial" w:hAnsi="Arial"/>
          <w:sz w:val="18"/>
          <w:szCs w:val="18"/>
          <w:color w:val="auto"/>
        </w:rPr>
        <w:t>”) when necessary for normal comfort for normal office use in the Premises, as determined by Landlord, from 8:00 A.M. to 6:00 P.M. Monday through Friday (collectively, the “</w:t>
      </w:r>
      <w:r>
        <w:rPr>
          <w:rFonts w:ascii="Arial" w:cs="Arial" w:eastAsia="Arial" w:hAnsi="Arial"/>
          <w:sz w:val="18"/>
          <w:szCs w:val="18"/>
          <w:b w:val="1"/>
          <w:bCs w:val="1"/>
          <w:color w:val="auto"/>
        </w:rPr>
        <w:t>Building Hours</w:t>
      </w:r>
      <w:r>
        <w:rPr>
          <w:rFonts w:ascii="Arial" w:cs="Arial" w:eastAsia="Arial" w:hAnsi="Arial"/>
          <w:sz w:val="18"/>
          <w:szCs w:val="18"/>
          <w:color w:val="auto"/>
        </w:rPr>
        <w:t>”), except for the dates of observation of New Year’s Day, Independence Day, Labor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47" w:name="page648"/>
    <w:bookmarkEnd w:id="647"/>
    <w:p>
      <w:pPr>
        <w:ind w:right="360"/>
        <w:spacing w:after="0" w:line="277" w:lineRule="auto"/>
        <w:rPr>
          <w:sz w:val="20"/>
          <w:szCs w:val="20"/>
          <w:color w:val="auto"/>
        </w:rPr>
      </w:pPr>
      <w:r>
        <w:rPr>
          <w:rFonts w:ascii="Arial" w:cs="Arial" w:eastAsia="Arial" w:hAnsi="Arial"/>
          <w:sz w:val="18"/>
          <w:szCs w:val="18"/>
          <w:color w:val="auto"/>
        </w:rPr>
        <w:t xml:space="preserve">Memorial Day, Thanksgiving Day, Christmas Day and, at Landlord’s discretion, other locally or nationally recognized holidays which are observed by other Comparable Buildings (collectively, the </w:t>
      </w:r>
      <w:r>
        <w:rPr>
          <w:rFonts w:ascii="Arial" w:cs="Arial" w:eastAsia="Arial" w:hAnsi="Arial"/>
          <w:sz w:val="18"/>
          <w:szCs w:val="18"/>
          <w:b w:val="1"/>
          <w:bCs w:val="1"/>
          <w:color w:val="auto"/>
        </w:rPr>
        <w:t>“Holidays</w:t>
      </w:r>
      <w:r>
        <w:rPr>
          <w:rFonts w:ascii="Arial" w:cs="Arial" w:eastAsia="Arial" w:hAnsi="Arial"/>
          <w:sz w:val="18"/>
          <w:szCs w:val="18"/>
          <w:color w:val="auto"/>
        </w:rPr>
        <w:t>”).</w:t>
      </w:r>
    </w:p>
    <w:p>
      <w:pPr>
        <w:spacing w:after="0" w:line="170" w:lineRule="exact"/>
        <w:rPr>
          <w:sz w:val="20"/>
          <w:szCs w:val="20"/>
          <w:color w:val="auto"/>
        </w:rPr>
      </w:pPr>
    </w:p>
    <w:p>
      <w:pPr>
        <w:ind w:right="120" w:firstLine="1296"/>
        <w:spacing w:after="0" w:line="286" w:lineRule="auto"/>
        <w:rPr>
          <w:sz w:val="20"/>
          <w:szCs w:val="20"/>
          <w:color w:val="auto"/>
        </w:rPr>
      </w:pPr>
      <w:r>
        <w:rPr>
          <w:rFonts w:ascii="Arial" w:cs="Arial" w:eastAsia="Arial" w:hAnsi="Arial"/>
          <w:sz w:val="17"/>
          <w:szCs w:val="17"/>
          <w:color w:val="auto"/>
        </w:rPr>
        <w:t>6.1.2 Landlord shall provide adequate electrical wiring and facilities for connection to Tenant’s lighting fixtures and incidental use equipment that are, as reasonably determined by Landlord, customarily furnished in Comparable Buildings for the Permitted Use of the Premises. Tenant shall bear the cost of replacement of lamps, starters and ballasts for non-Building standard lighting fixtures within the Premises.</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Landlord shall provide city water from the regular Building outlets for drinking, lavatory and toilet purposes in the Building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Areas.</w:t>
      </w:r>
    </w:p>
    <w:p>
      <w:pPr>
        <w:spacing w:after="0" w:line="211" w:lineRule="exact"/>
        <w:rPr>
          <w:sz w:val="20"/>
          <w:szCs w:val="20"/>
          <w:color w:val="auto"/>
        </w:rPr>
      </w:pPr>
    </w:p>
    <w:p>
      <w:pPr>
        <w:ind w:right="200" w:firstLine="1296"/>
        <w:spacing w:after="0" w:line="308" w:lineRule="auto"/>
        <w:rPr>
          <w:sz w:val="20"/>
          <w:szCs w:val="20"/>
          <w:color w:val="auto"/>
        </w:rPr>
      </w:pPr>
      <w:r>
        <w:rPr>
          <w:rFonts w:ascii="Arial" w:cs="Arial" w:eastAsia="Arial" w:hAnsi="Arial"/>
          <w:sz w:val="17"/>
          <w:szCs w:val="17"/>
          <w:color w:val="auto"/>
        </w:rPr>
        <w:t>6.1.4 Landlord shall provide janitorial services to the Premises, except for weekends and the date of observation of the Holidays, in and about the Premises and window washing services in a manner consistent with other comparable buildings in the vicinity of the Building.</w:t>
      </w:r>
    </w:p>
    <w:p>
      <w:pPr>
        <w:spacing w:after="0" w:line="146"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6.1.5 Landlord shall provide nonexclusive, non-attended automatic passenger elevator service during the Building Hours, shall have one elevator available at all other times, including on the Holidays, and shall provide nonexclusive, non-attended automatic passenger escalator service during Building Hours only.</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color w:val="auto"/>
        </w:rPr>
        <w:t>Landlord shall provide nonexclusive freight elevator service subject to scheduling by Landlord.</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Tenant shall cooperate fully with Landlord at all times and abide by all regulations and requirements that Landlord may reasonably prescribe for the proper functioning and protection of the HVAC, electrical, mechanical and plumbing systems. Tenant acknowledges that, pursuant to California Public Resources Code Section 25402.10 and the regulations adopted pursuant thereto (collectively, together with any future law or regulation regarding disclosure of energy efficiency data with respect to the Project, “</w:t>
      </w:r>
      <w:r>
        <w:rPr>
          <w:rFonts w:ascii="Arial" w:cs="Arial" w:eastAsia="Arial" w:hAnsi="Arial"/>
          <w:sz w:val="16"/>
          <w:szCs w:val="16"/>
          <w:b w:val="1"/>
          <w:bCs w:val="1"/>
          <w:color w:val="auto"/>
        </w:rPr>
        <w:t>Energy Disclosure Requirements</w:t>
      </w:r>
      <w:r>
        <w:rPr>
          <w:rFonts w:ascii="Arial" w:cs="Arial" w:eastAsia="Arial" w:hAnsi="Arial"/>
          <w:sz w:val="16"/>
          <w:szCs w:val="16"/>
          <w:color w:val="auto"/>
        </w:rPr>
        <w:t>”), Landlord may be required in the future to disclose information concerning Tenant’s energy usage to certain third parties, including, without limitation, prospective purchasers, lenders and tenants of the Building (“</w:t>
      </w:r>
      <w:r>
        <w:rPr>
          <w:rFonts w:ascii="Arial" w:cs="Arial" w:eastAsia="Arial" w:hAnsi="Arial"/>
          <w:sz w:val="16"/>
          <w:szCs w:val="16"/>
          <w:b w:val="1"/>
          <w:bCs w:val="1"/>
          <w:color w:val="auto"/>
        </w:rPr>
        <w:t>Tenant Energy Use Disclosure</w:t>
      </w:r>
      <w:r>
        <w:rPr>
          <w:rFonts w:ascii="Arial" w:cs="Arial" w:eastAsia="Arial" w:hAnsi="Arial"/>
          <w:sz w:val="16"/>
          <w:szCs w:val="16"/>
          <w:color w:val="auto"/>
        </w:rPr>
        <w:t>”). Tenant shall cooperate with Landlord with respect to any Tenant Energy Use Disclosure. Without limiting the generality of the foregoing, Tenant shall, within ten (I 0) days following request from Landlord, disclose to Landlord all information requested by Landlord in connection with such Tenant Energy Use Disclosure, including, but not limited to, the amount of power or other utilities consumed within the Premises for which the meters for such utilities are in Tenant’s name, the number of employees working within the Premises, the operating hours for Tenant’s business in the Premises, and the type and number of equipment operated by Tenant in the Premises. Tenant acknowledges that this information shall be provided on a non-confidential basis and may be provided by Landlord to the applicable utility providers, the California Energy Commission (and other governmental entities having jurisdiction with respect to the Energy Disclosure Requirements), and any third parties to whom Landlord is legally required to make any Tenant Energy Use Disclosure. Tenant hereby (A) consents to all such Tenant Energy Use Disclosures, and (B) acknowledges that Landlord shall not be required to notify Tenant of any Tenant Energy Use Disclosure. Tenant agrees that none of the “Landlord Parties,” as that term is defined in Section 10.1, below, shall be liable for, and Tenant hereby releases the Landlord Parties from, any and all loss, cost, damage, expense and liability relating to, arising out of and/or resulting from any Tenant Energy Use Disclosure. In addition, Tenant represents to Landlord that any and all information provided by Tenant to Landlord pursuant to this paragraph shall be, to the best of Tenant’s knowledge, true and correct in all material respects, Tenant acknowledges that Landlord shall rely on such information, and Tenant shall indemnify, defend and hold harmless the Landlord Parties from and against all claims, demands, liabilities, damages, losses, costs and expenses, including, without limitation, reasonable attorneys’ fees, incurred in connection with or arising from any breach of the foregoing representation and/or Tenant’s failure to timely provide any information requested by Landlord pursuant to this paragraph. The terms of this paragraph shall survive the expiration or earlier termination of this Lease.</w:t>
      </w:r>
    </w:p>
    <w:p>
      <w:pPr>
        <w:spacing w:after="0" w:line="176" w:lineRule="exact"/>
        <w:rPr>
          <w:sz w:val="20"/>
          <w:szCs w:val="20"/>
          <w:color w:val="auto"/>
        </w:rPr>
      </w:pPr>
    </w:p>
    <w:p>
      <w:pPr>
        <w:ind w:right="220" w:firstLine="648"/>
        <w:spacing w:after="0" w:line="31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Overstandard Tenant Use</w:t>
      </w:r>
      <w:r>
        <w:rPr>
          <w:rFonts w:ascii="Arial" w:cs="Arial" w:eastAsia="Arial" w:hAnsi="Arial"/>
          <w:sz w:val="17"/>
          <w:szCs w:val="17"/>
          <w:color w:val="auto"/>
        </w:rPr>
        <w:t>. Tenant shall not, without Landlord’s prior written consent, use heat-generating machines, machines other than normal fractional horsepower office machines, or equipment or lighting other than Building standard lights in the Premises,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153275" cy="298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648" w:name="page649"/>
    <w:bookmarkEnd w:id="648"/>
    <w:p>
      <w:pPr>
        <w:spacing w:after="0" w:line="268" w:lineRule="auto"/>
        <w:rPr>
          <w:sz w:val="20"/>
          <w:szCs w:val="20"/>
          <w:color w:val="auto"/>
        </w:rPr>
      </w:pPr>
      <w:r>
        <w:rPr>
          <w:rFonts w:ascii="Arial" w:cs="Arial" w:eastAsia="Arial" w:hAnsi="Arial"/>
          <w:sz w:val="17"/>
          <w:szCs w:val="17"/>
          <w:color w:val="auto"/>
        </w:rPr>
        <w:t xml:space="preserve">may affect the temperature otherwise maintained by the air conditioning system or increase the water normally furnished for the Premises by Landlord pursuant to the terms of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this Lease. If Tenant uses water, heat or air conditioning in excess of that supplied by Landlord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this Lease, or if Tenant uses electricity in excess of that customarily used by other tenants of the Building or Project, as reasonably determined by Landlord, then Tenant shall pay to Landlord, upon billing, the actual cost of such excess consumption, the cost of the installation, operation, and maintenance of equipment which is installed in order to supply such excess consumption, and the cost of the increased wear and tear on existing equipment caused by such excess consumption; and Landlord may install devices to separately meter any increased use and in such event Tenant shall pay the increased cost directly to Landlord, on demand, at the rates charged by the public utility company furnishing the same, including the cost of installing, testing and maintaining of such additional metering devices. Tenant’s use of electricity shall never exceed the capacity of the feeders to the Project or the risers or wiring installation, and subject to the terms of </w:t>
      </w:r>
      <w:r>
        <w:rPr>
          <w:rFonts w:ascii="Arial" w:cs="Arial" w:eastAsia="Arial" w:hAnsi="Arial"/>
          <w:sz w:val="17"/>
          <w:szCs w:val="17"/>
          <w:u w:val="single" w:color="auto"/>
          <w:color w:val="auto"/>
        </w:rPr>
        <w:t>Section 29.32</w:t>
      </w:r>
      <w:r>
        <w:rPr>
          <w:rFonts w:ascii="Arial" w:cs="Arial" w:eastAsia="Arial" w:hAnsi="Arial"/>
          <w:sz w:val="17"/>
          <w:szCs w:val="17"/>
          <w:color w:val="auto"/>
        </w:rPr>
        <w:t xml:space="preserve"> below, Tenant shall not install or use or permit the installation or use of any computer or electronic data processing equipment in the Premises, without the prior written consent of Landlord. If Tenant desires to use heat, ventilation or air conditioning during hours other than those for which Landlord is obligated to supply such utilities pursuant to the terms of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this Lease, Tenant shall give Landlord such prior notice, if any, as Landlord shall from time to time establish as appropriate, of Tenant’s desired use in order to supply such utilities, and Landlord shall supply such utilities to Tenant at such hourly cost to Tenant (which shall be treated as Additional Rent) as Landlord shall from time to time establish.</w:t>
      </w:r>
    </w:p>
    <w:p>
      <w:pPr>
        <w:spacing w:after="0" w:line="18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Interruption of Use</w:t>
      </w:r>
      <w:r>
        <w:rPr>
          <w:rFonts w:ascii="Arial" w:cs="Arial" w:eastAsia="Arial" w:hAnsi="Arial"/>
          <w:sz w:val="16"/>
          <w:szCs w:val="16"/>
          <w:color w:val="auto"/>
        </w:rPr>
        <w:t xml:space="preserve">. Tenant agrees that Landlord shall not be liable for damages (other than damages to property or bodily injury to the extent caused by the gross negligence or willful misconduct of Landlord), by abatement of Rent (except at set forth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below)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Landlord agrees to make reasonable efforts, consistent with those taken by landlords owning and/or managing Comparable Buildings, to avoid or mitigate any interruption, delay or diminution of any service referred to in this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1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u w:val="single" w:color="auto"/>
          <w:color w:val="auto"/>
        </w:rPr>
        <w:t>Rent Abatement</w:t>
      </w:r>
      <w:r>
        <w:rPr>
          <w:rFonts w:ascii="Arial" w:cs="Arial" w:eastAsia="Arial" w:hAnsi="Arial"/>
          <w:sz w:val="17"/>
          <w:szCs w:val="17"/>
          <w:color w:val="auto"/>
        </w:rPr>
        <w:t>. If Landlord fails to perform the obligations required of Landlord under the terms of this Lease and such failure causes all or a portion of the Premises to be untenantable and unusable by Tenant and such failure relates to the nonfunctioning of the heat, ventilation, and air conditioning system in the Premises, the electricity in the Premises, the nonfunctioning of the elevator service to the Premises, or a failure to provide access to the Premises, Tenant shall give Landlord notice (the “</w:t>
      </w:r>
      <w:r>
        <w:rPr>
          <w:rFonts w:ascii="Arial" w:cs="Arial" w:eastAsia="Arial" w:hAnsi="Arial"/>
          <w:sz w:val="17"/>
          <w:szCs w:val="17"/>
          <w:b w:val="1"/>
          <w:bCs w:val="1"/>
          <w:color w:val="auto"/>
        </w:rPr>
        <w:t>Initial Notice</w:t>
      </w:r>
      <w:r>
        <w:rPr>
          <w:rFonts w:ascii="Arial" w:cs="Arial" w:eastAsia="Arial" w:hAnsi="Arial"/>
          <w:sz w:val="17"/>
          <w:szCs w:val="17"/>
          <w:color w:val="auto"/>
        </w:rPr>
        <w:t>”), specifying such failure to perform by Landlord (the “</w:t>
      </w:r>
      <w:r>
        <w:rPr>
          <w:rFonts w:ascii="Arial" w:cs="Arial" w:eastAsia="Arial" w:hAnsi="Arial"/>
          <w:sz w:val="17"/>
          <w:szCs w:val="17"/>
          <w:b w:val="1"/>
          <w:bCs w:val="1"/>
          <w:color w:val="auto"/>
        </w:rPr>
        <w:t>Landlord Default</w:t>
      </w:r>
      <w:r>
        <w:rPr>
          <w:rFonts w:ascii="Arial" w:cs="Arial" w:eastAsia="Arial" w:hAnsi="Arial"/>
          <w:sz w:val="17"/>
          <w:szCs w:val="17"/>
          <w:color w:val="auto"/>
        </w:rPr>
        <w:t>”). If Landlord has not cured such Landlord Default within five (5) business days after the receipt of the Initial Notice (the “</w:t>
      </w:r>
      <w:r>
        <w:rPr>
          <w:rFonts w:ascii="Arial" w:cs="Arial" w:eastAsia="Arial" w:hAnsi="Arial"/>
          <w:sz w:val="17"/>
          <w:szCs w:val="17"/>
          <w:b w:val="1"/>
          <w:bCs w:val="1"/>
          <w:color w:val="auto"/>
        </w:rPr>
        <w:t>Eligibility Period</w:t>
      </w:r>
      <w:r>
        <w:rPr>
          <w:rFonts w:ascii="Arial" w:cs="Arial" w:eastAsia="Arial" w:hAnsi="Arial"/>
          <w:sz w:val="17"/>
          <w:szCs w:val="17"/>
          <w:color w:val="auto"/>
        </w:rPr>
        <w:t>”), Tenant may deliver an additional notice to Landlord (the “</w:t>
      </w:r>
      <w:r>
        <w:rPr>
          <w:rFonts w:ascii="Arial" w:cs="Arial" w:eastAsia="Arial" w:hAnsi="Arial"/>
          <w:sz w:val="17"/>
          <w:szCs w:val="17"/>
          <w:b w:val="1"/>
          <w:bCs w:val="1"/>
          <w:color w:val="auto"/>
        </w:rPr>
        <w:t>Additional Notice</w:t>
      </w:r>
      <w:r>
        <w:rPr>
          <w:rFonts w:ascii="Arial" w:cs="Arial" w:eastAsia="Arial" w:hAnsi="Arial"/>
          <w:sz w:val="17"/>
          <w:szCs w:val="17"/>
          <w:color w:val="auto"/>
        </w:rPr>
        <w:t xml:space="preserve">”), specifying such Landlord Default and Tenant’s intention to abate the payment of Rent under this Lease. If Landlord does not cure such Landlord Default within five (5) business days of receipt of the Additional Notice, Tenant may, upon written notice to Landlord, immediately abate Rent payable under this Lease for that portion of the Premises rendered untenantable and not used by Tenant, for the period beginning on the date five (5) business days after the Initial Notice to the earlier of the date Landlord cures such Landlord Default or the date Tenant recommences the use of such portion of the Premises. Such right to abate Rent shall be Tenant’s sole and exclusive remedy at law or in equity for a Landlord Default. Except as provided in this </w:t>
      </w:r>
      <w:r>
        <w:rPr>
          <w:rFonts w:ascii="Arial" w:cs="Arial" w:eastAsia="Arial" w:hAnsi="Arial"/>
          <w:sz w:val="17"/>
          <w:szCs w:val="17"/>
          <w:u w:val="single" w:color="auto"/>
          <w:color w:val="auto"/>
        </w:rPr>
        <w:t>Section 6.4</w:t>
      </w:r>
      <w:r>
        <w:rPr>
          <w:rFonts w:ascii="Arial" w:cs="Arial" w:eastAsia="Arial" w:hAnsi="Arial"/>
          <w:sz w:val="17"/>
          <w:szCs w:val="17"/>
          <w:color w:val="auto"/>
        </w:rPr>
        <w:t>, nothing contained herein shall be interpreted to mean that Tenant is excused from paying Rent due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153275" cy="298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REPAIRS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Tenant shall, at Tenant’s own expense, keep the Premises, including all improvements, fixtures and furnishings therein, and the floor or floors of the Building on which the Premises are located, in good order, repair and condition at all times during the Lease Term. In addition, Tenant shall, at Tenant’s own expense, but under the supervision and subject to the prior approval of Landlord, and within any reasonable period of time specified by Landlord, promptly and adequately repair all damage to the Premises and replace or repair all damaged, broken, or worn fixtures and appurtenances, except for damage caused by ordinary wear and tear or beyond the reasonable control of Tenant; provided however, that, at Landlord’s option, or if Tenant fails to make such repairs, Landlord may, but need not, make such repairs and replacements, and Tenant shall pay Landlord the reasonable cost thereof, including a percentage of the cost thereof (to be uniformly established for the Building and/or the Project) sufficient to reimburse Landlord for all overhead, general conditions, fees and other costs or expenses arising from Landlord’s involvement with such repairs and replacements forthwith upon being billed for same. Notwithstanding the foregoing, Landlord shall be responsible for repairs to the exterior walls, foundation and roof of the Building, the structural portions of the floors of the Building, and the systems and equipment of the Building, except to the extent that such repairs are required due to the negligence or willful misconduct of Tenant; provided, however, that if such repairs are due to the negligence or willful misconduct of Tenant, Landlord shall nevertheless make such repairs at Tenant’s expense, or, if covered by Landlord’s insurance, Tenant shall only be obligated to pay any deductible in connection therewith. Landlord may, but shall not be required to, enter the Premises at all reasonable times and upon reasonable notice (if possible)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ADDITIONS AND ALTERATIONS</w:t>
      </w:r>
    </w:p>
    <w:p>
      <w:pPr>
        <w:spacing w:after="0" w:line="225"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Landlord’s Consent to Alterations</w:t>
      </w:r>
      <w:r>
        <w:rPr>
          <w:rFonts w:ascii="Arial" w:cs="Arial" w:eastAsia="Arial" w:hAnsi="Arial"/>
          <w:sz w:val="16"/>
          <w:szCs w:val="16"/>
          <w:color w:val="auto"/>
        </w:rPr>
        <w:t xml:space="preserve">. Tenant may not make any improvements, alterations, additions or changes to the Premises or any mechanical, plumbing or HVAC facilities or systems pertaining to the Premises (collectively, the </w:t>
      </w:r>
      <w:r>
        <w:rPr>
          <w:rFonts w:ascii="Arial" w:cs="Arial" w:eastAsia="Arial" w:hAnsi="Arial"/>
          <w:sz w:val="16"/>
          <w:szCs w:val="16"/>
          <w:b w:val="1"/>
          <w:bCs w:val="1"/>
          <w:color w:val="auto"/>
        </w:rPr>
        <w:t>“Alterations</w:t>
      </w:r>
      <w:r>
        <w:rPr>
          <w:rFonts w:ascii="Arial" w:cs="Arial" w:eastAsia="Arial" w:hAnsi="Arial"/>
          <w:sz w:val="16"/>
          <w:szCs w:val="16"/>
          <w:color w:val="auto"/>
        </w:rPr>
        <w:t>”) without first procuring the prior written consent of Landlord to such Alterations, which consent shall be requested by Tenant not less than thirty (30)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w:t>
      </w:r>
    </w:p>
    <w:p>
      <w:pPr>
        <w:sectPr>
          <w:pgSz w:w="11900" w:h="16838" w:orient="portrait"/>
          <w:cols w:equalWidth="0" w:num="1">
            <w:col w:w="11220"/>
          </w:cols>
          <w:pgMar w:left="320" w:top="342" w:right="359" w:bottom="0" w:gutter="0" w:footer="0" w:header="0"/>
        </w:sectPr>
      </w:pPr>
    </w:p>
    <w:bookmarkStart w:id="649" w:name="page650"/>
    <w:bookmarkEnd w:id="649"/>
    <w:p>
      <w:pPr>
        <w:ind w:right="160"/>
        <w:spacing w:after="0" w:line="308" w:lineRule="auto"/>
        <w:rPr>
          <w:sz w:val="20"/>
          <w:szCs w:val="20"/>
          <w:color w:val="auto"/>
        </w:rPr>
      </w:pPr>
      <w:r>
        <w:rPr>
          <w:rFonts w:ascii="Arial" w:cs="Arial" w:eastAsia="Arial" w:hAnsi="Arial"/>
          <w:sz w:val="17"/>
          <w:szCs w:val="17"/>
          <w:color w:val="auto"/>
        </w:rPr>
        <w:t xml:space="preserve">Notwithstanding the foregoing, Tenant shall be permitted to make Alterations following ten (10) business days notice to Landlord, but without Landlord’s prior consent, to the extent that such Alterations are decorative only </w:t>
      </w:r>
      <w:r>
        <w:rPr>
          <w:rFonts w:ascii="Arial" w:cs="Arial" w:eastAsia="Arial" w:hAnsi="Arial"/>
          <w:sz w:val="17"/>
          <w:szCs w:val="17"/>
          <w:i w:val="1"/>
          <w:iCs w:val="1"/>
          <w:color w:val="auto"/>
        </w:rPr>
        <w:t>(i.e.,</w:t>
      </w:r>
      <w:r>
        <w:rPr>
          <w:rFonts w:ascii="Arial" w:cs="Arial" w:eastAsia="Arial" w:hAnsi="Arial"/>
          <w:sz w:val="17"/>
          <w:szCs w:val="17"/>
          <w:color w:val="auto"/>
        </w:rPr>
        <w:t xml:space="preserve"> installation of carpeting or painting of the Premises).</w:t>
      </w:r>
    </w:p>
    <w:p>
      <w:pPr>
        <w:spacing w:after="0" w:line="14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Manner of Construction</w:t>
      </w:r>
      <w:r>
        <w:rPr>
          <w:rFonts w:ascii="Arial" w:cs="Arial" w:eastAsia="Arial" w:hAnsi="Arial"/>
          <w:sz w:val="17"/>
          <w:szCs w:val="17"/>
          <w:color w:val="auto"/>
        </w:rPr>
        <w:t>. Landlord may impose, as a condition of its consent to any and all Alterations or repairs of the Premises or about the Premises, such requirements as Landlord in its reasonable discretion may deem desirable, including, but not limited to, the requirement that Tenant utilize for such purposes only contractors, subcontractors, materials, mechanics and materialmen selected by Tenant from a list provided and approved by Landlord, the requirement that upon Landlord’s request,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of Sunnyvale, all in conformance with Landlord’s construction rules and regulations; provided, however, that prior to commencing to construct any Alteration, Tenant shall meet with Landlord to discuss Landlord’s design parameters and code compliance issues. In the event Tenant performs any Alterations in the Premises which require or give rise to governmentally required changes to the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53275" cy="298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0" w:name="page651"/>
    <w:bookmarkEnd w:id="650"/>
    <w:p>
      <w:pPr>
        <w:ind w:right="40"/>
        <w:spacing w:after="0" w:line="286" w:lineRule="auto"/>
        <w:rPr>
          <w:sz w:val="20"/>
          <w:szCs w:val="20"/>
          <w:color w:val="auto"/>
        </w:rPr>
      </w:pPr>
      <w:r>
        <w:rPr>
          <w:rFonts w:ascii="Arial" w:cs="Arial" w:eastAsia="Arial" w:hAnsi="Arial"/>
          <w:sz w:val="16"/>
          <w:szCs w:val="16"/>
          <w:color w:val="auto"/>
        </w:rPr>
        <w:t xml:space="preserve">Building,” as that term is defined below, then Landlord shall, at Tenant’s expense, make such changes to the Base Building. The </w:t>
      </w:r>
      <w:r>
        <w:rPr>
          <w:rFonts w:ascii="Arial" w:cs="Arial" w:eastAsia="Arial" w:hAnsi="Arial"/>
          <w:sz w:val="16"/>
          <w:szCs w:val="16"/>
          <w:b w:val="1"/>
          <w:bCs w:val="1"/>
          <w:color w:val="auto"/>
        </w:rPr>
        <w:t>“Base Building</w:t>
      </w:r>
      <w:r>
        <w:rPr>
          <w:rFonts w:ascii="Arial" w:cs="Arial" w:eastAsia="Arial" w:hAnsi="Arial"/>
          <w:sz w:val="16"/>
          <w:szCs w:val="16"/>
          <w:color w:val="auto"/>
        </w:rPr>
        <w:t xml:space="preserve">” shall include the structural portions of the Building, and the public restrooms, elevators, exit stairwells and the systems and equipment located in the internal core of the Building on the floor or floors on which the Premises are located. In performing the work of any such Alterations, Tenant shall have the work performed in such manner so as not to obstruct access to the Project or any portion thereof, by any other tenant of the Project, and so as not to obstruct the business of Landlord or other tenants in the Project.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In addition to Tenant’s obligations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Lease, upon completion of any Alterations, Tenant agrees to cause a Notice of Completion to be recorded in the office of the Recorder of the County of Santa Clara in accordance with Section 3093 of the California Civil Code or any successor statute and furnish a copy thereof to Landlord upon recordation, and timely give all notices required pursuant to Section 3259.5 of the California Civil Code or any successor statute (failing which, Landlord may itself execute and file such Notice of Completion and give such notices on behalf of Tenant as Tenant’s agent for such purpose), and Tenant shall deliver to the Project construction manager (A) a reproducible print copy, and (B) an electronic CAD file, of the “as built” drawings of the Alterations as well as all permits, approvals and other documents issued by any governmental agency in connection with the Alterations. Based upon such “as built” drawings and other documents provided by Tenant, Landlord shall, at Tenant’s expense, update Landlord’s “as-built” master plans for the floor(s) on which the Premises are located, if any, including updated vellums and electronic CAD files, all of which may be modified by Landlord from time-to-time, and the current versions of which shall be made available to Tenant upon Tenant’s request.</w:t>
      </w:r>
    </w:p>
    <w:p>
      <w:pPr>
        <w:spacing w:after="0" w:line="16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Payment for Improvements</w:t>
      </w:r>
      <w:r>
        <w:rPr>
          <w:rFonts w:ascii="Arial" w:cs="Arial" w:eastAsia="Arial" w:hAnsi="Arial"/>
          <w:sz w:val="16"/>
          <w:szCs w:val="16"/>
          <w:color w:val="auto"/>
        </w:rPr>
        <w:t xml:space="preserve">. If payment is made directly to contractors, Tenant shall (i) comply with Landlord’s requirements for final lien releases and waivers in connection with Tenant’s payment for work to contractors, and (ii) sign Landlord’s standard contractor’s rules and regulations. If Tenant orders any work directly from Landlord, Tenant shall pay to Landlord, in cash prior to the commencement of construction by Landlord, all costs of such work, including an amount equal to five percent (5%) of the cost of such work to compensate Landlord for all overhead, general conditions, fees and other costs and expenses arising from Landlord’s involvement with such work (collectively, the </w:t>
      </w:r>
      <w:r>
        <w:rPr>
          <w:rFonts w:ascii="Arial" w:cs="Arial" w:eastAsia="Arial" w:hAnsi="Arial"/>
          <w:sz w:val="16"/>
          <w:szCs w:val="16"/>
          <w:b w:val="1"/>
          <w:bCs w:val="1"/>
          <w:color w:val="auto"/>
        </w:rPr>
        <w:t>“Alteration Costs”</w:t>
      </w:r>
      <w:r>
        <w:rPr>
          <w:rFonts w:ascii="Arial" w:cs="Arial" w:eastAsia="Arial" w:hAnsi="Arial"/>
          <w:sz w:val="16"/>
          <w:szCs w:val="16"/>
          <w:color w:val="auto"/>
        </w:rPr>
        <w:t>); provided, however, to the extent that Landlord provides Tenant with a monetary allowance in connection with such work, Tenant shall only be required to pay to Landlord the amount by which the Alteration Costs exceed such allowance. If Tenant does not order any work directly from Landlord, Tenant shall reimburse Landlord for Landlord’s reasonable, actual, out-of-pocket costs and expenses actually incurred in connection with Landlord’s review of such work.</w:t>
      </w:r>
    </w:p>
    <w:p>
      <w:pPr>
        <w:spacing w:after="0" w:line="15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color w:val="auto"/>
        </w:rPr>
        <w:t>Construction Insurance</w:t>
      </w:r>
      <w:r>
        <w:rPr>
          <w:rFonts w:ascii="Arial" w:cs="Arial" w:eastAsia="Arial" w:hAnsi="Arial"/>
          <w:sz w:val="16"/>
          <w:szCs w:val="16"/>
          <w:color w:val="auto"/>
        </w:rPr>
        <w:t xml:space="preserve">. In addition to the requirements of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Lease, in the event that Tenant makes any Alterations, prior to the commencement of such Alterations, Tenant shall provide Landlord with evidence that Tenant carries “Builder’s All Risk” insurance in an amount approved by Landlord (which shall in no event be less than the amount actually carried by Tenant) covering the construction of such Alterations, and such other insurance as Landlord may reasonably require, it being understood and agreed that all of such Alterations shall be insured by Tenant pursuant to Article IO of this Lease immediately upon completion thereof. In addition, Tenant shall obtain and deliver to Landlord certificates of insurance and applicable endorsements from all Third Party Contractors (defined below) at least seven (7) business days prior to the commencement of work in or about the Premises by any vendor or any other third-party contractor (each, a “</w:t>
      </w:r>
      <w:r>
        <w:rPr>
          <w:rFonts w:ascii="Arial" w:cs="Arial" w:eastAsia="Arial" w:hAnsi="Arial"/>
          <w:sz w:val="16"/>
          <w:szCs w:val="16"/>
          <w:b w:val="1"/>
          <w:bCs w:val="1"/>
          <w:color w:val="auto"/>
        </w:rPr>
        <w:t>Third Party Contractor</w:t>
      </w:r>
      <w:r>
        <w:rPr>
          <w:rFonts w:ascii="Arial" w:cs="Arial" w:eastAsia="Arial" w:hAnsi="Arial"/>
          <w:sz w:val="16"/>
          <w:szCs w:val="16"/>
          <w:color w:val="auto"/>
        </w:rPr>
        <w:t xml:space="preserve">”). All such insurance shall (a) name Landlord, and any other party that Landlord so specifies, as an additional insured under such party’s liability policies (including, without limitation, with respect to premises operations and product-completed operations coverages) as required by </w:t>
      </w:r>
      <w:r>
        <w:rPr>
          <w:rFonts w:ascii="Arial" w:cs="Arial" w:eastAsia="Arial" w:hAnsi="Arial"/>
          <w:sz w:val="16"/>
          <w:szCs w:val="16"/>
          <w:u w:val="single" w:color="auto"/>
          <w:color w:val="auto"/>
        </w:rPr>
        <w:t>Section 10.3.1</w:t>
      </w:r>
      <w:r>
        <w:rPr>
          <w:rFonts w:ascii="Arial" w:cs="Arial" w:eastAsia="Arial" w:hAnsi="Arial"/>
          <w:sz w:val="16"/>
          <w:szCs w:val="16"/>
          <w:color w:val="auto"/>
        </w:rPr>
        <w:t xml:space="preserve"> below and this </w:t>
      </w:r>
      <w:r>
        <w:rPr>
          <w:rFonts w:ascii="Arial" w:cs="Arial" w:eastAsia="Arial" w:hAnsi="Arial"/>
          <w:sz w:val="16"/>
          <w:szCs w:val="16"/>
          <w:u w:val="single" w:color="auto"/>
          <w:color w:val="auto"/>
        </w:rPr>
        <w:t>Section 8.4</w:t>
      </w:r>
      <w:r>
        <w:rPr>
          <w:rFonts w:ascii="Arial" w:cs="Arial" w:eastAsia="Arial" w:hAnsi="Arial"/>
          <w:sz w:val="16"/>
          <w:szCs w:val="16"/>
          <w:color w:val="auto"/>
        </w:rPr>
        <w:t>, (b) provide a waiver of subrogation in favor of Landlord under each such Third Party Contractor’s commercial general liability insurance, (c) be primary and any insurance carried by Landlord shall be excess and non-contributing, and (d) comply with Landlord’s minimum insurance requirements, with coverage amounts as reasonably required by Landlord, which shall in no event be less than the amount actually carried by any such Third Party Contractor. In addition, Landlord may, in its discretion, require Tenant to obtain a lien and completion bond or some alternate form of security satisfactory to Landlord in an amount sufficient to ensure the lien-free completion of such Alterations and naming Landlord as a co-obligee.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153275" cy="298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51" w:name="page652"/>
    <w:bookmarkEnd w:id="651"/>
    <w:p>
      <w:pPr>
        <w:ind w:firstLine="648"/>
        <w:spacing w:after="0" w:line="26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u w:val="single" w:color="auto"/>
          <w:color w:val="auto"/>
        </w:rPr>
        <w:t>Landlord’s Property</w:t>
      </w:r>
      <w:r>
        <w:rPr>
          <w:rFonts w:ascii="Arial" w:cs="Arial" w:eastAsia="Arial" w:hAnsi="Arial"/>
          <w:sz w:val="17"/>
          <w:szCs w:val="17"/>
          <w:color w:val="auto"/>
        </w:rPr>
        <w:t>. All Alterations, improvements, fixtures, equipment and/or appurtenances which may be installed or placed in or about the Premises, from time to time, shall be at the sole cost of Tenant and shall be and become the property of Landlord, except that Tenant may remove any Alterations, improvements, fixtures and/or equipment which Tenant can substantiate to Landlord have not been paid for with any Tenant improvement allowance funds provided to Tenant by Landlord, provided Tenant repairs any damage to the Premises and Building caused by such removal and returns the affected portion of the Premises to a building standard tenant improved condition as determined by Landlord. Furthermore, Landlord may, by written notice to Tenant either prior to or following the end of the Lease Term, or given following any earlier termination of this Lease, require Tenant, at Tenant’s expense, to remove any Alterations or improvements and to repair any damage to the Premises and Building caused by such removal and return the affected portion of the Premises to a building standard tenant improved condition as determined by Landlord. If Tenant fails to complete such removal and/or to repair any damage caused by the removal of any Alterations or improvements in the Premises and return the affected portion of the Premises to a building standard tenant improved condition as reasonably determined by Landlord,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17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u w:val="single" w:color="auto"/>
          <w:color w:val="auto"/>
        </w:rPr>
        <w:t>Tenant Improvement Allowance</w:t>
      </w:r>
      <w:r>
        <w:rPr>
          <w:rFonts w:ascii="Arial" w:cs="Arial" w:eastAsia="Arial" w:hAnsi="Arial"/>
          <w:sz w:val="16"/>
          <w:szCs w:val="16"/>
          <w:color w:val="auto"/>
        </w:rPr>
        <w:t>. Provided Tenant is not in default under this Lease beyond any applicable cure period, Landlord hereby grants to Tenant the Tenant Improvement Allowance, for use to reimburse Tenant for actual out-of-pocket costs incurred and paid for by Tenant during the period commencing on the Lease Commencement Date and expiring on November 30, 2015 (the “</w:t>
      </w:r>
      <w:r>
        <w:rPr>
          <w:rFonts w:ascii="Arial" w:cs="Arial" w:eastAsia="Arial" w:hAnsi="Arial"/>
          <w:sz w:val="16"/>
          <w:szCs w:val="16"/>
          <w:b w:val="1"/>
          <w:bCs w:val="1"/>
          <w:color w:val="auto"/>
        </w:rPr>
        <w:t>TI Allowance Period</w:t>
      </w:r>
      <w:r>
        <w:rPr>
          <w:rFonts w:ascii="Arial" w:cs="Arial" w:eastAsia="Arial" w:hAnsi="Arial"/>
          <w:sz w:val="16"/>
          <w:szCs w:val="16"/>
          <w:color w:val="auto"/>
        </w:rPr>
        <w:t xml:space="preserve">”) in connection with the improvement and/or refurbishment of the Premises pursuant to and in accordance with the terms of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(the “</w:t>
      </w:r>
      <w:r>
        <w:rPr>
          <w:rFonts w:ascii="Arial" w:cs="Arial" w:eastAsia="Arial" w:hAnsi="Arial"/>
          <w:sz w:val="16"/>
          <w:szCs w:val="16"/>
          <w:b w:val="1"/>
          <w:bCs w:val="1"/>
          <w:color w:val="auto"/>
        </w:rPr>
        <w:t>Tenant Improvements</w:t>
      </w:r>
      <w:r>
        <w:rPr>
          <w:rFonts w:ascii="Arial" w:cs="Arial" w:eastAsia="Arial" w:hAnsi="Arial"/>
          <w:sz w:val="16"/>
          <w:szCs w:val="16"/>
          <w:color w:val="auto"/>
        </w:rPr>
        <w:t>”); provided that Tenant may only apply up to an aggregate amount of the Tenant Improvement Allowance equal to $3.00 per rentable square foot of the Premises toward the cost of professional fees (such as engineers, architects, space planners and interior designers), subject to and conditioned upon Landlord’s receipt of all information (including mechanics lien releases, if applicable) reasonably requested by Landlord. Any costs incurred by Tenant in excess of the Tenant Improvement Allowance in connection with the performance of the Tenant Improvements shall be the sole responsibility of Tenant. Following Tenant’s substantial completion of the Tenant Improvements, Landlord shall reimburse Tenant for the reasonable, actual, third-party, out-of-pocket costs (which costs may include, without limitation, labor and materials costs, professional fees (such as engineers, architects, space planners and interior designers and permitting fees)) incurred by Tenant during the TI Allowance Period in performing the Tenant Improvements (up to the amount of the Tenant Improvement Allowance, but after first subtracting a construction oversight fee equal to five percent (5%) of the total cost of the Tenant Improvements) within thirty (30) days following Landlord’s receipt from Tenant of evidence reasonably satisfactory to Landlord that Tenant has paid for and completed the Tenant Improvements in full and in accordance with the terms hereof and that there will be no liens recorded against the Building arising out of or relating to the Tenant Improvements, which evidence shall include: (a) properly executed, unconditional final mechanic’s lien releases from Tenant’s architect/space planner, engineers, consultants, contractors, vendors, subcontractors, laborers, and material suppliers retained and/or used by Tenant (“</w:t>
      </w:r>
      <w:r>
        <w:rPr>
          <w:rFonts w:ascii="Arial" w:cs="Arial" w:eastAsia="Arial" w:hAnsi="Arial"/>
          <w:sz w:val="16"/>
          <w:szCs w:val="16"/>
          <w:b w:val="1"/>
          <w:bCs w:val="1"/>
          <w:color w:val="auto"/>
        </w:rPr>
        <w:t>Tenant’s Agents</w:t>
      </w:r>
      <w:r>
        <w:rPr>
          <w:rFonts w:ascii="Arial" w:cs="Arial" w:eastAsia="Arial" w:hAnsi="Arial"/>
          <w:sz w:val="16"/>
          <w:szCs w:val="16"/>
          <w:color w:val="auto"/>
        </w:rPr>
        <w:t>”), showing the amounts paid, in compliance with California Civil Code Sections 8132, 8134, 8136 and 8138; (b) Tenant’s contractor’s last application and certificate for payment (AIA form G702 1992 or equivalent) signed by Tenant’s architect/space planner; (c) a breakdown sheet (AJA form 0703 1992 or equivalent); (d) original stamped building permit plans; (e) copy of the building permit; (f) original stamped building permit inspection card with all final sign-offs; (g) full size bond copies and a CD R disk containing electronic files of the “as built” drawings of the Tenant Improvements in both “dwg” and “pdf’ formats, from Tenant’s architect/space planner for architectural drawings, and from Tenant’s contractor for all other trades; (h) air balance reports; (i) excess energy use calculations; (i) one year warranty letters from Tenant’s Agents; (k) manufacturer’s warranties and operating instructions; (l) final punchlist completed and signed off by Tenant and Tenant’s architect/space planner; (m) letters of compliance from Tenant’s engineers stating that the engineers have inspected the Tenant Improvements and that they comply with the engineers’ drawings and specifications; (n) a copy of the recorded Notice of Completion; and (o) a final list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153275" cy="298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52" w:name="page653"/>
    <w:bookmarkEnd w:id="652"/>
    <w:p>
      <w:pPr>
        <w:ind w:right="20"/>
        <w:spacing w:after="0" w:line="290" w:lineRule="auto"/>
        <w:rPr>
          <w:sz w:val="20"/>
          <w:szCs w:val="20"/>
          <w:color w:val="auto"/>
        </w:rPr>
      </w:pPr>
      <w:r>
        <w:rPr>
          <w:rFonts w:ascii="Arial" w:cs="Arial" w:eastAsia="Arial" w:hAnsi="Arial"/>
          <w:sz w:val="16"/>
          <w:szCs w:val="16"/>
          <w:color w:val="auto"/>
        </w:rPr>
        <w:t xml:space="preserve">contractors/vendors/consultants retained by Tenant in connection with the Tenant Improvements and any other improvements in the Premises pursuant to this </w:t>
      </w:r>
      <w:r>
        <w:rPr>
          <w:rFonts w:ascii="Arial" w:cs="Arial" w:eastAsia="Arial" w:hAnsi="Arial"/>
          <w:sz w:val="16"/>
          <w:szCs w:val="16"/>
          <w:u w:val="single" w:color="auto"/>
          <w:color w:val="auto"/>
        </w:rPr>
        <w:t>Section 8.6</w:t>
      </w:r>
      <w:r>
        <w:rPr>
          <w:rFonts w:ascii="Arial" w:cs="Arial" w:eastAsia="Arial" w:hAnsi="Arial"/>
          <w:sz w:val="16"/>
          <w:szCs w:val="16"/>
          <w:color w:val="auto"/>
        </w:rPr>
        <w:t>, which final list shall set forth the full legal name, address, contact name (with telephone/fax/e mail addresses) and the total price paid by Tenant for goods and services to each of such contractors/vendors/consultants; provided that Landlord has determined that no substandard work exists which adversely affects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 Landlord shall have no obligation to disburse any portion of the Tenant Improvement Allowance with respect to any Tenant Improvements that are performed after the expiration of the TI Allowance Period, and any such unused amounts of the Tenant Improvement Allowance as of the end of the TI Allowance Period shall revert to Landlord and Tenant shall have no further rights with respect thereto.</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COVENANT AGAINST LIENS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INSURANCE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u w:val="single" w:color="auto"/>
          <w:color w:val="auto"/>
        </w:rPr>
        <w:t>Indemnification and Waiver</w:t>
      </w:r>
      <w:r>
        <w:rPr>
          <w:rFonts w:ascii="Arial" w:cs="Arial" w:eastAsia="Arial" w:hAnsi="Arial"/>
          <w:sz w:val="17"/>
          <w:szCs w:val="17"/>
          <w:color w:val="auto"/>
        </w:rPr>
        <w:t>. Tenant hereby assumes all risk of damage to property or injury to persons in or upon the Premises from any cause whatsoever (including, but not limited to, any personal injuries resulting from a slip and fall in or upon the Premises) except to the extent caused by Landlord’s negligence or willful misconduct, and agrees that Landlord, its subsidiaries, affiliates, partners, subpartners, members and their respective officers, directors, shareholders, partners, agents, servants, employees, and independent contractors (collectively, “</w:t>
      </w:r>
      <w:r>
        <w:rPr>
          <w:rFonts w:ascii="Arial" w:cs="Arial" w:eastAsia="Arial" w:hAnsi="Arial"/>
          <w:sz w:val="17"/>
          <w:szCs w:val="17"/>
          <w:b w:val="1"/>
          <w:bCs w:val="1"/>
          <w:color w:val="auto"/>
        </w:rPr>
        <w:t>Landlord Parties</w:t>
      </w:r>
      <w:r>
        <w:rPr>
          <w:rFonts w:ascii="Arial" w:cs="Arial" w:eastAsia="Arial" w:hAnsi="Arial"/>
          <w:sz w:val="17"/>
          <w:szCs w:val="17"/>
          <w:color w:val="auto"/>
        </w:rPr>
        <w:t>”) shall not be liable for, and are hereby released from any responsibility for, any damage either to person or property or resulting from the loss of use thereof, which damage is sustained by Tenant or by other persons claiming through Tenant, except to the extent caused by the negligence or willful misconduct of the Landlord Parties. Tenant shall indemnify, defend, protect, and hold harmless the Landlord Parties from any and all loss, cost, damage, expense and liability (including without limitation court costs and reasonable attorneys’ fees) incurred in connection with or arising from any cause in or upon the Premises (including, but not limited to, a slip and fall), any acts, omissions or negligence of Tenant or of any person claiming by, through or under Tenant, or of the contractors, agents, servants, employees, invitees, guests or licensees of Tenant or any such person, in or upon the Project or any breach of the terms of this Lease, either prior to, during, or after the expiration of the Lease Term, provided that the terms of the foregoing indemnity shall not apply to the negligence or willful misconduct of Landlord. Should Landlord be named as a defendant in any suit brought against Tenant in connection with or arising out of Tenant’s occupancy of the Premises, Tenant shall pay to Landlord its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653" w:name="page654"/>
    <w:bookmarkEnd w:id="653"/>
    <w:p>
      <w:pPr>
        <w:ind w:right="20"/>
        <w:spacing w:after="0" w:line="254" w:lineRule="auto"/>
        <w:rPr>
          <w:sz w:val="20"/>
          <w:szCs w:val="20"/>
          <w:color w:val="auto"/>
        </w:rPr>
      </w:pPr>
      <w:r>
        <w:rPr>
          <w:rFonts w:ascii="Arial" w:cs="Arial" w:eastAsia="Arial" w:hAnsi="Arial"/>
          <w:sz w:val="18"/>
          <w:szCs w:val="18"/>
          <w:color w:val="auto"/>
        </w:rPr>
        <w:t xml:space="preserve">expenses incurred in such suit, including without limitation, its actual professional fees such as reasonable appraisers’, accountants’ and attorneys’ fees. The provisions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survive the expiration or sooner termination of this Lease with respect to any claims or liability arising in connection with any event occurring prior to such expiration or termination. Notwithstanding anything to the contrary contained in this Lease, nothing in this Lease shall impose any obligations on Tenant or Landlord to be responsible or liable for, and each hereby releases the other from all liability for, consequential damages other than those consequential damages incurred by Landlord in connection with a holdover of the Premises by Tenant after the expiration or earlier termination of this Lease or incurred by Landlord in connection with any repair, physical construction or improvement work performed by or on behalf of Tenant in the Project.</w:t>
      </w:r>
    </w:p>
    <w:p>
      <w:pPr>
        <w:spacing w:after="0" w:line="191"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Tenant’s Compliance With Landlord’s Fire and Casualty Insurance</w:t>
      </w:r>
      <w:r>
        <w:rPr>
          <w:rFonts w:ascii="Arial" w:cs="Arial" w:eastAsia="Arial" w:hAnsi="Arial"/>
          <w:sz w:val="18"/>
          <w:szCs w:val="18"/>
          <w:color w:val="auto"/>
        </w:rPr>
        <w:t>. Tenant shall, at Tenant’s expense, comply with all insurance company requirements pertaining to the use of the Premises that have been communicated in advance to Tenant.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u w:val="single" w:color="auto"/>
          <w:color w:val="auto"/>
        </w:rPr>
        <w:t>Tenant’s Insurance</w:t>
      </w:r>
      <w:r>
        <w:rPr>
          <w:rFonts w:ascii="Arial" w:cs="Arial" w:eastAsia="Arial" w:hAnsi="Arial"/>
          <w:sz w:val="16"/>
          <w:szCs w:val="16"/>
          <w:color w:val="auto"/>
        </w:rPr>
        <w:t>. Tenant shall maintain the following coverages m the following amounts.</w:t>
      </w:r>
    </w:p>
    <w:p>
      <w:pPr>
        <w:spacing w:after="0" w:line="229" w:lineRule="exact"/>
        <w:rPr>
          <w:sz w:val="20"/>
          <w:szCs w:val="20"/>
          <w:color w:val="auto"/>
        </w:rPr>
      </w:pPr>
    </w:p>
    <w:p>
      <w:pPr>
        <w:ind w:right="280" w:firstLine="1296"/>
        <w:spacing w:after="0" w:line="263" w:lineRule="auto"/>
        <w:rPr>
          <w:sz w:val="20"/>
          <w:szCs w:val="20"/>
          <w:color w:val="auto"/>
        </w:rPr>
      </w:pPr>
      <w:r>
        <w:rPr>
          <w:rFonts w:ascii="Arial" w:cs="Arial" w:eastAsia="Arial" w:hAnsi="Arial"/>
          <w:sz w:val="18"/>
          <w:szCs w:val="18"/>
          <w:color w:val="auto"/>
        </w:rPr>
        <w:t>10.3.1 Commercial General Liability Insurance on an occurrence form covering the insured against claims of bodily injury, personal injury and property damage (including loss of use thereof) arising out of Tenant’s operations, for limits of liability not less than that actually carried by Tenant, which shall be no less than:</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Bodily Injury and</w:t>
            </w:r>
          </w:p>
        </w:tc>
        <w:tc>
          <w:tcPr>
            <w:tcW w:w="55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$1,000,000 each occurrence</w:t>
            </w: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Property Damage Liability</w:t>
            </w:r>
          </w:p>
        </w:tc>
        <w:tc>
          <w:tcPr>
            <w:tcW w:w="55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$2,000,000 annual aggregate</w:t>
            </w:r>
          </w:p>
        </w:tc>
      </w:tr>
      <w:tr>
        <w:trPr>
          <w:trHeight w:val="216"/>
        </w:trPr>
        <w:tc>
          <w:tcPr>
            <w:tcW w:w="3000" w:type="dxa"/>
            <w:vAlign w:val="bottom"/>
          </w:tcPr>
          <w:p>
            <w:pPr>
              <w:spacing w:after="0"/>
              <w:rPr>
                <w:sz w:val="18"/>
                <w:szCs w:val="18"/>
                <w:color w:val="auto"/>
              </w:rPr>
            </w:pPr>
          </w:p>
        </w:tc>
        <w:tc>
          <w:tcPr>
            <w:tcW w:w="5520" w:type="dxa"/>
            <w:vAlign w:val="bottom"/>
          </w:tcPr>
          <w:p>
            <w:pPr>
              <w:spacing w:after="0"/>
              <w:rPr>
                <w:sz w:val="18"/>
                <w:szCs w:val="18"/>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Personal Injury Liability</w:t>
            </w:r>
          </w:p>
        </w:tc>
        <w:tc>
          <w:tcPr>
            <w:tcW w:w="5520" w:type="dxa"/>
            <w:vAlign w:val="bottom"/>
            <w:shd w:val="clear" w:color="auto" w:fill="CCEEFF"/>
          </w:tcPr>
          <w:p>
            <w:pPr>
              <w:ind w:left="1080"/>
              <w:spacing w:after="0" w:line="201" w:lineRule="exact"/>
              <w:rPr>
                <w:sz w:val="20"/>
                <w:szCs w:val="20"/>
                <w:color w:val="auto"/>
              </w:rPr>
            </w:pPr>
            <w:r>
              <w:rPr>
                <w:rFonts w:ascii="Arial" w:cs="Arial" w:eastAsia="Arial" w:hAnsi="Arial"/>
                <w:sz w:val="18"/>
                <w:szCs w:val="18"/>
                <w:color w:val="auto"/>
              </w:rPr>
              <w:t>$1,000,000 each occurrence</w:t>
            </w:r>
          </w:p>
        </w:tc>
      </w:tr>
      <w:tr>
        <w:trPr>
          <w:trHeight w:val="216"/>
        </w:trPr>
        <w:tc>
          <w:tcPr>
            <w:tcW w:w="3000" w:type="dxa"/>
            <w:vAlign w:val="bottom"/>
            <w:shd w:val="clear" w:color="auto" w:fill="CCEEFF"/>
          </w:tcPr>
          <w:p>
            <w:pPr>
              <w:spacing w:after="0"/>
              <w:rPr>
                <w:sz w:val="18"/>
                <w:szCs w:val="18"/>
                <w:color w:val="auto"/>
              </w:rPr>
            </w:pPr>
          </w:p>
        </w:tc>
        <w:tc>
          <w:tcPr>
            <w:tcW w:w="55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$2,000,000 annual aggregate</w:t>
            </w:r>
          </w:p>
        </w:tc>
      </w:tr>
      <w:tr>
        <w:trPr>
          <w:trHeight w:val="230"/>
        </w:trPr>
        <w:tc>
          <w:tcPr>
            <w:tcW w:w="3000" w:type="dxa"/>
            <w:vAlign w:val="bottom"/>
            <w:shd w:val="clear" w:color="auto" w:fill="CCEEFF"/>
          </w:tcPr>
          <w:p>
            <w:pPr>
              <w:spacing w:after="0"/>
              <w:rPr>
                <w:sz w:val="20"/>
                <w:szCs w:val="20"/>
                <w:color w:val="auto"/>
              </w:rPr>
            </w:pPr>
          </w:p>
        </w:tc>
        <w:tc>
          <w:tcPr>
            <w:tcW w:w="55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0% Insured’s participation</w:t>
            </w:r>
          </w:p>
        </w:tc>
      </w:tr>
    </w:tbl>
    <w:p>
      <w:pPr>
        <w:spacing w:after="0" w:line="20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Tenant’s commercial general liability insurance policy described above shall also provide for an additional $5,000,000 per occurrence and $5,000,000 annual aggregate on a per location basis in umbrella/excess liability coverage.</w:t>
      </w:r>
    </w:p>
    <w:p>
      <w:pPr>
        <w:spacing w:after="0" w:line="170" w:lineRule="exact"/>
        <w:rPr>
          <w:sz w:val="20"/>
          <w:szCs w:val="20"/>
          <w:color w:val="auto"/>
        </w:rPr>
      </w:pPr>
    </w:p>
    <w:p>
      <w:pPr>
        <w:ind w:right="320" w:firstLine="1296"/>
        <w:spacing w:after="0" w:line="259" w:lineRule="auto"/>
        <w:rPr>
          <w:sz w:val="20"/>
          <w:szCs w:val="20"/>
          <w:color w:val="auto"/>
        </w:rPr>
      </w:pPr>
      <w:r>
        <w:rPr>
          <w:rFonts w:ascii="Arial" w:cs="Arial" w:eastAsia="Arial" w:hAnsi="Arial"/>
          <w:sz w:val="18"/>
          <w:szCs w:val="18"/>
          <w:color w:val="auto"/>
        </w:rPr>
        <w:t>If the use and occupancy of the Premises include any activity or matter that is or may be excluded from coverage under a commercial general liability policy (e.g., the sale, service or consumption 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w:t>
      </w:r>
    </w:p>
    <w:p>
      <w:pPr>
        <w:spacing w:after="0" w:line="187" w:lineRule="exact"/>
        <w:rPr>
          <w:sz w:val="20"/>
          <w:szCs w:val="20"/>
          <w:color w:val="auto"/>
        </w:rPr>
      </w:pPr>
    </w:p>
    <w:p>
      <w:pPr>
        <w:jc w:val="both"/>
        <w:ind w:right="40" w:firstLine="1296"/>
        <w:spacing w:after="0" w:line="286" w:lineRule="auto"/>
        <w:rPr>
          <w:sz w:val="20"/>
          <w:szCs w:val="20"/>
          <w:color w:val="auto"/>
        </w:rPr>
      </w:pPr>
      <w:r>
        <w:rPr>
          <w:rFonts w:ascii="Arial" w:cs="Arial" w:eastAsia="Arial" w:hAnsi="Arial"/>
          <w:sz w:val="16"/>
          <w:szCs w:val="16"/>
          <w:color w:val="auto"/>
        </w:rPr>
        <w:t xml:space="preserve">10.3.2 Physical Damage Insurance covering (i) all office furniture, business and trade fixtures, office equipment, free-standing cabinet work, movable partitions, merchandise and all other items of Tenant’s property on the Premises installed by, for, or at the expense of Tenant, (ii) the Tenant Improvements and any other improvements which exist in the Premises as of the Lease Commencement Date (excluding the Base Building) (the </w:t>
      </w:r>
      <w:r>
        <w:rPr>
          <w:rFonts w:ascii="Arial" w:cs="Arial" w:eastAsia="Arial" w:hAnsi="Arial"/>
          <w:sz w:val="16"/>
          <w:szCs w:val="16"/>
          <w:b w:val="1"/>
          <w:bCs w:val="1"/>
          <w:color w:val="auto"/>
        </w:rPr>
        <w:t>“Original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Improvements”), </w:t>
      </w:r>
      <w:r>
        <w:rPr>
          <w:rFonts w:ascii="Arial" w:cs="Arial" w:eastAsia="Arial" w:hAnsi="Arial"/>
          <w:sz w:val="16"/>
          <w:szCs w:val="16"/>
          <w:color w:val="auto"/>
        </w:rPr>
        <w:t>and (iii) all other improvements, alterations and additions to the Premises. With respect to the items covered in clauses (ii) and</w:t>
      </w:r>
    </w:p>
    <w:p>
      <w:pPr>
        <w:spacing w:after="0" w:line="1" w:lineRule="exact"/>
        <w:rPr>
          <w:sz w:val="20"/>
          <w:szCs w:val="20"/>
          <w:color w:val="auto"/>
        </w:rPr>
      </w:pPr>
    </w:p>
    <w:p>
      <w:pPr>
        <w:ind w:right="80" w:firstLine="8"/>
        <w:spacing w:after="0" w:line="252" w:lineRule="auto"/>
        <w:tabs>
          <w:tab w:leader="none" w:pos="315" w:val="left"/>
        </w:tabs>
        <w:numPr>
          <w:ilvl w:val="0"/>
          <w:numId w:val="558"/>
        </w:numPr>
        <w:rPr>
          <w:rFonts w:ascii="Arial" w:cs="Arial" w:eastAsia="Arial" w:hAnsi="Arial"/>
          <w:sz w:val="18"/>
          <w:szCs w:val="18"/>
          <w:color w:val="auto"/>
        </w:rPr>
      </w:pPr>
      <w:r>
        <w:rPr>
          <w:rFonts w:ascii="Arial" w:cs="Arial" w:eastAsia="Arial" w:hAnsi="Arial"/>
          <w:sz w:val="18"/>
          <w:szCs w:val="18"/>
          <w:color w:val="auto"/>
        </w:rPr>
        <w:t>above, such policy shall name Landlord and Landlord’s mortgagee as additional loss payees as their interests may appear. Such insurance shall be written on a cause of loss-special risk form (formerly “all-risk”) or its equivalent,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 and providing business interruption coverage for a period of one year.</w:t>
      </w:r>
    </w:p>
    <w:p>
      <w:pPr>
        <w:spacing w:after="0" w:line="19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Worker’s Compensation and Employer’s Liability or other similar insurance pursuant to all applicable state and local statutes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54" w:name="page655"/>
    <w:bookmarkEnd w:id="654"/>
    <w:p>
      <w:pPr>
        <w:ind w:right="500" w:firstLine="1296"/>
        <w:spacing w:after="0" w:line="263" w:lineRule="auto"/>
        <w:rPr>
          <w:sz w:val="20"/>
          <w:szCs w:val="20"/>
          <w:color w:val="auto"/>
        </w:rPr>
      </w:pPr>
      <w:r>
        <w:rPr>
          <w:rFonts w:ascii="Arial" w:cs="Arial" w:eastAsia="Arial" w:hAnsi="Arial"/>
          <w:sz w:val="18"/>
          <w:szCs w:val="18"/>
          <w:color w:val="auto"/>
        </w:rPr>
        <w:t>10.3.4 Contractual liability insurance as is available in the market to cover, to the extent possible, Tenant’s indemnity obligations hereunder (but only if such contractual liability insurance is not already included in Tenant’s commercial general liability insurance policy and umbrella/excess liability insurance policy).</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Comprehensive crime coverage of $1,000,0000.</w:t>
      </w:r>
    </w:p>
    <w:p>
      <w:pPr>
        <w:spacing w:after="0" w:line="225" w:lineRule="exact"/>
        <w:rPr>
          <w:sz w:val="20"/>
          <w:szCs w:val="20"/>
          <w:color w:val="auto"/>
        </w:rPr>
      </w:pPr>
    </w:p>
    <w:p>
      <w:pPr>
        <w:ind w:right="460" w:firstLine="1296"/>
        <w:spacing w:after="0" w:line="263" w:lineRule="auto"/>
        <w:rPr>
          <w:sz w:val="20"/>
          <w:szCs w:val="20"/>
          <w:color w:val="auto"/>
        </w:rPr>
      </w:pPr>
      <w:r>
        <w:rPr>
          <w:rFonts w:ascii="Arial" w:cs="Arial" w:eastAsia="Arial" w:hAnsi="Arial"/>
          <w:sz w:val="18"/>
          <w:szCs w:val="18"/>
          <w:color w:val="auto"/>
        </w:rPr>
        <w:t>10.3.6 Commercial auto liability insurance (if applicable) covering automobiles owned, hired or used by Tenant in carrying on its business with limits not less than $1,000,000 combined single limit for each accident, insuring Tenant and scheduled to the umbrella/excess liability insurance policy.</w:t>
      </w:r>
    </w:p>
    <w:p>
      <w:pPr>
        <w:spacing w:after="0" w:line="180"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Form of Policies</w:t>
      </w:r>
      <w:r>
        <w:rPr>
          <w:rFonts w:ascii="Arial" w:cs="Arial" w:eastAsia="Arial" w:hAnsi="Arial"/>
          <w:sz w:val="16"/>
          <w:szCs w:val="16"/>
          <w:color w:val="auto"/>
        </w:rPr>
        <w:t xml:space="preserve">. The minimum limits of policies of insurance required of Tenant under this Lease shall in no event limit the liability of Tenant under this Lease. Such insurance shall (i) name Landlord, and any other party the Landlord so specifies, as an additional named insured, including Landlord’s managing agent, if any; (ii) to the extent available in the market generally, specifically cover the liability assumed by Tenant under this Lease, including, but not limited to, Tenant’s obligations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Lease; (iii) be issued by an insurance company having a rating of A+:VIII or better in Best’s Insurance Guide or which is otherwise acceptable to Landlord and licensed to do business in the State of California; (iv) be primary insurance as to all claims thereunder and provide that any insurance carried by Landlord is excess and is non-contributing with any insurance requirement of Tenant; (v) be in form and content reasonably acceptable to Landlord; and (vi) provide that said insurance shall not be canceled or coverage changed unless thirty (30) days’ prior written notice shall have been given to Landlord and any mortgagee of Landlord. Tenant shall deliver a</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certificate(s) evidencing such coverage to Landlord on or before the Lease Commencement Date and at least thirty (30) days before the expiration dates thereof. In the event Tenant shall fail to procure such insurance, or to deliver such policies or certificates, Landlord may, at its option and if it is determined that Tenant has failed to maintain the required coverage, procure such policies for the account of Tenant, and the cost thereof shall be paid to Landlord within five (5) days after delivery to Tenant of bills therefor. Tenant shall require any vendors or contractors that it shall hire to perform work/services on Premises to procure similar insurance, as required by Landlord of Tenant in this Lease including naming as additional insureds Landlord and any other party Landlord so specifies.</w:t>
      </w:r>
    </w:p>
    <w:p>
      <w:pPr>
        <w:spacing w:after="0" w:line="190"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u w:val="single" w:color="auto"/>
          <w:color w:val="auto"/>
        </w:rPr>
        <w:t>Subrogation</w:t>
      </w:r>
      <w:r>
        <w:rPr>
          <w:rFonts w:ascii="Arial" w:cs="Arial" w:eastAsia="Arial" w:hAnsi="Arial"/>
          <w:sz w:val="16"/>
          <w:szCs w:val="16"/>
          <w:color w:val="auto"/>
        </w:rPr>
        <w:t>. Landlord and Tenant intend that their respective property loss risks shall be borne by reasonable insurance carriers to the extent above provided, and Landlord and Tenant hereby agree to look solely to, and seek recovery only from, their respective insurance carriers in the event of a property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of the insured to recover thereunder. The parties agree that their respective insurance policies are now, or shall be, endorsed such that the waiver of subrogation shall not affect the right of the insured to recover thereunder, so long as no material additional premium is charged therefor.</w:t>
      </w:r>
    </w:p>
    <w:p>
      <w:pPr>
        <w:spacing w:after="0" w:line="160"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u w:val="single" w:color="auto"/>
          <w:color w:val="auto"/>
        </w:rPr>
        <w:t>Additional Insurance Obligations</w:t>
      </w:r>
      <w:r>
        <w:rPr>
          <w:rFonts w:ascii="Arial" w:cs="Arial" w:eastAsia="Arial" w:hAnsi="Arial"/>
          <w:sz w:val="17"/>
          <w:szCs w:val="17"/>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such other reasonable types of insurance coverage and in such reasonable amounts covering the Premises and Tenant’s operations therein, as may be reasonably requested by Landlord, but in no event in excess of the amounts and types of insurance then being required by landlords of other Comparable Buildings.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DAMAGE AND DESTRUCTION</w:t>
      </w:r>
    </w:p>
    <w:p>
      <w:pPr>
        <w:spacing w:after="0" w:line="225"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Repair of Damage to Premises by Landlord</w:t>
      </w:r>
      <w:r>
        <w:rPr>
          <w:rFonts w:ascii="Arial" w:cs="Arial" w:eastAsia="Arial" w:hAnsi="Arial"/>
          <w:sz w:val="18"/>
          <w:szCs w:val="18"/>
          <w:color w:val="auto"/>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8"/>
          <w:szCs w:val="18"/>
          <w:u w:val="single" w:color="auto"/>
          <w:color w:val="auto"/>
        </w:rPr>
        <w:t>Article 11</w:t>
      </w:r>
      <w:r>
        <w:rPr>
          <w:rFonts w:ascii="Arial" w:cs="Arial" w:eastAsia="Arial" w:hAnsi="Arial"/>
          <w:sz w:val="18"/>
          <w:szCs w:val="18"/>
          <w:color w:val="auto"/>
        </w:rPr>
        <w:t>, restore the Base Building and such Common Areas. Such restoration shall be to substantially the same condition of the Base Building and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55" w:name="page656"/>
    <w:bookmarkEnd w:id="655"/>
    <w:p>
      <w:pPr>
        <w:spacing w:after="0" w:line="284" w:lineRule="auto"/>
        <w:rPr>
          <w:sz w:val="20"/>
          <w:szCs w:val="20"/>
          <w:color w:val="auto"/>
        </w:rPr>
      </w:pPr>
      <w:r>
        <w:rPr>
          <w:rFonts w:ascii="Arial" w:cs="Arial" w:eastAsia="Arial" w:hAnsi="Arial"/>
          <w:sz w:val="16"/>
          <w:szCs w:val="16"/>
          <w:color w:val="auto"/>
        </w:rPr>
        <w:t>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and any common restrooms serving the Premises shall not be materially impaired. Upon the occurrence of any damage to the Premises, upon notice (the “</w:t>
      </w:r>
      <w:r>
        <w:rPr>
          <w:rFonts w:ascii="Arial" w:cs="Arial" w:eastAsia="Arial" w:hAnsi="Arial"/>
          <w:sz w:val="16"/>
          <w:szCs w:val="16"/>
          <w:b w:val="1"/>
          <w:bCs w:val="1"/>
          <w:color w:val="auto"/>
        </w:rPr>
        <w:t>Landlord Repair Notice</w:t>
      </w:r>
      <w:r>
        <w:rPr>
          <w:rFonts w:ascii="Arial" w:cs="Arial" w:eastAsia="Arial" w:hAnsi="Arial"/>
          <w:sz w:val="16"/>
          <w:szCs w:val="16"/>
          <w:color w:val="auto"/>
        </w:rPr>
        <w:t xml:space="preserve">”) to Tenant from Landlord, Tenant shall assign to Landlord (or to any party designated by Landlord) all insurance proceeds payable to Tenant under Tenant’s insurance required under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of this Lease, and Landlord shall repair any injury or damage to the Tenant Improvements and the Original Improvements installed in the Premises and shall return such Tenant Improvements and Original Improvements to their original condition; provided that if the cost of such repair by Landlord exceeds the amount of insurance proceeds received by Landlord from Tenant’s insurance carrier, as assigned by Tenant, the cost of such repairs shall be paid by Tenant to Landlord prior to Landlord’s commencement of repair of the damage. In the event that Landlord does not deliver the Landlord Repair Notice within sixty (60) days following the date the casualty becomes known to Landlord, Tenant shall, at its sole cost and expense, repair any injury or damage to the Tenant Improvements and the Original Improvements installed in the Premises and shall return such Tenant Improvements and Original Improvements to their original condition. Whether or not Landlord delivers a Landlord Repair Notice, prior to the commencement of construction, Tenant shall submit to Landlord, for Landlord’s review and approval, all plans, specifications and working drawings relating thereto,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which is reasonably determined by Landlord to be the date Tenant should have completed repairs to the Premises assuming Tenant used reasonable due diligence in connection therewith.</w:t>
      </w:r>
    </w:p>
    <w:p>
      <w:pPr>
        <w:spacing w:after="0" w:line="17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Landlord’s Option to Repair</w:t>
      </w:r>
      <w:r>
        <w:rPr>
          <w:rFonts w:ascii="Arial" w:cs="Arial" w:eastAsia="Arial" w:hAnsi="Arial"/>
          <w:sz w:val="16"/>
          <w:szCs w:val="16"/>
          <w:color w:val="auto"/>
        </w:rPr>
        <w:t xml:space="preserve">. Notwithstanding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or Project shall be damaged by fire or other casualty or cause, whether or not the Premises are affected, and one or more of the following conditions is present: (i) in Landlord’s reasonable judgment, repairs cannot reasonably be completed within two hundred seventy (270)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w:t>
      </w:r>
    </w:p>
    <w:p>
      <w:pPr>
        <w:spacing w:after="0" w:line="5" w:lineRule="exact"/>
        <w:rPr>
          <w:sz w:val="20"/>
          <w:szCs w:val="20"/>
          <w:color w:val="auto"/>
        </w:rPr>
      </w:pPr>
    </w:p>
    <w:p>
      <w:pPr>
        <w:ind w:right="160" w:firstLine="8"/>
        <w:spacing w:after="0" w:line="267" w:lineRule="auto"/>
        <w:tabs>
          <w:tab w:leader="none" w:pos="305" w:val="left"/>
        </w:tabs>
        <w:numPr>
          <w:ilvl w:val="0"/>
          <w:numId w:val="559"/>
        </w:numPr>
        <w:rPr>
          <w:rFonts w:ascii="Arial" w:cs="Arial" w:eastAsia="Arial" w:hAnsi="Arial"/>
          <w:sz w:val="17"/>
          <w:szCs w:val="17"/>
          <w:color w:val="auto"/>
        </w:rPr>
      </w:pPr>
      <w:r>
        <w:rPr>
          <w:rFonts w:ascii="Arial" w:cs="Arial" w:eastAsia="Arial" w:hAnsi="Arial"/>
          <w:sz w:val="17"/>
          <w:szCs w:val="17"/>
          <w:color w:val="auto"/>
        </w:rPr>
        <w:t>Landlord decides to rebuild the Building or Common Areas so that they will be substantially different structurally or architecturally; (v) the 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two hundred seventy (270) days after being commenced,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Furthermore, if neither Landlord nor Tenant has terminated this Lease, and the repairs are not actually completed within two hundred seventy (270) days after being commenced or such longer period as Landlord’s contractor had estimated would be required to complete such repairs (subject to extension for delays caused by Force Majeure and delays caused by Tenant), Tenant shall have the right to terminate this Lease during the first five (5) business days of each calendar month following the end of such period until such time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153275" cy="298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56" w:name="page657"/>
    <w:bookmarkEnd w:id="656"/>
    <w:p>
      <w:pPr>
        <w:spacing w:after="0" w:line="286" w:lineRule="auto"/>
        <w:rPr>
          <w:sz w:val="20"/>
          <w:szCs w:val="20"/>
          <w:color w:val="auto"/>
        </w:rPr>
      </w:pPr>
      <w:r>
        <w:rPr>
          <w:rFonts w:ascii="Arial" w:cs="Arial" w:eastAsia="Arial" w:hAnsi="Arial"/>
          <w:sz w:val="16"/>
          <w:szCs w:val="16"/>
          <w:color w:val="auto"/>
        </w:rPr>
        <w:t>repairs are complete, by notice to Landlord (the “</w:t>
      </w:r>
      <w:r>
        <w:rPr>
          <w:rFonts w:ascii="Arial" w:cs="Arial" w:eastAsia="Arial" w:hAnsi="Arial"/>
          <w:sz w:val="16"/>
          <w:szCs w:val="16"/>
          <w:b w:val="1"/>
          <w:bCs w:val="1"/>
          <w:color w:val="auto"/>
        </w:rPr>
        <w:t>Damage Termination Notice</w:t>
      </w:r>
      <w:r>
        <w:rPr>
          <w:rFonts w:ascii="Arial" w:cs="Arial" w:eastAsia="Arial" w:hAnsi="Arial"/>
          <w:sz w:val="16"/>
          <w:szCs w:val="16"/>
          <w:color w:val="auto"/>
        </w:rPr>
        <w:t>”), effective as of a date set forth in the Damage Termination Notice (the “</w:t>
      </w:r>
      <w:r>
        <w:rPr>
          <w:rFonts w:ascii="Arial" w:cs="Arial" w:eastAsia="Arial" w:hAnsi="Arial"/>
          <w:sz w:val="16"/>
          <w:szCs w:val="16"/>
          <w:b w:val="1"/>
          <w:bCs w:val="1"/>
          <w:color w:val="auto"/>
        </w:rPr>
        <w:t>Damage Termination Date</w:t>
      </w:r>
      <w:r>
        <w:rPr>
          <w:rFonts w:ascii="Arial" w:cs="Arial" w:eastAsia="Arial" w:hAnsi="Arial"/>
          <w:sz w:val="16"/>
          <w:szCs w:val="16"/>
          <w:color w:val="auto"/>
        </w:rPr>
        <w:t xml:space="preserve">”), which Damage Termination Date shall not be less than ten (10) business days following the end of each such month. Notwithstanding the foregoing, if Tenant delivers a Damage Termination Notice to Landlord, then Landlord shall have the right to suspend the occurrence of the Damage Termination Date for a period ending thirty (30) days after the Damage Termination Date set forth in the Damage Termination Notice by delivering to Tenant, within five (5) business days of Landlord’s receipt of the Damage Termination Notice, a certificate of Landlord’s contractor responsible for the repair of the damage certifying that it is such contractor’s good faith judgment that the repairs shall be substantially completed within thirty (30) days after the Damage Termination Date. If repairs shall be substantially completed prior to the expiration of such thirty-day period, then the Damage Termination Notice shall be of no force or effect, but if the repairs shall not be substantially completed within such thirty-day period, then this Lease shall terminate upon the expiration of such thirty-day period. At any time, from time to time, after the date occurring sixty (60) days after the date of the damage, Tenant may request that Landlord inform Tenant of Landlord’s reasonable opinion of the date of completion of the repairs and Landlord shall respond to such request within five (5) business days. Notwithstanding the provisions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Tenant shall have the right to terminate this Lease under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only if each of the following conditions is satisfied: (a) the damage to the Project by fire or other casualty was not caused by the gross negligence or intentional act of Tenant or its partners or subpartners and their respective officers, agents, servants, employees, and independent contractors; (b) Tenant is not then in default under this Lease; (c) as a result of the damage, Tenant cannot reasonably conduct business from the Premises; and, (d) as a result of the damage to the Project, Tenant does not occupy or use the Premises at all.</w:t>
      </w:r>
    </w:p>
    <w:p>
      <w:pPr>
        <w:spacing w:after="0" w:line="16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b w:val="1"/>
          <w:bCs w:val="1"/>
          <w:u w:val="single" w:color="auto"/>
          <w:color w:val="auto"/>
        </w:rPr>
        <w:t>Waiver of Statutory Provisions</w:t>
      </w:r>
      <w:r>
        <w:rPr>
          <w:rFonts w:ascii="Arial" w:cs="Arial" w:eastAsia="Arial" w:hAnsi="Arial"/>
          <w:sz w:val="16"/>
          <w:szCs w:val="16"/>
          <w:color w:val="auto"/>
        </w:rPr>
        <w:t xml:space="preserve">. The provisions of this Lease, including this </w:t>
      </w:r>
      <w:r>
        <w:rPr>
          <w:rFonts w:ascii="Arial" w:cs="Arial" w:eastAsia="Arial" w:hAnsi="Arial"/>
          <w:sz w:val="16"/>
          <w:szCs w:val="16"/>
          <w:u w:val="single" w:color="auto"/>
          <w:color w:val="auto"/>
        </w:rPr>
        <w:t>Article 11</w:t>
      </w:r>
      <w:r>
        <w:rPr>
          <w:rFonts w:ascii="Arial" w:cs="Arial" w:eastAsia="Arial" w:hAnsi="Arial"/>
          <w:sz w:val="16"/>
          <w:szCs w:val="16"/>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NONWAIVER</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153275" cy="298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657" w:name="page658"/>
    <w:bookmarkEnd w:id="657"/>
    <w:p>
      <w:pPr>
        <w:jc w:val="center"/>
        <w:ind w:right="-19"/>
        <w:spacing w:after="0"/>
        <w:rPr>
          <w:sz w:val="20"/>
          <w:szCs w:val="20"/>
          <w:color w:val="auto"/>
        </w:rPr>
      </w:pPr>
      <w:r>
        <w:rPr>
          <w:rFonts w:ascii="Arial" w:cs="Arial" w:eastAsia="Arial" w:hAnsi="Arial"/>
          <w:sz w:val="18"/>
          <w:szCs w:val="18"/>
          <w:b w:val="1"/>
          <w:bCs w:val="1"/>
          <w:u w:val="single" w:color="auto"/>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CONDEMNATION</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If more than twenty-five percent (25%) of the rentable square feet of the Premises is taken, or if access to the Premises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7"/>
          <w:szCs w:val="17"/>
          <w:u w:val="single" w:color="auto"/>
          <w:color w:val="auto"/>
        </w:rPr>
        <w:t>Article 13</w:t>
      </w:r>
      <w:r>
        <w:rPr>
          <w:rFonts w:ascii="Arial" w:cs="Arial" w:eastAsia="Arial" w:hAnsi="Arial"/>
          <w:sz w:val="17"/>
          <w:szCs w:val="17"/>
          <w:color w:val="auto"/>
        </w:rPr>
        <w:t>,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 AND SUBLETTING</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u w:val="single" w:color="auto"/>
          <w:color w:val="auto"/>
        </w:rPr>
        <w:t>Transfers</w:t>
      </w:r>
      <w:r>
        <w:rPr>
          <w:rFonts w:ascii="Arial" w:cs="Arial" w:eastAsia="Arial" w:hAnsi="Arial"/>
          <w:sz w:val="16"/>
          <w:szCs w:val="16"/>
          <w:color w:val="auto"/>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6"/>
          <w:szCs w:val="16"/>
          <w:b w:val="1"/>
          <w:bCs w:val="1"/>
          <w:color w:val="auto"/>
        </w:rPr>
        <w:t>Transfers</w:t>
      </w:r>
      <w:r>
        <w:rPr>
          <w:rFonts w:ascii="Arial" w:cs="Arial" w:eastAsia="Arial" w:hAnsi="Arial"/>
          <w:sz w:val="16"/>
          <w:szCs w:val="16"/>
          <w:color w:val="auto"/>
        </w:rPr>
        <w:t>” and any person to whom any Transfer is made or sought to be made is hereinafter sometimes referred to as a “</w:t>
      </w:r>
      <w:r>
        <w:rPr>
          <w:rFonts w:ascii="Arial" w:cs="Arial" w:eastAsia="Arial" w:hAnsi="Arial"/>
          <w:sz w:val="16"/>
          <w:szCs w:val="16"/>
          <w:b w:val="1"/>
          <w:bCs w:val="1"/>
          <w:color w:val="auto"/>
        </w:rPr>
        <w:t>Transferee</w:t>
      </w:r>
      <w:r>
        <w:rPr>
          <w:rFonts w:ascii="Arial" w:cs="Arial" w:eastAsia="Arial" w:hAnsi="Arial"/>
          <w:sz w:val="16"/>
          <w:szCs w:val="16"/>
          <w:color w:val="auto"/>
        </w:rPr>
        <w:t>”). If Tenant desires Landlord’s consent to any Transfer, Tenant shall notify Landlord in writing, which notice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shall include (i) the proposed effective date of the Transfer, which shall not be less than thirty (30) days nor more than one hundred eighty (180)</w:t>
      </w:r>
      <w:r>
        <w:rPr>
          <w:rFonts w:ascii="Arial" w:cs="Arial" w:eastAsia="Arial" w:hAnsi="Arial"/>
          <w:sz w:val="16"/>
          <w:szCs w:val="16"/>
          <w:b w:val="1"/>
          <w:bCs w:val="1"/>
          <w:color w:val="auto"/>
        </w:rPr>
        <w:t xml:space="preserve"> </w:t>
      </w:r>
      <w:r>
        <w:rPr>
          <w:rFonts w:ascii="Arial" w:cs="Arial" w:eastAsia="Arial" w:hAnsi="Arial"/>
          <w:sz w:val="16"/>
          <w:szCs w:val="16"/>
          <w:color w:val="auto"/>
        </w:rPr>
        <w:t>days after the date of delivery of the Transfer Notice, (ii) a description of the portion of the Premises to be transferred (the “</w:t>
      </w:r>
      <w:r>
        <w:rPr>
          <w:rFonts w:ascii="Arial" w:cs="Arial" w:eastAsia="Arial" w:hAnsi="Arial"/>
          <w:sz w:val="16"/>
          <w:szCs w:val="16"/>
          <w:b w:val="1"/>
          <w:bCs w:val="1"/>
          <w:color w:val="auto"/>
        </w:rPr>
        <w:t>Subject Space</w:t>
      </w:r>
      <w:r>
        <w:rPr>
          <w:rFonts w:ascii="Arial" w:cs="Arial" w:eastAsia="Arial" w:hAnsi="Arial"/>
          <w:sz w:val="16"/>
          <w:szCs w:val="16"/>
          <w:color w:val="auto"/>
        </w:rPr>
        <w:t xml:space="preserve">”), (iii) all of the terms of the proposed Transfer and the consideration therefor, including calculation of the “Transfer Premium”, as that term is defined in </w:t>
      </w:r>
      <w:r>
        <w:rPr>
          <w:rFonts w:ascii="Arial" w:cs="Arial" w:eastAsia="Arial" w:hAnsi="Arial"/>
          <w:sz w:val="16"/>
          <w:szCs w:val="16"/>
          <w:u w:val="single" w:color="auto"/>
          <w:color w:val="auto"/>
        </w:rPr>
        <w:t>Section 14.3</w:t>
      </w:r>
      <w:r>
        <w:rPr>
          <w:rFonts w:ascii="Arial" w:cs="Arial" w:eastAsia="Arial" w:hAnsi="Arial"/>
          <w:sz w:val="16"/>
          <w:szCs w:val="16"/>
          <w:color w:val="auto"/>
        </w:rPr>
        <w:t xml:space="preserve"> below, in connection with such Transfer,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provided that Landlord shall have the right to require Tenant to utilize Landlord’s standard Transfer documents in connection with the documentation of such Transfer,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and (v) an executed estoppel certificate from Tenant in the form attached hereto as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153275" cy="298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58" w:name="page659"/>
    <w:bookmarkEnd w:id="658"/>
    <w:p>
      <w:pPr>
        <w:ind w:right="60"/>
        <w:spacing w:after="0" w:line="257" w:lineRule="auto"/>
        <w:rPr>
          <w:sz w:val="20"/>
          <w:szCs w:val="20"/>
          <w:color w:val="auto"/>
        </w:rPr>
      </w:pPr>
      <w:r>
        <w:rPr>
          <w:rFonts w:ascii="Arial" w:cs="Arial" w:eastAsia="Arial" w:hAnsi="Arial"/>
          <w:sz w:val="18"/>
          <w:szCs w:val="18"/>
          <w:color w:val="auto"/>
        </w:rPr>
        <w:t>processing fees, as well as any reasonable professional fees (including, without limitation, attorneys’, accountants’, architects’, engineers’ and consultants’ fees) incurred by Landlord, within thirty (30) days after written request by Landlord, in an amount not to exceed Two Thousand Five Hundred and No/100 Dollars ($2,500.00) in the aggregate, but such limitation of fees shall only apply to the extent such Transfer is in the ordinary course of business. Landlord and Tenant hereby agree that a proposed Transfer shall not be considered “in the ordinary course of business” if such Transfer involves the review of documentation by Landlord on more than two (2) occasions.</w:t>
      </w:r>
    </w:p>
    <w:p>
      <w:pPr>
        <w:spacing w:after="0" w:line="18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Landlord’s Consent</w:t>
      </w:r>
      <w:r>
        <w:rPr>
          <w:rFonts w:ascii="Arial" w:cs="Arial" w:eastAsia="Arial" w:hAnsi="Arial"/>
          <w:sz w:val="18"/>
          <w:szCs w:val="18"/>
          <w:color w:val="auto"/>
        </w:rPr>
        <w:t>. Landlord shall not unreasonably withhold or delay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The Transferee is of a character or reputation or engaged in a business which is not consistent with the quality of the Building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Project;</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The Transferee intends to use the Subject Space for purposes which are not permitted under this Lease;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6"/>
          <w:szCs w:val="16"/>
          <w:color w:val="auto"/>
        </w:rPr>
        <w:t>The Transferee is either a governmental agency or instrumentality thereof;</w:t>
      </w:r>
    </w:p>
    <w:p>
      <w:pPr>
        <w:spacing w:after="0" w:line="225" w:lineRule="exact"/>
        <w:rPr>
          <w:sz w:val="20"/>
          <w:szCs w:val="20"/>
          <w:color w:val="auto"/>
        </w:rPr>
      </w:pPr>
    </w:p>
    <w:p>
      <w:pPr>
        <w:ind w:right="700" w:firstLine="1296"/>
        <w:spacing w:after="0" w:line="277" w:lineRule="auto"/>
        <w:rPr>
          <w:sz w:val="20"/>
          <w:szCs w:val="20"/>
          <w:color w:val="auto"/>
        </w:rPr>
      </w:pPr>
      <w:r>
        <w:rPr>
          <w:rFonts w:ascii="Arial" w:cs="Arial" w:eastAsia="Arial" w:hAnsi="Arial"/>
          <w:sz w:val="18"/>
          <w:szCs w:val="18"/>
          <w:color w:val="auto"/>
        </w:rPr>
        <w:t>14.2.4 The Transferee is not a party of reasonable financial worth and/or financial stability in light of the responsibilities to be undertaken in connection with the Transfer on the date consent is requested;</w:t>
      </w:r>
    </w:p>
    <w:p>
      <w:pPr>
        <w:spacing w:after="0" w:line="170"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14.2.5 The proposed Transfer would cause a violation of another lease for space in the Project, or would give an occupant of the Project a right to cancel its lease; or</w:t>
      </w:r>
    </w:p>
    <w:p>
      <w:pPr>
        <w:spacing w:after="0" w:line="170"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14.2.6 Either the proposed Transferee, or any person or entity which directly or indirectly, controls, is controlled by, or is under common control with, the proposed Transferee, (i) occupies space in the Project at the time of the request for consent, or (ii) is negotiating with Landlord or has negotiated with Landlord during the six (6) month period immediately preceding the date Landlord receives the Transfer Notice, to lease space in the Project.</w:t>
      </w:r>
    </w:p>
    <w:p>
      <w:pPr>
        <w:spacing w:after="0" w:line="187" w:lineRule="exact"/>
        <w:rPr>
          <w:sz w:val="20"/>
          <w:szCs w:val="20"/>
          <w:color w:val="auto"/>
        </w:rPr>
      </w:pPr>
    </w:p>
    <w:p>
      <w:pPr>
        <w:ind w:right="240" w:firstLine="648"/>
        <w:spacing w:after="0" w:line="285" w:lineRule="auto"/>
        <w:rPr>
          <w:sz w:val="20"/>
          <w:szCs w:val="20"/>
          <w:color w:val="auto"/>
        </w:rPr>
      </w:pPr>
      <w:r>
        <w:rPr>
          <w:rFonts w:ascii="Arial" w:cs="Arial" w:eastAsia="Arial" w:hAnsi="Arial"/>
          <w:sz w:val="16"/>
          <w:szCs w:val="16"/>
          <w:color w:val="auto"/>
        </w:rPr>
        <w:t xml:space="preserve">If Landlord consents to any Transfer pursuant to the terms of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(and does not exercise any recapture rights Landlord may have under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of this Lease, provided that if there are any changes in the terms and conditions from those specified in the Transfer Notice (i) such that Landlord would initially have been entitled to refuse its consent to such Transfer under this </w:t>
      </w:r>
      <w:r>
        <w:rPr>
          <w:rFonts w:ascii="Arial" w:cs="Arial" w:eastAsia="Arial" w:hAnsi="Arial"/>
          <w:sz w:val="16"/>
          <w:szCs w:val="16"/>
          <w:u w:val="single" w:color="auto"/>
          <w:color w:val="auto"/>
        </w:rPr>
        <w:t>Section 14.2</w:t>
      </w:r>
      <w:r>
        <w:rPr>
          <w:rFonts w:ascii="Arial" w:cs="Arial" w:eastAsia="Arial" w:hAnsi="Arial"/>
          <w:sz w:val="16"/>
          <w:szCs w:val="16"/>
          <w:color w:val="auto"/>
        </w:rPr>
        <w:t>, or</w:t>
      </w:r>
    </w:p>
    <w:p>
      <w:pPr>
        <w:spacing w:after="0" w:line="2" w:lineRule="exact"/>
        <w:rPr>
          <w:sz w:val="20"/>
          <w:szCs w:val="20"/>
          <w:color w:val="auto"/>
        </w:rPr>
      </w:pPr>
    </w:p>
    <w:p>
      <w:pPr>
        <w:ind w:right="60" w:firstLine="8"/>
        <w:spacing w:after="0" w:line="251" w:lineRule="auto"/>
        <w:tabs>
          <w:tab w:leader="none" w:pos="265" w:val="left"/>
        </w:tabs>
        <w:numPr>
          <w:ilvl w:val="0"/>
          <w:numId w:val="560"/>
        </w:numPr>
        <w:rPr>
          <w:rFonts w:ascii="Arial" w:cs="Arial" w:eastAsia="Arial" w:hAnsi="Arial"/>
          <w:sz w:val="18"/>
          <w:szCs w:val="18"/>
          <w:color w:val="auto"/>
        </w:rPr>
      </w:pPr>
      <w:r>
        <w:rPr>
          <w:rFonts w:ascii="Arial" w:cs="Arial" w:eastAsia="Arial" w:hAnsi="Arial"/>
          <w:sz w:val="18"/>
          <w:szCs w:val="18"/>
          <w:color w:val="auto"/>
        </w:rPr>
        <w:t xml:space="preserve">which would cause the proposed Transfer to be more favorable to the Transferee than the terms set forth in Tenant’s original Transfer Notice, Tenant shall again submit the Transfer to Landlord for its approval and other action under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(including Landlord’s right of recapture, if any, under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or otherwise has breached or acted unreasonably under this </w:t>
      </w:r>
      <w:r>
        <w:rPr>
          <w:rFonts w:ascii="Arial" w:cs="Arial" w:eastAsia="Arial" w:hAnsi="Arial"/>
          <w:sz w:val="18"/>
          <w:szCs w:val="18"/>
          <w:u w:val="single" w:color="auto"/>
          <w:color w:val="auto"/>
        </w:rPr>
        <w:t>Article 14</w:t>
      </w:r>
      <w:r>
        <w:rPr>
          <w:rFonts w:ascii="Arial" w:cs="Arial" w:eastAsia="Arial" w:hAnsi="Arial"/>
          <w:sz w:val="18"/>
          <w:szCs w:val="18"/>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b w:val="1"/>
          <w:bCs w:val="1"/>
          <w:u w:val="single" w:color="auto"/>
          <w:color w:val="auto"/>
        </w:rPr>
        <w:t>Transfer Premium</w:t>
      </w:r>
      <w:r>
        <w:rPr>
          <w:rFonts w:ascii="Arial" w:cs="Arial" w:eastAsia="Arial" w:hAnsi="Arial"/>
          <w:sz w:val="16"/>
          <w:szCs w:val="16"/>
          <w:color w:val="auto"/>
        </w:rPr>
        <w:t>. If Landlord consents to a Transfer, as a condition thereto which the parties hereby agree is reasonable, Tenant shall</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pay to Landlord fifty percent (50%) of any “Transfer Premium,” as that term is defined in this </w:t>
      </w:r>
      <w:r>
        <w:rPr>
          <w:rFonts w:ascii="Arial" w:cs="Arial" w:eastAsia="Arial" w:hAnsi="Arial"/>
          <w:sz w:val="17"/>
          <w:szCs w:val="17"/>
          <w:u w:val="single" w:color="auto"/>
          <w:color w:val="auto"/>
        </w:rPr>
        <w:t>Section 14.3</w:t>
      </w:r>
      <w:r>
        <w:rPr>
          <w:rFonts w:ascii="Arial" w:cs="Arial" w:eastAsia="Arial" w:hAnsi="Arial"/>
          <w:sz w:val="17"/>
          <w:szCs w:val="17"/>
          <w:color w:val="auto"/>
        </w:rPr>
        <w:t>, received by Tenant from such Transferee.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Premium</w:t>
      </w:r>
      <w:r>
        <w:rPr>
          <w:rFonts w:ascii="Arial" w:cs="Arial" w:eastAsia="Arial" w:hAnsi="Arial"/>
          <w:sz w:val="16"/>
          <w:szCs w:val="16"/>
          <w:color w:val="auto"/>
        </w:rPr>
        <w:t>” shall mean all rent, additional rent or other consideration payable by such Transferee in connection with the Transfer in excess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Rent and Additional Rent payable by Tenant under this Lease during the term of the Transfer on a per rentable square foot basis if less than all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Premises is transferred. “</w:t>
      </w:r>
      <w:r>
        <w:rPr>
          <w:rFonts w:ascii="Arial" w:cs="Arial" w:eastAsia="Arial" w:hAnsi="Arial"/>
          <w:sz w:val="18"/>
          <w:szCs w:val="18"/>
          <w:b w:val="1"/>
          <w:bCs w:val="1"/>
          <w:color w:val="auto"/>
        </w:rPr>
        <w:t>Transfer Premium</w:t>
      </w:r>
      <w:r>
        <w:rPr>
          <w:rFonts w:ascii="Arial" w:cs="Arial" w:eastAsia="Arial" w:hAnsi="Arial"/>
          <w:sz w:val="18"/>
          <w:szCs w:val="18"/>
          <w:color w:val="auto"/>
        </w:rPr>
        <w:t>” shall also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but not be limited to, key money, bonus money or other cash consideration paid by Transferee to Tenant in connection with such Transfer, any debt relief benefiting Tenant in connection with such Transfer,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w:t>
      </w:r>
    </w:p>
    <w:p>
      <w:pPr>
        <w:spacing w:after="0" w:line="18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u w:val="single" w:color="auto"/>
          <w:color w:val="auto"/>
        </w:rPr>
        <w:t>Landlord’s Option as to Subject Space</w:t>
      </w:r>
      <w:r>
        <w:rPr>
          <w:rFonts w:ascii="Arial" w:cs="Arial" w:eastAsia="Arial" w:hAnsi="Arial"/>
          <w:sz w:val="16"/>
          <w:szCs w:val="16"/>
          <w:b w:val="1"/>
          <w:bCs w:val="1"/>
          <w:color w:val="auto"/>
        </w:rPr>
        <w:t>.</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 the event Tenant contemplates a Transfer of all or a portion of the Premises (or in the event of any other Transfer or Transfers entered into by Tenant as a subterfuge in order to avoid the terms of this </w:t>
      </w:r>
      <w:r>
        <w:rPr>
          <w:rFonts w:ascii="Arial" w:cs="Arial" w:eastAsia="Arial" w:hAnsi="Arial"/>
          <w:sz w:val="16"/>
          <w:szCs w:val="16"/>
          <w:u w:val="single" w:color="auto"/>
          <w:color w:val="auto"/>
        </w:rPr>
        <w:t>Section 14.4)</w:t>
      </w:r>
      <w:r>
        <w:rPr>
          <w:rFonts w:ascii="Arial" w:cs="Arial" w:eastAsia="Arial" w:hAnsi="Arial"/>
          <w:sz w:val="16"/>
          <w:szCs w:val="16"/>
          <w:color w:val="auto"/>
        </w:rPr>
        <w:t>, Tenant shall give Landlord notice (the “</w:t>
      </w:r>
      <w:r>
        <w:rPr>
          <w:rFonts w:ascii="Arial" w:cs="Arial" w:eastAsia="Arial" w:hAnsi="Arial"/>
          <w:sz w:val="16"/>
          <w:szCs w:val="16"/>
          <w:b w:val="1"/>
          <w:bCs w:val="1"/>
          <w:color w:val="auto"/>
        </w:rPr>
        <w:t>Intention to Transfer Notice</w:t>
      </w:r>
      <w:r>
        <w:rPr>
          <w:rFonts w:ascii="Arial" w:cs="Arial" w:eastAsia="Arial" w:hAnsi="Arial"/>
          <w:sz w:val="16"/>
          <w:szCs w:val="16"/>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6"/>
          <w:szCs w:val="16"/>
          <w:b w:val="1"/>
          <w:bCs w:val="1"/>
          <w:color w:val="auto"/>
        </w:rPr>
        <w:t>Contemplated Transfer Space</w:t>
      </w:r>
      <w:r>
        <w:rPr>
          <w:rFonts w:ascii="Arial" w:cs="Arial" w:eastAsia="Arial" w:hAnsi="Arial"/>
          <w:sz w:val="16"/>
          <w:szCs w:val="16"/>
          <w:color w:val="auto"/>
        </w:rPr>
        <w:t>”), the contemplated date of commencement of the Contemplated Transfer (the “</w:t>
      </w:r>
      <w:r>
        <w:rPr>
          <w:rFonts w:ascii="Arial" w:cs="Arial" w:eastAsia="Arial" w:hAnsi="Arial"/>
          <w:sz w:val="16"/>
          <w:szCs w:val="16"/>
          <w:b w:val="1"/>
          <w:bCs w:val="1"/>
          <w:color w:val="auto"/>
        </w:rPr>
        <w:t>Contemplated Effective Date</w:t>
      </w:r>
      <w:r>
        <w:rPr>
          <w:rFonts w:ascii="Arial" w:cs="Arial" w:eastAsia="Arial" w:hAnsi="Arial"/>
          <w:sz w:val="16"/>
          <w:szCs w:val="16"/>
          <w:color w:val="auto"/>
        </w:rPr>
        <w:t xml:space="preserve">”), and the contemplated length of the term of such contemplated Transfer, and shall specify that such Intention to Transfer Notice is delivered to Landlord pursuant to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in order to allow Landlord to elect to recapture the Contemplated Transfer Space for the term set forth in the Intention to Transfer Notice. Thereafter, Landlord shall have the option, by giving written notice to Tenant within thirty (30)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then, subject to the other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for a period of nine (9) months (the “</w:t>
      </w:r>
      <w:r>
        <w:rPr>
          <w:rFonts w:ascii="Arial" w:cs="Arial" w:eastAsia="Arial" w:hAnsi="Arial"/>
          <w:sz w:val="16"/>
          <w:szCs w:val="16"/>
          <w:b w:val="1"/>
          <w:bCs w:val="1"/>
          <w:color w:val="auto"/>
        </w:rPr>
        <w:t>Nine Month Period</w:t>
      </w:r>
      <w:r>
        <w:rPr>
          <w:rFonts w:ascii="Arial" w:cs="Arial" w:eastAsia="Arial" w:hAnsi="Arial"/>
          <w:sz w:val="16"/>
          <w:szCs w:val="16"/>
          <w:color w:val="auto"/>
        </w:rPr>
        <w:t xml:space="preserve">”) commencing on the last day of such thirty (30)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6"/>
          <w:szCs w:val="16"/>
          <w:u w:val="single" w:color="auto"/>
          <w:color w:val="auto"/>
        </w:rPr>
        <w:t>Article 14</w:t>
      </w:r>
      <w:r>
        <w:rPr>
          <w:rFonts w:ascii="Arial" w:cs="Arial" w:eastAsia="Arial" w:hAnsi="Arial"/>
          <w:sz w:val="16"/>
          <w:szCs w:val="16"/>
          <w:color w:val="auto"/>
        </w:rPr>
        <w:t>. If such a Transfer is not so consummated within the Nine Month Period (or if a Transfer is so consummated, then upon</w:t>
      </w:r>
    </w:p>
    <w:p>
      <w:pPr>
        <w:sectPr>
          <w:pgSz w:w="11900" w:h="16838" w:orient="portrait"/>
          <w:cols w:equalWidth="0" w:num="1">
            <w:col w:w="11220"/>
          </w:cols>
          <w:pgMar w:left="320" w:top="342" w:right="359" w:bottom="0" w:gutter="0" w:footer="0" w:header="0"/>
        </w:sectPr>
      </w:pPr>
    </w:p>
    <w:bookmarkStart w:id="659" w:name="page660"/>
    <w:bookmarkEnd w:id="659"/>
    <w:p>
      <w:pPr>
        <w:ind w:right="440"/>
        <w:spacing w:after="0" w:line="342" w:lineRule="auto"/>
        <w:rPr>
          <w:sz w:val="20"/>
          <w:szCs w:val="20"/>
          <w:color w:val="auto"/>
        </w:rPr>
      </w:pPr>
      <w:r>
        <w:rPr>
          <w:rFonts w:ascii="Arial" w:cs="Arial" w:eastAsia="Arial" w:hAnsi="Arial"/>
          <w:sz w:val="16"/>
          <w:szCs w:val="16"/>
          <w:color w:val="auto"/>
        </w:rPr>
        <w:t xml:space="preserve">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6"/>
          <w:szCs w:val="16"/>
          <w:u w:val="single" w:color="auto"/>
          <w:color w:val="auto"/>
        </w:rPr>
        <w:t>Section 14.4</w:t>
      </w:r>
      <w:r>
        <w:rPr>
          <w:rFonts w:ascii="Arial" w:cs="Arial" w:eastAsia="Arial" w:hAnsi="Arial"/>
          <w:sz w:val="16"/>
          <w:szCs w:val="16"/>
          <w:color w:val="auto"/>
        </w:rPr>
        <w:t>.</w:t>
      </w:r>
    </w:p>
    <w:p>
      <w:pPr>
        <w:spacing w:after="0" w:line="12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b w:val="1"/>
          <w:bCs w:val="1"/>
          <w:u w:val="single" w:color="auto"/>
          <w:color w:val="auto"/>
        </w:rPr>
        <w:t>Effect of Transfer</w:t>
      </w:r>
      <w:r>
        <w:rPr>
          <w:rFonts w:ascii="Arial" w:cs="Arial" w:eastAsia="Arial" w:hAnsi="Arial"/>
          <w:sz w:val="16"/>
          <w:szCs w:val="16"/>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w:t>
      </w:r>
    </w:p>
    <w:p>
      <w:pPr>
        <w:spacing w:after="0" w:line="2" w:lineRule="exact"/>
        <w:rPr>
          <w:sz w:val="20"/>
          <w:szCs w:val="20"/>
          <w:color w:val="auto"/>
        </w:rPr>
      </w:pPr>
    </w:p>
    <w:p>
      <w:pPr>
        <w:ind w:firstLine="8"/>
        <w:spacing w:after="0" w:line="269" w:lineRule="auto"/>
        <w:tabs>
          <w:tab w:leader="none" w:pos="302" w:val="left"/>
        </w:tabs>
        <w:numPr>
          <w:ilvl w:val="0"/>
          <w:numId w:val="561"/>
        </w:numPr>
        <w:rPr>
          <w:rFonts w:ascii="Arial" w:cs="Arial" w:eastAsia="Arial" w:hAnsi="Arial"/>
          <w:sz w:val="17"/>
          <w:szCs w:val="17"/>
          <w:color w:val="auto"/>
        </w:rPr>
      </w:pPr>
      <w:r>
        <w:rPr>
          <w:rFonts w:ascii="Arial" w:cs="Arial" w:eastAsia="Arial" w:hAnsi="Arial"/>
          <w:sz w:val="17"/>
          <w:szCs w:val="17"/>
          <w:color w:val="auto"/>
        </w:rPr>
        <w:t>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17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u w:val="single" w:color="auto"/>
          <w:color w:val="auto"/>
        </w:rPr>
        <w:t>Additional Transfers</w:t>
      </w:r>
      <w:r>
        <w:rPr>
          <w:rFonts w:ascii="Arial" w:cs="Arial" w:eastAsia="Arial" w:hAnsi="Arial"/>
          <w:sz w:val="18"/>
          <w:szCs w:val="18"/>
          <w:color w:val="auto"/>
        </w:rPr>
        <w:t>. For purposes of this Lease, the term “</w:t>
      </w:r>
      <w:r>
        <w:rPr>
          <w:rFonts w:ascii="Arial" w:cs="Arial" w:eastAsia="Arial" w:hAnsi="Arial"/>
          <w:sz w:val="18"/>
          <w:szCs w:val="18"/>
          <w:b w:val="1"/>
          <w:bCs w:val="1"/>
          <w:color w:val="auto"/>
        </w:rPr>
        <w:t>Transfer</w:t>
      </w:r>
      <w:r>
        <w:rPr>
          <w:rFonts w:ascii="Arial" w:cs="Arial" w:eastAsia="Arial" w:hAnsi="Arial"/>
          <w:sz w:val="18"/>
          <w:szCs w:val="18"/>
          <w:color w:val="auto"/>
        </w:rPr>
        <w:t>” shall also include (i) if Tenant is a partnership, the withdrawal or change, voluntary, involuntary or by operation of law, of fifty percent (50%) or more of the partners, or transfer of fifty percent (50%) or more of partnership interests, within a twelve (12)-month period, or the dissolution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60" w:name="page661"/>
    <w:bookmarkEnd w:id="660"/>
    <w:p>
      <w:pPr>
        <w:ind w:right="100"/>
        <w:spacing w:after="0" w:line="257" w:lineRule="auto"/>
        <w:rPr>
          <w:sz w:val="20"/>
          <w:szCs w:val="20"/>
          <w:color w:val="auto"/>
        </w:rPr>
      </w:pPr>
      <w:r>
        <w:rPr>
          <w:rFonts w:ascii="Arial" w:cs="Arial" w:eastAsia="Arial" w:hAnsi="Arial"/>
          <w:sz w:val="18"/>
          <w:szCs w:val="18"/>
          <w:color w:val="auto"/>
        </w:rPr>
        <w:t xml:space="preserve">partnership without immediate reconstitution thereof, and (ii) if Tenant is a closely held corporation </w:t>
      </w:r>
      <w:r>
        <w:rPr>
          <w:rFonts w:ascii="Arial" w:cs="Arial" w:eastAsia="Arial" w:hAnsi="Arial"/>
          <w:sz w:val="18"/>
          <w:szCs w:val="18"/>
          <w:i w:val="1"/>
          <w:iCs w:val="1"/>
          <w:color w:val="auto"/>
        </w:rPr>
        <w:t>(i.e.,</w:t>
      </w:r>
      <w:r>
        <w:rPr>
          <w:rFonts w:ascii="Arial" w:cs="Arial" w:eastAsia="Arial" w:hAnsi="Arial"/>
          <w:sz w:val="18"/>
          <w:szCs w:val="18"/>
          <w:color w:val="auto"/>
        </w:rPr>
        <w:t xml:space="preserve"> whose stock is not publicly held and not traded through an exchange or over the counter), (A) the dissolution, merger, consolidation or other reorganization of Tenant or (8) the sale or other transfer of an aggregate of fifty percent (50%) or more of the voting shares of Tenant (other than to immediate family members by reason of gift or death), within a twelve (12)-month period, or (C) the sale, mortgage, hypothecation or pledge of an aggregate of fifty percent (50%) or more of the value of the unencumbered assets of Tenant within a twelve (12)-month period.</w:t>
      </w:r>
    </w:p>
    <w:p>
      <w:pPr>
        <w:spacing w:after="0" w:line="1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b w:val="1"/>
          <w:bCs w:val="1"/>
          <w:u w:val="single" w:color="auto"/>
          <w:color w:val="auto"/>
        </w:rPr>
        <w:t>Occurrence of Default</w:t>
      </w:r>
      <w:r>
        <w:rPr>
          <w:rFonts w:ascii="Arial" w:cs="Arial" w:eastAsia="Arial" w:hAnsi="Arial"/>
          <w:sz w:val="17"/>
          <w:szCs w:val="17"/>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7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14.8 </w:t>
      </w:r>
      <w:r>
        <w:rPr>
          <w:rFonts w:ascii="Arial" w:cs="Arial" w:eastAsia="Arial" w:hAnsi="Arial"/>
          <w:sz w:val="17"/>
          <w:szCs w:val="17"/>
          <w:b w:val="1"/>
          <w:bCs w:val="1"/>
          <w:u w:val="single" w:color="auto"/>
          <w:color w:val="auto"/>
        </w:rPr>
        <w:t>Permitted-Transfers</w:t>
      </w:r>
      <w:r>
        <w:rPr>
          <w:rFonts w:ascii="Arial" w:cs="Arial" w:eastAsia="Arial" w:hAnsi="Arial"/>
          <w:sz w:val="17"/>
          <w:szCs w:val="17"/>
          <w:b w:val="1"/>
          <w:bCs w:val="1"/>
          <w:color w:val="auto"/>
        </w:rPr>
        <w:t>.</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u w:val="single" w:color="auto"/>
          <w:color w:val="auto"/>
        </w:rPr>
        <w:t>Article 14</w:t>
      </w:r>
      <w:r>
        <w:rPr>
          <w:rFonts w:ascii="Arial" w:cs="Arial" w:eastAsia="Arial" w:hAnsi="Arial"/>
          <w:sz w:val="17"/>
          <w:szCs w:val="17"/>
          <w:color w:val="auto"/>
        </w:rPr>
        <w:t xml:space="preserve">, in the event of a Transfer by Tenant to a Transferee which is an affiliate of Tenant (an </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(an entity which is controlled by, controls, or is under common control with, Tenant), while subject to all other provisions of this Article 14, such Transfer to Tenant’s Affiliate shall not require Landlord’s consent under </w:t>
      </w:r>
      <w:r>
        <w:rPr>
          <w:rFonts w:ascii="Arial" w:cs="Arial" w:eastAsia="Arial" w:hAnsi="Arial"/>
          <w:sz w:val="17"/>
          <w:szCs w:val="17"/>
          <w:u w:val="single" w:color="auto"/>
          <w:color w:val="auto"/>
        </w:rPr>
        <w:t>Sections 14.1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14.2</w:t>
      </w:r>
      <w:r>
        <w:rPr>
          <w:rFonts w:ascii="Arial" w:cs="Arial" w:eastAsia="Arial" w:hAnsi="Arial"/>
          <w:sz w:val="17"/>
          <w:szCs w:val="17"/>
          <w:color w:val="auto"/>
        </w:rPr>
        <w:t xml:space="preserve">, above, and shall not be subject to </w:t>
      </w:r>
      <w:r>
        <w:rPr>
          <w:rFonts w:ascii="Arial" w:cs="Arial" w:eastAsia="Arial" w:hAnsi="Arial"/>
          <w:sz w:val="17"/>
          <w:szCs w:val="17"/>
          <w:u w:val="single" w:color="auto"/>
          <w:color w:val="auto"/>
        </w:rPr>
        <w:t>Sections 14.3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14.4</w:t>
      </w:r>
      <w:r>
        <w:rPr>
          <w:rFonts w:ascii="Arial" w:cs="Arial" w:eastAsia="Arial" w:hAnsi="Arial"/>
          <w:sz w:val="17"/>
          <w:szCs w:val="17"/>
          <w:color w:val="auto"/>
        </w:rPr>
        <w:t xml:space="preserve">, above, provided that Tenant notifies Landlord of any such Transfer to Tenant’s Affiliate and promptly supplies Landlord with any documents or information requested by Landlord regarding such Transfer or Affiliate, and further provided that such Transfer is not a subterfuge by Tenant to avoid its obligations under this Lease. The assignee (but not a subtenant) under a Transfer specified hereinabove shall be referred to as a </w:t>
      </w:r>
      <w:r>
        <w:rPr>
          <w:rFonts w:ascii="Arial" w:cs="Arial" w:eastAsia="Arial" w:hAnsi="Arial"/>
          <w:sz w:val="17"/>
          <w:szCs w:val="17"/>
          <w:b w:val="1"/>
          <w:bCs w:val="1"/>
          <w:color w:val="auto"/>
        </w:rPr>
        <w:t>“Permitted Transferee.</w:t>
      </w:r>
      <w:r>
        <w:rPr>
          <w:rFonts w:ascii="Arial" w:cs="Arial" w:eastAsia="Arial" w:hAnsi="Arial"/>
          <w:sz w:val="17"/>
          <w:szCs w:val="17"/>
          <w:color w:val="auto"/>
        </w:rPr>
        <w:t>” “</w:t>
      </w:r>
      <w:r>
        <w:rPr>
          <w:rFonts w:ascii="Arial" w:cs="Arial" w:eastAsia="Arial" w:hAnsi="Arial"/>
          <w:sz w:val="17"/>
          <w:szCs w:val="17"/>
          <w:b w:val="1"/>
          <w:bCs w:val="1"/>
          <w:color w:val="auto"/>
        </w:rPr>
        <w:t>Control</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Section 14.8</w:t>
      </w:r>
      <w:r>
        <w:rPr>
          <w:rFonts w:ascii="Arial" w:cs="Arial" w:eastAsia="Arial" w:hAnsi="Arial"/>
          <w:sz w:val="17"/>
          <w:szCs w:val="17"/>
          <w:color w:val="auto"/>
        </w:rPr>
        <w:t>, shall mean the ownership, directly or indirectly, of at least fifty-one percent (51%) of the voting securities of, or possession of the right to vote, in the ordinary direction of its affairs, of at least fifty-one percent (51%) of the voting interest in, any person or entity.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SURRENDER OF PREMISES; OWNERSHIP AND REMOVAL OF TRADE FIXTURES</w:t>
      </w:r>
    </w:p>
    <w:p>
      <w:pPr>
        <w:spacing w:after="0" w:line="225"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61"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u w:val="single" w:color="auto"/>
          <w:color w:val="auto"/>
        </w:rPr>
        <w:t>Removal of Tenant Property by Tenant</w:t>
      </w:r>
      <w:r>
        <w:rPr>
          <w:rFonts w:ascii="Arial" w:cs="Arial" w:eastAsia="Arial" w:hAnsi="Arial"/>
          <w:sz w:val="18"/>
          <w:szCs w:val="18"/>
          <w:color w:val="auto"/>
        </w:rPr>
        <w:t xml:space="preserve">. Upon the expiration of the Lease Term, or upon any earlier termination of this Lease, Tenant shall, subject to the provisions of this </w:t>
      </w:r>
      <w:r>
        <w:rPr>
          <w:rFonts w:ascii="Arial" w:cs="Arial" w:eastAsia="Arial" w:hAnsi="Arial"/>
          <w:sz w:val="18"/>
          <w:szCs w:val="18"/>
          <w:u w:val="single" w:color="auto"/>
          <w:color w:val="auto"/>
        </w:rPr>
        <w:t>Article 15</w:t>
      </w:r>
      <w:r>
        <w:rPr>
          <w:rFonts w:ascii="Arial" w:cs="Arial" w:eastAsia="Arial" w:hAnsi="Arial"/>
          <w:sz w:val="18"/>
          <w:szCs w:val="18"/>
          <w:color w:val="auto"/>
        </w:rPr>
        <w:t>, quit and surrender possession of the Premises to Landlord in as good order and condition as when Tenant took possession and as thereafter improved by Landlord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61" w:name="page662"/>
    <w:bookmarkEnd w:id="661"/>
    <w:p>
      <w:pPr>
        <w:spacing w:after="0" w:line="293" w:lineRule="auto"/>
        <w:rPr>
          <w:sz w:val="20"/>
          <w:szCs w:val="20"/>
          <w:color w:val="auto"/>
        </w:rPr>
      </w:pPr>
      <w:r>
        <w:rPr>
          <w:rFonts w:ascii="Arial" w:cs="Arial" w:eastAsia="Arial" w:hAnsi="Arial"/>
          <w:sz w:val="16"/>
          <w:szCs w:val="16"/>
          <w:color w:val="auto"/>
        </w:rPr>
        <w:t>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(the notification of which may be provided to Tenant either prior to or following the expiration or earlier termination of this Lease), and Tenant shall repair at its own expense all damage to the Premises and Building resulting from such removal.</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HOLDING OVER</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If Tenant holds over after the expiration of the Lease Term or earlier termination thereof, with or without the express or implied consent of Landlord, such tenancy shall be from month-to-month only, and shall not constitute a renewal hereof or an extension for any further term, and in such case Rent shall be payable at a monthly rate equal to the product of (i) the Rent applicable during the last rental period of the Lease Term under this Lease, and</w:t>
      </w:r>
    </w:p>
    <w:p>
      <w:pPr>
        <w:spacing w:after="0" w:line="2" w:lineRule="exact"/>
        <w:rPr>
          <w:sz w:val="20"/>
          <w:szCs w:val="20"/>
          <w:color w:val="auto"/>
        </w:rPr>
      </w:pPr>
    </w:p>
    <w:p>
      <w:pPr>
        <w:ind w:right="100" w:firstLine="8"/>
        <w:spacing w:after="0" w:line="268" w:lineRule="auto"/>
        <w:tabs>
          <w:tab w:leader="none" w:pos="265" w:val="left"/>
        </w:tabs>
        <w:numPr>
          <w:ilvl w:val="0"/>
          <w:numId w:val="562"/>
        </w:numPr>
        <w:rPr>
          <w:rFonts w:ascii="Arial" w:cs="Arial" w:eastAsia="Arial" w:hAnsi="Arial"/>
          <w:sz w:val="17"/>
          <w:szCs w:val="17"/>
          <w:color w:val="auto"/>
        </w:rPr>
      </w:pPr>
      <w:r>
        <w:rPr>
          <w:rFonts w:ascii="Arial" w:cs="Arial" w:eastAsia="Arial" w:hAnsi="Arial"/>
          <w:sz w:val="17"/>
          <w:szCs w:val="17"/>
          <w:color w:val="auto"/>
        </w:rPr>
        <w:t xml:space="preserve">a percentage equal to 150% during the first two (2) months immediately following the expiration or earlier termination of the Lease Term, and 200% thereafter. Such month-to-month tenancy shall be subject to every other applicable term, covenant and agreement contained herein. Nothing contained in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ESTOPPEL CERTIFICATES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Within ten (10) business days following a request in writing by Landlord, Tenant shall execute, acknowledge and deliver to Landlord an estoppel certificate, which, as submitted by Landlord, shall be substantially in the form of </w:t>
      </w:r>
      <w:r>
        <w:rPr>
          <w:rFonts w:ascii="Arial" w:cs="Arial" w:eastAsia="Arial" w:hAnsi="Arial"/>
          <w:sz w:val="16"/>
          <w:szCs w:val="16"/>
          <w:b w:val="1"/>
          <w:bCs w:val="1"/>
          <w:u w:val="single" w:color="auto"/>
          <w:color w:val="auto"/>
        </w:rPr>
        <w:t>Exhibit E</w:t>
      </w:r>
      <w:r>
        <w:rPr>
          <w:rFonts w:ascii="Arial" w:cs="Arial" w:eastAsia="Arial" w:hAnsi="Arial"/>
          <w:sz w:val="16"/>
          <w:szCs w:val="16"/>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18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SUBORDINATION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This Lease shall be subject and subordinate to all present and future ground or underlying leases of the Building or Project and to the lien of any mortgage, trust deed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662" w:name="page663"/>
    <w:bookmarkEnd w:id="662"/>
    <w:p>
      <w:pPr>
        <w:spacing w:after="0" w:line="286" w:lineRule="auto"/>
        <w:rPr>
          <w:sz w:val="20"/>
          <w:szCs w:val="20"/>
          <w:color w:val="auto"/>
        </w:rPr>
      </w:pPr>
      <w:r>
        <w:rPr>
          <w:rFonts w:ascii="Arial" w:cs="Arial" w:eastAsia="Arial" w:hAnsi="Arial"/>
          <w:sz w:val="16"/>
          <w:szCs w:val="16"/>
          <w:color w:val="auto"/>
        </w:rPr>
        <w:t>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DEFAULTS; REMEDIES</w:t>
      </w:r>
    </w:p>
    <w:p>
      <w:pPr>
        <w:spacing w:after="0" w:line="225"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occurrence of any of the following shall constitute a default of this Lease by Tenant:</w:t>
      </w:r>
    </w:p>
    <w:p>
      <w:pPr>
        <w:spacing w:after="0" w:line="229" w:lineRule="exact"/>
        <w:rPr>
          <w:sz w:val="20"/>
          <w:szCs w:val="20"/>
          <w:color w:val="auto"/>
        </w:rPr>
      </w:pPr>
    </w:p>
    <w:p>
      <w:pPr>
        <w:ind w:right="260" w:firstLine="1296"/>
        <w:spacing w:after="0" w:line="277" w:lineRule="auto"/>
        <w:rPr>
          <w:sz w:val="20"/>
          <w:szCs w:val="20"/>
          <w:color w:val="auto"/>
        </w:rPr>
      </w:pPr>
      <w:r>
        <w:rPr>
          <w:rFonts w:ascii="Arial" w:cs="Arial" w:eastAsia="Arial" w:hAnsi="Arial"/>
          <w:sz w:val="18"/>
          <w:szCs w:val="18"/>
          <w:color w:val="auto"/>
        </w:rPr>
        <w:t>19.1.1 Any failure by Tenant to pay any Rent or any other charge required to be paid under this Lease, or any part thereof, when due unless such failure is cured within five (5) business days after notice; or</w:t>
      </w:r>
    </w:p>
    <w:p>
      <w:pPr>
        <w:spacing w:after="0" w:line="170"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8"/>
          <w:szCs w:val="18"/>
          <w:u w:val="single" w:color="auto"/>
          <w:color w:val="auto"/>
        </w:rPr>
        <w:t>Section 19.1.2</w:t>
      </w:r>
      <w:r>
        <w:rPr>
          <w:rFonts w:ascii="Arial" w:cs="Arial" w:eastAsia="Arial" w:hAnsi="Arial"/>
          <w:sz w:val="18"/>
          <w:szCs w:val="18"/>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19.1.3</w:t>
      </w:r>
      <w:r>
        <w:rPr>
          <w:sz w:val="20"/>
          <w:szCs w:val="20"/>
          <w:color w:val="auto"/>
        </w:rPr>
        <w:tab/>
      </w:r>
      <w:r>
        <w:rPr>
          <w:rFonts w:ascii="Arial" w:cs="Arial" w:eastAsia="Arial" w:hAnsi="Arial"/>
          <w:sz w:val="16"/>
          <w:szCs w:val="16"/>
          <w:color w:val="auto"/>
        </w:rPr>
        <w:t>Abandonment or vacation of all or a substantial portion of the Premises by Tenant; or</w:t>
      </w:r>
    </w:p>
    <w:p>
      <w:pPr>
        <w:spacing w:after="0" w:line="225"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 xml:space="preserve">19.1.4 The failure by Tenant to observe or perform according to the provisions of </w:t>
      </w:r>
      <w:r>
        <w:rPr>
          <w:rFonts w:ascii="Arial" w:cs="Arial" w:eastAsia="Arial" w:hAnsi="Arial"/>
          <w:sz w:val="18"/>
          <w:szCs w:val="18"/>
          <w:u w:val="single" w:color="auto"/>
          <w:color w:val="auto"/>
        </w:rPr>
        <w:t>Articles 5, 14, 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of this Lease where such failure continues for more than two (2) business days after notice from Landlord; or</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19.1.5</w:t>
      </w:r>
      <w:r>
        <w:rPr>
          <w:sz w:val="20"/>
          <w:szCs w:val="20"/>
          <w:color w:val="auto"/>
        </w:rPr>
        <w:tab/>
      </w:r>
      <w:r>
        <w:rPr>
          <w:rFonts w:ascii="Arial" w:cs="Arial" w:eastAsia="Arial" w:hAnsi="Arial"/>
          <w:sz w:val="16"/>
          <w:szCs w:val="16"/>
          <w:color w:val="auto"/>
        </w:rPr>
        <w:t>Tenant’s failure to occupy the Premises within ten (10) business days after the Lease Commencement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periods provided herein are in lieu of, and not in addition to, any notice periods provided by law.</w:t>
      </w:r>
    </w:p>
    <w:p>
      <w:pPr>
        <w:spacing w:after="0" w:line="221"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b w:val="1"/>
          <w:bCs w:val="1"/>
          <w:u w:val="single" w:color="auto"/>
          <w:color w:val="auto"/>
        </w:rPr>
        <w:t>Remedies Upon Default</w:t>
      </w:r>
      <w:r>
        <w:rPr>
          <w:rFonts w:ascii="Arial" w:cs="Arial" w:eastAsia="Arial" w:hAnsi="Arial"/>
          <w:sz w:val="17"/>
          <w:szCs w:val="17"/>
          <w:b w:val="1"/>
          <w:bCs w:val="1"/>
          <w:color w:val="auto"/>
        </w:rPr>
        <w:t>.</w:t>
      </w:r>
      <w:r>
        <w:rPr>
          <w:rFonts w:ascii="Arial" w:cs="Arial" w:eastAsia="Arial" w:hAnsi="Arial"/>
          <w:sz w:val="17"/>
          <w:szCs w:val="17"/>
          <w:color w:val="auto"/>
        </w:rPr>
        <w:t xml:space="preserve">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62" w:lineRule="exact"/>
        <w:rPr>
          <w:sz w:val="20"/>
          <w:szCs w:val="20"/>
          <w:color w:val="auto"/>
        </w:rPr>
      </w:pPr>
    </w:p>
    <w:p>
      <w:pPr>
        <w:ind w:right="160" w:firstLine="1296"/>
        <w:spacing w:after="0" w:line="308" w:lineRule="auto"/>
        <w:rPr>
          <w:sz w:val="20"/>
          <w:szCs w:val="20"/>
          <w:color w:val="auto"/>
        </w:rPr>
      </w:pPr>
      <w:r>
        <w:rPr>
          <w:rFonts w:ascii="Arial" w:cs="Arial" w:eastAsia="Arial" w:hAnsi="Arial"/>
          <w:sz w:val="17"/>
          <w:szCs w:val="17"/>
          <w:color w:val="auto"/>
        </w:rPr>
        <w:t>19.2.1 Terminate this Lease, in which event Tenant shall immediately surrender the Premises to Landlord, and if Tenant fails to do so, Landlord may, without prejudice to any other remedy which it may have for possession or arrearages in rent, enter upon and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298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63" w:name="page664"/>
    <w:bookmarkEnd w:id="663"/>
    <w:p>
      <w:pPr>
        <w:ind w:right="120"/>
        <w:spacing w:after="0" w:line="277" w:lineRule="auto"/>
        <w:rPr>
          <w:sz w:val="20"/>
          <w:szCs w:val="20"/>
          <w:color w:val="auto"/>
        </w:rPr>
      </w:pPr>
      <w:r>
        <w:rPr>
          <w:rFonts w:ascii="Arial" w:cs="Arial" w:eastAsia="Arial" w:hAnsi="Arial"/>
          <w:sz w:val="18"/>
          <w:szCs w:val="18"/>
          <w:color w:val="auto"/>
        </w:rPr>
        <w:t>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170" w:lineRule="exact"/>
        <w:rPr>
          <w:sz w:val="20"/>
          <w:szCs w:val="20"/>
          <w:color w:val="auto"/>
        </w:rPr>
      </w:pPr>
    </w:p>
    <w:p>
      <w:pPr>
        <w:ind w:left="2620" w:hanging="668"/>
        <w:spacing w:after="0"/>
        <w:tabs>
          <w:tab w:leader="none" w:pos="2620" w:val="left"/>
        </w:tabs>
        <w:numPr>
          <w:ilvl w:val="0"/>
          <w:numId w:val="563"/>
        </w:numPr>
        <w:rPr>
          <w:rFonts w:ascii="Arial" w:cs="Arial" w:eastAsia="Arial" w:hAnsi="Arial"/>
          <w:sz w:val="17"/>
          <w:szCs w:val="17"/>
          <w:color w:val="auto"/>
        </w:rPr>
      </w:pPr>
      <w:r>
        <w:rPr>
          <w:rFonts w:ascii="Arial" w:cs="Arial" w:eastAsia="Arial" w:hAnsi="Arial"/>
          <w:sz w:val="17"/>
          <w:szCs w:val="17"/>
          <w:color w:val="auto"/>
        </w:rPr>
        <w:t>The worth at the time of award of the unpaid rent which has been earned at the time of such termination; plus</w:t>
      </w:r>
    </w:p>
    <w:p>
      <w:pPr>
        <w:spacing w:after="0" w:line="236" w:lineRule="exact"/>
        <w:rPr>
          <w:rFonts w:ascii="Arial" w:cs="Arial" w:eastAsia="Arial" w:hAnsi="Arial"/>
          <w:sz w:val="17"/>
          <w:szCs w:val="17"/>
          <w:color w:val="auto"/>
        </w:rPr>
      </w:pPr>
    </w:p>
    <w:p>
      <w:pPr>
        <w:jc w:val="both"/>
        <w:ind w:left="660" w:right="840" w:firstLine="1292"/>
        <w:spacing w:after="0" w:line="342" w:lineRule="auto"/>
        <w:tabs>
          <w:tab w:leader="none" w:pos="2635" w:val="left"/>
        </w:tabs>
        <w:numPr>
          <w:ilvl w:val="0"/>
          <w:numId w:val="563"/>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23" w:lineRule="exact"/>
        <w:rPr>
          <w:rFonts w:ascii="Arial" w:cs="Arial" w:eastAsia="Arial" w:hAnsi="Arial"/>
          <w:sz w:val="16"/>
          <w:szCs w:val="16"/>
          <w:color w:val="auto"/>
        </w:rPr>
      </w:pPr>
    </w:p>
    <w:p>
      <w:pPr>
        <w:ind w:left="660" w:right="20" w:firstLine="1292"/>
        <w:spacing w:after="0" w:line="277" w:lineRule="auto"/>
        <w:tabs>
          <w:tab w:leader="none" w:pos="264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70" w:lineRule="exact"/>
        <w:rPr>
          <w:rFonts w:ascii="Arial" w:cs="Arial" w:eastAsia="Arial" w:hAnsi="Arial"/>
          <w:sz w:val="18"/>
          <w:szCs w:val="18"/>
          <w:color w:val="auto"/>
        </w:rPr>
      </w:pPr>
    </w:p>
    <w:p>
      <w:pPr>
        <w:ind w:left="660" w:firstLine="1292"/>
        <w:spacing w:after="0" w:line="279" w:lineRule="auto"/>
        <w:tabs>
          <w:tab w:leader="none" w:pos="2621" w:val="left"/>
        </w:tabs>
        <w:numPr>
          <w:ilvl w:val="0"/>
          <w:numId w:val="563"/>
        </w:numPr>
        <w:rPr>
          <w:rFonts w:ascii="Arial" w:cs="Arial" w:eastAsia="Arial" w:hAnsi="Arial"/>
          <w:sz w:val="17"/>
          <w:szCs w:val="17"/>
          <w:color w:val="auto"/>
        </w:rPr>
      </w:pPr>
      <w:r>
        <w:rPr>
          <w:rFonts w:ascii="Arial" w:cs="Arial" w:eastAsia="Arial" w:hAnsi="Arial"/>
          <w:sz w:val="17"/>
          <w:szCs w:val="17"/>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71" w:lineRule="exact"/>
        <w:rPr>
          <w:rFonts w:ascii="Arial" w:cs="Arial" w:eastAsia="Arial" w:hAnsi="Arial"/>
          <w:sz w:val="17"/>
          <w:szCs w:val="17"/>
          <w:color w:val="auto"/>
        </w:rPr>
      </w:pPr>
    </w:p>
    <w:p>
      <w:pPr>
        <w:ind w:left="2600" w:hanging="648"/>
        <w:spacing w:after="0"/>
        <w:tabs>
          <w:tab w:leader="none" w:pos="2600" w:val="left"/>
        </w:tabs>
        <w:numPr>
          <w:ilvl w:val="0"/>
          <w:numId w:val="563"/>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time by applicable law.</w:t>
      </w:r>
    </w:p>
    <w:p>
      <w:pPr>
        <w:spacing w:after="0" w:line="21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term “rent” as used in this </w:t>
      </w:r>
      <w:r>
        <w:rPr>
          <w:rFonts w:ascii="Arial" w:cs="Arial" w:eastAsia="Arial" w:hAnsi="Arial"/>
          <w:sz w:val="18"/>
          <w:szCs w:val="18"/>
          <w:u w:val="single" w:color="auto"/>
          <w:color w:val="auto"/>
        </w:rPr>
        <w:t>Section 19.2</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Sections 19.2.1(i)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 “worth at the time of award” shall be computed by allowing interest at the rate set forth in </w:t>
      </w:r>
      <w:r>
        <w:rPr>
          <w:rFonts w:ascii="Arial" w:cs="Arial" w:eastAsia="Arial" w:hAnsi="Arial"/>
          <w:sz w:val="18"/>
          <w:szCs w:val="18"/>
          <w:u w:val="single" w:color="auto"/>
          <w:color w:val="auto"/>
        </w:rPr>
        <w:t>Article 25</w:t>
      </w:r>
      <w:r>
        <w:rPr>
          <w:rFonts w:ascii="Arial" w:cs="Arial" w:eastAsia="Arial" w:hAnsi="Arial"/>
          <w:sz w:val="18"/>
          <w:szCs w:val="18"/>
          <w:color w:val="auto"/>
        </w:rPr>
        <w:t xml:space="preserve"> of this Lease, but in no case greater than the maximum amount of such interest permitted by law. As used in </w:t>
      </w:r>
      <w:r>
        <w:rPr>
          <w:rFonts w:ascii="Arial" w:cs="Arial" w:eastAsia="Arial" w:hAnsi="Arial"/>
          <w:sz w:val="18"/>
          <w:szCs w:val="18"/>
          <w:u w:val="single" w:color="auto"/>
          <w:color w:val="auto"/>
        </w:rPr>
        <w:t>Section 19.2.1(iii)</w:t>
      </w:r>
      <w:r>
        <w:rPr>
          <w:rFonts w:ascii="Arial" w:cs="Arial" w:eastAsia="Arial" w:hAnsi="Arial"/>
          <w:sz w:val="18"/>
          <w:szCs w:val="18"/>
          <w:color w:val="auto"/>
        </w:rPr>
        <w:t xml:space="preserve"> above, the “worth at the time of award” shall be computed by discounting such amount at the discount rate of the Federal Reserve Bank of San Francisco at the time of award plus one percent (1%).</w:t>
      </w:r>
    </w:p>
    <w:p>
      <w:pPr>
        <w:spacing w:after="0" w:line="188" w:lineRule="exact"/>
        <w:rPr>
          <w:sz w:val="20"/>
          <w:szCs w:val="20"/>
          <w:color w:val="auto"/>
        </w:rPr>
      </w:pPr>
    </w:p>
    <w:p>
      <w:pPr>
        <w:ind w:right="140" w:firstLine="1296"/>
        <w:spacing w:after="0" w:line="279" w:lineRule="auto"/>
        <w:rPr>
          <w:sz w:val="20"/>
          <w:szCs w:val="20"/>
          <w:color w:val="auto"/>
        </w:rPr>
      </w:pPr>
      <w:r>
        <w:rPr>
          <w:rFonts w:ascii="Arial" w:cs="Arial" w:eastAsia="Arial" w:hAnsi="Arial"/>
          <w:sz w:val="17"/>
          <w:szCs w:val="17"/>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71"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8"/>
          <w:szCs w:val="18"/>
          <w:u w:val="single" w:color="auto"/>
          <w:color w:val="auto"/>
        </w:rPr>
        <w:t>Sections 19.2.1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19.2.2</w:t>
      </w:r>
      <w:r>
        <w:rPr>
          <w:rFonts w:ascii="Arial" w:cs="Arial" w:eastAsia="Arial" w:hAnsi="Arial"/>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83"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b w:val="1"/>
          <w:bCs w:val="1"/>
          <w:u w:val="single" w:color="auto"/>
          <w:color w:val="auto"/>
        </w:rPr>
        <w:t>Subleases of Tenant</w:t>
      </w:r>
      <w:r>
        <w:rPr>
          <w:rFonts w:ascii="Arial" w:cs="Arial" w:eastAsia="Arial" w:hAnsi="Arial"/>
          <w:sz w:val="16"/>
          <w:szCs w:val="16"/>
          <w:b w:val="1"/>
          <w:bCs w:val="1"/>
          <w:color w:val="auto"/>
        </w:rPr>
        <w:t>.</w:t>
      </w:r>
      <w:r>
        <w:rPr>
          <w:rFonts w:ascii="Arial" w:cs="Arial" w:eastAsia="Arial" w:hAnsi="Arial"/>
          <w:sz w:val="16"/>
          <w:szCs w:val="16"/>
          <w:color w:val="auto"/>
        </w:rPr>
        <w:t xml:space="preserve"> Whether or not Landlord elects to terminate this Lease on account of any default by Tenant, as set forth in this </w:t>
      </w:r>
      <w:r>
        <w:rPr>
          <w:rFonts w:ascii="Arial" w:cs="Arial" w:eastAsia="Arial" w:hAnsi="Arial"/>
          <w:sz w:val="16"/>
          <w:szCs w:val="16"/>
          <w:u w:val="single" w:color="auto"/>
          <w:color w:val="auto"/>
        </w:rPr>
        <w:t>Article 19</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5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u w:val="single" w:color="auto"/>
          <w:color w:val="auto"/>
        </w:rPr>
        <w:t>Form of Payment After Default</w:t>
      </w:r>
      <w:r>
        <w:rPr>
          <w:rFonts w:ascii="Arial" w:cs="Arial" w:eastAsia="Arial" w:hAnsi="Arial"/>
          <w:sz w:val="18"/>
          <w:szCs w:val="18"/>
          <w:color w:val="auto"/>
        </w:rPr>
        <w:t>. Following the occurrence of three (3) financial events of default by Tenant in any twelve (12) consecutive month period, Landlord shall have the right to require either or both of the following: (i) that all subsequent amounts required to be paid by Tenant to Landlord pursuant to this Lease, be paid in advance on a quarterly basis, and/or (ii) that any or all subsequent amounts paid by Tenant to Landlord hereunder, whether to cure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64" w:name="page665"/>
    <w:bookmarkEnd w:id="664"/>
    <w:p>
      <w:pPr>
        <w:ind w:right="20"/>
        <w:spacing w:after="0" w:line="277" w:lineRule="auto"/>
        <w:rPr>
          <w:sz w:val="20"/>
          <w:szCs w:val="20"/>
          <w:color w:val="auto"/>
        </w:rPr>
      </w:pPr>
      <w:r>
        <w:rPr>
          <w:rFonts w:ascii="Arial" w:cs="Arial" w:eastAsia="Arial" w:hAnsi="Arial"/>
          <w:sz w:val="18"/>
          <w:szCs w:val="18"/>
          <w:color w:val="auto"/>
        </w:rPr>
        <w:t>default in question or otherwise, be paid in the form of cash, money order, cashier’s or certified check drawn on an institution acceptable to Landlord, or by other means approved by Landlord, notwithstanding any prior practice of accepting payments in any different form.</w:t>
      </w:r>
    </w:p>
    <w:p>
      <w:pPr>
        <w:spacing w:after="0" w:line="166"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u w:val="single" w:color="auto"/>
          <w:color w:val="auto"/>
        </w:rPr>
        <w:t>Efforts to Relet</w:t>
      </w:r>
      <w:r>
        <w:rPr>
          <w:rFonts w:ascii="Arial" w:cs="Arial" w:eastAsia="Arial" w:hAnsi="Arial"/>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COVENANT OF QUIET ENJOYMENT</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SECURITY DEPOSIT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Concurrently with Tenant’s execution of this Lease, Tenant shall deposit with Landlord a security deposit (the “</w:t>
      </w:r>
      <w:r>
        <w:rPr>
          <w:rFonts w:ascii="Arial" w:cs="Arial" w:eastAsia="Arial" w:hAnsi="Arial"/>
          <w:sz w:val="17"/>
          <w:szCs w:val="17"/>
          <w:b w:val="1"/>
          <w:bCs w:val="1"/>
          <w:color w:val="auto"/>
        </w:rPr>
        <w:t>Security Deposit</w:t>
      </w:r>
      <w:r>
        <w:rPr>
          <w:rFonts w:ascii="Arial" w:cs="Arial" w:eastAsia="Arial" w:hAnsi="Arial"/>
          <w:sz w:val="17"/>
          <w:szCs w:val="17"/>
          <w:color w:val="auto"/>
        </w:rPr>
        <w:t xml:space="preserve">”) in the amount set forth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the Summary, as security for the faithful performance by Tenant of all of its obligations under this Lease. If Tenant defaults with respect to any provisions of this Lease, including, but not limited to, the provisions relating to the payment of Rent, the removal of property and the repair of resultant damage, Landlord may, without notice to Tenant, but shall not be required to apply all or any part of the Security Deposit for the payment of any Rent or any other sum in default and Tenant shall, upon demand therefor, restore the Security Deposit to its original amount. Any unapplied portion of the Security Deposit shall be returned to Tenant, or, at Landlord’s option, to the last assignee of Tenant’s interest hereunder, within sixty (60) days following the expiration of the Lease Term. Tenant shall not be entitled to any interest on the Security Deposit. Tenant hereby waives the provisions of Section 1950.7 of the California Civil Code, or any successor statute, and all other provisions of law, now or hereafter in effect, which (i) establish the time frame by which a landlord must refund a security deposit under a lease, and/or (ii)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w:t>
      </w:r>
      <w:r>
        <w:rPr>
          <w:rFonts w:ascii="Arial" w:cs="Arial" w:eastAsia="Arial" w:hAnsi="Arial"/>
          <w:sz w:val="17"/>
          <w:szCs w:val="17"/>
          <w:u w:val="single" w:color="auto"/>
          <w:color w:val="auto"/>
        </w:rPr>
        <w:t>Article 21</w:t>
      </w:r>
      <w:r>
        <w:rPr>
          <w:rFonts w:ascii="Arial" w:cs="Arial" w:eastAsia="Arial" w:hAnsi="Arial"/>
          <w:sz w:val="17"/>
          <w:szCs w:val="17"/>
          <w:color w:val="auto"/>
        </w:rPr>
        <w:t xml:space="preserve"> above and/or those sums reasonably necessary to compensate Landlord for any loss or damage caused by Tenant’s default under this Lease, including, but not limited to, all damages or rent due upon termination of this Lease pursuant to Section 1951.2 of the California Civil Code.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SUBSTITUTION OF OTHER PREMISES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Landlord shall have the right to move Tenant to other space in the Project comparable to the Premises, and all terms hereof shall apply to the new space with equal force; provided that Tenant’s then existing monetary obligations under this Lease shall not be increased as a result of such relocation of the Premises. In such event, Landlord shall give Tenant prior notice, shall provide Tenant, at Landlord’s sole cost and expense, with tenant improvements at least equal in quality to those in the Premises and shall move Tenant’s effects to the new space at Landlord’s sole cost and expense at such time and in such manner as to inconvenience Tenant as little as reasonably practicable. In addition, Landlord shall reimburse Tenant for the reasonable costs and expenses incurred by Tenant in connection with such relocation (including, but not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153275" cy="298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65" w:name="page666"/>
    <w:bookmarkEnd w:id="665"/>
    <w:p>
      <w:pPr>
        <w:ind w:right="180"/>
        <w:spacing w:after="0" w:line="263" w:lineRule="auto"/>
        <w:rPr>
          <w:sz w:val="20"/>
          <w:szCs w:val="20"/>
          <w:color w:val="auto"/>
        </w:rPr>
      </w:pPr>
      <w:r>
        <w:rPr>
          <w:rFonts w:ascii="Arial" w:cs="Arial" w:eastAsia="Arial" w:hAnsi="Arial"/>
          <w:sz w:val="18"/>
          <w:szCs w:val="18"/>
          <w:color w:val="auto"/>
        </w:rPr>
        <w:t>to, the costs of reasonable supplies of replacement stationery and telephone installations), within thirty (30) days of Landlord’s receipt of an invoice therefor. Simultaneously with such relocation of the Premises, the parties shall immediately execute an amendment to this Lease stating the relocation of the Premises.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SIGNS</w:t>
      </w:r>
    </w:p>
    <w:p>
      <w:pPr>
        <w:spacing w:after="0" w:line="22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u w:val="single" w:color="auto"/>
          <w:color w:val="auto"/>
        </w:rPr>
        <w:t>Full Floors</w:t>
      </w:r>
      <w:r>
        <w:rPr>
          <w:rFonts w:ascii="Arial" w:cs="Arial" w:eastAsia="Arial" w:hAnsi="Arial"/>
          <w:sz w:val="18"/>
          <w:szCs w:val="18"/>
          <w:color w:val="auto"/>
        </w:rPr>
        <w:t>. Subject to Landlord’s prior written approval, in its sole discretion, and provided all signs are in keeping with the quality, design and style of the Building and Project, Tenant, if the Premises comprise an entire floor of the Building, at its sole cost and expense, may install identification signage anywhere in the Premises including in the elevator lobby of the Premises, provided that such signs must not be visible from the exterior of the Building.</w:t>
      </w:r>
    </w:p>
    <w:p>
      <w:pPr>
        <w:spacing w:after="0" w:line="18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u w:val="single" w:color="auto"/>
          <w:color w:val="auto"/>
        </w:rPr>
        <w:t>Multi-Tenant Floors</w:t>
      </w:r>
      <w:r>
        <w:rPr>
          <w:rFonts w:ascii="Arial" w:cs="Arial" w:eastAsia="Arial" w:hAnsi="Arial"/>
          <w:sz w:val="18"/>
          <w:szCs w:val="18"/>
          <w:color w:val="auto"/>
        </w:rPr>
        <w:t>. If other tenants occupy space on the floor on which the Premises is located, Tenant’s identifying signage shall be provided by Landlord, at Tenant’s cost, and such signage shall be comparable to that used by Landlord for other similar floors in the Building and shall comply with Landlord’s then-current Building standard signage program.</w:t>
      </w:r>
    </w:p>
    <w:p>
      <w:pPr>
        <w:spacing w:after="0" w:line="17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u w:val="single" w:color="auto"/>
          <w:color w:val="auto"/>
        </w:rPr>
        <w:t>Prohibited Signage and Other Items</w:t>
      </w:r>
      <w:r>
        <w:rPr>
          <w:rFonts w:ascii="Arial" w:cs="Arial" w:eastAsia="Arial" w:hAnsi="Arial"/>
          <w:sz w:val="18"/>
          <w:szCs w:val="18"/>
          <w:color w:val="auto"/>
        </w:rPr>
        <w:t>. Any signs, notices, logos, pictures, names or advertisements which are installed and that have not been separately approved by Landlord may be removed without notice by Landlord at the sole expense of Tenant.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8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b w:val="1"/>
          <w:bCs w:val="1"/>
          <w:u w:val="single" w:color="auto"/>
          <w:color w:val="auto"/>
        </w:rPr>
        <w:t>Building Directory</w:t>
      </w:r>
      <w:r>
        <w:rPr>
          <w:rFonts w:ascii="Arial" w:cs="Arial" w:eastAsia="Arial" w:hAnsi="Arial"/>
          <w:sz w:val="18"/>
          <w:szCs w:val="18"/>
          <w:color w:val="auto"/>
        </w:rPr>
        <w:t>. A building directory will be located in the lobby of the Building. Tenant shall have the right, at Tenant’s sole cost and expense, to designate name strips to be displayed under Tenant’s entry in such directory at the rate of one (I) strip per each 1,000 rentable square feet of the Premises. In the event that Landlord elects, in its sole discretion, to replace the currently existing fixed Building directory with an electronic directory, Tenant shall have the right, at Tenant’s sole cost and expense, to designate listings to be displayed under Tenant’s entry in such electronic directory at the rate of one (I) listing per each 1,000 rentable square feet of the Premises.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COMPLIANCE WITH LAW</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Tenant shall not do anything or suffer anything to be done in or about the Premises or the Project which will in any way conflict with any law, statute, ordinance or other governmental rule, regulation or requirement now in force or which may hereafter be enacted or promulgated. At its sole cost and expense, Tenant shall promptly comply with all such governmental measures.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Premises as are required to comply with the governmental rules, regulations, requirements or standards described in this </w:t>
      </w:r>
      <w:r>
        <w:rPr>
          <w:rFonts w:ascii="Arial" w:cs="Arial" w:eastAsia="Arial" w:hAnsi="Arial"/>
          <w:sz w:val="16"/>
          <w:szCs w:val="16"/>
          <w:u w:val="single" w:color="auto"/>
          <w:color w:val="auto"/>
        </w:rPr>
        <w:t>Article 24</w:t>
      </w:r>
      <w:r>
        <w:rPr>
          <w:rFonts w:ascii="Arial" w:cs="Arial" w:eastAsia="Arial" w:hAnsi="Arial"/>
          <w:sz w:val="16"/>
          <w:szCs w:val="16"/>
          <w:color w:val="auto"/>
        </w:rPr>
        <w:t>. The judgment of any court of competent jurisdiction or the admission of Tenant in any judicial action, regardless of whether Landlord is a party thereto, that Tenant has violated any of said governmental measures, shall be conclusive of that fact as between Landlord and Tenant. For purposes of Section 1938 of the California Civil Code, Landlord hereby discloses to Tenant, and Tenant hereby acknowledges that the Common Areas and the Premises have not undergone inspection by a Certified Access Specialist (CASp).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153275" cy="298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66" w:name="page667"/>
    <w:bookmarkEnd w:id="666"/>
    <w:p>
      <w:pPr>
        <w:jc w:val="center"/>
        <w:spacing w:after="0"/>
        <w:rPr>
          <w:sz w:val="20"/>
          <w:szCs w:val="20"/>
          <w:color w:val="auto"/>
        </w:rPr>
      </w:pPr>
      <w:r>
        <w:rPr>
          <w:rFonts w:ascii="Arial" w:cs="Arial" w:eastAsia="Arial" w:hAnsi="Arial"/>
          <w:sz w:val="18"/>
          <w:szCs w:val="18"/>
          <w:b w:val="1"/>
          <w:bCs w:val="1"/>
          <w:u w:val="single" w:color="auto"/>
          <w:color w:val="auto"/>
        </w:rPr>
        <w:t>ARTICLE 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LATE CHARGES</w:t>
      </w:r>
    </w:p>
    <w:p>
      <w:pPr>
        <w:spacing w:after="0" w:line="2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If any installment of Rent or any other sum due from Tenant shall not be received by Landlord or Landlord’s designee within five (5) business days after Tenant’s receipt of written notice from Landlord that said amount is due, then Tenant shall pay to Landlord a late charge equal to five percent (5%) of the overdue amount plus any reasonable attorneys’ fees incurred by Landlord by reason of Tenant’s failure to pay Rent and/or other charges when due hereunder.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“Bank Prime Loan” rate cited in the Federal Reserve Statistical Release Publication H.15(519), published weekly (or such other comparable index as Landlord and Tenant shall reasonably agree upon if such rate ceases to be published) plus two (2) percentage points, and (ii) the highest rate permitted by applicable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LANDLORD’S RIGHT TO CURE DEFAULT; PAYMENTS BY TENANT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b w:val="1"/>
          <w:bCs w:val="1"/>
          <w:u w:val="single" w:color="auto"/>
          <w:color w:val="auto"/>
        </w:rPr>
        <w:t>Landlord’s Cure</w:t>
      </w:r>
      <w:r>
        <w:rPr>
          <w:rFonts w:ascii="Arial" w:cs="Arial" w:eastAsia="Arial" w:hAnsi="Arial"/>
          <w:sz w:val="17"/>
          <w:szCs w:val="17"/>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7"/>
          <w:szCs w:val="17"/>
          <w:u w:val="single" w:color="auto"/>
          <w:color w:val="auto"/>
        </w:rPr>
        <w:t>Section 19.1.2</w:t>
      </w:r>
      <w:r>
        <w:rPr>
          <w:rFonts w:ascii="Arial" w:cs="Arial" w:eastAsia="Arial" w:hAnsi="Arial"/>
          <w:sz w:val="17"/>
          <w:szCs w:val="17"/>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16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u w:val="single" w:color="auto"/>
          <w:color w:val="auto"/>
        </w:rPr>
        <w:t>Tenant’s Reimbursement</w:t>
      </w:r>
      <w:r>
        <w:rPr>
          <w:rFonts w:ascii="Arial" w:cs="Arial" w:eastAsia="Arial" w:hAnsi="Arial"/>
          <w:sz w:val="18"/>
          <w:szCs w:val="18"/>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8"/>
          <w:szCs w:val="18"/>
          <w:u w:val="single" w:color="auto"/>
          <w:color w:val="auto"/>
        </w:rPr>
        <w:t>Section 26.1</w:t>
      </w:r>
      <w:r>
        <w:rPr>
          <w:rFonts w:ascii="Arial" w:cs="Arial" w:eastAsia="Arial" w:hAnsi="Arial"/>
          <w:sz w:val="18"/>
          <w:szCs w:val="18"/>
          <w:color w:val="auto"/>
        </w:rPr>
        <w:t xml:space="preserve">; (ii) sums equal to all losses, costs, liabilities, damages and expenses referred to in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shall survive the expiration or sooner termination of the Lease Term.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27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ENTRY BY LANDLORD</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Landlord reserves the right at all reasonable times and upon reasonable notice to Tenant (except in the case of an emergency) to enter the Premises to (i) inspect them; (ii) show the Premises to prospective purchasers, or to current or prospective mortgagees, ground or underlying lessors or insurers or, during the last twelve (12) months of the Lease Term, to prospective tenants; (iii) post notices of nonresponsibility; or (iv) alter, improve or repair the Premises or the Building, or for structural alterations, repairs or improvements to the Building or the Building’s systems and equipment. Notwithstanding anything to the contrary contained in this </w:t>
      </w:r>
      <w:r>
        <w:rPr>
          <w:rFonts w:ascii="Arial" w:cs="Arial" w:eastAsia="Arial" w:hAnsi="Arial"/>
          <w:sz w:val="17"/>
          <w:szCs w:val="17"/>
          <w:u w:val="single" w:color="auto"/>
          <w:color w:val="auto"/>
        </w:rPr>
        <w:t>Article 27</w:t>
      </w:r>
      <w:r>
        <w:rPr>
          <w:rFonts w:ascii="Arial" w:cs="Arial" w:eastAsia="Arial" w:hAnsi="Arial"/>
          <w:sz w:val="17"/>
          <w:szCs w:val="17"/>
          <w:color w:val="auto"/>
        </w:rPr>
        <w:t>, Landlord may enter the Premises at any time to (A) perform services required of Landlord, including janitorial service; (B) take possession due to any breach of this Lease in the manner provided herein; and (C) perform any covenants of Tenant which Tenant fails to perform. Landlord may make any such entries without the abatement of Rent, except as otherwise provided in this Lease, and may take such reasonable steps as required to accomplish the stated purposes.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153275" cy="298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67" w:name="page668"/>
    <w:bookmarkEnd w:id="667"/>
    <w:p>
      <w:pPr>
        <w:ind w:right="80"/>
        <w:spacing w:after="0" w:line="263" w:lineRule="auto"/>
        <w:rPr>
          <w:sz w:val="20"/>
          <w:szCs w:val="20"/>
          <w:color w:val="auto"/>
        </w:rPr>
      </w:pPr>
      <w:r>
        <w:rPr>
          <w:rFonts w:ascii="Arial" w:cs="Arial" w:eastAsia="Arial" w:hAnsi="Arial"/>
          <w:sz w:val="18"/>
          <w:szCs w:val="18"/>
          <w:color w:val="auto"/>
        </w:rPr>
        <w:t>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TENANT PARKING</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Commencing on the Lease Commencement Date, Tenant shall have the right to use up to the amount of parking passes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the Summary, on a monthly basis throughout the Lease Term, which parking passes shall pertain to the Project parking facility. Tenant shall be responsible for the full amount of any taxes imposed by any governmental authority in connection with the use of such parking passes by Tenant or the use of the parking facility by Tenant. Tenant’s continued right to use the parking passes is conditioned upon Tenant abiding by all rules and regulations which are prescribed from time to time for the orderly operation and use of the parking facility where the parking passes are located, including any sticker or other identification system established by Landlord, Tenant’s cooperation in seeing that Tenant’s employees and visitors also comply with such rules and regulations and Tenant not being in default under this Lease. Landlord specifically reserves the right to change the size, configuration, design, layout and all other aspects of the Project parking facility at any time and Tenant acknowledges and agrees that Landlord may, without incurring any liability to Tenant and without any abatement of Rent under this Lease, from time to time, close-off or restrict access to the Project parking facility for purposes of permitting or facilitating any such construction, alteration or improvements. Landlord may, at any time, institute valet assisted parking, tandem parking stalls, “stack” parking, or other parking program within the Project parking facility, and Landlord may, at any time, designate all or any portion of Tenant’s unreserved parking passes for the use of parking in an offsite parking facility reasonably designated by Landlord, and Tenant and its employees shall comply with any such measures. Landlord may delegate its responsibilities hereunder to a parking operator in which case such parking operator shall have all the rights of control attributed hereby to the Landlord. The parking passes rented by Tenant pursuant to this </w:t>
      </w:r>
      <w:r>
        <w:rPr>
          <w:rFonts w:ascii="Arial" w:cs="Arial" w:eastAsia="Arial" w:hAnsi="Arial"/>
          <w:sz w:val="16"/>
          <w:szCs w:val="16"/>
          <w:u w:val="single" w:color="auto"/>
          <w:color w:val="auto"/>
        </w:rPr>
        <w:t>Article 28</w:t>
      </w:r>
      <w:r>
        <w:rPr>
          <w:rFonts w:ascii="Arial" w:cs="Arial" w:eastAsia="Arial" w:hAnsi="Arial"/>
          <w:sz w:val="16"/>
          <w:szCs w:val="16"/>
          <w:color w:val="auto"/>
        </w:rPr>
        <w:t xml:space="preserve"> are provided to Tenant solely for use by Tenant’s own personnel and such passes may not be transferred, assigned, subleased or otherwise alienated by Tenant without Landlord’s prior approval. Tenant may validate visitor parking by such method or methods as the Landlord may establish, at the validation rate from time to time generally applicable to visitor parking. The Project parking facility includes an underground parking facility (the “</w:t>
      </w:r>
      <w:r>
        <w:rPr>
          <w:rFonts w:ascii="Arial" w:cs="Arial" w:eastAsia="Arial" w:hAnsi="Arial"/>
          <w:sz w:val="16"/>
          <w:szCs w:val="16"/>
          <w:b w:val="1"/>
          <w:bCs w:val="1"/>
          <w:color w:val="auto"/>
        </w:rPr>
        <w:t>City Parking Access Area</w:t>
      </w:r>
      <w:r>
        <w:rPr>
          <w:rFonts w:ascii="Arial" w:cs="Arial" w:eastAsia="Arial" w:hAnsi="Arial"/>
          <w:sz w:val="16"/>
          <w:szCs w:val="16"/>
          <w:color w:val="auto"/>
        </w:rPr>
        <w:t xml:space="preserve">”), which is available for public parking as set forth in this </w:t>
      </w:r>
      <w:r>
        <w:rPr>
          <w:rFonts w:ascii="Arial" w:cs="Arial" w:eastAsia="Arial" w:hAnsi="Arial"/>
          <w:sz w:val="16"/>
          <w:szCs w:val="16"/>
          <w:u w:val="single" w:color="auto"/>
          <w:color w:val="auto"/>
        </w:rPr>
        <w:t>Article 28</w:t>
      </w:r>
      <w:r>
        <w:rPr>
          <w:rFonts w:ascii="Arial" w:cs="Arial" w:eastAsia="Arial" w:hAnsi="Arial"/>
          <w:sz w:val="16"/>
          <w:szCs w:val="16"/>
          <w:color w:val="auto"/>
        </w:rPr>
        <w:t>. The City of Sunnyvale has the right, pursuant to that certain Declaration of Covenants, Conditions, and Restrictions and Reciprocal Easement Agreement (Downtown Sunnyvale Parking Structures) dated as of November 15, 2000 and recorded November 22, 2000, as Instrument Number 15470449 in the Official Records of Santa Clara County, California, to use 320 parking spaces in the City Parking Access Area for public parking during the hours of 6:00 PM and 6:00 AM, Monday through Friday, and at all times on Saturdays and Sundays and to use the entire Project parking facility for public parking for “special events” during evening and weekend hours up to eight (8) times per year as specified by the City of Sunnyvale (collectively, the “</w:t>
      </w:r>
      <w:r>
        <w:rPr>
          <w:rFonts w:ascii="Arial" w:cs="Arial" w:eastAsia="Arial" w:hAnsi="Arial"/>
          <w:sz w:val="16"/>
          <w:szCs w:val="16"/>
          <w:b w:val="1"/>
          <w:bCs w:val="1"/>
          <w:color w:val="auto"/>
        </w:rPr>
        <w:t>City Parking Rights</w:t>
      </w:r>
      <w:r>
        <w:rPr>
          <w:rFonts w:ascii="Arial" w:cs="Arial" w:eastAsia="Arial" w:hAnsi="Arial"/>
          <w:sz w:val="16"/>
          <w:szCs w:val="16"/>
          <w:color w:val="auto"/>
        </w:rPr>
        <w:t xml:space="preserve">”). All parking rights of Tenant under this Lease are subject to the City Parking Rights, including without limitation the right of the City of Sunnyvale to collect fees for parking in the City Parking Access Area during the hours of 6:00 PM and 6:00 AM, Monday through Friday, and at all times on Saturdays and Sundays. Landlord shall have the right to make reasonable modifications to the City Parking Rights, or to create, accept or adopt additional City Parking Rights, so long as they do not materially adversely affect Tenant’s parking rights as provided in this </w:t>
      </w:r>
      <w:r>
        <w:rPr>
          <w:rFonts w:ascii="Arial" w:cs="Arial" w:eastAsia="Arial" w:hAnsi="Arial"/>
          <w:sz w:val="16"/>
          <w:szCs w:val="16"/>
          <w:u w:val="single" w:color="auto"/>
          <w:color w:val="auto"/>
        </w:rPr>
        <w:t>Article 28</w:t>
      </w:r>
      <w:r>
        <w:rPr>
          <w:rFonts w:ascii="Arial" w:cs="Arial" w:eastAsia="Arial" w:hAnsi="Arial"/>
          <w:sz w:val="16"/>
          <w:szCs w:val="16"/>
          <w:color w:val="auto"/>
        </w:rPr>
        <w: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5" w:lineRule="exact"/>
        <w:rPr>
          <w:sz w:val="20"/>
          <w:szCs w:val="20"/>
          <w:color w:val="auto"/>
        </w:rPr>
      </w:pPr>
    </w:p>
    <w:p>
      <w:pPr>
        <w:jc w:val="both"/>
        <w:ind w:right="280" w:firstLine="648"/>
        <w:spacing w:after="0" w:line="266" w:lineRule="auto"/>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b w:val="1"/>
          <w:bCs w:val="1"/>
          <w:u w:val="single" w:color="auto"/>
          <w:color w:val="auto"/>
        </w:rPr>
        <w:t>Terms; Captions</w:t>
      </w:r>
      <w:r>
        <w:rPr>
          <w:rFonts w:ascii="Arial" w:cs="Arial" w:eastAsia="Arial" w:hAnsi="Arial"/>
          <w:sz w:val="18"/>
          <w:szCs w:val="18"/>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68" w:name="page669"/>
    <w:bookmarkEnd w:id="668"/>
    <w:p>
      <w:pPr>
        <w:spacing w:after="0" w:line="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captions of Articles and Sections are for convenience only and shall not be deemed to limit, construe, affect or alter the meaning of such Articles and Sections.</w:t>
      </w:r>
    </w:p>
    <w:p>
      <w:pPr>
        <w:spacing w:after="0" w:line="166"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14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b w:val="1"/>
          <w:bCs w:val="1"/>
          <w:u w:val="single" w:color="auto"/>
          <w:color w:val="auto"/>
        </w:rPr>
        <w:t>No Air Rights</w:t>
      </w:r>
      <w:r>
        <w:rPr>
          <w:rFonts w:ascii="Arial" w:cs="Arial" w:eastAsia="Arial" w:hAnsi="Arial"/>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80"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b w:val="1"/>
          <w:bCs w:val="1"/>
          <w:u w:val="single" w:color="auto"/>
          <w:color w:val="auto"/>
        </w:rPr>
        <w:t>Modification of Lease</w:t>
      </w:r>
      <w:r>
        <w:rPr>
          <w:rFonts w:ascii="Arial" w:cs="Arial" w:eastAsia="Arial" w:hAnsi="Arial"/>
          <w:sz w:val="18"/>
          <w:szCs w:val="18"/>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(I 0) business days following the request therefor.</w:t>
      </w:r>
    </w:p>
    <w:p>
      <w:pPr>
        <w:spacing w:after="0" w:line="187"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 xml:space="preserve">29.5 </w:t>
      </w:r>
      <w:r>
        <w:rPr>
          <w:rFonts w:ascii="Arial" w:cs="Arial" w:eastAsia="Arial" w:hAnsi="Arial"/>
          <w:sz w:val="18"/>
          <w:szCs w:val="18"/>
          <w:b w:val="1"/>
          <w:bCs w:val="1"/>
          <w:u w:val="single" w:color="auto"/>
          <w:color w:val="auto"/>
        </w:rPr>
        <w:t>Transfer of Landlord’s Interest</w:t>
      </w:r>
      <w:r>
        <w:rPr>
          <w:rFonts w:ascii="Arial" w:cs="Arial" w:eastAsia="Arial" w:hAnsi="Arial"/>
          <w:sz w:val="18"/>
          <w:szCs w:val="18"/>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spacing w:after="0" w:line="183"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b w:val="1"/>
          <w:bCs w:val="1"/>
          <w:u w:val="single" w:color="auto"/>
          <w:color w:val="auto"/>
        </w:rPr>
        <w:t>Prohibition Against Recording</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29.4</w:t>
      </w:r>
      <w:r>
        <w:rPr>
          <w:rFonts w:ascii="Arial" w:cs="Arial" w:eastAsia="Arial" w:hAnsi="Arial"/>
          <w:sz w:val="18"/>
          <w:szCs w:val="18"/>
          <w:color w:val="auto"/>
        </w:rPr>
        <w:t xml:space="preserve"> of this Lease, neither this Lease, nor any memorandum, affidavit or other writing with respect thereto, shall be recorded by Tenant or by anyone acting through, under or on behalf of Tenant.</w:t>
      </w:r>
    </w:p>
    <w:p>
      <w:pPr>
        <w:spacing w:after="0" w:line="162"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b w:val="1"/>
          <w:bCs w:val="1"/>
          <w:u w:val="single" w:color="auto"/>
          <w:color w:val="auto"/>
        </w:rPr>
        <w:t>Landlord’s Title</w:t>
      </w:r>
      <w:r>
        <w:rPr>
          <w:rFonts w:ascii="Arial" w:cs="Arial" w:eastAsia="Arial" w:hAnsi="Arial"/>
          <w:sz w:val="18"/>
          <w:szCs w:val="18"/>
          <w:color w:val="auto"/>
        </w:rPr>
        <w:t>. Landlord’s title is and always shall be paramount to the title of Tenant. Nothing herein contained shall empower Tenant to do any act which can, shall or may encumber the title of Landlord.</w:t>
      </w:r>
    </w:p>
    <w:p>
      <w:pPr>
        <w:spacing w:after="0" w:line="16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 xml:space="preserve">29.8 </w:t>
      </w:r>
      <w:r>
        <w:rPr>
          <w:rFonts w:ascii="Arial" w:cs="Arial" w:eastAsia="Arial" w:hAnsi="Arial"/>
          <w:sz w:val="18"/>
          <w:szCs w:val="18"/>
          <w:b w:val="1"/>
          <w:bCs w:val="1"/>
          <w:u w:val="single" w:color="auto"/>
          <w:color w:val="auto"/>
        </w:rPr>
        <w:t>Relationship of Parties</w:t>
      </w:r>
      <w:r>
        <w:rPr>
          <w:rFonts w:ascii="Arial" w:cs="Arial" w:eastAsia="Arial" w:hAnsi="Arial"/>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62" w:lineRule="exact"/>
        <w:rPr>
          <w:sz w:val="20"/>
          <w:szCs w:val="20"/>
          <w:color w:val="auto"/>
        </w:rPr>
      </w:pPr>
    </w:p>
    <w:p>
      <w:pPr>
        <w:jc w:val="both"/>
        <w:ind w:right="240" w:firstLine="648"/>
        <w:spacing w:after="0" w:line="266" w:lineRule="auto"/>
        <w:rPr>
          <w:sz w:val="20"/>
          <w:szCs w:val="20"/>
          <w:color w:val="auto"/>
        </w:rPr>
      </w:pPr>
      <w:r>
        <w:rPr>
          <w:rFonts w:ascii="Arial" w:cs="Arial" w:eastAsia="Arial" w:hAnsi="Arial"/>
          <w:sz w:val="18"/>
          <w:szCs w:val="18"/>
          <w:color w:val="auto"/>
        </w:rPr>
        <w:t xml:space="preserve">29.9 </w:t>
      </w:r>
      <w:r>
        <w:rPr>
          <w:rFonts w:ascii="Arial" w:cs="Arial" w:eastAsia="Arial" w:hAnsi="Arial"/>
          <w:sz w:val="18"/>
          <w:szCs w:val="18"/>
          <w:b w:val="1"/>
          <w:bCs w:val="1"/>
          <w:u w:val="single" w:color="auto"/>
          <w:color w:val="auto"/>
        </w:rPr>
        <w:t>Application of Payments</w:t>
      </w:r>
      <w:r>
        <w:rPr>
          <w:rFonts w:ascii="Arial" w:cs="Arial" w:eastAsia="Arial" w:hAnsi="Arial"/>
          <w:sz w:val="18"/>
          <w:szCs w:val="18"/>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29.10 </w:t>
      </w:r>
      <w:r>
        <w:rPr>
          <w:rFonts w:ascii="Arial" w:cs="Arial" w:eastAsia="Arial" w:hAnsi="Arial"/>
          <w:sz w:val="18"/>
          <w:szCs w:val="18"/>
          <w:b w:val="1"/>
          <w:bCs w:val="1"/>
          <w:u w:val="single" w:color="auto"/>
          <w:color w:val="auto"/>
        </w:rPr>
        <w:t>Time of Essence</w:t>
      </w:r>
      <w:r>
        <w:rPr>
          <w:rFonts w:ascii="Arial" w:cs="Arial" w:eastAsia="Arial" w:hAnsi="Arial"/>
          <w:sz w:val="18"/>
          <w:szCs w:val="18"/>
          <w:color w:val="auto"/>
        </w:rPr>
        <w:t>. Time is of the essence with respect to the performance of every provision of this Lease in which time of performance is a factor.</w:t>
      </w:r>
    </w:p>
    <w:p>
      <w:pPr>
        <w:spacing w:after="0" w:line="16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8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b w:val="1"/>
          <w:bCs w:val="1"/>
          <w:u w:val="single" w:color="auto"/>
          <w:color w:val="auto"/>
        </w:rPr>
        <w:t>No Warranty</w:t>
      </w:r>
      <w:r>
        <w:rPr>
          <w:rFonts w:ascii="Arial" w:cs="Arial" w:eastAsia="Arial" w:hAnsi="Arial"/>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153275" cy="298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basis, or any warranty or any statement of Landlord which is not set forth herein or in one or more of the exhibits attached hereto.</w:t>
      </w:r>
    </w:p>
    <w:p>
      <w:pPr>
        <w:spacing w:after="0" w:line="22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29.13 </w:t>
      </w:r>
      <w:r>
        <w:rPr>
          <w:rFonts w:ascii="Arial" w:cs="Arial" w:eastAsia="Arial" w:hAnsi="Arial"/>
          <w:sz w:val="16"/>
          <w:szCs w:val="16"/>
          <w:b w:val="1"/>
          <w:bCs w:val="1"/>
          <w:u w:val="single" w:color="auto"/>
          <w:color w:val="auto"/>
        </w:rPr>
        <w:t>Landlord Exculpation</w:t>
      </w:r>
      <w:r>
        <w:rPr>
          <w:rFonts w:ascii="Arial" w:cs="Arial" w:eastAsia="Arial" w:hAnsi="Arial"/>
          <w:sz w:val="16"/>
          <w:szCs w:val="16"/>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interest of Landlord in the Building, provided that in no event shall such liability extend to any sales or insurance proceeds received by Landlord or the Landlord Parties in connection with the Project, Building or Premises.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6"/>
          <w:szCs w:val="16"/>
          <w:u w:val="single" w:color="auto"/>
          <w:color w:val="auto"/>
        </w:rPr>
        <w:t>Section 29.13</w:t>
      </w:r>
      <w:r>
        <w:rPr>
          <w:rFonts w:ascii="Arial" w:cs="Arial" w:eastAsia="Arial" w:hAnsi="Arial"/>
          <w:sz w:val="16"/>
          <w:szCs w:val="16"/>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w:t>
      </w:r>
    </w:p>
    <w:p>
      <w:pPr>
        <w:spacing w:after="0" w:line="16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color w:val="auto"/>
        </w:rPr>
        <w:t xml:space="preserve">29.14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68" w:lineRule="exact"/>
        <w:rPr>
          <w:sz w:val="20"/>
          <w:szCs w:val="20"/>
          <w:color w:val="auto"/>
        </w:rPr>
      </w:pPr>
    </w:p>
    <w:p>
      <w:pPr>
        <w:jc w:val="both"/>
        <w:ind w:right="240" w:firstLine="648"/>
        <w:spacing w:after="0" w:line="347" w:lineRule="auto"/>
        <w:rPr>
          <w:sz w:val="20"/>
          <w:szCs w:val="20"/>
          <w:color w:val="auto"/>
        </w:rPr>
      </w:pPr>
      <w:r>
        <w:rPr>
          <w:rFonts w:ascii="Arial" w:cs="Arial" w:eastAsia="Arial" w:hAnsi="Arial"/>
          <w:sz w:val="16"/>
          <w:szCs w:val="16"/>
          <w:color w:val="auto"/>
        </w:rPr>
        <w:t xml:space="preserve">29.15 </w:t>
      </w:r>
      <w:r>
        <w:rPr>
          <w:rFonts w:ascii="Arial" w:cs="Arial" w:eastAsia="Arial" w:hAnsi="Arial"/>
          <w:sz w:val="16"/>
          <w:szCs w:val="16"/>
          <w:b w:val="1"/>
          <w:bCs w:val="1"/>
          <w:u w:val="single" w:color="auto"/>
          <w:color w:val="auto"/>
        </w:rPr>
        <w:t>Right to Lease</w:t>
      </w:r>
      <w:r>
        <w:rPr>
          <w:rFonts w:ascii="Arial" w:cs="Arial" w:eastAsia="Arial" w:hAnsi="Arial"/>
          <w:sz w:val="16"/>
          <w:szCs w:val="16"/>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w:t>
      </w:r>
    </w:p>
    <w:p>
      <w:pPr>
        <w:sectPr>
          <w:pgSz w:w="11900" w:h="16879" w:orient="portrait"/>
          <w:cols w:equalWidth="0" w:num="1">
            <w:col w:w="11240"/>
          </w:cols>
          <w:pgMar w:left="320" w:top="342" w:right="339" w:bottom="0" w:gutter="0" w:footer="0" w:header="0"/>
        </w:sectPr>
      </w:pPr>
    </w:p>
    <w:bookmarkStart w:id="669" w:name="page670"/>
    <w:bookmarkEnd w:id="669"/>
    <w:p>
      <w:pPr>
        <w:spacing w:after="0"/>
        <w:rPr>
          <w:sz w:val="20"/>
          <w:szCs w:val="20"/>
          <w:color w:val="auto"/>
        </w:rPr>
      </w:pPr>
      <w:r>
        <w:rPr>
          <w:rFonts w:ascii="Arial" w:cs="Arial" w:eastAsia="Arial" w:hAnsi="Arial"/>
          <w:sz w:val="18"/>
          <w:szCs w:val="18"/>
          <w:color w:val="auto"/>
        </w:rPr>
        <w:t>that any specific tenant or type or number of tenants shall, during the Lease Term, occupy any space in the Building or Project.</w:t>
      </w:r>
    </w:p>
    <w:p>
      <w:pPr>
        <w:spacing w:after="0" w:line="22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29.16 </w:t>
      </w: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w:t>
      </w:r>
      <w:r>
        <w:rPr>
          <w:rFonts w:ascii="Arial" w:cs="Arial" w:eastAsia="Arial" w:hAnsi="Arial"/>
          <w:sz w:val="18"/>
          <w:szCs w:val="18"/>
          <w:color w:val="auto"/>
        </w:rPr>
        <w:t xml:space="preserve">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a “</w:t>
      </w:r>
      <w:r>
        <w:rPr>
          <w:rFonts w:ascii="Arial" w:cs="Arial" w:eastAsia="Arial" w:hAnsi="Arial"/>
          <w:sz w:val="18"/>
          <w:szCs w:val="18"/>
          <w:b w:val="1"/>
          <w:bCs w:val="1"/>
          <w:color w:val="auto"/>
        </w:rPr>
        <w:t>Force Majeure</w:t>
      </w:r>
      <w:r>
        <w:rPr>
          <w:rFonts w:ascii="Arial" w:cs="Arial" w:eastAsia="Arial" w:hAnsi="Arial"/>
          <w:sz w:val="18"/>
          <w:szCs w:val="18"/>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89"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 xml:space="preserve">29.17 </w:t>
      </w:r>
      <w:r>
        <w:rPr>
          <w:rFonts w:ascii="Arial" w:cs="Arial" w:eastAsia="Arial" w:hAnsi="Arial"/>
          <w:sz w:val="18"/>
          <w:szCs w:val="18"/>
          <w:b w:val="1"/>
          <w:bCs w:val="1"/>
          <w:u w:val="single" w:color="auto"/>
          <w:color w:val="auto"/>
        </w:rPr>
        <w:t>Waiver of Redemption by Tenant</w:t>
      </w:r>
      <w:r>
        <w:rPr>
          <w:rFonts w:ascii="Arial" w:cs="Arial" w:eastAsia="Arial" w:hAnsi="Arial"/>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29.18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xml:space="preserve">. All notices, demands, statements, designations, approvals or other communications (collectively, </w:t>
      </w:r>
      <w:r>
        <w:rPr>
          <w:rFonts w:ascii="Arial" w:cs="Arial" w:eastAsia="Arial" w:hAnsi="Arial"/>
          <w:sz w:val="18"/>
          <w:szCs w:val="18"/>
          <w:b w:val="1"/>
          <w:bCs w:val="1"/>
          <w:color w:val="auto"/>
        </w:rPr>
        <w:t>“Notices</w:t>
      </w:r>
      <w:r>
        <w:rPr>
          <w:rFonts w:ascii="Arial" w:cs="Arial" w:eastAsia="Arial" w:hAnsi="Arial"/>
          <w:sz w:val="18"/>
          <w:szCs w:val="18"/>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8"/>
          <w:szCs w:val="18"/>
          <w:b w:val="1"/>
          <w:bCs w:val="1"/>
          <w:color w:val="auto"/>
        </w:rPr>
        <w:t>Mail</w:t>
      </w:r>
      <w:r>
        <w:rPr>
          <w:rFonts w:ascii="Arial" w:cs="Arial" w:eastAsia="Arial" w:hAnsi="Arial"/>
          <w:sz w:val="18"/>
          <w:szCs w:val="18"/>
          <w:color w:val="auto"/>
        </w:rPr>
        <w:t xml:space="preserve">”), (B) transmitted by telecopy, if such telecopy is promptly followed by a Notice sent by Mail, (C) delivered by a nationally recognized overnight courier, or (D) delivered personally. Any Notice shall be sent, transmitted, or delivered, as the case may be, to Tenant at the appropriate address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53275" cy="298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70" w:name="page671"/>
    <w:bookmarkEnd w:id="670"/>
    <w:p>
      <w:pPr>
        <w:spacing w:after="0"/>
        <w:rPr>
          <w:sz w:val="20"/>
          <w:szCs w:val="20"/>
          <w:color w:val="auto"/>
        </w:rPr>
      </w:pPr>
      <w:r>
        <w:rPr>
          <w:rFonts w:ascii="Arial" w:cs="Arial" w:eastAsia="Arial" w:hAnsi="Arial"/>
          <w:sz w:val="17"/>
          <w:szCs w:val="17"/>
          <w:color w:val="auto"/>
        </w:rPr>
        <w:t>three (3) days after the date it is posted if sent by Mail, (ii) the date the telecopy is transmitted, (iii) the date the overnight courier delivery is made, or</w:t>
      </w:r>
    </w:p>
    <w:p>
      <w:pPr>
        <w:spacing w:after="0" w:line="35" w:lineRule="exact"/>
        <w:rPr>
          <w:sz w:val="20"/>
          <w:szCs w:val="20"/>
          <w:color w:val="auto"/>
        </w:rPr>
      </w:pPr>
    </w:p>
    <w:p>
      <w:pPr>
        <w:ind w:right="60" w:firstLine="8"/>
        <w:spacing w:after="0" w:line="260" w:lineRule="auto"/>
        <w:tabs>
          <w:tab w:leader="none" w:pos="30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date personal delivery is made. As of the date of this Lease, any Notices to Landlord must be sent, transmitted, or delivered, as the case may be, to the following addresses:</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Jones Lang LaSalle Americas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Sunnyvale City Center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100 Mathilda Place, Suite 101</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Sunnyvale, California 94086</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Stacey Kelsey, RPA, General Manager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J.P. Morgan Investment Management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2029 Century Park East, Suite 4150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Karen Wilbrecht, Vice President</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Allen Matkins Leck Gamble Mallory &amp; Natsis LLP</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1901 Avenue of the Stars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Suite 1800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Los Angeles, California 90067</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Anton N. Natsis, Esq.</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29.19</w:t>
      </w:r>
      <w:r>
        <w:rPr>
          <w:sz w:val="20"/>
          <w:szCs w:val="20"/>
          <w:color w:val="auto"/>
        </w:rPr>
        <w:tab/>
      </w:r>
      <w:r>
        <w:rPr>
          <w:rFonts w:ascii="Arial" w:cs="Arial" w:eastAsia="Arial" w:hAnsi="Arial"/>
          <w:sz w:val="16"/>
          <w:szCs w:val="16"/>
          <w:b w:val="1"/>
          <w:bCs w:val="1"/>
          <w:u w:val="single" w:color="auto"/>
          <w:color w:val="auto"/>
        </w:rPr>
        <w:t>Joint and Several</w:t>
      </w:r>
      <w:r>
        <w:rPr>
          <w:rFonts w:ascii="Arial" w:cs="Arial" w:eastAsia="Arial" w:hAnsi="Arial"/>
          <w:sz w:val="16"/>
          <w:szCs w:val="16"/>
          <w:color w:val="auto"/>
        </w:rPr>
        <w:t>. If there is more than one Tenant, the obligations imposed upon Tenant under this Lease shall be joint and several.</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 xml:space="preserve">29.20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If Tenant is a corporation, trust or partnership, each individual executing this Lease on behalf of Tenant hereby represents and warrants that Tenant is a duly formed and existing entity qualified to do business in California and that Tenant has full right and authority to execute and deliver this Lease and that each person signing on behalf of Tenant is authorized to do so. In such event, Tenant shall, within twenty (20)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California.</w:t>
      </w:r>
    </w:p>
    <w:p>
      <w:pPr>
        <w:spacing w:after="0" w:line="168"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 xml:space="preserve">29.21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In the event that either Landlord or Tenant should bring suit for the possession of the Premises, for the recovery of any sum due under this Lease, or because of the breach of any provision of this Lease or for any other relief against the other, then all reasonable and direct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8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29.22 </w:t>
      </w:r>
      <w:r>
        <w:rPr>
          <w:rFonts w:ascii="Arial" w:cs="Arial" w:eastAsia="Arial" w:hAnsi="Arial"/>
          <w:sz w:val="18"/>
          <w:szCs w:val="18"/>
          <w:b w:val="1"/>
          <w:bCs w:val="1"/>
          <w:u w:val="single" w:color="auto"/>
          <w:color w:val="auto"/>
        </w:rPr>
        <w:t>Governing Law; WAIYER OF TRIAL BY JURY</w:t>
      </w:r>
      <w:r>
        <w:rPr>
          <w:rFonts w:ascii="Arial" w:cs="Arial" w:eastAsia="Arial" w:hAnsi="Arial"/>
          <w:sz w:val="18"/>
          <w:szCs w:val="18"/>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153275" cy="298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71" w:name="page672"/>
    <w:bookmarkEnd w:id="671"/>
    <w:p>
      <w:pPr>
        <w:ind w:right="120" w:firstLine="648"/>
        <w:spacing w:after="0" w:line="312" w:lineRule="auto"/>
        <w:rPr>
          <w:sz w:val="20"/>
          <w:szCs w:val="20"/>
          <w:color w:val="auto"/>
        </w:rPr>
      </w:pPr>
      <w:r>
        <w:rPr>
          <w:rFonts w:ascii="Arial" w:cs="Arial" w:eastAsia="Arial" w:hAnsi="Arial"/>
          <w:sz w:val="17"/>
          <w:szCs w:val="17"/>
          <w:color w:val="auto"/>
        </w:rPr>
        <w:t xml:space="preserve">29.23 </w:t>
      </w:r>
      <w:r>
        <w:rPr>
          <w:rFonts w:ascii="Arial" w:cs="Arial" w:eastAsia="Arial" w:hAnsi="Arial"/>
          <w:sz w:val="17"/>
          <w:szCs w:val="17"/>
          <w:b w:val="1"/>
          <w:bCs w:val="1"/>
          <w:u w:val="single" w:color="auto"/>
          <w:color w:val="auto"/>
        </w:rPr>
        <w:t>Submission of Lease</w:t>
      </w:r>
      <w:r>
        <w:rPr>
          <w:rFonts w:ascii="Arial" w:cs="Arial" w:eastAsia="Arial" w:hAnsi="Arial"/>
          <w:sz w:val="17"/>
          <w:szCs w:val="17"/>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40"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 xml:space="preserve">29.24 </w:t>
      </w: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Brokers</w:t>
      </w:r>
      <w:r>
        <w:rPr>
          <w:rFonts w:ascii="Arial" w:cs="Arial" w:eastAsia="Arial" w:hAnsi="Arial"/>
          <w:sz w:val="16"/>
          <w:szCs w:val="16"/>
          <w:color w:val="auto"/>
        </w:rPr>
        <w:t>”),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w:t>
      </w:r>
    </w:p>
    <w:p>
      <w:pPr>
        <w:spacing w:after="0" w:line="160" w:lineRule="exact"/>
        <w:rPr>
          <w:sz w:val="20"/>
          <w:szCs w:val="20"/>
          <w:color w:val="auto"/>
        </w:rPr>
      </w:pPr>
    </w:p>
    <w:p>
      <w:pPr>
        <w:jc w:val="both"/>
        <w:ind w:right="120" w:firstLine="648"/>
        <w:spacing w:after="0" w:line="281" w:lineRule="auto"/>
        <w:rPr>
          <w:sz w:val="20"/>
          <w:szCs w:val="20"/>
          <w:color w:val="auto"/>
        </w:rPr>
      </w:pPr>
      <w:r>
        <w:rPr>
          <w:rFonts w:ascii="Arial" w:cs="Arial" w:eastAsia="Arial" w:hAnsi="Arial"/>
          <w:sz w:val="17"/>
          <w:szCs w:val="17"/>
          <w:color w:val="auto"/>
        </w:rPr>
        <w:t xml:space="preserve">29.25 </w:t>
      </w:r>
      <w:r>
        <w:rPr>
          <w:rFonts w:ascii="Arial" w:cs="Arial" w:eastAsia="Arial" w:hAnsi="Arial"/>
          <w:sz w:val="17"/>
          <w:szCs w:val="17"/>
          <w:b w:val="1"/>
          <w:bCs w:val="1"/>
          <w:u w:val="single" w:color="auto"/>
          <w:color w:val="auto"/>
        </w:rPr>
        <w:t>Independent Covenants</w:t>
      </w:r>
      <w:r>
        <w:rPr>
          <w:rFonts w:ascii="Arial" w:cs="Arial" w:eastAsia="Arial" w:hAnsi="Arial"/>
          <w:sz w:val="17"/>
          <w:szCs w:val="17"/>
          <w:color w:val="auto"/>
        </w:rPr>
        <w:t xml:space="preserve">.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 (except as expressly provided in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above).</w:t>
      </w:r>
    </w:p>
    <w:p>
      <w:pPr>
        <w:spacing w:after="0" w:line="16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 xml:space="preserve">29.26 </w:t>
      </w:r>
      <w:r>
        <w:rPr>
          <w:rFonts w:ascii="Arial" w:cs="Arial" w:eastAsia="Arial" w:hAnsi="Arial"/>
          <w:sz w:val="17"/>
          <w:szCs w:val="17"/>
          <w:b w:val="1"/>
          <w:bCs w:val="1"/>
          <w:u w:val="single" w:color="auto"/>
          <w:color w:val="auto"/>
        </w:rPr>
        <w:t>Project or Building Name and Signage</w:t>
      </w:r>
      <w:r>
        <w:rPr>
          <w:rFonts w:ascii="Arial" w:cs="Arial" w:eastAsia="Arial" w:hAnsi="Arial"/>
          <w:sz w:val="17"/>
          <w:szCs w:val="17"/>
          <w:color w:val="auto"/>
        </w:rPr>
        <w:t>. Landlord shall have the right at any time to change the name of the Project or Building and to install, affix and maintain any and all signs on the exterior and on the interior of the Project or Building as Landlord may, in its sole discretion, desire. Tenant shall not use the words “Sunnyvale City Center” or the name of the Project or Building or use pictures or illustrations of the Project or Building in advertising or other publicity or for any purpose other than as the address of the business to be conducted by Tenant in the Premises, without the prior written consent of Landlord, which consent shall not be unreasonably withheld, conditioned or delayed.</w:t>
      </w:r>
    </w:p>
    <w:p>
      <w:pPr>
        <w:spacing w:after="0" w:line="168"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 xml:space="preserve">29.27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Lease may be executed in counterparts with the same effect as if both parties hereto had executed the same document. Both counterparts shall be construed together and shall constitute a single lease.</w:t>
      </w:r>
    </w:p>
    <w:p>
      <w:pPr>
        <w:spacing w:after="0" w:line="16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 xml:space="preserve">29.28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Landlord and Tenant acknowledge that the content of this Lease and any related documents are confidential information and each party shall keep such confidential information strictly confidential and shall not disclose such confidential information to any person or entity other than, in the case of Tenant, its financial, legal, and space planning consultants or as required by Law, and in the case of Landlord, the Landlord Parties, current and prospective mortgagees of the Building, prospective purchasers, appraisers, financial and legal consultants or as required by Law.</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29.29</w:t>
      </w:r>
      <w:r>
        <w:rPr>
          <w:sz w:val="20"/>
          <w:szCs w:val="20"/>
          <w:color w:val="auto"/>
        </w:rPr>
        <w:tab/>
      </w:r>
      <w:r>
        <w:rPr>
          <w:rFonts w:ascii="Arial" w:cs="Arial" w:eastAsia="Arial" w:hAnsi="Arial"/>
          <w:sz w:val="16"/>
          <w:szCs w:val="16"/>
          <w:b w:val="1"/>
          <w:bCs w:val="1"/>
          <w:u w:val="single" w:color="auto"/>
          <w:color w:val="auto"/>
        </w:rPr>
        <w:t>Development of the Project</w:t>
      </w:r>
      <w:r>
        <w:rPr>
          <w:rFonts w:ascii="Arial" w:cs="Arial" w:eastAsia="Arial" w:hAnsi="Arial"/>
          <w:sz w:val="16"/>
          <w:szCs w:val="16"/>
          <w:color w:val="auto"/>
        </w:rPr>
        <w:t>.</w:t>
      </w:r>
    </w:p>
    <w:p>
      <w:pPr>
        <w:spacing w:after="0" w:line="225" w:lineRule="exact"/>
        <w:rPr>
          <w:sz w:val="20"/>
          <w:szCs w:val="20"/>
          <w:color w:val="auto"/>
        </w:rPr>
      </w:pPr>
    </w:p>
    <w:p>
      <w:pPr>
        <w:ind w:right="180" w:firstLine="1296"/>
        <w:spacing w:after="0" w:line="266" w:lineRule="auto"/>
        <w:rPr>
          <w:sz w:val="20"/>
          <w:szCs w:val="20"/>
          <w:color w:val="auto"/>
        </w:rPr>
      </w:pPr>
      <w:r>
        <w:rPr>
          <w:rFonts w:ascii="Arial" w:cs="Arial" w:eastAsia="Arial" w:hAnsi="Arial"/>
          <w:sz w:val="18"/>
          <w:szCs w:val="18"/>
          <w:color w:val="auto"/>
        </w:rPr>
        <w:t xml:space="preserve">29.29.1 </w:t>
      </w:r>
      <w:r>
        <w:rPr>
          <w:rFonts w:ascii="Arial" w:cs="Arial" w:eastAsia="Arial" w:hAnsi="Arial"/>
          <w:sz w:val="18"/>
          <w:szCs w:val="18"/>
          <w:b w:val="1"/>
          <w:bCs w:val="1"/>
          <w:u w:val="single" w:color="auto"/>
          <w:color w:val="auto"/>
        </w:rPr>
        <w:t>Subdivision</w:t>
      </w:r>
      <w:r>
        <w:rPr>
          <w:rFonts w:ascii="Arial" w:cs="Arial" w:eastAsia="Arial" w:hAnsi="Arial"/>
          <w:sz w:val="18"/>
          <w:szCs w:val="18"/>
          <w:color w:val="auto"/>
        </w:rPr>
        <w:t>. Landlord reserves the right to further subdivide all or a portion of the Project. Tenant agrees to execute and deliver, upon demand by Landlord and in the form requested by Landlord, any additional documents needed to conform this Lease to the circumstances resulting from such subdivision.</w:t>
      </w:r>
    </w:p>
    <w:p>
      <w:pPr>
        <w:spacing w:after="0" w:line="176" w:lineRule="exact"/>
        <w:rPr>
          <w:sz w:val="20"/>
          <w:szCs w:val="20"/>
          <w:color w:val="auto"/>
        </w:rPr>
      </w:pPr>
    </w:p>
    <w:p>
      <w:pPr>
        <w:ind w:right="100" w:firstLine="1296"/>
        <w:spacing w:after="0" w:line="254" w:lineRule="auto"/>
        <w:rPr>
          <w:sz w:val="20"/>
          <w:szCs w:val="20"/>
          <w:color w:val="auto"/>
        </w:rPr>
      </w:pPr>
      <w:r>
        <w:rPr>
          <w:rFonts w:ascii="Arial" w:cs="Arial" w:eastAsia="Arial" w:hAnsi="Arial"/>
          <w:sz w:val="18"/>
          <w:szCs w:val="18"/>
          <w:color w:val="auto"/>
        </w:rPr>
        <w:t xml:space="preserve">29.29.2 </w:t>
      </w:r>
      <w:r>
        <w:rPr>
          <w:rFonts w:ascii="Arial" w:cs="Arial" w:eastAsia="Arial" w:hAnsi="Arial"/>
          <w:sz w:val="18"/>
          <w:szCs w:val="18"/>
          <w:b w:val="1"/>
          <w:bCs w:val="1"/>
          <w:u w:val="single" w:color="auto"/>
          <w:color w:val="auto"/>
        </w:rPr>
        <w:t>The Other Improvements</w:t>
      </w:r>
      <w:r>
        <w:rPr>
          <w:rFonts w:ascii="Arial" w:cs="Arial" w:eastAsia="Arial" w:hAnsi="Arial"/>
          <w:sz w:val="18"/>
          <w:szCs w:val="18"/>
          <w:color w:val="auto"/>
        </w:rPr>
        <w:t>. If portions of the Project or property adjacent to the Project (collectively, the “</w:t>
      </w:r>
      <w:r>
        <w:rPr>
          <w:rFonts w:ascii="Arial" w:cs="Arial" w:eastAsia="Arial" w:hAnsi="Arial"/>
          <w:sz w:val="18"/>
          <w:szCs w:val="18"/>
          <w:b w:val="1"/>
          <w:b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Improvements</w:t>
      </w:r>
      <w:r>
        <w:rPr>
          <w:rFonts w:ascii="Arial" w:cs="Arial" w:eastAsia="Arial" w:hAnsi="Arial"/>
          <w:sz w:val="18"/>
          <w:szCs w:val="18"/>
          <w:color w:val="auto"/>
        </w:rPr>
        <w:t>”) are owned by an entity other than Landlord, Landlord, at its option, may enter into an agreement with the owner or owners of any or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Other Improvements to provide (i) for reciprocal rights of access and/or use of the Project and the Other Improvements, (ii) for the common management, operation, maintenance, improvement and/or repair of all or any portion of the Project and the Other Improvements, provided that Tenant’s rights under this Lease are not materially impaired, (iii) for the allocation of a portion of the Direct Expenses to the Other Improvements and the operating expenses and taxes for the Other Improvements to the Project, and (iv) for the use or improvement of the Other Improvements and/or the Project in connection with the improvement, construction, and/or excavation of the Other Improvements and/or the Project. Nothing contained herein shall be deemed or construed to limit or otherwise affect Landlord’s right to convey all or any portion of the Project or any other of Landlord’s rights described in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153275" cy="298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72" w:name="page673"/>
    <w:bookmarkEnd w:id="672"/>
    <w:p>
      <w:pPr>
        <w:ind w:firstLine="1296"/>
        <w:spacing w:after="0" w:line="255" w:lineRule="auto"/>
        <w:rPr>
          <w:sz w:val="20"/>
          <w:szCs w:val="20"/>
          <w:color w:val="auto"/>
        </w:rPr>
      </w:pPr>
      <w:r>
        <w:rPr>
          <w:rFonts w:ascii="Arial" w:cs="Arial" w:eastAsia="Arial" w:hAnsi="Arial"/>
          <w:sz w:val="18"/>
          <w:szCs w:val="18"/>
          <w:color w:val="auto"/>
        </w:rPr>
        <w:t xml:space="preserve">29.29.3 </w:t>
      </w:r>
      <w:r>
        <w:rPr>
          <w:rFonts w:ascii="Arial" w:cs="Arial" w:eastAsia="Arial" w:hAnsi="Arial"/>
          <w:sz w:val="18"/>
          <w:szCs w:val="18"/>
          <w:b w:val="1"/>
          <w:bCs w:val="1"/>
          <w:u w:val="single" w:color="auto"/>
          <w:color w:val="auto"/>
        </w:rPr>
        <w:t>Construction of Project and Other Improvements</w:t>
      </w:r>
      <w:r>
        <w:rPr>
          <w:rFonts w:ascii="Arial" w:cs="Arial" w:eastAsia="Arial" w:hAnsi="Arial"/>
          <w:sz w:val="18"/>
          <w:szCs w:val="18"/>
          <w:color w:val="auto"/>
        </w:rPr>
        <w:t xml:space="preserve">. Tenant acknowledges that portions of the Project and/or the Other Improvements may be subject to demolition or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demolition or construction; provided that, subject to the other terms and conditions of this Lease, the foregoing waiver shall not limit Tenant’s right to abate Rent to the extent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above. Landlord agrees to make reasonable efforts, consistent with those taken by landlords owning and/or managing Comparable Buildings, to avoid or mitigate the adverse effects of demolition or construction described in this </w:t>
      </w:r>
      <w:r>
        <w:rPr>
          <w:rFonts w:ascii="Arial" w:cs="Arial" w:eastAsia="Arial" w:hAnsi="Arial"/>
          <w:sz w:val="18"/>
          <w:szCs w:val="18"/>
          <w:u w:val="single" w:color="auto"/>
          <w:color w:val="auto"/>
        </w:rPr>
        <w:t>Section 29.29</w:t>
      </w:r>
      <w:r>
        <w:rPr>
          <w:rFonts w:ascii="Arial" w:cs="Arial" w:eastAsia="Arial" w:hAnsi="Arial"/>
          <w:sz w:val="18"/>
          <w:szCs w:val="18"/>
          <w:color w:val="auto"/>
        </w:rPr>
        <w:t>.</w:t>
      </w:r>
    </w:p>
    <w:p>
      <w:pPr>
        <w:spacing w:after="0" w:line="18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29.30 </w:t>
      </w:r>
      <w:r>
        <w:rPr>
          <w:rFonts w:ascii="Arial" w:cs="Arial" w:eastAsia="Arial" w:hAnsi="Arial"/>
          <w:sz w:val="16"/>
          <w:szCs w:val="16"/>
          <w:b w:val="1"/>
          <w:bCs w:val="1"/>
          <w:u w:val="single" w:color="auto"/>
          <w:color w:val="auto"/>
        </w:rPr>
        <w:t>Building Renovations</w:t>
      </w:r>
      <w:r>
        <w:rPr>
          <w:rFonts w:ascii="Arial" w:cs="Arial" w:eastAsia="Arial" w:hAnsi="Arial"/>
          <w:sz w:val="16"/>
          <w:szCs w:val="16"/>
          <w:color w:val="auto"/>
        </w:rPr>
        <w:t xml:space="preserve">. It is specifically understood and agreed that Landlord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herein. However, Tenant hereby acknowledges that Landlord is currently renovating or may during the Lease Term renovate, improve, alter, or modify (collectively, the </w:t>
      </w:r>
      <w:r>
        <w:rPr>
          <w:rFonts w:ascii="Arial" w:cs="Arial" w:eastAsia="Arial" w:hAnsi="Arial"/>
          <w:sz w:val="16"/>
          <w:szCs w:val="16"/>
          <w:b w:val="1"/>
          <w:bCs w:val="1"/>
          <w:color w:val="auto"/>
        </w:rPr>
        <w:t>“Renovations</w:t>
      </w:r>
      <w:r>
        <w:rPr>
          <w:rFonts w:ascii="Arial" w:cs="Arial" w:eastAsia="Arial" w:hAnsi="Arial"/>
          <w:sz w:val="16"/>
          <w:szCs w:val="16"/>
          <w:color w:val="auto"/>
        </w:rPr>
        <w:t xml:space="preserve">”) the Project, the Building and/or the Premises. Tenant hereby agrees that such Renovations shall in no way constitute a constructive eviction of Tenant nor entitle Tenant to any abatement of Rent (except as provided in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above). Landlord shall have no responsibility and shall not be liable to Tenant for any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for any inconvenience or annoyance occasioned by such Renovations. Landlord shall use commercially reasonable efforts to minimize any interference with Tenant’s use of or access to the Premises in connection with any such Renovations. Landlord agrees to make reasonable efforts, consistent with those taken by landlords owning and/or managing Comparable Buildings, to avoid or mitigate the adverse effects of Renovations described in this </w:t>
      </w:r>
      <w:r>
        <w:rPr>
          <w:rFonts w:ascii="Arial" w:cs="Arial" w:eastAsia="Arial" w:hAnsi="Arial"/>
          <w:sz w:val="16"/>
          <w:szCs w:val="16"/>
          <w:u w:val="single" w:color="auto"/>
          <w:color w:val="auto"/>
        </w:rPr>
        <w:t>Section 29.29</w:t>
      </w:r>
      <w:r>
        <w:rPr>
          <w:rFonts w:ascii="Arial" w:cs="Arial" w:eastAsia="Arial" w:hAnsi="Arial"/>
          <w:sz w:val="16"/>
          <w:szCs w:val="16"/>
          <w:color w:val="auto"/>
        </w:rPr>
        <w:t>.</w:t>
      </w:r>
    </w:p>
    <w:p>
      <w:pPr>
        <w:spacing w:after="0" w:line="16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 xml:space="preserve">29.31 </w:t>
      </w:r>
      <w:r>
        <w:rPr>
          <w:rFonts w:ascii="Arial" w:cs="Arial" w:eastAsia="Arial" w:hAnsi="Arial"/>
          <w:sz w:val="18"/>
          <w:szCs w:val="18"/>
          <w:b w:val="1"/>
          <w:bCs w:val="1"/>
          <w:u w:val="single" w:color="auto"/>
          <w:color w:val="auto"/>
        </w:rPr>
        <w:t>No Violation</w:t>
      </w:r>
      <w:r>
        <w:rPr>
          <w:rFonts w:ascii="Arial" w:cs="Arial" w:eastAsia="Arial" w:hAnsi="Arial"/>
          <w:sz w:val="18"/>
          <w:szCs w:val="18"/>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29.32 </w:t>
      </w:r>
      <w:r>
        <w:rPr>
          <w:rFonts w:ascii="Arial" w:cs="Arial" w:eastAsia="Arial" w:hAnsi="Arial"/>
          <w:sz w:val="17"/>
          <w:szCs w:val="17"/>
          <w:b w:val="1"/>
          <w:bCs w:val="1"/>
          <w:u w:val="single" w:color="auto"/>
          <w:color w:val="auto"/>
        </w:rPr>
        <w:t>Communications and Computer Lines</w:t>
      </w:r>
      <w:r>
        <w:rPr>
          <w:rFonts w:ascii="Arial" w:cs="Arial" w:eastAsia="Arial" w:hAnsi="Arial"/>
          <w:sz w:val="17"/>
          <w:szCs w:val="17"/>
          <w:color w:val="auto"/>
        </w:rPr>
        <w:t xml:space="preserve">. Tenant may install, maintain, replace, remove or use any communications or computer wires and cables serving the Premises (collectively, the </w:t>
      </w:r>
      <w:r>
        <w:rPr>
          <w:rFonts w:ascii="Arial" w:cs="Arial" w:eastAsia="Arial" w:hAnsi="Arial"/>
          <w:sz w:val="17"/>
          <w:szCs w:val="17"/>
          <w:b w:val="1"/>
          <w:bCs w:val="1"/>
          <w:color w:val="auto"/>
        </w:rPr>
        <w:t>“Lines</w:t>
      </w:r>
      <w:r>
        <w:rPr>
          <w:rFonts w:ascii="Arial" w:cs="Arial" w:eastAsia="Arial" w:hAnsi="Arial"/>
          <w:sz w:val="17"/>
          <w:szCs w:val="17"/>
          <w:color w:val="auto"/>
        </w:rPr>
        <w:t xml:space="preserve">”), provided that (i) Tenant shall obtain Landlord’s prior written consent, use an experienced and qualified contractor approved in writing by Landlord, and comply with all of the other provisions of </w:t>
      </w:r>
      <w:r>
        <w:rPr>
          <w:rFonts w:ascii="Arial" w:cs="Arial" w:eastAsia="Arial" w:hAnsi="Arial"/>
          <w:sz w:val="17"/>
          <w:szCs w:val="17"/>
          <w:u w:val="single" w:color="auto"/>
          <w:color w:val="auto"/>
        </w:rPr>
        <w:t>Articles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xml:space="preserve"> of this Lease, (ii) an acceptable number of spare Lines and space for additional Lines shall be maintained for existing and future occupants of the Project, as determined in Landlord’s reasonable opinion, (iii) the Lines therefor (including riser cables) shall be appropriately insulated to prevent excessive electromagnetic fields or radiation, shall be surrounded by a protective conduit reasonably acceptable to Landlord, and shall be identified in accordance with the “Identification Requirements,” as that term is set forth hereinbelow, (iv) any new or existing Lines servicing the Premises shall comply with all applicable governmental laws and regulations, (v) as a condition to permitting the installation of new Lines, Landlord may require that Tenant remove existing Lines located in or serving the Premises and repair any damage in connection with such removal, and (vi) Tenant shall pay all costs in connection therewith. All Lines shall be clearly marked with adhesive plastic labels (or plastic tags attached to such Lines with wire) to show Tenant’s name, suite number, telephone number and the name of the person to contact in the case of an emergency (A) every four feet (4’) outside the Premises (specifically including, but not limited to, the electrical room risers and other Common Areas), and (B) at the Lines’ termination point(s) (collectively, the “</w:t>
      </w:r>
      <w:r>
        <w:rPr>
          <w:rFonts w:ascii="Arial" w:cs="Arial" w:eastAsia="Arial" w:hAnsi="Arial"/>
          <w:sz w:val="17"/>
          <w:szCs w:val="17"/>
          <w:b w:val="1"/>
          <w:bCs w:val="1"/>
          <w:color w:val="auto"/>
        </w:rPr>
        <w:t>Identification Requirements</w:t>
      </w:r>
      <w:r>
        <w:rPr>
          <w:rFonts w:ascii="Arial" w:cs="Arial" w:eastAsia="Arial" w:hAnsi="Arial"/>
          <w:sz w:val="17"/>
          <w:szCs w:val="17"/>
          <w:color w:val="auto"/>
        </w:rPr>
        <w:t>”). Upon the expiration of the Lease Term, or immediately following any earlier termination of this Lease, Tenant shall, at Tenant’s sole cost and expense, remove all Lines installed by Tenant, and repair any damage caused by such removal. In the event that Tenant fails to complete such removal and/or fails to repair any damage caused by the removal of any Lines, Landlord may do so and may charge the reasonable cost thereof to Tenant. In addition, Landlord reserves the right at any time to require that Tenant remove any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73" w:name="page674"/>
    <w:bookmarkEnd w:id="673"/>
    <w:p>
      <w:pPr>
        <w:ind w:right="500"/>
        <w:spacing w:after="0" w:line="277" w:lineRule="auto"/>
        <w:rPr>
          <w:sz w:val="20"/>
          <w:szCs w:val="20"/>
          <w:color w:val="auto"/>
        </w:rPr>
      </w:pPr>
      <w:r>
        <w:rPr>
          <w:rFonts w:ascii="Arial" w:cs="Arial" w:eastAsia="Arial" w:hAnsi="Arial"/>
          <w:sz w:val="18"/>
          <w:szCs w:val="18"/>
          <w:color w:val="auto"/>
        </w:rPr>
        <w:t>located in or serving the Premises which are installed in violation of these provisions, or which are at any time in violation of any laws or represent a dangerous or potentially dangerous condition.</w:t>
      </w:r>
    </w:p>
    <w:p>
      <w:pPr>
        <w:spacing w:after="0" w:line="166"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 xml:space="preserve">29.33 </w:t>
      </w:r>
      <w:r>
        <w:rPr>
          <w:rFonts w:ascii="Arial" w:cs="Arial" w:eastAsia="Arial" w:hAnsi="Arial"/>
          <w:sz w:val="18"/>
          <w:szCs w:val="18"/>
          <w:b w:val="1"/>
          <w:bCs w:val="1"/>
          <w:u w:val="single" w:color="auto"/>
          <w:color w:val="auto"/>
        </w:rPr>
        <w:t>Access Control Cards</w:t>
      </w:r>
      <w:r>
        <w:rPr>
          <w:rFonts w:ascii="Arial" w:cs="Arial" w:eastAsia="Arial" w:hAnsi="Arial"/>
          <w:sz w:val="18"/>
          <w:szCs w:val="18"/>
          <w:color w:val="auto"/>
        </w:rPr>
        <w:t>. Landlord shall have the right to institute and or continue the use of access control systems and/or procedures at the Building and/or Project that may include the provision of personal access control cards to individual employees of Tenant. In such event, any such cards shall be personal to each particular employee, and Tenant shall cooperate with Landlord in order to ensure that such cards are used by employees of Tenant only, and are not transferred to any other persons. Tenant shall additionally comply with any other reasonable requirements instituted or already used by Landlord in connection with such systems or procedures.</w:t>
      </w:r>
    </w:p>
    <w:p>
      <w:pPr>
        <w:spacing w:after="0" w:line="18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29.34 </w:t>
      </w:r>
      <w:r>
        <w:rPr>
          <w:rFonts w:ascii="Arial" w:cs="Arial" w:eastAsia="Arial" w:hAnsi="Arial"/>
          <w:sz w:val="18"/>
          <w:szCs w:val="18"/>
          <w:b w:val="1"/>
          <w:bCs w:val="1"/>
          <w:u w:val="single" w:color="auto"/>
          <w:color w:val="auto"/>
        </w:rPr>
        <w:t>Transportation Management</w:t>
      </w:r>
      <w:r>
        <w:rPr>
          <w:rFonts w:ascii="Arial" w:cs="Arial" w:eastAsia="Arial" w:hAnsi="Arial"/>
          <w:sz w:val="18"/>
          <w:szCs w:val="18"/>
          <w:color w:val="auto"/>
        </w:rPr>
        <w:t>. Tenant shall comply with all future governmentally mandated programs intended to manage parking, transportation or traffic in and around the Project. In connection with such compliance,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29.35</w:t>
      </w:r>
      <w:r>
        <w:rPr>
          <w:sz w:val="20"/>
          <w:szCs w:val="20"/>
          <w:color w:val="auto"/>
        </w:rPr>
        <w:tab/>
      </w:r>
      <w:r>
        <w:rPr>
          <w:rFonts w:ascii="Arial" w:cs="Arial" w:eastAsia="Arial" w:hAnsi="Arial"/>
          <w:sz w:val="15"/>
          <w:szCs w:val="15"/>
          <w:b w:val="1"/>
          <w:bCs w:val="1"/>
          <w:u w:val="single" w:color="auto"/>
          <w:color w:val="auto"/>
        </w:rPr>
        <w:t>Wireless Communications</w:t>
      </w:r>
      <w:r>
        <w:rPr>
          <w:rFonts w:ascii="Arial" w:cs="Arial" w:eastAsia="Arial" w:hAnsi="Arial"/>
          <w:sz w:val="15"/>
          <w:szCs w:val="15"/>
          <w:color w:val="auto"/>
        </w:rPr>
        <w:t>.</w:t>
      </w:r>
    </w:p>
    <w:p>
      <w:pPr>
        <w:spacing w:after="0" w:line="225" w:lineRule="exact"/>
        <w:rPr>
          <w:sz w:val="20"/>
          <w:szCs w:val="20"/>
          <w:color w:val="auto"/>
        </w:rPr>
      </w:pPr>
    </w:p>
    <w:p>
      <w:pPr>
        <w:jc w:val="both"/>
        <w:ind w:right="40" w:firstLine="1296"/>
        <w:spacing w:after="0" w:line="314" w:lineRule="auto"/>
        <w:rPr>
          <w:sz w:val="20"/>
          <w:szCs w:val="20"/>
          <w:color w:val="auto"/>
        </w:rPr>
      </w:pPr>
      <w:r>
        <w:rPr>
          <w:rFonts w:ascii="Arial" w:cs="Arial" w:eastAsia="Arial" w:hAnsi="Arial"/>
          <w:sz w:val="16"/>
          <w:szCs w:val="16"/>
          <w:color w:val="auto"/>
        </w:rPr>
        <w:t xml:space="preserve">29.35.1 </w:t>
      </w:r>
      <w:r>
        <w:rPr>
          <w:rFonts w:ascii="Arial" w:cs="Arial" w:eastAsia="Arial" w:hAnsi="Arial"/>
          <w:sz w:val="16"/>
          <w:szCs w:val="16"/>
          <w:b w:val="1"/>
          <w:bCs w:val="1"/>
          <w:u w:val="single" w:color="auto"/>
          <w:color w:val="auto"/>
        </w:rPr>
        <w:t>Landlord’s Wireless Communication Equipment</w:t>
      </w:r>
      <w:r>
        <w:rPr>
          <w:rFonts w:ascii="Arial" w:cs="Arial" w:eastAsia="Arial" w:hAnsi="Arial"/>
          <w:sz w:val="16"/>
          <w:szCs w:val="16"/>
          <w:color w:val="auto"/>
        </w:rPr>
        <w:t>. Tenant acknowledges that Landlord may elect, in its sole and absolute discretion, to install and maintain (either itself or through a third party service provider) certain office and communications services (specifically including, without limitation, wireless communication equipment) in the Building or Project, or any portion thereof (“</w:t>
      </w:r>
      <w:r>
        <w:rPr>
          <w:rFonts w:ascii="Arial" w:cs="Arial" w:eastAsia="Arial" w:hAnsi="Arial"/>
          <w:sz w:val="16"/>
          <w:szCs w:val="16"/>
          <w:b w:val="1"/>
          <w:bCs w:val="1"/>
          <w:color w:val="auto"/>
        </w:rPr>
        <w:t>Landlord’s Communication Equipment</w:t>
      </w:r>
      <w:r>
        <w:rPr>
          <w:rFonts w:ascii="Arial" w:cs="Arial" w:eastAsia="Arial" w:hAnsi="Arial"/>
          <w:sz w:val="16"/>
          <w:szCs w:val="16"/>
          <w:color w:val="auto"/>
        </w:rPr>
        <w:t>”).</w:t>
      </w:r>
    </w:p>
    <w:p>
      <w:pPr>
        <w:spacing w:after="0" w:line="142" w:lineRule="exact"/>
        <w:rPr>
          <w:sz w:val="20"/>
          <w:szCs w:val="20"/>
          <w:color w:val="auto"/>
        </w:rPr>
      </w:pPr>
    </w:p>
    <w:p>
      <w:pPr>
        <w:ind w:right="20" w:firstLine="1296"/>
        <w:spacing w:after="0" w:line="254" w:lineRule="auto"/>
        <w:rPr>
          <w:sz w:val="20"/>
          <w:szCs w:val="20"/>
          <w:color w:val="auto"/>
        </w:rPr>
      </w:pPr>
      <w:r>
        <w:rPr>
          <w:rFonts w:ascii="Arial" w:cs="Arial" w:eastAsia="Arial" w:hAnsi="Arial"/>
          <w:sz w:val="18"/>
          <w:szCs w:val="18"/>
          <w:color w:val="auto"/>
        </w:rPr>
        <w:t xml:space="preserve">29.35.2 </w:t>
      </w:r>
      <w:r>
        <w:rPr>
          <w:rFonts w:ascii="Arial" w:cs="Arial" w:eastAsia="Arial" w:hAnsi="Arial"/>
          <w:sz w:val="18"/>
          <w:szCs w:val="18"/>
          <w:b w:val="1"/>
          <w:bCs w:val="1"/>
          <w:u w:val="single" w:color="auto"/>
          <w:color w:val="auto"/>
        </w:rPr>
        <w:t>Tenant’s Wireless Communication Equipment</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Landlord’s prior written approval, which approval shall not be unreasonably withheld, conditioned or delayed, and subject to, in accordance with, and the terms and conditions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29.35</w:t>
      </w:r>
      <w:r>
        <w:rPr>
          <w:rFonts w:ascii="Arial" w:cs="Arial" w:eastAsia="Arial" w:hAnsi="Arial"/>
          <w:sz w:val="18"/>
          <w:szCs w:val="18"/>
          <w:color w:val="auto"/>
        </w:rPr>
        <w:t>, Tenant may install and maintain, at Tenant’s sole cost and expense, wireless communication equipment within the Premises (the “</w:t>
      </w:r>
      <w:r>
        <w:rPr>
          <w:rFonts w:ascii="Arial" w:cs="Arial" w:eastAsia="Arial" w:hAnsi="Arial"/>
          <w:sz w:val="18"/>
          <w:szCs w:val="18"/>
          <w:b w:val="1"/>
          <w:bCs w:val="1"/>
          <w:color w:val="auto"/>
        </w:rPr>
        <w:t>Wireless</w:t>
      </w:r>
      <w:r>
        <w:rPr>
          <w:rFonts w:ascii="Arial" w:cs="Arial" w:eastAsia="Arial" w:hAnsi="Arial"/>
          <w:sz w:val="18"/>
          <w:szCs w:val="18"/>
          <w:color w:val="auto"/>
        </w:rPr>
        <w:t xml:space="preserve"> </w:t>
      </w:r>
      <w:r>
        <w:rPr>
          <w:rFonts w:ascii="Arial" w:cs="Arial" w:eastAsia="Arial" w:hAnsi="Arial"/>
          <w:sz w:val="18"/>
          <w:szCs w:val="18"/>
          <w:b w:val="1"/>
          <w:bCs w:val="1"/>
          <w:color w:val="auto"/>
        </w:rPr>
        <w:t>Communication Equipment</w:t>
      </w:r>
      <w:r>
        <w:rPr>
          <w:rFonts w:ascii="Arial" w:cs="Arial" w:eastAsia="Arial" w:hAnsi="Arial"/>
          <w:sz w:val="18"/>
          <w:szCs w:val="18"/>
          <w:color w:val="auto"/>
        </w:rPr>
        <w:t>”). Such Wireless Communication Equipment shall be used for wireless communications within the Premises only,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for the servicing of the operations conducted by Tenant from within the Premises. Tenant shall not be entitled to license its Wireless Communication Equipment to any third party, nor shall Tenant be permitted to receive any revenues, fees or any other consideration for the use of such Communication Equipment by any third party. Such Wireless Communication Equipment shall, in all instances, comply with applicable governmental laws, codes, rules and regulations.</w:t>
      </w:r>
    </w:p>
    <w:p>
      <w:pPr>
        <w:spacing w:after="0" w:line="192"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29.35.3 </w:t>
      </w:r>
      <w:r>
        <w:rPr>
          <w:rFonts w:ascii="Arial" w:cs="Arial" w:eastAsia="Arial" w:hAnsi="Arial"/>
          <w:sz w:val="16"/>
          <w:szCs w:val="16"/>
          <w:b w:val="1"/>
          <w:bCs w:val="1"/>
          <w:u w:val="single" w:color="auto"/>
          <w:color w:val="auto"/>
        </w:rPr>
        <w:t>Use of Wireless Equipment</w:t>
      </w:r>
      <w:r>
        <w:rPr>
          <w:rFonts w:ascii="Arial" w:cs="Arial" w:eastAsia="Arial" w:hAnsi="Arial"/>
          <w:sz w:val="16"/>
          <w:szCs w:val="16"/>
          <w:color w:val="auto"/>
        </w:rPr>
        <w:t>. Tenant hereby acknowledges and agrees that its use of the Wireless Communication Equipment (i) shall not be permitted to interfere with any wireless communication equipment or other equipment of any other tenant or occupant of the Building or Project, (ii) shall not be permitted to interfere with any wireless communication equipment or other equipment of any other third-party with whom Landlord has any third-party agreement, and (iii) shall not be permitted to interfere with Landlord’s Communication Equipment. Landlord shall use commercially reasonable efforts to ensure that Landlord’s Communication Equipment does not interfere with Tenant’s Wireless Communication Equipment; provided, however, Tenant hereby acknowledges and agrees that Landlord has made no warranty or representation to Tenant with respect to the suitability of the Premises for any wireless communications, specifically including, without limitation, with respect to the quality and clarity of any receptions and transmissions to or from the Wireless Communication Equipment and the presence of any interference with such signals whether emanating from Landlord’s Communication Equipment, the Building, the Project or otherwise. In no event shall any such interfere with Tenant’s Wireless Communication Equipment have any effect on this Lease or give to Tenant any offset or defense to the full and timely performance of its obligations hereunder, or entitle Tenant to any abatement of rent or additional rent or any other payment required to be made by Tenant hereunder, or constitute any accrual or constructive eviction of Tenant, or otherwise give rise to any other claim of any nature against Landlord.</w:t>
      </w:r>
    </w:p>
    <w:p>
      <w:pPr>
        <w:spacing w:after="0" w:line="168" w:lineRule="exact"/>
        <w:rPr>
          <w:sz w:val="20"/>
          <w:szCs w:val="20"/>
          <w:color w:val="auto"/>
        </w:rPr>
      </w:pPr>
    </w:p>
    <w:p>
      <w:pPr>
        <w:ind w:right="600" w:firstLine="648"/>
        <w:spacing w:after="0" w:line="347" w:lineRule="auto"/>
        <w:rPr>
          <w:sz w:val="20"/>
          <w:szCs w:val="20"/>
          <w:color w:val="auto"/>
        </w:rPr>
      </w:pPr>
      <w:r>
        <w:rPr>
          <w:rFonts w:ascii="Arial" w:cs="Arial" w:eastAsia="Arial" w:hAnsi="Arial"/>
          <w:sz w:val="16"/>
          <w:szCs w:val="16"/>
          <w:color w:val="auto"/>
        </w:rPr>
        <w:t xml:space="preserve">29.36 </w:t>
      </w:r>
      <w:r>
        <w:rPr>
          <w:rFonts w:ascii="Arial" w:cs="Arial" w:eastAsia="Arial" w:hAnsi="Arial"/>
          <w:sz w:val="16"/>
          <w:szCs w:val="16"/>
          <w:b w:val="1"/>
          <w:bCs w:val="1"/>
          <w:u w:val="single" w:color="auto"/>
          <w:color w:val="auto"/>
        </w:rPr>
        <w:t>Fitness Center</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29.36</w:t>
      </w:r>
      <w:r>
        <w:rPr>
          <w:rFonts w:ascii="Arial" w:cs="Arial" w:eastAsia="Arial" w:hAnsi="Arial"/>
          <w:sz w:val="16"/>
          <w:szCs w:val="16"/>
          <w:color w:val="auto"/>
        </w:rPr>
        <w:t>, so long as Tenant is not in default under this Lease, and provided Tenant’s employees execute Landlord’s standard waiver of liability form, then Tenant’s employees (the “</w:t>
      </w:r>
      <w:r>
        <w:rPr>
          <w:rFonts w:ascii="Arial" w:cs="Arial" w:eastAsia="Arial" w:hAnsi="Arial"/>
          <w:sz w:val="16"/>
          <w:szCs w:val="16"/>
          <w:b w:val="1"/>
          <w:bCs w:val="1"/>
          <w:color w:val="auto"/>
        </w:rPr>
        <w:t>Fitness Center Users</w:t>
      </w:r>
      <w:r>
        <w:rPr>
          <w:rFonts w:ascii="Arial" w:cs="Arial" w:eastAsia="Arial" w:hAnsi="Arial"/>
          <w:sz w:val="16"/>
          <w:szCs w:val="16"/>
          <w:color w:val="auto"/>
        </w:rPr>
        <w:t>”) shall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153275" cy="298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74" w:name="page675"/>
    <w:bookmarkEnd w:id="674"/>
    <w:p>
      <w:pPr>
        <w:spacing w:after="0" w:line="286" w:lineRule="auto"/>
        <w:rPr>
          <w:sz w:val="20"/>
          <w:szCs w:val="20"/>
          <w:color w:val="auto"/>
        </w:rPr>
      </w:pPr>
      <w:r>
        <w:rPr>
          <w:rFonts w:ascii="Arial" w:cs="Arial" w:eastAsia="Arial" w:hAnsi="Arial"/>
          <w:sz w:val="16"/>
          <w:szCs w:val="16"/>
          <w:color w:val="auto"/>
        </w:rPr>
        <w:t>to use the fitness center in the building located on the first (I’’) floor of the building located at 100 Mathilda Place, Sunnyvale, California, or similar facilities serving the Project (collectively, the “</w:t>
      </w:r>
      <w:r>
        <w:rPr>
          <w:rFonts w:ascii="Arial" w:cs="Arial" w:eastAsia="Arial" w:hAnsi="Arial"/>
          <w:sz w:val="16"/>
          <w:szCs w:val="16"/>
          <w:b w:val="1"/>
          <w:bCs w:val="1"/>
          <w:color w:val="auto"/>
        </w:rPr>
        <w:t>Fitness Center</w:t>
      </w:r>
      <w:r>
        <w:rPr>
          <w:rFonts w:ascii="Arial" w:cs="Arial" w:eastAsia="Arial" w:hAnsi="Arial"/>
          <w:sz w:val="16"/>
          <w:szCs w:val="16"/>
          <w:color w:val="auto"/>
        </w:rPr>
        <w:t xml:space="preserve">”) during the initial Lease Term. The costs of operating, maintaining and supplying the Fitness Center shall be included in Operating Expenses. The use of the Fitness Center shall be subject to the rules and regulations that may be established from time to time by Landlord for the Fitness Center. Landlord and Tenant acknowledge that the use of the Fitness Center by the Fitness Center Users shall be at their own risk and that the terms and provisions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Lease shall apply to Tenant and the Fitness Center Users’ use of the Fitness Center. Tenant shall not permit any person other than the Fitness Center Users to use the Fitness Center without the prior written approval of Landlord or Landlord’s representative. All Fitness Center Users and approved guests must have pre-authorized keycards to enter the Fitness Center. Fitness Center Users’ keycards shall not be shared and shall only be used by the individual to whom such keycard was issued. Failure to abide by this rule may result in immediate termination of such Fitness Center User’s right to use the Fitness Center. Tenant acknowledges that the provisions of this </w:t>
      </w:r>
      <w:r>
        <w:rPr>
          <w:rFonts w:ascii="Arial" w:cs="Arial" w:eastAsia="Arial" w:hAnsi="Arial"/>
          <w:sz w:val="16"/>
          <w:szCs w:val="16"/>
          <w:u w:val="single" w:color="auto"/>
          <w:color w:val="auto"/>
        </w:rPr>
        <w:t>Section 29.36</w:t>
      </w:r>
      <w:r>
        <w:rPr>
          <w:rFonts w:ascii="Arial" w:cs="Arial" w:eastAsia="Arial" w:hAnsi="Arial"/>
          <w:sz w:val="16"/>
          <w:szCs w:val="16"/>
          <w:color w:val="auto"/>
        </w:rPr>
        <w:t xml:space="preserve"> shall not be deemed to be a representation by Landlord that Landlord shall continuously maintain the Fitness Center (or any other fitness facility) throughout the Lease Term, and Landlord shall have the right, at Landlord’s sole discretion, to expand, contract, eliminate or otherwise modify the Fitness Center. In addition, in the event that Landlord no longer owns the building(s) in which the Fitness Center is located, the rights of Tenant and the Fitness Center Users to use the Fitness Center may, at Landlord’s option, be terminated. No expansion, contraction, elimination or modification of the Fitness Center, and no termination of Tenant’s or the Fitness Center Users’ right to the Fitness Center shall entitle Tenant to an abatement or reduction in Rent, or constitute a constructive eviction, or result in an event of default by Landlord under this Lease.</w:t>
      </w:r>
    </w:p>
    <w:p>
      <w:pPr>
        <w:spacing w:after="0" w:line="163"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 xml:space="preserve">29.37 </w:t>
      </w:r>
      <w:r>
        <w:rPr>
          <w:rFonts w:ascii="Arial" w:cs="Arial" w:eastAsia="Arial" w:hAnsi="Arial"/>
          <w:sz w:val="18"/>
          <w:szCs w:val="18"/>
          <w:b w:val="1"/>
          <w:bCs w:val="1"/>
          <w:u w:val="single" w:color="auto"/>
          <w:color w:val="auto"/>
        </w:rPr>
        <w:t>No Discrimination</w:t>
      </w:r>
      <w:r>
        <w:rPr>
          <w:rFonts w:ascii="Arial" w:cs="Arial" w:eastAsia="Arial" w:hAnsi="Arial"/>
          <w:sz w:val="18"/>
          <w:szCs w:val="18"/>
          <w:color w:val="auto"/>
        </w:rPr>
        <w:t>. There shall be no discrimination against, or segregation of, any person or persons on account of sex, marital status, race, color, religion, creed, national origin, sexual orientation, familial status, disability or ancestry in the Transfer of the Premises, or any portion thereof, nor shall the Tenant itself, or any person claiming under or through it, establish or permit any such practice or practices of discrimination or segregation with reference to the selection, location, number, use or occupancy of tenants, lessees, subtenants, sublessees, or vendees of the Premises, or any portion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to appear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75" w:name="page676"/>
    <w:bookmarkEnd w:id="675"/>
    <w:p>
      <w:pPr>
        <w:ind w:left="660"/>
        <w:spacing w:after="0"/>
        <w:rPr>
          <w:sz w:val="20"/>
          <w:szCs w:val="20"/>
          <w:color w:val="auto"/>
        </w:rPr>
      </w:pPr>
      <w:r>
        <w:rPr>
          <w:rFonts w:ascii="Arial" w:cs="Arial" w:eastAsia="Arial" w:hAnsi="Arial"/>
          <w:sz w:val="18"/>
          <w:szCs w:val="18"/>
          <w:color w:val="auto"/>
        </w:rPr>
        <w:t>IN WITNESS WHEREOF, Landlord and Tenant have caused this Lease to be executed the day and date first above written.</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SPF MATHILDA,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Karen Wilbrecht</w:t>
      </w:r>
    </w:p>
    <w:p>
      <w:pPr>
        <w:spacing w:after="0" w:line="23" w:lineRule="exact"/>
        <w:rPr>
          <w:sz w:val="20"/>
          <w:szCs w:val="20"/>
          <w:color w:val="auto"/>
        </w:rPr>
      </w:pPr>
    </w:p>
    <w:tbl>
      <w:tblPr>
        <w:tblLayout w:type="fixed"/>
        <w:tblInd w:w="6120" w:type="dxa"/>
        <w:tblCellMar>
          <w:top w:w="0" w:type="dxa"/>
          <w:left w:w="0" w:type="dxa"/>
          <w:bottom w:w="0" w:type="dxa"/>
          <w:right w:w="0" w:type="dxa"/>
        </w:tblCellMar>
      </w:tblPr>
      <w:tr>
        <w:trPr>
          <w:trHeight w:val="209"/>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Karen Wilbrecht</w:t>
            </w: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Its:</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40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KNOWLES ELECTRONICS,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 ware limited liability company</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James Wynn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James Wynn</w:t>
            </w:r>
          </w:p>
        </w:tc>
        <w:tc>
          <w:tcPr>
            <w:tcW w:w="40" w:type="dxa"/>
            <w:vAlign w:val="bottom"/>
          </w:tcPr>
          <w:p>
            <w:pPr>
              <w:spacing w:after="0"/>
              <w:rPr>
                <w:sz w:val="18"/>
                <w:szCs w:val="18"/>
                <w:color w:val="auto"/>
              </w:rPr>
            </w:pPr>
          </w:p>
        </w:tc>
      </w:tr>
      <w:tr>
        <w:trPr>
          <w:trHeight w:val="209"/>
        </w:trPr>
        <w:tc>
          <w:tcPr>
            <w:tcW w:w="612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Its:</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SVP-Global Supply Chain</w:t>
            </w:r>
          </w:p>
        </w:tc>
        <w:tc>
          <w:tcPr>
            <w:tcW w:w="40" w:type="dxa"/>
            <w:vAlign w:val="bottom"/>
          </w:tcPr>
          <w:p>
            <w:pPr>
              <w:spacing w:after="0"/>
              <w:rPr>
                <w:sz w:val="18"/>
                <w:szCs w:val="18"/>
                <w:color w:val="auto"/>
              </w:rPr>
            </w:pPr>
          </w:p>
        </w:tc>
      </w:tr>
      <w:tr>
        <w:trPr>
          <w:trHeight w:val="412"/>
        </w:trPr>
        <w:tc>
          <w:tcPr>
            <w:tcW w:w="6840" w:type="dxa"/>
            <w:vAlign w:val="bottom"/>
            <w:gridSpan w:val="3"/>
          </w:tcPr>
          <w:p>
            <w:pPr>
              <w:ind w:left="5640"/>
              <w:spacing w:after="0"/>
              <w:rPr>
                <w:sz w:val="20"/>
                <w:szCs w:val="20"/>
                <w:color w:val="auto"/>
              </w:rPr>
            </w:pPr>
            <w:r>
              <w:rPr>
                <w:rFonts w:ascii="Arial" w:cs="Arial" w:eastAsia="Arial" w:hAnsi="Arial"/>
                <w:sz w:val="18"/>
                <w:szCs w:val="18"/>
                <w:color w:val="auto"/>
              </w:rPr>
              <w:t>By:</w:t>
            </w: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0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6120" w:type="dxa"/>
            <w:vAlign w:val="bottom"/>
          </w:tcPr>
          <w:p>
            <w:pPr>
              <w:spacing w:after="0"/>
              <w:rPr>
                <w:sz w:val="17"/>
                <w:szCs w:val="17"/>
                <w:color w:val="auto"/>
              </w:rPr>
            </w:pPr>
          </w:p>
        </w:tc>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Its:</w:t>
            </w:r>
          </w:p>
        </w:tc>
        <w:tc>
          <w:tcPr>
            <w:tcW w:w="44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341"/>
        </w:trPr>
        <w:tc>
          <w:tcPr>
            <w:tcW w:w="6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2" w:right="299" w:bottom="1440" w:gutter="0" w:footer="0" w:header="0"/>
        </w:sectPr>
      </w:pPr>
    </w:p>
    <w:bookmarkStart w:id="676" w:name="page677"/>
    <w:bookmarkEnd w:id="67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SUNNYVALE CITY CENTER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OUTLINE OF PREMISES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BE PROVIDED]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677" w:name="page678"/>
    <w:bookmarkEnd w:id="677"/>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SUNNYVALE CITY CENTER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INTENTIONALLY OMITTED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81280</wp:posOffset>
            </wp:positionV>
            <wp:extent cx="7153275" cy="298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678" w:name="page679"/>
    <w:bookmarkEnd w:id="678"/>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SUNNYVALE CITY CENTER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LEASE TERM 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ectPr>
          <w:pgSz w:w="11900" w:h="16929" w:orient="portrait"/>
          <w:cols w:equalWidth="0" w:num="1">
            <w:col w:w="11180"/>
          </w:cols>
          <w:pgMar w:left="320" w:top="338"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Office Lease dated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w:t>
      </w:r>
      <w:r>
        <w:rPr>
          <w:rFonts w:ascii="Arial" w:cs="Arial" w:eastAsia="Arial" w:hAnsi="Arial"/>
          <w:sz w:val="16"/>
          <w:szCs w:val="16"/>
          <w:color w:val="auto"/>
        </w:rPr>
        <w:t>”) concerning Suite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201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floor(s)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40" w:firstLine="1112"/>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Landlord”),</w:t>
      </w:r>
      <w:r>
        <w:rPr>
          <w:rFonts w:ascii="Arial" w:cs="Arial" w:eastAsia="Arial" w:hAnsi="Arial"/>
          <w:sz w:val="17"/>
          <w:szCs w:val="17"/>
          <w:color w:val="auto"/>
        </w:rPr>
        <w:t xml:space="preserve"> and of the office building located 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 Sunnyvale,</w:t>
      </w:r>
    </w:p>
    <w:p>
      <w:pPr>
        <w:spacing w:after="0" w:line="43" w:lineRule="exact"/>
        <w:rPr>
          <w:sz w:val="20"/>
          <w:szCs w:val="20"/>
          <w:color w:val="auto"/>
        </w:rPr>
      </w:pPr>
    </w:p>
    <w:p>
      <w:pPr>
        <w:sectPr>
          <w:pgSz w:w="11900" w:h="16929" w:orient="portrait"/>
          <w:cols w:equalWidth="0" w:num="7">
            <w:col w:w="1040" w:space="380"/>
            <w:col w:w="2100" w:space="300"/>
            <w:col w:w="360" w:space="80"/>
            <w:col w:w="960" w:space="720"/>
            <w:col w:w="180" w:space="140"/>
            <w:col w:w="2720" w:space="720"/>
            <w:col w:w="1480"/>
          </w:cols>
          <w:pgMar w:left="320" w:top="338" w:right="399" w:bottom="0" w:gutter="0" w:footer="0" w:header="0"/>
          <w:type w:val="continuous"/>
        </w:sectPr>
      </w:pPr>
    </w:p>
    <w:p>
      <w:pPr>
        <w:ind w:left="1440"/>
        <w:spacing w:after="0"/>
        <w:rPr>
          <w:sz w:val="20"/>
          <w:szCs w:val="20"/>
          <w:color w:val="auto"/>
        </w:rPr>
      </w:pPr>
      <w:r>
        <w:rPr>
          <w:rFonts w:ascii="Arial" w:cs="Arial" w:eastAsia="Arial" w:hAnsi="Arial"/>
          <w:sz w:val="17"/>
          <w:szCs w:val="17"/>
          <w:color w:val="auto"/>
        </w:rPr>
        <w:t>California.</w:t>
      </w:r>
    </w:p>
    <w:p>
      <w:pPr>
        <w:sectPr>
          <w:pgSz w:w="11900" w:h="16929" w:orient="portrait"/>
          <w:cols w:equalWidth="0" w:num="1">
            <w:col w:w="11180"/>
          </w:cols>
          <w:pgMar w:left="320" w:top="338" w:right="399" w:bottom="0" w:gutter="0" w:footer="0" w:header="0"/>
          <w:type w:val="continuous"/>
        </w:sect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accordance with the Office Lease (the </w:t>
      </w:r>
      <w:r>
        <w:rPr>
          <w:rFonts w:ascii="Arial" w:cs="Arial" w:eastAsia="Arial" w:hAnsi="Arial"/>
          <w:sz w:val="18"/>
          <w:szCs w:val="18"/>
          <w:b w:val="1"/>
          <w:bCs w:val="1"/>
          <w:color w:val="auto"/>
        </w:rPr>
        <w:t>“Lease”</w:t>
      </w:r>
      <w:r>
        <w:rPr>
          <w:rFonts w:ascii="Arial" w:cs="Arial" w:eastAsia="Arial" w:hAnsi="Arial"/>
          <w:sz w:val="18"/>
          <w:szCs w:val="18"/>
          <w:color w:val="auto"/>
        </w:rPr>
        <w:t>), we wish to advise you and/or confirm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5140" w:type="dxa"/>
            <w:vAlign w:val="bottom"/>
            <w:gridSpan w:val="2"/>
          </w:tcPr>
          <w:p>
            <w:pPr>
              <w:ind w:left="260"/>
              <w:spacing w:after="0"/>
              <w:rPr>
                <w:sz w:val="20"/>
                <w:szCs w:val="20"/>
                <w:color w:val="auto"/>
              </w:rPr>
            </w:pPr>
            <w:r>
              <w:rPr>
                <w:rFonts w:ascii="Arial" w:cs="Arial" w:eastAsia="Arial" w:hAnsi="Arial"/>
                <w:sz w:val="18"/>
                <w:szCs w:val="18"/>
                <w:color w:val="auto"/>
              </w:rPr>
              <w:t>The Lease Term shall commence on or has commenced on</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for a term of</w:t>
            </w:r>
          </w:p>
        </w:tc>
        <w:tc>
          <w:tcPr>
            <w:tcW w:w="1780" w:type="dxa"/>
            <w:vAlign w:val="bottom"/>
          </w:tcPr>
          <w:p>
            <w:pPr>
              <w:ind w:left="500"/>
              <w:spacing w:after="0"/>
              <w:rPr>
                <w:sz w:val="20"/>
                <w:szCs w:val="20"/>
                <w:color w:val="auto"/>
              </w:rPr>
            </w:pPr>
            <w:r>
              <w:rPr>
                <w:rFonts w:ascii="Arial" w:cs="Arial" w:eastAsia="Arial" w:hAnsi="Arial"/>
                <w:sz w:val="18"/>
                <w:szCs w:val="18"/>
                <w:color w:val="auto"/>
              </w:rPr>
              <w:t>ending on</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2980" w:type="dxa"/>
            <w:vAlign w:val="bottom"/>
          </w:tcPr>
          <w:p>
            <w:pPr>
              <w:ind w:left="260"/>
              <w:spacing w:after="0"/>
              <w:rPr>
                <w:sz w:val="20"/>
                <w:szCs w:val="20"/>
                <w:color w:val="auto"/>
              </w:rPr>
            </w:pPr>
            <w:r>
              <w:rPr>
                <w:rFonts w:ascii="Arial" w:cs="Arial" w:eastAsia="Arial" w:hAnsi="Arial"/>
                <w:sz w:val="18"/>
                <w:szCs w:val="18"/>
                <w:color w:val="auto"/>
              </w:rPr>
              <w:t>Rent commenced to accrue on</w:t>
            </w:r>
          </w:p>
        </w:tc>
        <w:tc>
          <w:tcPr>
            <w:tcW w:w="2160" w:type="dxa"/>
            <w:vAlign w:val="bottom"/>
          </w:tcPr>
          <w:p>
            <w:pPr>
              <w:ind w:left="540"/>
              <w:spacing w:after="0"/>
              <w:rPr>
                <w:sz w:val="20"/>
                <w:szCs w:val="20"/>
                <w:color w:val="auto"/>
              </w:rPr>
            </w:pPr>
            <w:r>
              <w:rPr>
                <w:rFonts w:ascii="Arial" w:cs="Arial" w:eastAsia="Arial" w:hAnsi="Arial"/>
                <w:sz w:val="18"/>
                <w:szCs w:val="18"/>
                <w:color w:val="auto"/>
              </w:rPr>
              <w:t>, in the amount of</w:t>
            </w:r>
          </w:p>
        </w:tc>
        <w:tc>
          <w:tcPr>
            <w:tcW w:w="17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2" w:lineRule="exact"/>
        <w:rPr>
          <w:sz w:val="20"/>
          <w:szCs w:val="20"/>
          <w:color w:val="auto"/>
        </w:rPr>
      </w:pPr>
    </w:p>
    <w:p>
      <w:pPr>
        <w:ind w:left="660" w:right="640" w:hanging="652"/>
        <w:spacing w:after="0" w:line="277" w:lineRule="auto"/>
        <w:tabs>
          <w:tab w:leader="none" w:pos="66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If the Lease Commencement Date is other than the first day of the month, the first billing will contain a pro rata adjustment. Each billing thereafter shall be for the full amount of the monthly installment as provided for in the Lease.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4.</w:t>
            </w:r>
          </w:p>
        </w:tc>
        <w:tc>
          <w:tcPr>
            <w:tcW w:w="3940" w:type="dxa"/>
            <w:vAlign w:val="bottom"/>
          </w:tcPr>
          <w:p>
            <w:pPr>
              <w:ind w:left="260"/>
              <w:spacing w:after="0"/>
              <w:rPr>
                <w:sz w:val="20"/>
                <w:szCs w:val="20"/>
                <w:color w:val="auto"/>
              </w:rPr>
            </w:pPr>
            <w:r>
              <w:rPr>
                <w:rFonts w:ascii="Arial" w:cs="Arial" w:eastAsia="Arial" w:hAnsi="Arial"/>
                <w:sz w:val="18"/>
                <w:szCs w:val="18"/>
                <w:color w:val="auto"/>
              </w:rPr>
              <w:t>Your rent checks should be made payable to</w:t>
            </w:r>
          </w:p>
        </w:tc>
        <w:tc>
          <w:tcPr>
            <w:tcW w:w="1260" w:type="dxa"/>
            <w:vAlign w:val="bottom"/>
          </w:tcPr>
          <w:p>
            <w:pPr>
              <w:ind w:left="520"/>
              <w:spacing w:after="0"/>
              <w:rPr>
                <w:sz w:val="20"/>
                <w:szCs w:val="20"/>
                <w:color w:val="auto"/>
              </w:rPr>
            </w:pPr>
            <w:r>
              <w:rPr>
                <w:rFonts w:ascii="Arial" w:cs="Arial" w:eastAsia="Arial" w:hAnsi="Arial"/>
                <w:sz w:val="18"/>
                <w:szCs w:val="18"/>
                <w:color w:val="auto"/>
              </w:rPr>
              <w:t>at</w:t>
            </w:r>
          </w:p>
        </w:tc>
        <w:tc>
          <w:tcPr>
            <w:tcW w:w="2900" w:type="dxa"/>
            <w:vAlign w:val="bottom"/>
          </w:tcPr>
          <w:p>
            <w:pPr>
              <w:jc w:val="right"/>
              <w:ind w:right="239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5.</w:t>
            </w:r>
          </w:p>
        </w:tc>
        <w:tc>
          <w:tcPr>
            <w:tcW w:w="5200" w:type="dxa"/>
            <w:vAlign w:val="bottom"/>
            <w:gridSpan w:val="2"/>
          </w:tcPr>
          <w:p>
            <w:pPr>
              <w:ind w:left="260"/>
              <w:spacing w:after="0"/>
              <w:rPr>
                <w:sz w:val="20"/>
                <w:szCs w:val="20"/>
                <w:color w:val="auto"/>
              </w:rPr>
            </w:pPr>
            <w:r>
              <w:rPr>
                <w:rFonts w:ascii="Arial" w:cs="Arial" w:eastAsia="Arial" w:hAnsi="Arial"/>
                <w:sz w:val="18"/>
                <w:szCs w:val="18"/>
                <w:color w:val="auto"/>
                <w:w w:val="96"/>
              </w:rPr>
              <w:t>The exact number of rentable square feet within the Premises is</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square feet.</w:t>
            </w:r>
          </w:p>
        </w:tc>
        <w:tc>
          <w:tcPr>
            <w:tcW w:w="700" w:type="dxa"/>
            <w:vAlign w:val="bottom"/>
          </w:tcPr>
          <w:p>
            <w:pPr>
              <w:spacing w:after="0"/>
              <w:rPr>
                <w:sz w:val="24"/>
                <w:szCs w:val="24"/>
                <w:color w:val="auto"/>
              </w:rPr>
            </w:pP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6.</w:t>
            </w:r>
          </w:p>
        </w:tc>
        <w:tc>
          <w:tcPr>
            <w:tcW w:w="8100" w:type="dxa"/>
            <w:vAlign w:val="bottom"/>
            <w:gridSpan w:val="3"/>
          </w:tcPr>
          <w:p>
            <w:pPr>
              <w:ind w:left="260"/>
              <w:spacing w:after="0"/>
              <w:rPr>
                <w:sz w:val="20"/>
                <w:szCs w:val="20"/>
                <w:color w:val="auto"/>
              </w:rPr>
            </w:pPr>
            <w:r>
              <w:rPr>
                <w:rFonts w:ascii="Arial" w:cs="Arial" w:eastAsia="Arial" w:hAnsi="Arial"/>
                <w:sz w:val="18"/>
                <w:szCs w:val="18"/>
                <w:color w:val="auto"/>
                <w:w w:val="94"/>
              </w:rPr>
              <w:t>Tenant’s Share as adjusted based upon the exact number of rentable square feet within the Premises is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Failure of Tenant to timely execute and deliver this Notice of Lease Term Dates shall constitute an acknowledgment by Tenant that the statements included in this notice are true and correct, without exception.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14605</wp:posOffset>
            </wp:positionV>
            <wp:extent cx="279463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5715</wp:posOffset>
            </wp:positionV>
            <wp:extent cx="279463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Agreed to and Accepted as</w:t>
      </w:r>
    </w:p>
    <w:p>
      <w:pPr>
        <w:spacing w:after="0" w:line="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201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James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5755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Its:</w:t>
        <w:tab/>
        <w:t>SVP-Global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966085"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SUNNYVALE CITY CENTER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Landlord shall apply the Rules and Regulations in a uniform and nondiscriminatory manner. In the event of any conflict between the Rules and Regulations and the other provisions of this Lease, the latter shall control.</w:t>
      </w:r>
    </w:p>
    <w:p>
      <w:pPr>
        <w:spacing w:after="0" w:line="187" w:lineRule="exact"/>
        <w:rPr>
          <w:sz w:val="20"/>
          <w:szCs w:val="20"/>
          <w:color w:val="auto"/>
        </w:rPr>
      </w:pPr>
    </w:p>
    <w:p>
      <w:pPr>
        <w:ind w:firstLine="656"/>
        <w:spacing w:after="0" w:line="273" w:lineRule="auto"/>
        <w:tabs>
          <w:tab w:leader="none" w:pos="1296" w:val="left"/>
        </w:tabs>
        <w:numPr>
          <w:ilvl w:val="0"/>
          <w:numId w:val="566"/>
        </w:numPr>
        <w:rPr>
          <w:rFonts w:ascii="Arial" w:cs="Arial" w:eastAsia="Arial" w:hAnsi="Arial"/>
          <w:sz w:val="17"/>
          <w:szCs w:val="17"/>
          <w:color w:val="auto"/>
        </w:rPr>
      </w:pPr>
      <w:r>
        <w:rPr>
          <w:rFonts w:ascii="Arial" w:cs="Arial" w:eastAsia="Arial" w:hAnsi="Arial"/>
          <w:sz w:val="17"/>
          <w:szCs w:val="17"/>
          <w:color w:val="auto"/>
        </w:rPr>
        <w:t>Tenant shall not alter any lock or install any new or additional locks or bolts on any doors or windows of the Premises without obtaining Landlord’s prior written consent. Tenant shall bear the cost of any lock changes or repairs required by Tenant. Two 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177" w:lineRule="exact"/>
        <w:rPr>
          <w:rFonts w:ascii="Arial" w:cs="Arial" w:eastAsia="Arial" w:hAnsi="Arial"/>
          <w:sz w:val="17"/>
          <w:szCs w:val="17"/>
          <w:color w:val="auto"/>
        </w:rPr>
      </w:pPr>
    </w:p>
    <w:p>
      <w:pPr>
        <w:ind w:left="1300" w:hanging="644"/>
        <w:spacing w:after="0"/>
        <w:tabs>
          <w:tab w:leader="none" w:pos="13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All doors opening to public corridors shall be kept closed at all times except for normal ingress and egress to the Premises.</w:t>
      </w:r>
    </w:p>
    <w:p>
      <w:pPr>
        <w:spacing w:after="0" w:line="225" w:lineRule="exact"/>
        <w:rPr>
          <w:rFonts w:ascii="Arial" w:cs="Arial" w:eastAsia="Arial" w:hAnsi="Arial"/>
          <w:sz w:val="18"/>
          <w:szCs w:val="18"/>
          <w:color w:val="auto"/>
        </w:rPr>
      </w:pPr>
    </w:p>
    <w:p>
      <w:pPr>
        <w:ind w:right="200" w:firstLine="656"/>
        <w:spacing w:after="0" w:line="342" w:lineRule="auto"/>
        <w:tabs>
          <w:tab w:leader="none" w:pos="1296" w:val="left"/>
        </w:tabs>
        <w:numPr>
          <w:ilvl w:val="0"/>
          <w:numId w:val="566"/>
        </w:numPr>
        <w:rPr>
          <w:rFonts w:ascii="Arial" w:cs="Arial" w:eastAsia="Arial" w:hAnsi="Arial"/>
          <w:sz w:val="16"/>
          <w:szCs w:val="16"/>
          <w:color w:val="auto"/>
        </w:rPr>
      </w:pPr>
      <w:r>
        <w:rPr>
          <w:rFonts w:ascii="Arial" w:cs="Arial" w:eastAsia="Arial" w:hAnsi="Arial"/>
          <w:sz w:val="16"/>
          <w:szCs w:val="16"/>
          <w:color w:val="auto"/>
        </w:rPr>
        <w:t>Landlord reserves the right to close and keep locked all entrance and exit doors of the Building during such hours as are customary for comparable buildings in the downtown area of Sunnyvale, California. Tenant, its employees and agents must be sure that the doors to the Building are</w:t>
      </w:r>
    </w:p>
    <w:p>
      <w:pPr>
        <w:sectPr>
          <w:pgSz w:w="11900" w:h="16929" w:orient="portrait"/>
          <w:cols w:equalWidth="0" w:num="1">
            <w:col w:w="11180"/>
          </w:cols>
          <w:pgMar w:left="320" w:top="338" w:right="399" w:bottom="0" w:gutter="0" w:footer="0" w:header="0"/>
          <w:type w:val="continuous"/>
        </w:sectPr>
      </w:pPr>
    </w:p>
    <w:bookmarkStart w:id="679" w:name="page680"/>
    <w:bookmarkEnd w:id="679"/>
    <w:p>
      <w:pPr>
        <w:spacing w:after="0" w:line="271" w:lineRule="auto"/>
        <w:rPr>
          <w:sz w:val="20"/>
          <w:szCs w:val="20"/>
          <w:color w:val="auto"/>
        </w:rPr>
      </w:pPr>
      <w:r>
        <w:rPr>
          <w:rFonts w:ascii="Arial" w:cs="Arial" w:eastAsia="Arial" w:hAnsi="Arial"/>
          <w:sz w:val="17"/>
          <w:szCs w:val="17"/>
          <w:color w:val="auto"/>
        </w:rPr>
        <w:t>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Access to the Building may be refused unless the person seeking access has proper identification or has a previously arranged pass for access to the Building. Landlord will furnish passes to persons for whom Tenant requests same in writing. Tenant shall be responsible for all persons for whom Tenant requests passes and shall be liable to Landlord for all acts of such persons. The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pacing w:after="0" w:line="178" w:lineRule="exact"/>
        <w:rPr>
          <w:sz w:val="20"/>
          <w:szCs w:val="20"/>
          <w:color w:val="auto"/>
        </w:rPr>
      </w:pPr>
    </w:p>
    <w:p>
      <w:pPr>
        <w:ind w:right="80" w:firstLine="656"/>
        <w:spacing w:after="0" w:line="254" w:lineRule="auto"/>
        <w:tabs>
          <w:tab w:leader="none" w:pos="1296" w:val="left"/>
        </w:tabs>
        <w:numPr>
          <w:ilvl w:val="0"/>
          <w:numId w:val="567"/>
        </w:numPr>
        <w:rPr>
          <w:rFonts w:ascii="Arial" w:cs="Arial" w:eastAsia="Arial" w:hAnsi="Arial"/>
          <w:sz w:val="18"/>
          <w:szCs w:val="18"/>
          <w:color w:val="auto"/>
        </w:rPr>
      </w:pPr>
      <w:r>
        <w:rPr>
          <w:rFonts w:ascii="Arial" w:cs="Arial" w:eastAsia="Arial" w:hAnsi="Arial"/>
          <w:sz w:val="18"/>
          <w:szCs w:val="18"/>
          <w:color w:val="auto"/>
        </w:rPr>
        <w:t>No furniture, freight or equipment of any kind shall be brought into the Building without prior notice to Landlord. All moving activity into or out of the Building shall be scheduled with Landlord and done only at such time and in such manner as Landlord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194" w:lineRule="exact"/>
        <w:rPr>
          <w:rFonts w:ascii="Arial" w:cs="Arial" w:eastAsia="Arial" w:hAnsi="Arial"/>
          <w:sz w:val="18"/>
          <w:szCs w:val="18"/>
          <w:color w:val="auto"/>
        </w:rPr>
      </w:pPr>
    </w:p>
    <w:p>
      <w:pPr>
        <w:ind w:right="500" w:firstLine="656"/>
        <w:spacing w:after="0" w:line="277" w:lineRule="auto"/>
        <w:tabs>
          <w:tab w:leader="none" w:pos="1296" w:val="left"/>
        </w:tabs>
        <w:numPr>
          <w:ilvl w:val="0"/>
          <w:numId w:val="567"/>
        </w:numPr>
        <w:rPr>
          <w:rFonts w:ascii="Arial" w:cs="Arial" w:eastAsia="Arial" w:hAnsi="Arial"/>
          <w:sz w:val="18"/>
          <w:szCs w:val="18"/>
          <w:color w:val="auto"/>
        </w:rPr>
      </w:pPr>
      <w:r>
        <w:rPr>
          <w:rFonts w:ascii="Arial" w:cs="Arial" w:eastAsia="Arial" w:hAnsi="Arial"/>
          <w:sz w:val="18"/>
          <w:szCs w:val="18"/>
          <w:color w:val="auto"/>
        </w:rPr>
        <w:t>No furniture, packages, supplies, equipment or merchandise will be received in the Building or carried up or down in the elevators, except between such hours, in such specific elevator and by such personnel as shall be designated by Landlord.</w:t>
      </w:r>
    </w:p>
    <w:p>
      <w:pPr>
        <w:spacing w:after="0" w:line="170" w:lineRule="exact"/>
        <w:rPr>
          <w:rFonts w:ascii="Arial" w:cs="Arial" w:eastAsia="Arial" w:hAnsi="Arial"/>
          <w:sz w:val="18"/>
          <w:szCs w:val="18"/>
          <w:color w:val="auto"/>
        </w:rPr>
      </w:pPr>
    </w:p>
    <w:p>
      <w:pPr>
        <w:ind w:right="180" w:firstLine="656"/>
        <w:spacing w:after="0" w:line="277" w:lineRule="auto"/>
        <w:tabs>
          <w:tab w:leader="none" w:pos="1296"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at the management office for the Project or at such office location designated by Landlord. Employees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0" w:name="page681"/>
    <w:bookmarkEnd w:id="680"/>
    <w:p>
      <w:pPr>
        <w:spacing w:after="0"/>
        <w:rPr>
          <w:sz w:val="20"/>
          <w:szCs w:val="20"/>
          <w:color w:val="auto"/>
        </w:rPr>
      </w:pPr>
      <w:r>
        <w:rPr>
          <w:rFonts w:ascii="Arial" w:cs="Arial" w:eastAsia="Arial" w:hAnsi="Arial"/>
          <w:sz w:val="18"/>
          <w:szCs w:val="18"/>
          <w:color w:val="auto"/>
        </w:rPr>
        <w:t>of Landlord shall not perform any work or do anything outside their regular duties unless under special instructions from Landlord.</w:t>
      </w:r>
    </w:p>
    <w:p>
      <w:pPr>
        <w:spacing w:after="0" w:line="225" w:lineRule="exact"/>
        <w:rPr>
          <w:sz w:val="20"/>
          <w:szCs w:val="20"/>
          <w:color w:val="auto"/>
        </w:rPr>
      </w:pPr>
    </w:p>
    <w:p>
      <w:pPr>
        <w:ind w:right="120" w:firstLine="656"/>
        <w:spacing w:after="0" w:line="263" w:lineRule="auto"/>
        <w:tabs>
          <w:tab w:leader="none" w:pos="129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No sign, advertisement, notice or handbill shall be exhibited, distributed, painted or affixed by Tenant on any part of the Premises or the Building without the prior written consent of the Landlord. Tenant shall not disturb, solicit, peddle, or canvass any occupant of the Project and shall cooperate with Landlord and its agents of Landlord to prevent same.</w:t>
      </w:r>
    </w:p>
    <w:p>
      <w:pPr>
        <w:spacing w:after="0" w:line="183" w:lineRule="exact"/>
        <w:rPr>
          <w:rFonts w:ascii="Arial" w:cs="Arial" w:eastAsia="Arial" w:hAnsi="Arial"/>
          <w:sz w:val="18"/>
          <w:szCs w:val="18"/>
          <w:color w:val="auto"/>
        </w:rPr>
      </w:pPr>
    </w:p>
    <w:p>
      <w:pPr>
        <w:ind w:right="240" w:firstLine="656"/>
        <w:spacing w:after="0" w:line="311" w:lineRule="auto"/>
        <w:tabs>
          <w:tab w:leader="none" w:pos="1296" w:val="left"/>
        </w:tabs>
        <w:numPr>
          <w:ilvl w:val="0"/>
          <w:numId w:val="568"/>
        </w:numPr>
        <w:rPr>
          <w:rFonts w:ascii="Arial" w:cs="Arial" w:eastAsia="Arial" w:hAnsi="Arial"/>
          <w:sz w:val="16"/>
          <w:szCs w:val="16"/>
          <w:color w:val="auto"/>
        </w:rPr>
      </w:pPr>
      <w:r>
        <w:rPr>
          <w:rFonts w:ascii="Arial" w:cs="Arial" w:eastAsia="Arial" w:hAnsi="Arial"/>
          <w:sz w:val="16"/>
          <w:szCs w:val="16"/>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148" w:lineRule="exact"/>
        <w:rPr>
          <w:rFonts w:ascii="Arial" w:cs="Arial" w:eastAsia="Arial" w:hAnsi="Arial"/>
          <w:sz w:val="16"/>
          <w:szCs w:val="16"/>
          <w:color w:val="auto"/>
        </w:rPr>
      </w:pPr>
    </w:p>
    <w:p>
      <w:pPr>
        <w:ind w:right="40" w:firstLine="656"/>
        <w:spacing w:after="0" w:line="263" w:lineRule="auto"/>
        <w:tabs>
          <w:tab w:leader="none" w:pos="1296"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Tenant shall not overload the floor of the Premises, nor mark, drive nails or screws, or drill into the partitions, woodwork or drywall or in any way deface the Premises or any part thereof without Landlord’s prior written consent. Tenant shall not purchase spring water, ice, towel, linen, maintenance or other like services from any person or persons not approved by Landlord.</w:t>
      </w:r>
    </w:p>
    <w:p>
      <w:pPr>
        <w:spacing w:after="0" w:line="183" w:lineRule="exact"/>
        <w:rPr>
          <w:rFonts w:ascii="Arial" w:cs="Arial" w:eastAsia="Arial" w:hAnsi="Arial"/>
          <w:sz w:val="18"/>
          <w:szCs w:val="18"/>
          <w:color w:val="auto"/>
        </w:rPr>
      </w:pPr>
    </w:p>
    <w:p>
      <w:pPr>
        <w:ind w:right="200" w:firstLine="656"/>
        <w:spacing w:after="0" w:line="342" w:lineRule="auto"/>
        <w:tabs>
          <w:tab w:leader="none" w:pos="1291" w:val="left"/>
        </w:tabs>
        <w:numPr>
          <w:ilvl w:val="0"/>
          <w:numId w:val="568"/>
        </w:numPr>
        <w:rPr>
          <w:rFonts w:ascii="Arial" w:cs="Arial" w:eastAsia="Arial" w:hAnsi="Arial"/>
          <w:sz w:val="16"/>
          <w:szCs w:val="16"/>
          <w:color w:val="auto"/>
        </w:rPr>
      </w:pPr>
      <w:r>
        <w:rPr>
          <w:rFonts w:ascii="Arial" w:cs="Arial" w:eastAsia="Arial" w:hAnsi="Arial"/>
          <w:sz w:val="16"/>
          <w:szCs w:val="16"/>
          <w:color w:val="auto"/>
        </w:rPr>
        <w:t>Except for vending machines intended for the sole use of Tenant’s employees and invitees, no vending machine or machines other than fractional horsepower office machines shall be installed, maintained or operated upon the Premises without the written consent of Landlord.</w:t>
      </w:r>
    </w:p>
    <w:p>
      <w:pPr>
        <w:spacing w:after="0" w:line="123" w:lineRule="exact"/>
        <w:rPr>
          <w:rFonts w:ascii="Arial" w:cs="Arial" w:eastAsia="Arial" w:hAnsi="Arial"/>
          <w:sz w:val="16"/>
          <w:szCs w:val="16"/>
          <w:color w:val="auto"/>
        </w:rPr>
      </w:pPr>
    </w:p>
    <w:p>
      <w:pPr>
        <w:ind w:right="880" w:firstLine="656"/>
        <w:spacing w:after="0" w:line="277" w:lineRule="auto"/>
        <w:tabs>
          <w:tab w:leader="none" w:pos="128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Tenant shall not use or keep in or on the Premises, the Building, or the Project any kerosene, gasoline or other inflammable or combustible fluid, chemical, substance or material.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210" w:lineRule="exact"/>
        <w:rPr>
          <w:rFonts w:ascii="Arial" w:cs="Arial" w:eastAsia="Arial" w:hAnsi="Arial"/>
          <w:sz w:val="16"/>
          <w:szCs w:val="16"/>
          <w:color w:val="auto"/>
        </w:rPr>
      </w:pPr>
    </w:p>
    <w:p>
      <w:pPr>
        <w:ind w:firstLine="656"/>
        <w:spacing w:after="0" w:line="279" w:lineRule="auto"/>
        <w:tabs>
          <w:tab w:leader="none" w:pos="1291" w:val="left"/>
        </w:tabs>
        <w:numPr>
          <w:ilvl w:val="0"/>
          <w:numId w:val="568"/>
        </w:numPr>
        <w:rPr>
          <w:rFonts w:ascii="Arial" w:cs="Arial" w:eastAsia="Arial" w:hAnsi="Arial"/>
          <w:sz w:val="17"/>
          <w:szCs w:val="17"/>
          <w:color w:val="auto"/>
        </w:rPr>
      </w:pPr>
      <w:r>
        <w:rPr>
          <w:rFonts w:ascii="Arial" w:cs="Arial" w:eastAsia="Arial" w:hAnsi="Arial"/>
          <w:sz w:val="17"/>
          <w:szCs w:val="17"/>
          <w:color w:val="auto"/>
        </w:rPr>
        <w:t>Tenant shall not use, keep or permit to be used or kept, any foul or noxious gas or substance in or on the Premises, or permit or allow the Premises to be occupied or used in a manner offensive or objectionable to Landlord or other occupants of the Project by reason of noise, odors, or vibrations, or interfere with other tenants or those having business therein, whether by the use of any musical instrument, radio, phonograph, or in any other way. Tenant shall not throw anything out of doors, windows or skylights or down passageways.</w:t>
      </w:r>
    </w:p>
    <w:p>
      <w:pPr>
        <w:spacing w:after="0" w:line="171" w:lineRule="exact"/>
        <w:rPr>
          <w:rFonts w:ascii="Arial" w:cs="Arial" w:eastAsia="Arial" w:hAnsi="Arial"/>
          <w:sz w:val="17"/>
          <w:szCs w:val="17"/>
          <w:color w:val="auto"/>
        </w:rPr>
      </w:pPr>
    </w:p>
    <w:p>
      <w:pPr>
        <w:ind w:right="120" w:firstLine="656"/>
        <w:spacing w:after="0" w:line="277" w:lineRule="auto"/>
        <w:tabs>
          <w:tab w:leader="none" w:pos="1291"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Tenant shall not bring into or keep within the Project, the Building or the Premises any animals, birds, aquariums, firearms, or, except in areas designated by Landlord, bicycles or other vehicles.</w:t>
      </w:r>
    </w:p>
    <w:p>
      <w:pPr>
        <w:spacing w:after="0" w:line="170" w:lineRule="exact"/>
        <w:rPr>
          <w:rFonts w:ascii="Arial" w:cs="Arial" w:eastAsia="Arial" w:hAnsi="Arial"/>
          <w:sz w:val="18"/>
          <w:szCs w:val="18"/>
          <w:color w:val="auto"/>
        </w:rPr>
      </w:pPr>
    </w:p>
    <w:p>
      <w:pPr>
        <w:ind w:right="120" w:firstLine="656"/>
        <w:spacing w:after="0" w:line="279" w:lineRule="auto"/>
        <w:tabs>
          <w:tab w:leader="none" w:pos="1291" w:val="left"/>
        </w:tabs>
        <w:numPr>
          <w:ilvl w:val="0"/>
          <w:numId w:val="568"/>
        </w:numPr>
        <w:rPr>
          <w:rFonts w:ascii="Arial" w:cs="Arial" w:eastAsia="Arial" w:hAnsi="Arial"/>
          <w:sz w:val="17"/>
          <w:szCs w:val="17"/>
          <w:color w:val="auto"/>
        </w:rPr>
      </w:pPr>
      <w:r>
        <w:rPr>
          <w:rFonts w:ascii="Arial" w:cs="Arial" w:eastAsia="Arial" w:hAnsi="Arial"/>
          <w:sz w:val="17"/>
          <w:szCs w:val="17"/>
          <w:color w:val="auto"/>
        </w:rPr>
        <w:t>No cooking shall be done or permitted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rules and regulations.</w:t>
      </w:r>
    </w:p>
    <w:p>
      <w:pPr>
        <w:spacing w:after="0" w:line="171" w:lineRule="exact"/>
        <w:rPr>
          <w:rFonts w:ascii="Arial" w:cs="Arial" w:eastAsia="Arial" w:hAnsi="Arial"/>
          <w:sz w:val="17"/>
          <w:szCs w:val="17"/>
          <w:color w:val="auto"/>
        </w:rPr>
      </w:pPr>
    </w:p>
    <w:p>
      <w:pPr>
        <w:ind w:right="20" w:firstLine="656"/>
        <w:spacing w:after="0" w:line="296" w:lineRule="auto"/>
        <w:tabs>
          <w:tab w:leader="none" w:pos="1291" w:val="left"/>
        </w:tabs>
        <w:numPr>
          <w:ilvl w:val="0"/>
          <w:numId w:val="568"/>
        </w:numPr>
        <w:rPr>
          <w:rFonts w:ascii="Arial" w:cs="Arial" w:eastAsia="Arial" w:hAnsi="Arial"/>
          <w:sz w:val="16"/>
          <w:szCs w:val="16"/>
          <w:color w:val="auto"/>
        </w:rPr>
      </w:pPr>
      <w:r>
        <w:rPr>
          <w:rFonts w:ascii="Arial" w:cs="Arial" w:eastAsia="Arial" w:hAnsi="Arial"/>
          <w:sz w:val="16"/>
          <w:szCs w:val="16"/>
          <w:color w:val="auto"/>
        </w:rPr>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161" w:lineRule="exact"/>
        <w:rPr>
          <w:rFonts w:ascii="Arial" w:cs="Arial" w:eastAsia="Arial" w:hAnsi="Arial"/>
          <w:sz w:val="16"/>
          <w:szCs w:val="16"/>
          <w:color w:val="auto"/>
        </w:rPr>
      </w:pPr>
    </w:p>
    <w:p>
      <w:pPr>
        <w:ind w:right="80" w:firstLine="656"/>
        <w:spacing w:after="0" w:line="277" w:lineRule="auto"/>
        <w:tabs>
          <w:tab w:leader="none" w:pos="1291" w:val="left"/>
        </w:tabs>
        <w:numPr>
          <w:ilvl w:val="0"/>
          <w:numId w:val="568"/>
        </w:numPr>
        <w:rPr>
          <w:rFonts w:ascii="Arial" w:cs="Arial" w:eastAsia="Arial" w:hAnsi="Arial"/>
          <w:sz w:val="18"/>
          <w:szCs w:val="18"/>
          <w:color w:val="auto"/>
        </w:rPr>
      </w:pPr>
      <w:r>
        <w:rPr>
          <w:rFonts w:ascii="Arial" w:cs="Arial" w:eastAsia="Arial" w:hAnsi="Arial"/>
          <w:sz w:val="18"/>
          <w:szCs w:val="18"/>
          <w:color w:val="auto"/>
        </w:rPr>
        <w:t>Landlord reserves the right to exclude or expel from the Project any person who, in the judgment of Landlord, is intoxicated or under the influence of liquor or drugs, or who shall in any manner do any act in violation of any of these Rules and Regulations.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81" w:name="page682"/>
    <w:bookmarkEnd w:id="681"/>
    <w:p>
      <w:pPr>
        <w:jc w:val="both"/>
        <w:ind w:left="-60" w:right="140" w:firstLine="656"/>
        <w:spacing w:after="0" w:line="263" w:lineRule="auto"/>
        <w:tabs>
          <w:tab w:leader="none" w:pos="123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w:t>
      </w:r>
    </w:p>
    <w:p>
      <w:pPr>
        <w:spacing w:after="0" w:line="183" w:lineRule="exact"/>
        <w:rPr>
          <w:rFonts w:ascii="Arial" w:cs="Arial" w:eastAsia="Arial" w:hAnsi="Arial"/>
          <w:sz w:val="18"/>
          <w:szCs w:val="18"/>
          <w:color w:val="auto"/>
        </w:rPr>
      </w:pPr>
    </w:p>
    <w:p>
      <w:pPr>
        <w:ind w:left="-60" w:right="460" w:firstLine="656"/>
        <w:spacing w:after="0" w:line="277" w:lineRule="auto"/>
        <w:tabs>
          <w:tab w:leader="none" w:pos="123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Tenant shall not waste electricity, water or air conditioning and agrees to cooperate fully with Landlord to ensure the most effective operation of the Building’s heating and air conditioning system, and shall refrain from attempting to adjust any controls.</w:t>
      </w:r>
    </w:p>
    <w:p>
      <w:pPr>
        <w:spacing w:after="0" w:line="170" w:lineRule="exact"/>
        <w:rPr>
          <w:rFonts w:ascii="Arial" w:cs="Arial" w:eastAsia="Arial" w:hAnsi="Arial"/>
          <w:sz w:val="18"/>
          <w:szCs w:val="18"/>
          <w:color w:val="auto"/>
        </w:rPr>
      </w:pPr>
    </w:p>
    <w:p>
      <w:pPr>
        <w:ind w:left="-60" w:right="180" w:firstLine="656"/>
        <w:spacing w:after="0" w:line="301" w:lineRule="auto"/>
        <w:tabs>
          <w:tab w:leader="none" w:pos="1231" w:val="left"/>
        </w:tabs>
        <w:numPr>
          <w:ilvl w:val="0"/>
          <w:numId w:val="569"/>
        </w:numPr>
        <w:rPr>
          <w:rFonts w:ascii="Arial" w:cs="Arial" w:eastAsia="Arial" w:hAnsi="Arial"/>
          <w:sz w:val="16"/>
          <w:szCs w:val="16"/>
          <w:color w:val="auto"/>
        </w:rPr>
      </w:pPr>
      <w:r>
        <w:rPr>
          <w:rFonts w:ascii="Arial" w:cs="Arial" w:eastAsia="Arial" w:hAnsi="Arial"/>
          <w:sz w:val="16"/>
          <w:szCs w:val="16"/>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the downtown area of Sunnyvale, California without violation of any law or ordinance governing such disposal. All trash, garbage and refuse disposal shall be made only through entry-ways and elevators provided for such purposes at such times as Landlord shall designate.</w:t>
      </w:r>
    </w:p>
    <w:p>
      <w:pPr>
        <w:spacing w:after="0" w:line="157" w:lineRule="exact"/>
        <w:rPr>
          <w:rFonts w:ascii="Arial" w:cs="Arial" w:eastAsia="Arial" w:hAnsi="Arial"/>
          <w:sz w:val="16"/>
          <w:szCs w:val="16"/>
          <w:color w:val="auto"/>
        </w:rPr>
      </w:pPr>
    </w:p>
    <w:p>
      <w:pPr>
        <w:ind w:left="-60" w:right="900" w:firstLine="656"/>
        <w:spacing w:after="0" w:line="277" w:lineRule="auto"/>
        <w:tabs>
          <w:tab w:leader="none" w:pos="123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Tenant shall comply with all safety, fire protection and evacuation procedures and regulations established by Landlord or any governmental agency.</w:t>
      </w:r>
    </w:p>
    <w:p>
      <w:pPr>
        <w:spacing w:after="0" w:line="170" w:lineRule="exact"/>
        <w:rPr>
          <w:rFonts w:ascii="Arial" w:cs="Arial" w:eastAsia="Arial" w:hAnsi="Arial"/>
          <w:sz w:val="18"/>
          <w:szCs w:val="18"/>
          <w:color w:val="auto"/>
        </w:rPr>
      </w:pPr>
    </w:p>
    <w:p>
      <w:pPr>
        <w:ind w:left="-60" w:firstLine="656"/>
        <w:spacing w:after="0" w:line="263" w:lineRule="auto"/>
        <w:tabs>
          <w:tab w:leader="none" w:pos="123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Any persons employed by Tenant to do janitorial work shall be subject to the prior written approval of Landlord, and while in the Building and outside of the Premises, shall be subject to and under the control and direction of the Building manager (but not as an agent or servant of such manager or of Landlord), and Tenant shall be responsible for all acts of such persons.</w:t>
      </w:r>
    </w:p>
    <w:p>
      <w:pPr>
        <w:spacing w:after="0" w:line="183" w:lineRule="exact"/>
        <w:rPr>
          <w:rFonts w:ascii="Arial" w:cs="Arial" w:eastAsia="Arial" w:hAnsi="Arial"/>
          <w:sz w:val="18"/>
          <w:szCs w:val="18"/>
          <w:color w:val="auto"/>
        </w:rPr>
      </w:pPr>
    </w:p>
    <w:p>
      <w:pPr>
        <w:ind w:left="-60" w:right="100" w:firstLine="656"/>
        <w:spacing w:after="0" w:line="254" w:lineRule="auto"/>
        <w:tabs>
          <w:tab w:leader="none" w:pos="123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 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abide by Landlord’s regulations concerning the opening and closing of window coverings which are attached to the windows in the Premises, if any, which have a view of any interior portion of the Building or Building Common Areas.</w:t>
      </w:r>
    </w:p>
    <w:p>
      <w:pPr>
        <w:spacing w:after="0" w:line="194" w:lineRule="exact"/>
        <w:rPr>
          <w:rFonts w:ascii="Arial" w:cs="Arial" w:eastAsia="Arial" w:hAnsi="Arial"/>
          <w:sz w:val="18"/>
          <w:szCs w:val="18"/>
          <w:color w:val="auto"/>
        </w:rPr>
      </w:pPr>
    </w:p>
    <w:p>
      <w:pPr>
        <w:ind w:left="-60" w:right="20" w:firstLine="656"/>
        <w:spacing w:after="0" w:line="308" w:lineRule="auto"/>
        <w:tabs>
          <w:tab w:leader="none" w:pos="1231" w:val="left"/>
        </w:tabs>
        <w:numPr>
          <w:ilvl w:val="0"/>
          <w:numId w:val="569"/>
        </w:numPr>
        <w:rPr>
          <w:rFonts w:ascii="Arial" w:cs="Arial" w:eastAsia="Arial" w:hAnsi="Arial"/>
          <w:sz w:val="17"/>
          <w:szCs w:val="17"/>
          <w:color w:val="auto"/>
        </w:rPr>
      </w:pPr>
      <w:r>
        <w:rPr>
          <w:rFonts w:ascii="Arial" w:cs="Arial" w:eastAsia="Arial" w:hAnsi="Arial"/>
          <w:sz w:val="17"/>
          <w:szCs w:val="17"/>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146" w:lineRule="exact"/>
        <w:rPr>
          <w:rFonts w:ascii="Arial" w:cs="Arial" w:eastAsia="Arial" w:hAnsi="Arial"/>
          <w:sz w:val="17"/>
          <w:szCs w:val="17"/>
          <w:color w:val="auto"/>
        </w:rPr>
      </w:pPr>
    </w:p>
    <w:p>
      <w:pPr>
        <w:ind w:left="1240" w:hanging="644"/>
        <w:spacing w:after="0"/>
        <w:tabs>
          <w:tab w:leader="none" w:pos="1240" w:val="left"/>
        </w:tabs>
        <w:numPr>
          <w:ilvl w:val="0"/>
          <w:numId w:val="569"/>
        </w:numPr>
        <w:rPr>
          <w:rFonts w:ascii="Arial" w:cs="Arial" w:eastAsia="Arial" w:hAnsi="Arial"/>
          <w:sz w:val="16"/>
          <w:szCs w:val="16"/>
          <w:color w:val="auto"/>
        </w:rPr>
      </w:pPr>
      <w:r>
        <w:rPr>
          <w:rFonts w:ascii="Arial" w:cs="Arial" w:eastAsia="Arial" w:hAnsi="Arial"/>
          <w:sz w:val="16"/>
          <w:szCs w:val="16"/>
          <w:color w:val="auto"/>
        </w:rPr>
        <w:t>Tenant must comply with requests by the Landlord concerning the informing of their employees of items of importance to the Landlord.</w:t>
      </w:r>
    </w:p>
    <w:p>
      <w:pPr>
        <w:spacing w:after="0" w:line="244" w:lineRule="exact"/>
        <w:rPr>
          <w:rFonts w:ascii="Arial" w:cs="Arial" w:eastAsia="Arial" w:hAnsi="Arial"/>
          <w:sz w:val="16"/>
          <w:szCs w:val="16"/>
          <w:color w:val="auto"/>
        </w:rPr>
      </w:pPr>
    </w:p>
    <w:p>
      <w:pPr>
        <w:ind w:left="-60" w:right="260" w:firstLine="656"/>
        <w:spacing w:after="0" w:line="282" w:lineRule="auto"/>
        <w:tabs>
          <w:tab w:leader="none" w:pos="1231" w:val="left"/>
        </w:tabs>
        <w:numPr>
          <w:ilvl w:val="0"/>
          <w:numId w:val="569"/>
        </w:numPr>
        <w:rPr>
          <w:rFonts w:ascii="Arial" w:cs="Arial" w:eastAsia="Arial" w:hAnsi="Arial"/>
          <w:sz w:val="18"/>
          <w:szCs w:val="18"/>
          <w:color w:val="auto"/>
        </w:rPr>
      </w:pPr>
      <w:r>
        <w:rPr>
          <w:rFonts w:ascii="Arial" w:cs="Arial" w:eastAsia="Arial" w:hAnsi="Arial"/>
          <w:sz w:val="18"/>
          <w:szCs w:val="18"/>
          <w:color w:val="auto"/>
        </w:rPr>
        <w:t xml:space="preserve">Tenant must comply with the State of California </w:t>
      </w:r>
      <w:r>
        <w:rPr>
          <w:rFonts w:ascii="Arial" w:cs="Arial" w:eastAsia="Arial" w:hAnsi="Arial"/>
          <w:sz w:val="18"/>
          <w:szCs w:val="18"/>
          <w:b w:val="1"/>
          <w:bCs w:val="1"/>
          <w:color w:val="auto"/>
        </w:rPr>
        <w:t>“No-Smoking”</w:t>
      </w:r>
      <w:r>
        <w:rPr>
          <w:rFonts w:ascii="Arial" w:cs="Arial" w:eastAsia="Arial" w:hAnsi="Arial"/>
          <w:sz w:val="18"/>
          <w:szCs w:val="18"/>
          <w:color w:val="auto"/>
        </w:rPr>
        <w:t xml:space="preserve"> law set forth in California Labor Code Section 6404.5, and any local “No-Smoking” ordinance which may be in effect from time to time and which is not superseded by such State law.</w:t>
      </w:r>
    </w:p>
    <w:p>
      <w:pPr>
        <w:spacing w:after="0" w:line="165" w:lineRule="exact"/>
        <w:rPr>
          <w:rFonts w:ascii="Arial" w:cs="Arial" w:eastAsia="Arial" w:hAnsi="Arial"/>
          <w:sz w:val="18"/>
          <w:szCs w:val="18"/>
          <w:color w:val="auto"/>
        </w:rPr>
      </w:pPr>
    </w:p>
    <w:p>
      <w:pPr>
        <w:ind w:left="-60" w:right="40" w:firstLine="656"/>
        <w:spacing w:after="0" w:line="271" w:lineRule="auto"/>
        <w:tabs>
          <w:tab w:leader="none" w:pos="1231" w:val="left"/>
        </w:tabs>
        <w:numPr>
          <w:ilvl w:val="0"/>
          <w:numId w:val="569"/>
        </w:numPr>
        <w:rPr>
          <w:rFonts w:ascii="Arial" w:cs="Arial" w:eastAsia="Arial" w:hAnsi="Arial"/>
          <w:sz w:val="17"/>
          <w:szCs w:val="17"/>
          <w:color w:val="auto"/>
        </w:rPr>
      </w:pPr>
      <w:r>
        <w:rPr>
          <w:rFonts w:ascii="Arial" w:cs="Arial" w:eastAsia="Arial" w:hAnsi="Arial"/>
          <w:sz w:val="17"/>
          <w:szCs w:val="17"/>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40"/>
          </w:cols>
          <w:pgMar w:left="380" w:top="342" w:right="379" w:bottom="1440" w:gutter="0" w:footer="0" w:header="0"/>
        </w:sectPr>
      </w:pPr>
    </w:p>
    <w:bookmarkStart w:id="682" w:name="page683"/>
    <w:bookmarkEnd w:id="682"/>
    <w:p>
      <w:pPr>
        <w:ind w:firstLine="656"/>
        <w:spacing w:after="0" w:line="277" w:lineRule="auto"/>
        <w:tabs>
          <w:tab w:leader="none" w:pos="1291" w:val="left"/>
        </w:tabs>
        <w:numPr>
          <w:ilvl w:val="0"/>
          <w:numId w:val="570"/>
        </w:numPr>
        <w:rPr>
          <w:rFonts w:ascii="Arial" w:cs="Arial" w:eastAsia="Arial" w:hAnsi="Arial"/>
          <w:sz w:val="18"/>
          <w:szCs w:val="18"/>
          <w:color w:val="auto"/>
        </w:rPr>
      </w:pPr>
      <w:r>
        <w:rPr>
          <w:rFonts w:ascii="Arial" w:cs="Arial" w:eastAsia="Arial" w:hAnsi="Arial"/>
          <w:sz w:val="18"/>
          <w:szCs w:val="18"/>
          <w:color w:val="auto"/>
        </w:rPr>
        <w:t>All office equipment of any electrical or mechanical nature shall be placed by Tenant in the Premises in settings approved by Landlord, to absorb or prevent any vibration, noise and annoyance.</w:t>
      </w:r>
    </w:p>
    <w:p>
      <w:pPr>
        <w:spacing w:after="0" w:line="170" w:lineRule="exact"/>
        <w:rPr>
          <w:rFonts w:ascii="Arial" w:cs="Arial" w:eastAsia="Arial" w:hAnsi="Arial"/>
          <w:sz w:val="18"/>
          <w:szCs w:val="18"/>
          <w:color w:val="auto"/>
        </w:rPr>
      </w:pPr>
    </w:p>
    <w:p>
      <w:pPr>
        <w:ind w:right="480" w:firstLine="656"/>
        <w:spacing w:after="0" w:line="277" w:lineRule="auto"/>
        <w:tabs>
          <w:tab w:leader="none" w:pos="1291" w:val="left"/>
        </w:tabs>
        <w:numPr>
          <w:ilvl w:val="0"/>
          <w:numId w:val="570"/>
        </w:numPr>
        <w:rPr>
          <w:rFonts w:ascii="Arial" w:cs="Arial" w:eastAsia="Arial" w:hAnsi="Arial"/>
          <w:sz w:val="18"/>
          <w:szCs w:val="18"/>
          <w:color w:val="auto"/>
        </w:rPr>
      </w:pPr>
      <w:r>
        <w:rPr>
          <w:rFonts w:ascii="Arial" w:cs="Arial" w:eastAsia="Arial" w:hAnsi="Arial"/>
          <w:sz w:val="18"/>
          <w:szCs w:val="18"/>
          <w:color w:val="auto"/>
        </w:rPr>
        <w:t>Tenant shall not use in any space or in the public halls of the Building, any hand trucks except those equipped with rubber tires and rubber side guards.</w:t>
      </w:r>
    </w:p>
    <w:p>
      <w:pPr>
        <w:spacing w:after="0" w:line="170" w:lineRule="exact"/>
        <w:rPr>
          <w:rFonts w:ascii="Arial" w:cs="Arial" w:eastAsia="Arial" w:hAnsi="Arial"/>
          <w:sz w:val="18"/>
          <w:szCs w:val="18"/>
          <w:color w:val="auto"/>
        </w:rPr>
      </w:pPr>
    </w:p>
    <w:p>
      <w:pPr>
        <w:ind w:right="220" w:firstLine="656"/>
        <w:spacing w:after="0" w:line="277" w:lineRule="auto"/>
        <w:tabs>
          <w:tab w:leader="none" w:pos="1291" w:val="left"/>
        </w:tabs>
        <w:numPr>
          <w:ilvl w:val="0"/>
          <w:numId w:val="570"/>
        </w:numPr>
        <w:rPr>
          <w:rFonts w:ascii="Arial" w:cs="Arial" w:eastAsia="Arial" w:hAnsi="Arial"/>
          <w:sz w:val="18"/>
          <w:szCs w:val="18"/>
          <w:color w:val="auto"/>
        </w:rPr>
      </w:pPr>
      <w:r>
        <w:rPr>
          <w:rFonts w:ascii="Arial" w:cs="Arial" w:eastAsia="Arial" w:hAnsi="Arial"/>
          <w:sz w:val="18"/>
          <w:szCs w:val="18"/>
          <w:color w:val="auto"/>
        </w:rPr>
        <w:t>No auction, liquidation, fire sale, going-out-of-business or bankruptcy sale shall be conducted in the Premises without the prior written consent of Landlord.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No tenant shall use or permit the use of any portion of the Premises for living quarters, sleeping apartments or lodging rooms.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Tenant shall have the exclusive right to use its reserved parking spaces, if any, from 6:00 A.M. to 6:00 P.M. Monday through Friday.</w:t>
      </w:r>
    </w:p>
    <w:p>
      <w:pPr>
        <w:spacing w:after="0" w:line="23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83" w:name="page684"/>
    <w:bookmarkEnd w:id="683"/>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0" w:type="dxa"/>
            <w:vAlign w:val="bottom"/>
            <w:gridSpan w:val="4"/>
          </w:tcPr>
          <w:p>
            <w:pPr>
              <w:jc w:val="center"/>
              <w:ind w:right="2480"/>
              <w:spacing w:after="0"/>
              <w:rPr>
                <w:sz w:val="20"/>
                <w:szCs w:val="20"/>
                <w:color w:val="auto"/>
              </w:rPr>
            </w:pPr>
            <w:r>
              <w:rPr>
                <w:rFonts w:ascii="Arial" w:cs="Arial" w:eastAsia="Arial" w:hAnsi="Arial"/>
                <w:sz w:val="18"/>
                <w:szCs w:val="18"/>
                <w:b w:val="1"/>
                <w:bCs w:val="1"/>
                <w:color w:val="auto"/>
              </w:rPr>
              <w:t>EXHIBIT E</w:t>
            </w: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3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SUNNYVALE CITY CENTER</w:t>
            </w:r>
          </w:p>
        </w:tc>
        <w:tc>
          <w:tcPr>
            <w:tcW w:w="1740" w:type="dxa"/>
            <w:vAlign w:val="bottom"/>
            <w:gridSpan w:val="2"/>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12"/>
        </w:trPr>
        <w:tc>
          <w:tcPr>
            <w:tcW w:w="3600" w:type="dxa"/>
            <w:vAlign w:val="bottom"/>
          </w:tcPr>
          <w:p>
            <w:pPr>
              <w:spacing w:after="0"/>
              <w:rPr>
                <w:sz w:val="24"/>
                <w:szCs w:val="24"/>
                <w:color w:val="auto"/>
              </w:rPr>
            </w:pPr>
          </w:p>
        </w:tc>
        <w:tc>
          <w:tcPr>
            <w:tcW w:w="40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FORM OF TENANT’S ESTOPPEL CERTIFICATE</w:t>
            </w:r>
          </w:p>
        </w:tc>
        <w:tc>
          <w:tcPr>
            <w:tcW w:w="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8"/>
        </w:trPr>
        <w:tc>
          <w:tcPr>
            <w:tcW w:w="8560" w:type="dxa"/>
            <w:vAlign w:val="bottom"/>
            <w:gridSpan w:val="7"/>
          </w:tcPr>
          <w:p>
            <w:pPr>
              <w:ind w:left="660"/>
              <w:spacing w:after="0"/>
              <w:rPr>
                <w:sz w:val="20"/>
                <w:szCs w:val="20"/>
                <w:color w:val="auto"/>
              </w:rPr>
            </w:pPr>
            <w:r>
              <w:rPr>
                <w:rFonts w:ascii="Arial" w:cs="Arial" w:eastAsia="Arial" w:hAnsi="Arial"/>
                <w:sz w:val="18"/>
                <w:szCs w:val="18"/>
                <w:color w:val="auto"/>
                <w:w w:val="96"/>
              </w:rPr>
              <w:t xml:space="preserve">The undersigned as Tenant under that certain Office Lease (the </w:t>
            </w:r>
            <w:r>
              <w:rPr>
                <w:rFonts w:ascii="Arial" w:cs="Arial" w:eastAsia="Arial" w:hAnsi="Arial"/>
                <w:sz w:val="18"/>
                <w:szCs w:val="18"/>
                <w:b w:val="1"/>
                <w:bCs w:val="1"/>
                <w:color w:val="auto"/>
                <w:w w:val="96"/>
              </w:rPr>
              <w:t>“Lease”)</w:t>
            </w:r>
            <w:r>
              <w:rPr>
                <w:rFonts w:ascii="Arial" w:cs="Arial" w:eastAsia="Arial" w:hAnsi="Arial"/>
                <w:sz w:val="18"/>
                <w:szCs w:val="18"/>
                <w:color w:val="auto"/>
                <w:w w:val="96"/>
              </w:rPr>
              <w:t xml:space="preserve"> made and entered into as of</w:t>
            </w:r>
          </w:p>
        </w:tc>
        <w:tc>
          <w:tcPr>
            <w:tcW w:w="2340" w:type="dxa"/>
            <w:vAlign w:val="bottom"/>
          </w:tcPr>
          <w:p>
            <w:pPr>
              <w:ind w:left="320"/>
              <w:spacing w:after="0"/>
              <w:rPr>
                <w:sz w:val="20"/>
                <w:szCs w:val="20"/>
                <w:color w:val="auto"/>
              </w:rPr>
            </w:pPr>
            <w:r>
              <w:rPr>
                <w:rFonts w:ascii="Arial" w:cs="Arial" w:eastAsia="Arial" w:hAnsi="Arial"/>
                <w:sz w:val="18"/>
                <w:szCs w:val="18"/>
                <w:color w:val="auto"/>
              </w:rPr>
              <w:t>, 201 by and between</w:t>
            </w:r>
          </w:p>
        </w:tc>
        <w:tc>
          <w:tcPr>
            <w:tcW w:w="240" w:type="dxa"/>
            <w:vAlign w:val="bottom"/>
          </w:tcPr>
          <w:p>
            <w:pPr>
              <w:ind w:left="100"/>
              <w:spacing w:after="0"/>
              <w:rPr>
                <w:sz w:val="20"/>
                <w:szCs w:val="20"/>
                <w:color w:val="auto"/>
              </w:rPr>
            </w:pPr>
            <w:r>
              <w:rPr>
                <w:rFonts w:ascii="Arial" w:cs="Arial" w:eastAsia="Arial" w:hAnsi="Arial"/>
                <w:sz w:val="16"/>
                <w:szCs w:val="16"/>
                <w:color w:val="auto"/>
                <w:w w:val="70"/>
              </w:rPr>
              <w:t>as</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89"/>
              </w:rPr>
              <w:t>Landlord, and the undersigned as Tenant, for Premises on the</w:t>
            </w:r>
          </w:p>
        </w:tc>
        <w:tc>
          <w:tcPr>
            <w:tcW w:w="720" w:type="dxa"/>
            <w:vAlign w:val="bottom"/>
          </w:tcPr>
          <w:p>
            <w:pPr>
              <w:spacing w:after="0"/>
              <w:rPr>
                <w:sz w:val="20"/>
                <w:szCs w:val="20"/>
                <w:color w:val="auto"/>
              </w:rPr>
            </w:pPr>
          </w:p>
        </w:tc>
        <w:tc>
          <w:tcPr>
            <w:tcW w:w="3400" w:type="dxa"/>
            <w:vAlign w:val="bottom"/>
            <w:gridSpan w:val="4"/>
          </w:tcPr>
          <w:p>
            <w:pPr>
              <w:ind w:left="240"/>
              <w:spacing w:after="0"/>
              <w:rPr>
                <w:sz w:val="20"/>
                <w:szCs w:val="20"/>
                <w:color w:val="auto"/>
              </w:rPr>
            </w:pPr>
            <w:r>
              <w:rPr>
                <w:rFonts w:ascii="Arial" w:cs="Arial" w:eastAsia="Arial" w:hAnsi="Arial"/>
                <w:sz w:val="18"/>
                <w:szCs w:val="18"/>
                <w:color w:val="auto"/>
              </w:rPr>
              <w:t>floor(s) of the office building located at</w:t>
            </w:r>
          </w:p>
        </w:tc>
        <w:tc>
          <w:tcPr>
            <w:tcW w:w="2340" w:type="dxa"/>
            <w:vAlign w:val="bottom"/>
          </w:tcPr>
          <w:p>
            <w:pPr>
              <w:ind w:left="600"/>
              <w:spacing w:after="0"/>
              <w:rPr>
                <w:sz w:val="20"/>
                <w:szCs w:val="20"/>
                <w:color w:val="auto"/>
              </w:rPr>
            </w:pPr>
            <w:r>
              <w:rPr>
                <w:rFonts w:ascii="Arial" w:cs="Arial" w:eastAsia="Arial" w:hAnsi="Arial"/>
                <w:sz w:val="18"/>
                <w:szCs w:val="18"/>
                <w:color w:val="auto"/>
                <w:w w:val="95"/>
              </w:rPr>
              <w:t>, Sunnyvale, California</w:t>
            </w:r>
          </w:p>
        </w:tc>
        <w:tc>
          <w:tcPr>
            <w:tcW w:w="240" w:type="dxa"/>
            <w:vAlign w:val="bottom"/>
          </w:tcPr>
          <w:p>
            <w:pPr>
              <w:spacing w:after="0"/>
              <w:rPr>
                <w:sz w:val="20"/>
                <w:szCs w:val="20"/>
                <w:color w:val="auto"/>
              </w:rPr>
            </w:pPr>
          </w:p>
        </w:tc>
      </w:tr>
    </w:tbl>
    <w:p>
      <w:pPr>
        <w:ind w:left="1000" w:hanging="92"/>
        <w:spacing w:after="0"/>
        <w:tabs>
          <w:tab w:leader="none" w:pos="100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certifies as follows:</w:t>
      </w:r>
    </w:p>
    <w:p>
      <w:pPr>
        <w:spacing w:after="0" w:line="206" w:lineRule="exact"/>
        <w:rPr>
          <w:rFonts w:ascii="Arial" w:cs="Arial" w:eastAsia="Arial" w:hAnsi="Arial"/>
          <w:sz w:val="18"/>
          <w:szCs w:val="18"/>
          <w:color w:val="auto"/>
        </w:rPr>
      </w:pPr>
    </w:p>
    <w:p>
      <w:pPr>
        <w:ind w:right="380" w:firstLine="656"/>
        <w:spacing w:after="0" w:line="282" w:lineRule="auto"/>
        <w:tabs>
          <w:tab w:leader="none" w:pos="1296" w:val="left"/>
        </w:tabs>
        <w:numPr>
          <w:ilvl w:val="0"/>
          <w:numId w:val="57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is a true and correct copy of the Lease and all amendments and modifications thereto. The documents contained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represent the entire agreement between the parties as to the Premises.</w:t>
      </w:r>
    </w:p>
    <w:p>
      <w:pPr>
        <w:spacing w:after="0" w:line="166" w:lineRule="exact"/>
        <w:rPr>
          <w:sz w:val="20"/>
          <w:szCs w:val="20"/>
          <w:color w:val="auto"/>
        </w:rPr>
      </w:pPr>
    </w:p>
    <w:p>
      <w:pPr>
        <w:ind w:left="660"/>
        <w:spacing w:after="0"/>
        <w:tabs>
          <w:tab w:leader="none" w:pos="1280" w:val="left"/>
          <w:tab w:leader="none" w:pos="97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The undersigned currently occupies the Premises described in the Lease, the Lease Term commenced on</w:t>
      </w:r>
      <w:r>
        <w:rPr>
          <w:sz w:val="20"/>
          <w:szCs w:val="20"/>
          <w:color w:val="auto"/>
        </w:rPr>
        <w:tab/>
      </w:r>
      <w:r>
        <w:rPr>
          <w:rFonts w:ascii="Arial" w:cs="Arial" w:eastAsia="Arial" w:hAnsi="Arial"/>
          <w:sz w:val="15"/>
          <w:szCs w:val="15"/>
          <w:color w:val="auto"/>
        </w:rPr>
        <w:t>, and the Lease</w:t>
      </w:r>
    </w:p>
    <w:p>
      <w:pPr>
        <w:spacing w:after="0" w:line="23"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Term expires on</w:t>
      </w:r>
      <w:r>
        <w:rPr>
          <w:sz w:val="20"/>
          <w:szCs w:val="20"/>
          <w:color w:val="auto"/>
        </w:rPr>
        <w:tab/>
      </w:r>
      <w:r>
        <w:rPr>
          <w:rFonts w:ascii="Arial" w:cs="Arial" w:eastAsia="Arial" w:hAnsi="Arial"/>
          <w:sz w:val="16"/>
          <w:szCs w:val="16"/>
          <w:color w:val="auto"/>
        </w:rPr>
        <w:t>, and the undersigned has no option to terminate or cancel the Lease or to purchase all or any part of the Premises,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and/or the Project.</w:t>
      </w:r>
    </w:p>
    <w:p>
      <w:pPr>
        <w:sectPr>
          <w:pgSz w:w="11900" w:h="16838" w:orient="portrait"/>
          <w:cols w:equalWidth="0" w:num="1">
            <w:col w:w="11200"/>
          </w:cols>
          <w:pgMar w:left="320" w:top="325" w:right="37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Base Rent became payable 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3">
            <w:col w:w="800" w:space="500"/>
            <w:col w:w="2660" w:space="720"/>
            <w:col w:w="6520"/>
          </w:cols>
          <w:pgMar w:left="320" w:top="325" w:right="379" w:bottom="1440" w:gutter="0" w:footer="0" w:header="0"/>
          <w:type w:val="continuous"/>
        </w:sectPr>
      </w:pPr>
    </w:p>
    <w:p>
      <w:pPr>
        <w:spacing w:after="0" w:line="44" w:lineRule="exact"/>
        <w:rPr>
          <w:sz w:val="20"/>
          <w:szCs w:val="20"/>
          <w:color w:val="auto"/>
        </w:rPr>
      </w:pPr>
    </w:p>
    <w:p>
      <w:pPr>
        <w:ind w:left="1300" w:hanging="644"/>
        <w:spacing w:after="0"/>
        <w:tabs>
          <w:tab w:leader="none" w:pos="130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 xml:space="preserve">The Lease is in full force and effect and has not been modified, supplemented or amended in any way except as provided in </w:t>
      </w:r>
      <w:r>
        <w:rPr>
          <w:rFonts w:ascii="Arial" w:cs="Arial" w:eastAsia="Arial" w:hAnsi="Arial"/>
          <w:sz w:val="16"/>
          <w:szCs w:val="16"/>
          <w:b w:val="1"/>
          <w:bCs w:val="1"/>
          <w:u w:val="single" w:color="auto"/>
          <w:color w:val="auto"/>
        </w:rPr>
        <w:t>Exhibit A</w:t>
      </w:r>
      <w:r>
        <w:rPr>
          <w:rFonts w:ascii="Arial" w:cs="Arial" w:eastAsia="Arial" w:hAnsi="Arial"/>
          <w:sz w:val="16"/>
          <w:szCs w:val="16"/>
          <w:b w:val="1"/>
          <w:bCs w:val="1"/>
          <w:color w:val="auto"/>
        </w:rPr>
        <w:t>.</w:t>
      </w:r>
    </w:p>
    <w:p>
      <w:pPr>
        <w:spacing w:after="0" w:line="252" w:lineRule="exact"/>
        <w:rPr>
          <w:rFonts w:ascii="Arial" w:cs="Arial" w:eastAsia="Arial" w:hAnsi="Arial"/>
          <w:sz w:val="16"/>
          <w:szCs w:val="16"/>
          <w:color w:val="auto"/>
        </w:rPr>
      </w:pPr>
    </w:p>
    <w:p>
      <w:pPr>
        <w:ind w:right="280" w:firstLine="656"/>
        <w:spacing w:after="0" w:line="277" w:lineRule="auto"/>
        <w:tabs>
          <w:tab w:leader="none" w:pos="1296" w:val="left"/>
        </w:tabs>
        <w:numPr>
          <w:ilvl w:val="0"/>
          <w:numId w:val="572"/>
        </w:numPr>
        <w:rPr>
          <w:rFonts w:ascii="Arial" w:cs="Arial" w:eastAsia="Arial" w:hAnsi="Arial"/>
          <w:sz w:val="18"/>
          <w:szCs w:val="18"/>
          <w:color w:val="auto"/>
        </w:rPr>
      </w:pPr>
      <w:r>
        <w:rPr>
          <w:rFonts w:ascii="Arial" w:cs="Arial" w:eastAsia="Arial" w:hAnsi="Arial"/>
          <w:sz w:val="18"/>
          <w:szCs w:val="18"/>
          <w:color w:val="auto"/>
        </w:rPr>
        <w:t>Tenant has not transferred, assigned, or sublet any portion of the Premises nor entered into any license or concession agreements with respect thereto except as follows:</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 xml:space="preserve">Tenant shall not modify the documents contained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without the prior written consent of Landlord’s mortgagee.</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572"/>
        </w:numPr>
        <w:rPr>
          <w:rFonts w:ascii="Arial" w:cs="Arial" w:eastAsia="Arial" w:hAnsi="Arial"/>
          <w:sz w:val="17"/>
          <w:szCs w:val="17"/>
          <w:color w:val="auto"/>
        </w:rPr>
      </w:pPr>
      <w:r>
        <w:rPr>
          <w:rFonts w:ascii="Arial" w:cs="Arial" w:eastAsia="Arial" w:hAnsi="Arial"/>
          <w:sz w:val="17"/>
          <w:szCs w:val="17"/>
          <w:color w:val="auto"/>
        </w:rPr>
        <w:t>All monthly installments of Base Rent, all Additional Rent and all monthly installments of estimated Additional Rent have been paid</w:t>
      </w:r>
    </w:p>
    <w:p>
      <w:pPr>
        <w:spacing w:after="0" w:line="35" w:lineRule="exact"/>
        <w:rPr>
          <w:sz w:val="20"/>
          <w:szCs w:val="20"/>
          <w:color w:val="auto"/>
        </w:rPr>
      </w:pPr>
    </w:p>
    <w:p>
      <w:pPr>
        <w:spacing w:after="0"/>
        <w:tabs>
          <w:tab w:leader="none" w:pos="2240" w:val="left"/>
          <w:tab w:leader="none" w:pos="6860" w:val="left"/>
        </w:tabs>
        <w:rPr>
          <w:sz w:val="20"/>
          <w:szCs w:val="20"/>
          <w:color w:val="auto"/>
        </w:rPr>
      </w:pPr>
      <w:r>
        <w:rPr>
          <w:rFonts w:ascii="Arial" w:cs="Arial" w:eastAsia="Arial" w:hAnsi="Arial"/>
          <w:sz w:val="18"/>
          <w:szCs w:val="18"/>
          <w:color w:val="auto"/>
        </w:rPr>
        <w:t>when due through</w:t>
      </w:r>
      <w:r>
        <w:rPr>
          <w:sz w:val="20"/>
          <w:szCs w:val="20"/>
          <w:color w:val="auto"/>
        </w:rPr>
        <w:tab/>
      </w:r>
      <w:r>
        <w:rPr>
          <w:rFonts w:ascii="Arial" w:cs="Arial" w:eastAsia="Arial" w:hAnsi="Arial"/>
          <w:sz w:val="18"/>
          <w:szCs w:val="18"/>
          <w:color w:val="auto"/>
        </w:rPr>
        <w:t>. The current monthly installment of Base Rent is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80" w:firstLine="656"/>
        <w:spacing w:after="0" w:line="342" w:lineRule="auto"/>
        <w:tabs>
          <w:tab w:leader="none" w:pos="1296" w:val="left"/>
        </w:tabs>
        <w:numPr>
          <w:ilvl w:val="0"/>
          <w:numId w:val="573"/>
        </w:numPr>
        <w:rPr>
          <w:rFonts w:ascii="Arial" w:cs="Arial" w:eastAsia="Arial" w:hAnsi="Arial"/>
          <w:sz w:val="16"/>
          <w:szCs w:val="16"/>
          <w:color w:val="auto"/>
        </w:rPr>
      </w:pPr>
      <w:r>
        <w:rPr>
          <w:rFonts w:ascii="Arial" w:cs="Arial" w:eastAsia="Arial" w:hAnsi="Arial"/>
          <w:sz w:val="16"/>
          <w:szCs w:val="16"/>
          <w:color w:val="auto"/>
        </w:rPr>
        <w:t>All conditions of the Lease to be performed by Landlord necessary to the enforceability of the Lease have been satisfied and Landlord is not in default thereunder. In addition, the undersigned has not delivered any notice to Landlord regarding a default by Landlord thereunder.</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573"/>
        </w:numPr>
        <w:rPr>
          <w:rFonts w:ascii="Arial" w:cs="Arial" w:eastAsia="Arial" w:hAnsi="Arial"/>
          <w:sz w:val="16"/>
          <w:szCs w:val="16"/>
          <w:color w:val="auto"/>
        </w:rPr>
      </w:pPr>
      <w:r>
        <w:rPr>
          <w:rFonts w:ascii="Arial" w:cs="Arial" w:eastAsia="Arial" w:hAnsi="Arial"/>
          <w:sz w:val="16"/>
          <w:szCs w:val="16"/>
          <w:color w:val="auto"/>
        </w:rPr>
        <w:t>No rental has been paid more than thirty (30) days in advance and no security has been deposited with Landlord except as provided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Lease.</w:t>
      </w:r>
    </w:p>
    <w:p>
      <w:pPr>
        <w:spacing w:after="0" w:line="210" w:lineRule="exact"/>
        <w:rPr>
          <w:rFonts w:ascii="Arial" w:cs="Arial" w:eastAsia="Arial" w:hAnsi="Arial"/>
          <w:sz w:val="16"/>
          <w:szCs w:val="16"/>
          <w:color w:val="auto"/>
        </w:rPr>
      </w:pPr>
    </w:p>
    <w:p>
      <w:pPr>
        <w:ind w:right="200" w:firstLine="656"/>
        <w:spacing w:after="0" w:line="277" w:lineRule="auto"/>
        <w:tabs>
          <w:tab w:leader="none" w:pos="1291" w:val="left"/>
        </w:tabs>
        <w:numPr>
          <w:ilvl w:val="0"/>
          <w:numId w:val="573"/>
        </w:numPr>
        <w:rPr>
          <w:rFonts w:ascii="Arial" w:cs="Arial" w:eastAsia="Arial" w:hAnsi="Arial"/>
          <w:sz w:val="18"/>
          <w:szCs w:val="18"/>
          <w:color w:val="auto"/>
        </w:rPr>
      </w:pPr>
      <w:r>
        <w:rPr>
          <w:rFonts w:ascii="Arial" w:cs="Arial" w:eastAsia="Arial" w:hAnsi="Arial"/>
          <w:sz w:val="18"/>
          <w:szCs w:val="18"/>
          <w:color w:val="auto"/>
        </w:rPr>
        <w:t>As of the date hereof, there are no existing defenses or offsets, or, to the undersigned’s knowledge, claims or any basis for a claim, that the undersigned has against Landlord.</w:t>
      </w:r>
    </w:p>
    <w:p>
      <w:pPr>
        <w:spacing w:after="0" w:line="170" w:lineRule="exact"/>
        <w:rPr>
          <w:rFonts w:ascii="Arial" w:cs="Arial" w:eastAsia="Arial" w:hAnsi="Arial"/>
          <w:sz w:val="18"/>
          <w:szCs w:val="18"/>
          <w:color w:val="auto"/>
        </w:rPr>
      </w:pPr>
    </w:p>
    <w:p>
      <w:pPr>
        <w:jc w:val="both"/>
        <w:ind w:right="220" w:firstLine="656"/>
        <w:spacing w:after="0" w:line="263" w:lineRule="auto"/>
        <w:tabs>
          <w:tab w:leader="none" w:pos="128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If Tenant is a corporation or partnership, each individual executing this Estoppel Certificate on behalf of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573"/>
        </w:numPr>
        <w:rPr>
          <w:rFonts w:ascii="Arial" w:cs="Arial" w:eastAsia="Arial" w:hAnsi="Arial"/>
          <w:sz w:val="17"/>
          <w:szCs w:val="17"/>
          <w:color w:val="auto"/>
        </w:rPr>
      </w:pPr>
      <w:r>
        <w:rPr>
          <w:rFonts w:ascii="Arial" w:cs="Arial" w:eastAsia="Arial" w:hAnsi="Arial"/>
          <w:sz w:val="17"/>
          <w:szCs w:val="17"/>
          <w:color w:val="auto"/>
        </w:rPr>
        <w:t>There are no actions pending against the undersigned under the bankruptcy or similar laws of the United States or any state.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25" w:right="379" w:bottom="1440" w:gutter="0" w:footer="0" w:header="0"/>
          <w:type w:val="continuous"/>
        </w:sectPr>
      </w:pPr>
    </w:p>
    <w:bookmarkStart w:id="684" w:name="page685"/>
    <w:bookmarkEnd w:id="684"/>
    <w:p>
      <w:pPr>
        <w:ind w:right="280" w:firstLine="656"/>
        <w:spacing w:after="0" w:line="277" w:lineRule="auto"/>
        <w:tabs>
          <w:tab w:leader="none" w:pos="1291" w:val="left"/>
        </w:tabs>
        <w:numPr>
          <w:ilvl w:val="0"/>
          <w:numId w:val="574"/>
        </w:numPr>
        <w:rPr>
          <w:rFonts w:ascii="Arial" w:cs="Arial" w:eastAsia="Arial" w:hAnsi="Arial"/>
          <w:sz w:val="18"/>
          <w:szCs w:val="18"/>
          <w:color w:val="auto"/>
        </w:rPr>
      </w:pPr>
      <w:r>
        <w:rPr>
          <w:rFonts w:ascii="Arial" w:cs="Arial" w:eastAsia="Arial" w:hAnsi="Arial"/>
          <w:sz w:val="18"/>
          <w:szCs w:val="18"/>
          <w:color w:val="auto"/>
        </w:rPr>
        <w:t>Other than in compliance with all applicable laws and incidental to the ordinary course of the use of the Premises, the undersigned has not used or stored any hazardous substances in the Premises.</w:t>
      </w:r>
    </w:p>
    <w:p>
      <w:pPr>
        <w:spacing w:after="0" w:line="170" w:lineRule="exact"/>
        <w:rPr>
          <w:rFonts w:ascii="Arial" w:cs="Arial" w:eastAsia="Arial" w:hAnsi="Arial"/>
          <w:sz w:val="18"/>
          <w:szCs w:val="18"/>
          <w:color w:val="auto"/>
        </w:rPr>
      </w:pPr>
    </w:p>
    <w:p>
      <w:pPr>
        <w:ind w:right="340" w:firstLine="656"/>
        <w:spacing w:after="0" w:line="263" w:lineRule="auto"/>
        <w:tabs>
          <w:tab w:leader="none" w:pos="1291"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To the undersigned’s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87" w:lineRule="exact"/>
        <w:rPr>
          <w:sz w:val="20"/>
          <w:szCs w:val="20"/>
          <w:color w:val="auto"/>
        </w:rPr>
      </w:pPr>
    </w:p>
    <w:p>
      <w:pPr>
        <w:ind w:left="660"/>
        <w:spacing w:after="0"/>
        <w:tabs>
          <w:tab w:leader="none" w:pos="2340" w:val="left"/>
          <w:tab w:leader="none" w:pos="3180" w:val="left"/>
          <w:tab w:leader="none" w:pos="4140" w:val="left"/>
        </w:tabs>
        <w:rPr>
          <w:sz w:val="20"/>
          <w:szCs w:val="20"/>
          <w:color w:val="auto"/>
        </w:rPr>
      </w:pPr>
      <w:r>
        <w:rPr>
          <w:rFonts w:ascii="Arial" w:cs="Arial" w:eastAsia="Arial" w:hAnsi="Arial"/>
          <w:sz w:val="18"/>
          <w:szCs w:val="18"/>
          <w:color w:val="auto"/>
        </w:rPr>
        <w:t>Executed at</w:t>
      </w:r>
      <w:r>
        <w:rPr>
          <w:sz w:val="20"/>
          <w:szCs w:val="20"/>
          <w:color w:val="auto"/>
        </w:rPr>
        <w:tab/>
      </w:r>
      <w:r>
        <w:rPr>
          <w:rFonts w:ascii="Arial" w:cs="Arial" w:eastAsia="Arial" w:hAnsi="Arial"/>
          <w:sz w:val="18"/>
          <w:szCs w:val="18"/>
          <w:color w:val="auto"/>
        </w:rPr>
        <w:t>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,201 .</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James F.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5715</wp:posOffset>
            </wp:positionV>
            <wp:extent cx="325755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tabs>
          <w:tab w:leader="none" w:pos="6540" w:val="left"/>
        </w:tabs>
        <w:rPr>
          <w:sz w:val="20"/>
          <w:szCs w:val="20"/>
          <w:color w:val="auto"/>
        </w:rPr>
      </w:pPr>
      <w:r>
        <w:rPr>
          <w:rFonts w:ascii="Arial" w:cs="Arial" w:eastAsia="Arial" w:hAnsi="Arial"/>
          <w:sz w:val="18"/>
          <w:szCs w:val="18"/>
          <w:color w:val="auto"/>
        </w:rPr>
        <w:t>Its:</w:t>
        <w:tab/>
        <w:t>SVP-Global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85" w:name="page686"/>
    <w:bookmarkEnd w:id="685"/>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SUBLEASE AGREEMENT</w:t>
      </w:r>
    </w:p>
    <w:p>
      <w:pPr>
        <w:spacing w:after="0" w:line="225"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color w:val="auto"/>
        </w:rPr>
        <w:t>This Sublease Agreement (“</w:t>
      </w:r>
      <w:r>
        <w:rPr>
          <w:rFonts w:ascii="Arial" w:cs="Arial" w:eastAsia="Arial" w:hAnsi="Arial"/>
          <w:sz w:val="18"/>
          <w:szCs w:val="18"/>
          <w:b w:val="1"/>
          <w:bCs w:val="1"/>
          <w:color w:val="auto"/>
        </w:rPr>
        <w:t>Sublease</w:t>
      </w:r>
      <w:r>
        <w:rPr>
          <w:rFonts w:ascii="Arial" w:cs="Arial" w:eastAsia="Arial" w:hAnsi="Arial"/>
          <w:sz w:val="18"/>
          <w:szCs w:val="18"/>
          <w:color w:val="auto"/>
        </w:rPr>
        <w:t>”), dated as of November 1, 2016, is by and between LANDesk Software Inc., a Delaware Corporation, having an office at 698 West 10000 South, South Jordan, Utah, 94095 (“</w:t>
      </w:r>
      <w:r>
        <w:rPr>
          <w:rFonts w:ascii="Arial" w:cs="Arial" w:eastAsia="Arial" w:hAnsi="Arial"/>
          <w:sz w:val="18"/>
          <w:szCs w:val="18"/>
          <w:b w:val="1"/>
          <w:bCs w:val="1"/>
          <w:color w:val="auto"/>
        </w:rPr>
        <w:t>Sublandlord</w:t>
      </w:r>
      <w:r>
        <w:rPr>
          <w:rFonts w:ascii="Arial" w:cs="Arial" w:eastAsia="Arial" w:hAnsi="Arial"/>
          <w:sz w:val="18"/>
          <w:szCs w:val="18"/>
          <w:color w:val="auto"/>
        </w:rPr>
        <w:t>”) and Crowdstrike, Inc. a Delaware corporation, having an office at 15440 Laguna Canyon Road, Suite 250, Irvine CA 92618 (“</w:t>
      </w:r>
      <w:r>
        <w:rPr>
          <w:rFonts w:ascii="Arial" w:cs="Arial" w:eastAsia="Arial" w:hAnsi="Arial"/>
          <w:sz w:val="18"/>
          <w:szCs w:val="18"/>
          <w:b w:val="1"/>
          <w:bCs w:val="1"/>
          <w:color w:val="auto"/>
        </w:rPr>
        <w:t>Subtenant</w:t>
      </w:r>
      <w:r>
        <w:rPr>
          <w:rFonts w:ascii="Arial" w:cs="Arial" w:eastAsia="Arial" w:hAnsi="Arial"/>
          <w:sz w:val="18"/>
          <w:szCs w:val="18"/>
          <w:color w:val="auto"/>
        </w:rPr>
        <w:t>”);</w:t>
      </w:r>
    </w:p>
    <w:p>
      <w:pPr>
        <w:spacing w:after="0" w:line="1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WHEREAS, Sublandlord is the tenant under that certain lease agreement dated November 2012 as amended by the First Amendment, dated as of April 14, 2015 as amended, (“</w:t>
      </w:r>
      <w:r>
        <w:rPr>
          <w:rFonts w:ascii="Arial" w:cs="Arial" w:eastAsia="Arial" w:hAnsi="Arial"/>
          <w:sz w:val="18"/>
          <w:szCs w:val="18"/>
          <w:b w:val="1"/>
          <w:bCs w:val="1"/>
          <w:color w:val="auto"/>
        </w:rPr>
        <w:t>Primary Lease</w:t>
      </w:r>
      <w:r>
        <w:rPr>
          <w:rFonts w:ascii="Arial" w:cs="Arial" w:eastAsia="Arial" w:hAnsi="Arial"/>
          <w:sz w:val="18"/>
          <w:szCs w:val="18"/>
          <w:color w:val="auto"/>
        </w:rPr>
        <w:t>”) with SPF Mathilda, LLC (“</w:t>
      </w:r>
      <w:r>
        <w:rPr>
          <w:rFonts w:ascii="Arial" w:cs="Arial" w:eastAsia="Arial" w:hAnsi="Arial"/>
          <w:sz w:val="18"/>
          <w:szCs w:val="18"/>
          <w:b w:val="1"/>
          <w:bCs w:val="1"/>
          <w:color w:val="auto"/>
        </w:rPr>
        <w:t>Prime Landlord</w:t>
      </w:r>
      <w:r>
        <w:rPr>
          <w:rFonts w:ascii="Arial" w:cs="Arial" w:eastAsia="Arial" w:hAnsi="Arial"/>
          <w:sz w:val="18"/>
          <w:szCs w:val="18"/>
          <w:color w:val="auto"/>
        </w:rPr>
        <w:t>”); and</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WHEREAS, pursuant to the Primary Lease, Sublandlord leased those certain premises more particularly described in the First Amendment and located in the building having a street address of 150 Mathilda Place, Suite 302, Sunnyvale, California and</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WHEREAS, Sublandlord desires to sublease all of its premises leased under the First Amendment to Subtenant, and Subtenant desires to sublease all of such premises from Sublandlord, in accordance with the terms and conditions of this Sublease.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NOW, THEREFORE, in consideration of the mutual covenants, terms and conditions set forth herein, and for other good and valuable consideration, the receipt and sufficiency of which are hereby acknowledged, the parties agree as follows:</w:t>
      </w:r>
    </w:p>
    <w:p>
      <w:pPr>
        <w:spacing w:after="0" w:line="170" w:lineRule="exact"/>
        <w:rPr>
          <w:sz w:val="20"/>
          <w:szCs w:val="20"/>
          <w:color w:val="auto"/>
        </w:rPr>
      </w:pPr>
    </w:p>
    <w:p>
      <w:pPr>
        <w:ind w:left="3240" w:hanging="640"/>
        <w:spacing w:after="0"/>
        <w:tabs>
          <w:tab w:leader="none" w:pos="3240" w:val="left"/>
        </w:tabs>
        <w:numPr>
          <w:ilvl w:val="1"/>
          <w:numId w:val="575"/>
        </w:numPr>
        <w:rPr>
          <w:rFonts w:ascii="Arial" w:cs="Arial" w:eastAsia="Arial" w:hAnsi="Arial"/>
          <w:sz w:val="18"/>
          <w:szCs w:val="18"/>
          <w:color w:val="auto"/>
        </w:rPr>
      </w:pPr>
      <w:r>
        <w:rPr>
          <w:rFonts w:ascii="Arial" w:cs="Arial" w:eastAsia="Arial" w:hAnsi="Arial"/>
          <w:sz w:val="18"/>
          <w:szCs w:val="18"/>
          <w:u w:val="single" w:color="auto"/>
          <w:color w:val="auto"/>
        </w:rPr>
        <w:t>Demise</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right="180" w:firstLine="644"/>
        <w:spacing w:after="0" w:line="261" w:lineRule="auto"/>
        <w:tabs>
          <w:tab w:leader="none" w:pos="1953" w:val="left"/>
        </w:tabs>
        <w:numPr>
          <w:ilvl w:val="0"/>
          <w:numId w:val="576"/>
        </w:numPr>
        <w:rPr>
          <w:rFonts w:ascii="Arial" w:cs="Arial" w:eastAsia="Arial" w:hAnsi="Arial"/>
          <w:sz w:val="18"/>
          <w:szCs w:val="18"/>
          <w:color w:val="auto"/>
        </w:rPr>
      </w:pPr>
      <w:r>
        <w:rPr>
          <w:rFonts w:ascii="Arial" w:cs="Arial" w:eastAsia="Arial" w:hAnsi="Arial"/>
          <w:sz w:val="18"/>
          <w:szCs w:val="18"/>
          <w:color w:val="auto"/>
        </w:rPr>
        <w:t>Sublandlord hereby leases to Subtenant, and Subtenant hereby leases from Sublandlord, the premises (“</w:t>
      </w:r>
      <w:r>
        <w:rPr>
          <w:rFonts w:ascii="Arial" w:cs="Arial" w:eastAsia="Arial" w:hAnsi="Arial"/>
          <w:sz w:val="18"/>
          <w:szCs w:val="18"/>
          <w:b w:val="1"/>
          <w:bCs w:val="1"/>
          <w:color w:val="auto"/>
        </w:rPr>
        <w:t>Subleased Premises</w:t>
      </w:r>
      <w:r>
        <w:rPr>
          <w:rFonts w:ascii="Arial" w:cs="Arial" w:eastAsia="Arial" w:hAnsi="Arial"/>
          <w:sz w:val="18"/>
          <w:szCs w:val="18"/>
          <w:color w:val="auto"/>
        </w:rPr>
        <w:t xml:space="preserve">”)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to and made a part of this Sublease, located on a portion of the third floor in the Building. Sublandlord and Subtenant stipulate and agree that the Subleased Premises consist of approximately 5113 rentable square feet and shall not be subject to remeasurement or modification.</w:t>
      </w:r>
    </w:p>
    <w:p>
      <w:pPr>
        <w:spacing w:after="0" w:line="183" w:lineRule="exact"/>
        <w:rPr>
          <w:rFonts w:ascii="Arial" w:cs="Arial" w:eastAsia="Arial" w:hAnsi="Arial"/>
          <w:sz w:val="18"/>
          <w:szCs w:val="18"/>
          <w:color w:val="auto"/>
        </w:rPr>
      </w:pPr>
    </w:p>
    <w:p>
      <w:pPr>
        <w:ind w:left="3240" w:hanging="640"/>
        <w:spacing w:after="0"/>
        <w:tabs>
          <w:tab w:leader="none" w:pos="3240" w:val="left"/>
        </w:tabs>
        <w:numPr>
          <w:ilvl w:val="1"/>
          <w:numId w:val="57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21" w:lineRule="exact"/>
        <w:rPr>
          <w:sz w:val="20"/>
          <w:szCs w:val="20"/>
          <w:color w:val="auto"/>
        </w:rPr>
      </w:pPr>
    </w:p>
    <w:p>
      <w:pPr>
        <w:ind w:left="660" w:right="120" w:firstLine="644"/>
        <w:spacing w:after="0" w:line="281" w:lineRule="auto"/>
        <w:tabs>
          <w:tab w:leader="none" w:pos="1953" w:val="left"/>
        </w:tabs>
        <w:numPr>
          <w:ilvl w:val="0"/>
          <w:numId w:val="577"/>
        </w:numPr>
        <w:rPr>
          <w:rFonts w:ascii="Arial" w:cs="Arial" w:eastAsia="Arial" w:hAnsi="Arial"/>
          <w:sz w:val="17"/>
          <w:szCs w:val="17"/>
          <w:color w:val="auto"/>
        </w:rPr>
      </w:pPr>
      <w:r>
        <w:rPr>
          <w:rFonts w:ascii="Arial" w:cs="Arial" w:eastAsia="Arial" w:hAnsi="Arial"/>
          <w:sz w:val="17"/>
          <w:szCs w:val="17"/>
          <w:color w:val="auto"/>
        </w:rPr>
        <w:t>The term of this Sublease (“</w:t>
      </w:r>
      <w:r>
        <w:rPr>
          <w:rFonts w:ascii="Arial" w:cs="Arial" w:eastAsia="Arial" w:hAnsi="Arial"/>
          <w:sz w:val="17"/>
          <w:szCs w:val="17"/>
          <w:b w:val="1"/>
          <w:bCs w:val="1"/>
          <w:color w:val="auto"/>
        </w:rPr>
        <w:t>Term</w:t>
      </w:r>
      <w:r>
        <w:rPr>
          <w:rFonts w:ascii="Arial" w:cs="Arial" w:eastAsia="Arial" w:hAnsi="Arial"/>
          <w:sz w:val="17"/>
          <w:szCs w:val="17"/>
          <w:color w:val="auto"/>
        </w:rPr>
        <w:t>”) shall commence on the date which is the later to occur of (i) November 1, 2016 and (ii) the date which is ten (10) days after the Prime Landlord Consent (hereinafter defined) is obtained and the Subleased Premises are delivered to Subtenant in the condition required by Section 9 (“</w:t>
      </w:r>
      <w:r>
        <w:rPr>
          <w:rFonts w:ascii="Arial" w:cs="Arial" w:eastAsia="Arial" w:hAnsi="Arial"/>
          <w:sz w:val="17"/>
          <w:szCs w:val="17"/>
          <w:b w:val="1"/>
          <w:bCs w:val="1"/>
          <w:color w:val="auto"/>
        </w:rPr>
        <w:t>Sublease Commencement Date</w:t>
      </w:r>
      <w:r>
        <w:rPr>
          <w:rFonts w:ascii="Arial" w:cs="Arial" w:eastAsia="Arial" w:hAnsi="Arial"/>
          <w:sz w:val="17"/>
          <w:szCs w:val="17"/>
          <w:color w:val="auto"/>
        </w:rPr>
        <w:t>”) and shall expire at midnight on June, 30, 2020 (“</w:t>
      </w:r>
      <w:r>
        <w:rPr>
          <w:rFonts w:ascii="Arial" w:cs="Arial" w:eastAsia="Arial" w:hAnsi="Arial"/>
          <w:sz w:val="17"/>
          <w:szCs w:val="17"/>
          <w:b w:val="1"/>
          <w:bCs w:val="1"/>
          <w:color w:val="auto"/>
        </w:rPr>
        <w:t>Sublease</w:t>
      </w:r>
      <w:r>
        <w:rPr>
          <w:rFonts w:ascii="Arial" w:cs="Arial" w:eastAsia="Arial" w:hAnsi="Arial"/>
          <w:sz w:val="17"/>
          <w:szCs w:val="17"/>
          <w:color w:val="auto"/>
        </w:rPr>
        <w:t xml:space="preserve"> </w:t>
      </w:r>
      <w:r>
        <w:rPr>
          <w:rFonts w:ascii="Arial" w:cs="Arial" w:eastAsia="Arial" w:hAnsi="Arial"/>
          <w:sz w:val="17"/>
          <w:szCs w:val="17"/>
          <w:b w:val="1"/>
          <w:bCs w:val="1"/>
          <w:color w:val="auto"/>
        </w:rPr>
        <w:t>Expiration Date</w:t>
      </w:r>
      <w:r>
        <w:rPr>
          <w:rFonts w:ascii="Arial" w:cs="Arial" w:eastAsia="Arial" w:hAnsi="Arial"/>
          <w:sz w:val="17"/>
          <w:szCs w:val="17"/>
          <w:color w:val="auto"/>
        </w:rPr>
        <w:t>”), unless sooner terminated or cancelled in accordance with the terms and conditions of this Sublease.</w:t>
      </w:r>
    </w:p>
    <w:p>
      <w:pPr>
        <w:spacing w:after="0" w:line="168" w:lineRule="exact"/>
        <w:rPr>
          <w:rFonts w:ascii="Arial" w:cs="Arial" w:eastAsia="Arial" w:hAnsi="Arial"/>
          <w:sz w:val="17"/>
          <w:szCs w:val="17"/>
          <w:color w:val="auto"/>
        </w:rPr>
      </w:pPr>
    </w:p>
    <w:p>
      <w:pPr>
        <w:ind w:left="660" w:right="160" w:firstLine="644"/>
        <w:spacing w:after="0" w:line="277" w:lineRule="auto"/>
        <w:tabs>
          <w:tab w:leader="none" w:pos="1963" w:val="left"/>
        </w:tabs>
        <w:numPr>
          <w:ilvl w:val="0"/>
          <w:numId w:val="577"/>
        </w:numPr>
        <w:rPr>
          <w:rFonts w:ascii="Arial" w:cs="Arial" w:eastAsia="Arial" w:hAnsi="Arial"/>
          <w:sz w:val="18"/>
          <w:szCs w:val="18"/>
          <w:color w:val="auto"/>
        </w:rPr>
      </w:pPr>
      <w:r>
        <w:rPr>
          <w:rFonts w:ascii="Arial" w:cs="Arial" w:eastAsia="Arial" w:hAnsi="Arial"/>
          <w:sz w:val="18"/>
          <w:szCs w:val="18"/>
          <w:color w:val="auto"/>
        </w:rPr>
        <w:t>Sublandlord hereby waives all rights to extend the Lease Term as provided in Article 2 of the Primary Lease, so that Subtenant may enter into a direct lease with Prime Landlord after the expiration of the Sublease Term.</w:t>
      </w:r>
    </w:p>
    <w:p>
      <w:pPr>
        <w:spacing w:after="0" w:line="170" w:lineRule="exact"/>
        <w:rPr>
          <w:rFonts w:ascii="Arial" w:cs="Arial" w:eastAsia="Arial" w:hAnsi="Arial"/>
          <w:sz w:val="18"/>
          <w:szCs w:val="18"/>
          <w:color w:val="auto"/>
        </w:rPr>
      </w:pPr>
    </w:p>
    <w:p>
      <w:pPr>
        <w:ind w:left="660" w:right="60" w:firstLine="644"/>
        <w:spacing w:after="0" w:line="263" w:lineRule="auto"/>
        <w:tabs>
          <w:tab w:leader="none" w:pos="1967" w:val="left"/>
        </w:tabs>
        <w:numPr>
          <w:ilvl w:val="0"/>
          <w:numId w:val="577"/>
        </w:numPr>
        <w:rPr>
          <w:rFonts w:ascii="Arial" w:cs="Arial" w:eastAsia="Arial" w:hAnsi="Arial"/>
          <w:sz w:val="18"/>
          <w:szCs w:val="18"/>
          <w:color w:val="auto"/>
        </w:rPr>
      </w:pPr>
      <w:r>
        <w:rPr>
          <w:rFonts w:ascii="Arial" w:cs="Arial" w:eastAsia="Arial" w:hAnsi="Arial"/>
          <w:sz w:val="18"/>
          <w:szCs w:val="18"/>
          <w:color w:val="auto"/>
        </w:rPr>
        <w:t>If for any reason the term of the Primary Lease is terminated prior to the Sublease Expiration Date, this Sublease shall terminate on the date of such termination and Sublandlord shall not be liable to Subtenant for such termination except to the extent that such termination is caused by Sublandlord’s breach of warranty expressed in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686" w:name="page687"/>
    <w:bookmarkEnd w:id="686"/>
    <w:p>
      <w:pPr>
        <w:ind w:left="660" w:right="200" w:firstLine="644"/>
        <w:spacing w:after="0" w:line="263" w:lineRule="auto"/>
        <w:tabs>
          <w:tab w:leader="none" w:pos="1963" w:val="left"/>
        </w:tabs>
        <w:numPr>
          <w:ilvl w:val="1"/>
          <w:numId w:val="578"/>
        </w:numPr>
        <w:rPr>
          <w:rFonts w:ascii="Arial" w:cs="Arial" w:eastAsia="Arial" w:hAnsi="Arial"/>
          <w:sz w:val="18"/>
          <w:szCs w:val="18"/>
          <w:color w:val="auto"/>
        </w:rPr>
      </w:pPr>
      <w:r>
        <w:rPr>
          <w:rFonts w:ascii="Arial" w:cs="Arial" w:eastAsia="Arial" w:hAnsi="Arial"/>
          <w:sz w:val="18"/>
          <w:szCs w:val="18"/>
          <w:color w:val="auto"/>
        </w:rPr>
        <w:t>Subtenant shall have the right to enter the Subleased Premises not less than fifteen (15) days prior to the Sublease Commencement Date for the purpose of space planning Subtenant’s Initial Alterations, provided that Subtenant has complied with all insurance requirements of this Sublease.</w:t>
      </w:r>
    </w:p>
    <w:p>
      <w:pPr>
        <w:spacing w:after="0" w:line="183" w:lineRule="exact"/>
        <w:rPr>
          <w:rFonts w:ascii="Arial" w:cs="Arial" w:eastAsia="Arial" w:hAnsi="Arial"/>
          <w:sz w:val="18"/>
          <w:szCs w:val="18"/>
          <w:color w:val="auto"/>
        </w:rPr>
      </w:pPr>
    </w:p>
    <w:p>
      <w:pPr>
        <w:ind w:firstLine="8"/>
        <w:spacing w:after="0" w:line="277" w:lineRule="auto"/>
        <w:tabs>
          <w:tab w:leader="none" w:pos="648"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Permitted Use</w:t>
      </w:r>
      <w:r>
        <w:rPr>
          <w:rFonts w:ascii="Arial" w:cs="Arial" w:eastAsia="Arial" w:hAnsi="Arial"/>
          <w:sz w:val="18"/>
          <w:szCs w:val="18"/>
          <w:color w:val="auto"/>
        </w:rPr>
        <w:t>. Subtenant shall use and occupy the Subleased Premises solely in accordance with, and as permitted under, the terms of the Primary Lease and for no other purpose.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Payment of Base Rent and Additional Rent</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left="248"/>
              <w:spacing w:after="0"/>
              <w:rPr>
                <w:sz w:val="20"/>
                <w:szCs w:val="20"/>
                <w:color w:val="auto"/>
              </w:rPr>
            </w:pPr>
            <w:r>
              <w:rPr>
                <w:rFonts w:ascii="Arial" w:cs="Arial" w:eastAsia="Arial" w:hAnsi="Arial"/>
                <w:sz w:val="14"/>
                <w:szCs w:val="14"/>
                <w:b w:val="1"/>
                <w:bCs w:val="1"/>
                <w:color w:val="auto"/>
              </w:rPr>
              <w:t>MONTHLY</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MONTHLY</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rPr>
              <w:t>RENT PER</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ANNUAL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DATES</w:t>
            </w:r>
          </w:p>
        </w:tc>
        <w:tc>
          <w:tcPr>
            <w:tcW w:w="280" w:type="dxa"/>
            <w:vAlign w:val="bottom"/>
          </w:tcPr>
          <w:p>
            <w:pPr>
              <w:spacing w:after="0"/>
              <w:rPr>
                <w:sz w:val="12"/>
                <w:szCs w:val="12"/>
                <w:color w:val="auto"/>
              </w:rPr>
            </w:pPr>
          </w:p>
        </w:tc>
        <w:tc>
          <w:tcPr>
            <w:tcW w:w="13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RENTABLE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rPr>
              <w:t>INSTALLMENT OF</w:t>
            </w: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left="268"/>
              <w:spacing w:after="0"/>
              <w:rPr>
                <w:sz w:val="20"/>
                <w:szCs w:val="20"/>
                <w:color w:val="auto"/>
              </w:rPr>
            </w:pPr>
            <w:r>
              <w:rPr>
                <w:rFonts w:ascii="Arial" w:cs="Arial" w:eastAsia="Arial" w:hAnsi="Arial"/>
                <w:sz w:val="14"/>
                <w:szCs w:val="14"/>
                <w:b w:val="1"/>
                <w:bCs w:val="1"/>
                <w:color w:val="auto"/>
              </w:rPr>
              <w:t>SQUARE FOOT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BASE RENT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117"/>
              <w:spacing w:after="0"/>
              <w:rPr>
                <w:sz w:val="20"/>
                <w:szCs w:val="20"/>
                <w:color w:val="auto"/>
              </w:rPr>
            </w:pPr>
            <w:r>
              <w:rPr>
                <w:rFonts w:ascii="Arial" w:cs="Arial" w:eastAsia="Arial" w:hAnsi="Arial"/>
                <w:sz w:val="14"/>
                <w:szCs w:val="14"/>
                <w:b w:val="1"/>
                <w:bCs w:val="1"/>
                <w:color w:val="auto"/>
              </w:rPr>
              <w:t>BASE RENT</w:t>
            </w: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1 2016 through January 31 2017</w:t>
            </w:r>
          </w:p>
        </w:tc>
        <w:tc>
          <w:tcPr>
            <w:tcW w:w="166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620" w:type="dxa"/>
            <w:vAlign w:val="bottom"/>
          </w:tcPr>
          <w:p>
            <w:pPr>
              <w:ind w:left="880"/>
              <w:spacing w:after="0"/>
              <w:rPr>
                <w:sz w:val="20"/>
                <w:szCs w:val="20"/>
                <w:color w:val="auto"/>
              </w:rPr>
            </w:pPr>
            <w:r>
              <w:rPr>
                <w:rFonts w:ascii="Arial" w:cs="Arial" w:eastAsia="Arial" w:hAnsi="Arial"/>
                <w:sz w:val="18"/>
                <w:szCs w:val="18"/>
                <w:color w:val="auto"/>
              </w:rPr>
              <w:t>February 1 2017 through June 30 2017</w:t>
            </w:r>
          </w:p>
        </w:tc>
        <w:tc>
          <w:tcPr>
            <w:tcW w:w="166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5.15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315,983.40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26,331.95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1 2017 through June 30 2018</w:t>
            </w:r>
          </w:p>
        </w:tc>
        <w:tc>
          <w:tcPr>
            <w:tcW w:w="166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5.30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325,186.80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27,098.90</w:t>
            </w:r>
          </w:p>
        </w:tc>
        <w:tc>
          <w:tcPr>
            <w:tcW w:w="0" w:type="dxa"/>
            <w:vAlign w:val="bottom"/>
          </w:tcPr>
          <w:p>
            <w:pPr>
              <w:spacing w:after="0"/>
              <w:rPr>
                <w:sz w:val="1"/>
                <w:szCs w:val="1"/>
                <w:color w:val="auto"/>
              </w:rPr>
            </w:pPr>
          </w:p>
        </w:tc>
      </w:tr>
      <w:tr>
        <w:trPr>
          <w:trHeight w:val="216"/>
        </w:trPr>
        <w:tc>
          <w:tcPr>
            <w:tcW w:w="4620" w:type="dxa"/>
            <w:vAlign w:val="bottom"/>
          </w:tcPr>
          <w:p>
            <w:pPr>
              <w:jc w:val="center"/>
              <w:spacing w:after="0"/>
              <w:rPr>
                <w:sz w:val="20"/>
                <w:szCs w:val="20"/>
                <w:color w:val="auto"/>
              </w:rPr>
            </w:pPr>
            <w:r>
              <w:rPr>
                <w:rFonts w:ascii="Arial" w:cs="Arial" w:eastAsia="Arial" w:hAnsi="Arial"/>
                <w:sz w:val="18"/>
                <w:szCs w:val="18"/>
                <w:color w:val="auto"/>
                <w:w w:val="90"/>
              </w:rPr>
              <w:t>July 1 2018 through June 30 2019</w:t>
            </w:r>
          </w:p>
        </w:tc>
        <w:tc>
          <w:tcPr>
            <w:tcW w:w="166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5.46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335,003.76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27,916.98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1 2019 through June 30 2020</w:t>
            </w:r>
          </w:p>
        </w:tc>
        <w:tc>
          <w:tcPr>
            <w:tcW w:w="166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5.63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345,434.28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28,786.19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firstLine="644"/>
        <w:spacing w:after="0" w:line="254" w:lineRule="auto"/>
        <w:tabs>
          <w:tab w:leader="none" w:pos="1953" w:val="left"/>
        </w:tabs>
        <w:numPr>
          <w:ilvl w:val="1"/>
          <w:numId w:val="580"/>
        </w:numPr>
        <w:rPr>
          <w:rFonts w:ascii="Arial" w:cs="Arial" w:eastAsia="Arial" w:hAnsi="Arial"/>
          <w:sz w:val="18"/>
          <w:szCs w:val="18"/>
          <w:color w:val="auto"/>
        </w:rPr>
      </w:pPr>
      <w:r>
        <w:rPr>
          <w:rFonts w:ascii="Arial" w:cs="Arial" w:eastAsia="Arial" w:hAnsi="Arial"/>
          <w:sz w:val="18"/>
          <w:szCs w:val="18"/>
          <w:u w:val="single" w:color="auto"/>
          <w:color w:val="auto"/>
        </w:rPr>
        <w:t>Base Rent and Security Deposit.</w:t>
      </w:r>
      <w:r>
        <w:rPr>
          <w:rFonts w:ascii="Arial" w:cs="Arial" w:eastAsia="Arial" w:hAnsi="Arial"/>
          <w:sz w:val="18"/>
          <w:szCs w:val="18"/>
          <w:color w:val="auto"/>
        </w:rPr>
        <w:t xml:space="preserve"> Subtenant agrees to pay Sublandlord at the Sublandlord’s address listed above, or such other party as the Sublandlord may from time to time designate, a monthly rent payment for the use of the Premises per the rent schedule (the </w:t>
      </w:r>
      <w:r>
        <w:rPr>
          <w:rFonts w:ascii="Arial" w:cs="Arial" w:eastAsia="Arial" w:hAnsi="Arial"/>
          <w:sz w:val="18"/>
          <w:szCs w:val="18"/>
          <w:i w:val="1"/>
          <w:iCs w:val="1"/>
          <w:color w:val="auto"/>
        </w:rPr>
        <w:t>“Base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Rent”) </w:t>
      </w:r>
      <w:r>
        <w:rPr>
          <w:rFonts w:ascii="Arial" w:cs="Arial" w:eastAsia="Arial" w:hAnsi="Arial"/>
          <w:sz w:val="18"/>
          <w:szCs w:val="18"/>
          <w:color w:val="auto"/>
        </w:rPr>
        <w:t>above, the monthly installments of rental to be paid on or before the first of each month, without demand, deduction or offset,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hereof.</w:t>
      </w:r>
      <w:r>
        <w:rPr>
          <w:rFonts w:ascii="Arial" w:cs="Arial" w:eastAsia="Arial" w:hAnsi="Arial"/>
          <w:sz w:val="18"/>
          <w:szCs w:val="18"/>
          <w:i w:val="1"/>
          <w:iCs w:val="1"/>
          <w:color w:val="auto"/>
        </w:rPr>
        <w:t>.</w:t>
      </w:r>
      <w:r>
        <w:rPr>
          <w:rFonts w:ascii="Arial" w:cs="Arial" w:eastAsia="Arial" w:hAnsi="Arial"/>
          <w:sz w:val="18"/>
          <w:szCs w:val="18"/>
          <w:color w:val="auto"/>
        </w:rPr>
        <w:t xml:space="preserve"> If Rent (as defined below) is not received by Subtenant within 5 days of the end of the month, Subtenant shall be subject to payment of a late charge as provided in Article 25 of the Primary Lease. If the Sublease Commencement Date occurs on a day other than the first day of a calendar month, Subtenant shall pay rent for the fractional calendar month involved on a per diem basis (calculated on the basis of a thirty (30) day month). In any event, Sublandlord shall receive not less than ninety (90) days of Base Rent abatement starting on the Sublease Commencement Date.</w:t>
      </w:r>
    </w:p>
    <w:p>
      <w:pPr>
        <w:spacing w:after="0" w:line="191" w:lineRule="exact"/>
        <w:rPr>
          <w:rFonts w:ascii="Arial" w:cs="Arial" w:eastAsia="Arial" w:hAnsi="Arial"/>
          <w:sz w:val="18"/>
          <w:szCs w:val="18"/>
          <w:color w:val="auto"/>
        </w:rPr>
      </w:pPr>
    </w:p>
    <w:p>
      <w:pPr>
        <w:ind w:left="660" w:right="180" w:firstLine="644"/>
        <w:spacing w:after="0" w:line="291" w:lineRule="auto"/>
        <w:tabs>
          <w:tab w:leader="none" w:pos="1963" w:val="left"/>
        </w:tabs>
        <w:numPr>
          <w:ilvl w:val="1"/>
          <w:numId w:val="580"/>
        </w:numPr>
        <w:rPr>
          <w:rFonts w:ascii="Arial" w:cs="Arial" w:eastAsia="Arial" w:hAnsi="Arial"/>
          <w:sz w:val="16"/>
          <w:szCs w:val="16"/>
          <w:color w:val="auto"/>
        </w:rPr>
      </w:pPr>
      <w:r>
        <w:rPr>
          <w:rFonts w:ascii="Arial" w:cs="Arial" w:eastAsia="Arial" w:hAnsi="Arial"/>
          <w:sz w:val="16"/>
          <w:szCs w:val="16"/>
          <w:color w:val="auto"/>
        </w:rPr>
        <w:t>In addition to Base Rent, commencing on the Sublease Commencement Date and continuing throughout the Term of this Sublease, Subtenant shall pay to Sublandlord: (i) its Pro Rata Share of operating expenses (“</w:t>
      </w:r>
      <w:r>
        <w:rPr>
          <w:rFonts w:ascii="Arial" w:cs="Arial" w:eastAsia="Arial" w:hAnsi="Arial"/>
          <w:sz w:val="16"/>
          <w:szCs w:val="16"/>
          <w:b w:val="1"/>
          <w:bCs w:val="1"/>
          <w:color w:val="auto"/>
        </w:rPr>
        <w:t>Operating Expenses</w:t>
      </w:r>
      <w:r>
        <w:rPr>
          <w:rFonts w:ascii="Arial" w:cs="Arial" w:eastAsia="Arial" w:hAnsi="Arial"/>
          <w:sz w:val="16"/>
          <w:szCs w:val="16"/>
          <w:color w:val="auto"/>
        </w:rPr>
        <w:t>”) for the Subleased Premises,</w:t>
      </w:r>
    </w:p>
    <w:p>
      <w:pPr>
        <w:ind w:left="660" w:right="560" w:hanging="4"/>
        <w:spacing w:after="0" w:line="260" w:lineRule="auto"/>
        <w:tabs>
          <w:tab w:leader="none" w:pos="925" w:val="left"/>
        </w:tabs>
        <w:numPr>
          <w:ilvl w:val="0"/>
          <w:numId w:val="581"/>
        </w:numPr>
        <w:rPr>
          <w:rFonts w:ascii="Arial" w:cs="Arial" w:eastAsia="Arial" w:hAnsi="Arial"/>
          <w:sz w:val="18"/>
          <w:szCs w:val="18"/>
          <w:color w:val="auto"/>
        </w:rPr>
      </w:pPr>
      <w:r>
        <w:rPr>
          <w:rFonts w:ascii="Arial" w:cs="Arial" w:eastAsia="Arial" w:hAnsi="Arial"/>
          <w:sz w:val="18"/>
          <w:szCs w:val="18"/>
          <w:color w:val="auto"/>
        </w:rPr>
        <w:t>its Pro Rata Share of real estate taxes and assessments (“</w:t>
      </w:r>
      <w:r>
        <w:rPr>
          <w:rFonts w:ascii="Arial" w:cs="Arial" w:eastAsia="Arial" w:hAnsi="Arial"/>
          <w:sz w:val="18"/>
          <w:szCs w:val="18"/>
          <w:b w:val="1"/>
          <w:bCs w:val="1"/>
          <w:color w:val="auto"/>
        </w:rPr>
        <w:t>Taxes</w:t>
      </w:r>
      <w:r>
        <w:rPr>
          <w:rFonts w:ascii="Arial" w:cs="Arial" w:eastAsia="Arial" w:hAnsi="Arial"/>
          <w:sz w:val="18"/>
          <w:szCs w:val="18"/>
          <w:color w:val="auto"/>
        </w:rPr>
        <w:t>”) for the Subleased Premises, and , (iii) all amounts due and payable by Sublandlord under the Primary Lease due or attributable to</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687" w:name="page688"/>
    <w:bookmarkEnd w:id="687"/>
    <w:p>
      <w:pPr>
        <w:ind w:left="4" w:right="260"/>
        <w:spacing w:after="0" w:line="266" w:lineRule="auto"/>
        <w:rPr>
          <w:sz w:val="20"/>
          <w:szCs w:val="20"/>
          <w:color w:val="auto"/>
        </w:rPr>
      </w:pPr>
      <w:r>
        <w:rPr>
          <w:rFonts w:ascii="Arial" w:cs="Arial" w:eastAsia="Arial" w:hAnsi="Arial"/>
          <w:sz w:val="18"/>
          <w:szCs w:val="18"/>
          <w:color w:val="auto"/>
        </w:rPr>
        <w:t>the Subleased Premises or the actions or omissions of Subtenant (collectively, “</w:t>
      </w:r>
      <w:r>
        <w:rPr>
          <w:rFonts w:ascii="Arial" w:cs="Arial" w:eastAsia="Arial" w:hAnsi="Arial"/>
          <w:sz w:val="18"/>
          <w:szCs w:val="18"/>
          <w:b w:val="1"/>
          <w:bCs w:val="1"/>
          <w:color w:val="auto"/>
        </w:rPr>
        <w:t>Additional Rent</w:t>
      </w:r>
      <w:r>
        <w:rPr>
          <w:rFonts w:ascii="Arial" w:cs="Arial" w:eastAsia="Arial" w:hAnsi="Arial"/>
          <w:sz w:val="18"/>
          <w:szCs w:val="18"/>
          <w:color w:val="auto"/>
        </w:rPr>
        <w:t>”) Subtenant’s Pro Rata Share shall be 3.82%. Additional Rent shall be payable to Sublandlord in monthly installments based on estimates provided by Prime Landlord in accordance with Subsection 4.4.1 of the Primary Lease</w:t>
      </w:r>
    </w:p>
    <w:p>
      <w:pPr>
        <w:spacing w:after="0" w:line="180" w:lineRule="exact"/>
        <w:rPr>
          <w:sz w:val="20"/>
          <w:szCs w:val="20"/>
          <w:color w:val="auto"/>
        </w:rPr>
      </w:pPr>
    </w:p>
    <w:p>
      <w:pPr>
        <w:ind w:left="4" w:right="180" w:firstLine="644"/>
        <w:spacing w:after="0" w:line="286" w:lineRule="auto"/>
        <w:tabs>
          <w:tab w:leader="none" w:pos="1311" w:val="left"/>
        </w:tabs>
        <w:numPr>
          <w:ilvl w:val="1"/>
          <w:numId w:val="582"/>
        </w:numPr>
        <w:rPr>
          <w:rFonts w:ascii="Arial" w:cs="Arial" w:eastAsia="Arial" w:hAnsi="Arial"/>
          <w:sz w:val="17"/>
          <w:szCs w:val="17"/>
          <w:color w:val="auto"/>
        </w:rPr>
      </w:pPr>
      <w:r>
        <w:rPr>
          <w:rFonts w:ascii="Arial" w:cs="Arial" w:eastAsia="Arial" w:hAnsi="Arial"/>
          <w:sz w:val="17"/>
          <w:szCs w:val="17"/>
          <w:color w:val="auto"/>
        </w:rPr>
        <w:t>All Base Rent and Additional Rent shall be due and payable without demand therefor unless otherwise designated by Sublandlord and without any deduction, offset, abatement, counterclaim or defense. The monthly installments of Base Rent and Additional Rent payable on account of any partial calendar month during the Term of this Sublease, if any, shall be prorated.</w:t>
      </w:r>
    </w:p>
    <w:p>
      <w:pPr>
        <w:spacing w:after="0" w:line="165" w:lineRule="exact"/>
        <w:rPr>
          <w:rFonts w:ascii="Arial" w:cs="Arial" w:eastAsia="Arial" w:hAnsi="Arial"/>
          <w:sz w:val="17"/>
          <w:szCs w:val="17"/>
          <w:color w:val="auto"/>
        </w:rPr>
      </w:pPr>
    </w:p>
    <w:p>
      <w:pPr>
        <w:ind w:left="644" w:hanging="644"/>
        <w:spacing w:after="0"/>
        <w:tabs>
          <w:tab w:leader="none" w:pos="644"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Security Deposit.</w:t>
      </w:r>
    </w:p>
    <w:p>
      <w:pPr>
        <w:spacing w:after="0" w:line="225" w:lineRule="exact"/>
        <w:rPr>
          <w:rFonts w:ascii="Arial" w:cs="Arial" w:eastAsia="Arial" w:hAnsi="Arial"/>
          <w:sz w:val="18"/>
          <w:szCs w:val="18"/>
          <w:color w:val="auto"/>
        </w:rPr>
      </w:pPr>
    </w:p>
    <w:p>
      <w:pPr>
        <w:jc w:val="both"/>
        <w:ind w:left="4" w:right="260" w:firstLine="644"/>
        <w:spacing w:after="0" w:line="279" w:lineRule="auto"/>
        <w:tabs>
          <w:tab w:leader="none" w:pos="1297" w:val="left"/>
        </w:tabs>
        <w:numPr>
          <w:ilvl w:val="1"/>
          <w:numId w:val="583"/>
        </w:numPr>
        <w:rPr>
          <w:rFonts w:ascii="Arial" w:cs="Arial" w:eastAsia="Arial" w:hAnsi="Arial"/>
          <w:sz w:val="17"/>
          <w:szCs w:val="17"/>
          <w:color w:val="auto"/>
        </w:rPr>
      </w:pPr>
      <w:r>
        <w:rPr>
          <w:rFonts w:ascii="Arial" w:cs="Arial" w:eastAsia="Arial" w:hAnsi="Arial"/>
          <w:sz w:val="17"/>
          <w:szCs w:val="17"/>
          <w:color w:val="auto"/>
        </w:rPr>
        <w:t>Simultaneously with the execution and delivery of this Sublease, Subtenant shall deposit with Sublandlord a security deposit (“</w:t>
      </w:r>
      <w:r>
        <w:rPr>
          <w:rFonts w:ascii="Arial" w:cs="Arial" w:eastAsia="Arial" w:hAnsi="Arial"/>
          <w:sz w:val="17"/>
          <w:szCs w:val="17"/>
          <w:b w:val="1"/>
          <w:bCs w:val="1"/>
          <w:color w:val="auto"/>
        </w:rPr>
        <w:t>Security Deposit</w:t>
      </w:r>
      <w:r>
        <w:rPr>
          <w:rFonts w:ascii="Arial" w:cs="Arial" w:eastAsia="Arial" w:hAnsi="Arial"/>
          <w:sz w:val="17"/>
          <w:szCs w:val="17"/>
          <w:color w:val="auto"/>
        </w:rPr>
        <w:t>”) in the amount of Fifty-Seven Thousand, Five Hundred Seventy Two and 38/100] ($57,572.38) as security for the full and faithful performance by Subtenant of Subtenant’s obligations hereunder. The Security Deposit may be in the form of cash or a clean, stand-by, irrevocable letter of credit, in form and substance and issued by and drawn on a bank satisfactory to Sublandlord.</w:t>
      </w:r>
    </w:p>
    <w:p>
      <w:pPr>
        <w:spacing w:after="0" w:line="171" w:lineRule="exact"/>
        <w:rPr>
          <w:rFonts w:ascii="Arial" w:cs="Arial" w:eastAsia="Arial" w:hAnsi="Arial"/>
          <w:sz w:val="17"/>
          <w:szCs w:val="17"/>
          <w:color w:val="auto"/>
        </w:rPr>
      </w:pPr>
    </w:p>
    <w:p>
      <w:pPr>
        <w:ind w:left="644" w:hanging="644"/>
        <w:spacing w:after="0"/>
        <w:tabs>
          <w:tab w:leader="none" w:pos="644" w:val="left"/>
        </w:tabs>
        <w:numPr>
          <w:ilvl w:val="0"/>
          <w:numId w:val="583"/>
        </w:numPr>
        <w:rPr>
          <w:rFonts w:ascii="Arial" w:cs="Arial" w:eastAsia="Arial" w:hAnsi="Arial"/>
          <w:sz w:val="18"/>
          <w:szCs w:val="18"/>
          <w:color w:val="auto"/>
        </w:rPr>
      </w:pPr>
      <w:r>
        <w:rPr>
          <w:rFonts w:ascii="Arial" w:cs="Arial" w:eastAsia="Arial" w:hAnsi="Arial"/>
          <w:sz w:val="18"/>
          <w:szCs w:val="18"/>
          <w:u w:val="single" w:color="auto"/>
          <w:color w:val="auto"/>
        </w:rPr>
        <w:t>Incorporation of Primary Lease by 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4"/>
        <w:spacing w:after="0" w:line="291" w:lineRule="auto"/>
        <w:tabs>
          <w:tab w:leader="none" w:pos="1297" w:val="left"/>
        </w:tabs>
        <w:numPr>
          <w:ilvl w:val="1"/>
          <w:numId w:val="583"/>
        </w:numPr>
        <w:rPr>
          <w:rFonts w:ascii="Arial" w:cs="Arial" w:eastAsia="Arial" w:hAnsi="Arial"/>
          <w:sz w:val="16"/>
          <w:szCs w:val="16"/>
          <w:color w:val="auto"/>
        </w:rPr>
      </w:pPr>
      <w:r>
        <w:rPr>
          <w:rFonts w:ascii="Arial" w:cs="Arial" w:eastAsia="Arial" w:hAnsi="Arial"/>
          <w:sz w:val="16"/>
          <w:szCs w:val="16"/>
          <w:color w:val="auto"/>
        </w:rPr>
        <w:t>The terms, covenants and conditions of the Primary Lease are incorporated herein by reference, except to the extent they are expressly deleted or modified by the provisions of this Sublease. Every applicable term, covenant and condition of the Primary Lease binding upon or inuring to the benefit of Prime Landlord shall, in respect of this Sublease, be binding upon or inure to the benefit of Sublandlord and every applicable term, covenant and condition of the Primary Lease binding upon or inuring to the benefit of Sublandlord shall, in respect of this Sublease, be binding upon and inure to the benefit of Subtenant. Whenever the term “</w:t>
      </w:r>
      <w:r>
        <w:rPr>
          <w:rFonts w:ascii="Arial" w:cs="Arial" w:eastAsia="Arial" w:hAnsi="Arial"/>
          <w:sz w:val="16"/>
          <w:szCs w:val="16"/>
          <w:b w:val="1"/>
          <w:bCs w:val="1"/>
          <w:color w:val="auto"/>
        </w:rPr>
        <w:t>Lessor</w:t>
      </w:r>
      <w:r>
        <w:rPr>
          <w:rFonts w:ascii="Arial" w:cs="Arial" w:eastAsia="Arial" w:hAnsi="Arial"/>
          <w:sz w:val="16"/>
          <w:szCs w:val="16"/>
          <w:color w:val="auto"/>
        </w:rPr>
        <w:t>” appears in the Primary Lease, the word “</w:t>
      </w:r>
      <w:r>
        <w:rPr>
          <w:rFonts w:ascii="Arial" w:cs="Arial" w:eastAsia="Arial" w:hAnsi="Arial"/>
          <w:sz w:val="16"/>
          <w:szCs w:val="16"/>
          <w:b w:val="1"/>
          <w:bCs w:val="1"/>
          <w:color w:val="auto"/>
        </w:rPr>
        <w:t>Sublandlord</w:t>
      </w:r>
      <w:r>
        <w:rPr>
          <w:rFonts w:ascii="Arial" w:cs="Arial" w:eastAsia="Arial" w:hAnsi="Arial"/>
          <w:sz w:val="16"/>
          <w:szCs w:val="16"/>
          <w:color w:val="auto"/>
        </w:rPr>
        <w:t>” shall be substituted therefore; whenever the term “</w:t>
      </w:r>
      <w:r>
        <w:rPr>
          <w:rFonts w:ascii="Arial" w:cs="Arial" w:eastAsia="Arial" w:hAnsi="Arial"/>
          <w:sz w:val="16"/>
          <w:szCs w:val="16"/>
          <w:b w:val="1"/>
          <w:bCs w:val="1"/>
          <w:color w:val="auto"/>
        </w:rPr>
        <w:t>Lessee</w:t>
      </w:r>
      <w:r>
        <w:rPr>
          <w:rFonts w:ascii="Arial" w:cs="Arial" w:eastAsia="Arial" w:hAnsi="Arial"/>
          <w:sz w:val="16"/>
          <w:szCs w:val="16"/>
          <w:color w:val="auto"/>
        </w:rPr>
        <w:t>” appears in the Primary Lease, the word “</w:t>
      </w:r>
      <w:r>
        <w:rPr>
          <w:rFonts w:ascii="Arial" w:cs="Arial" w:eastAsia="Arial" w:hAnsi="Arial"/>
          <w:sz w:val="16"/>
          <w:szCs w:val="16"/>
          <w:b w:val="1"/>
          <w:bCs w:val="1"/>
          <w:color w:val="auto"/>
        </w:rPr>
        <w:t>Subtenant</w:t>
      </w:r>
      <w:r>
        <w:rPr>
          <w:rFonts w:ascii="Arial" w:cs="Arial" w:eastAsia="Arial" w:hAnsi="Arial"/>
          <w:sz w:val="16"/>
          <w:szCs w:val="16"/>
          <w:color w:val="auto"/>
        </w:rPr>
        <w:t>” shall be substituted therefore; whenever the word “</w:t>
      </w:r>
      <w:r>
        <w:rPr>
          <w:rFonts w:ascii="Arial" w:cs="Arial" w:eastAsia="Arial" w:hAnsi="Arial"/>
          <w:sz w:val="16"/>
          <w:szCs w:val="16"/>
          <w:b w:val="1"/>
          <w:bCs w:val="1"/>
          <w:color w:val="auto"/>
        </w:rPr>
        <w:t>Premises</w:t>
      </w:r>
      <w:r>
        <w:rPr>
          <w:rFonts w:ascii="Arial" w:cs="Arial" w:eastAsia="Arial" w:hAnsi="Arial"/>
          <w:sz w:val="16"/>
          <w:szCs w:val="16"/>
          <w:color w:val="auto"/>
        </w:rPr>
        <w:t>” appears in the Primary Lease, the word “</w:t>
      </w:r>
      <w:r>
        <w:rPr>
          <w:rFonts w:ascii="Arial" w:cs="Arial" w:eastAsia="Arial" w:hAnsi="Arial"/>
          <w:sz w:val="16"/>
          <w:szCs w:val="16"/>
          <w:b w:val="1"/>
          <w:bCs w:val="1"/>
          <w:color w:val="auto"/>
        </w:rPr>
        <w:t>Subleased Premises</w:t>
      </w:r>
      <w:r>
        <w:rPr>
          <w:rFonts w:ascii="Arial" w:cs="Arial" w:eastAsia="Arial" w:hAnsi="Arial"/>
          <w:sz w:val="16"/>
          <w:szCs w:val="16"/>
          <w:color w:val="auto"/>
        </w:rPr>
        <w:t>” shall be substituted therefore.</w:t>
      </w:r>
    </w:p>
    <w:p>
      <w:pPr>
        <w:spacing w:after="0" w:line="166" w:lineRule="exact"/>
        <w:rPr>
          <w:rFonts w:ascii="Arial" w:cs="Arial" w:eastAsia="Arial" w:hAnsi="Arial"/>
          <w:sz w:val="16"/>
          <w:szCs w:val="16"/>
          <w:color w:val="auto"/>
        </w:rPr>
      </w:pPr>
    </w:p>
    <w:p>
      <w:pPr>
        <w:ind w:left="4" w:firstLine="644"/>
        <w:spacing w:after="0" w:line="255" w:lineRule="auto"/>
        <w:tabs>
          <w:tab w:leader="none" w:pos="1307" w:val="left"/>
        </w:tabs>
        <w:numPr>
          <w:ilvl w:val="1"/>
          <w:numId w:val="583"/>
        </w:numPr>
        <w:rPr>
          <w:rFonts w:ascii="Arial" w:cs="Arial" w:eastAsia="Arial" w:hAnsi="Arial"/>
          <w:sz w:val="18"/>
          <w:szCs w:val="18"/>
          <w:color w:val="auto"/>
        </w:rPr>
      </w:pPr>
      <w:r>
        <w:rPr>
          <w:rFonts w:ascii="Arial" w:cs="Arial" w:eastAsia="Arial" w:hAnsi="Arial"/>
          <w:sz w:val="18"/>
          <w:szCs w:val="18"/>
          <w:color w:val="auto"/>
        </w:rPr>
        <w:t>Notwithstanding the foregoing, (i) the following numbered Sections of the Primary Lease shall not apply to this Sublease: [call out each inapplicable Section,, (ii) the time limits contained in the Primary Lease for Sublandlord, as tenant, to give notices, make demands or perform any act, covenant or condition or to exercise any right, remedy or option, are modified herein by shortening the same in each instance by ten (10) business days. In case such time limits in the Primary Lease are for less than ten (10) business days, those time limits are modified herein by shortening the same by 25%. If any of the express provisions of this Sublease shall conflict with any of the provisions of the Primary Lease, the provisions of the Primary Lease shall govern.</w:t>
      </w:r>
    </w:p>
    <w:p>
      <w:pPr>
        <w:spacing w:after="0" w:line="19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153275" cy="298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64"/>
          </w:cols>
          <w:pgMar w:left="976" w:top="338" w:right="359" w:bottom="1440" w:gutter="0" w:footer="0" w:header="0"/>
        </w:sectPr>
      </w:pPr>
    </w:p>
    <w:bookmarkStart w:id="688" w:name="page689"/>
    <w:bookmarkEnd w:id="688"/>
    <w:p>
      <w:pPr>
        <w:ind w:left="2580" w:hanging="640"/>
        <w:spacing w:after="0"/>
        <w:tabs>
          <w:tab w:leader="none" w:pos="2580" w:val="left"/>
        </w:tabs>
        <w:numPr>
          <w:ilvl w:val="0"/>
          <w:numId w:val="584"/>
        </w:numPr>
        <w:rPr>
          <w:rFonts w:ascii="Arial" w:cs="Arial" w:eastAsia="Arial" w:hAnsi="Arial"/>
          <w:sz w:val="18"/>
          <w:szCs w:val="18"/>
          <w:color w:val="auto"/>
        </w:rPr>
      </w:pPr>
      <w:r>
        <w:rPr>
          <w:rFonts w:ascii="Arial" w:cs="Arial" w:eastAsia="Arial" w:hAnsi="Arial"/>
          <w:sz w:val="18"/>
          <w:szCs w:val="18"/>
          <w:u w:val="single" w:color="auto"/>
          <w:color w:val="auto"/>
        </w:rPr>
        <w:t>Subordination to Primary Lease</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This Sublease is subject and subordinate to the Primary Lease. A redacted copy of the Primary Lease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made a part of this Sublease.</w:t>
      </w:r>
    </w:p>
    <w:p>
      <w:pPr>
        <w:spacing w:after="0" w:line="170" w:lineRule="exact"/>
        <w:rPr>
          <w:sz w:val="20"/>
          <w:szCs w:val="20"/>
          <w:color w:val="auto"/>
        </w:rPr>
      </w:pPr>
    </w:p>
    <w:p>
      <w:pPr>
        <w:ind w:left="2580" w:hanging="640"/>
        <w:spacing w:after="0"/>
        <w:tabs>
          <w:tab w:leader="none" w:pos="2580" w:val="left"/>
        </w:tabs>
        <w:numPr>
          <w:ilvl w:val="0"/>
          <w:numId w:val="585"/>
        </w:numPr>
        <w:rPr>
          <w:rFonts w:ascii="Arial" w:cs="Arial" w:eastAsia="Arial" w:hAnsi="Arial"/>
          <w:sz w:val="18"/>
          <w:szCs w:val="18"/>
          <w:color w:val="auto"/>
        </w:rPr>
      </w:pPr>
      <w:r>
        <w:rPr>
          <w:rFonts w:ascii="Arial" w:cs="Arial" w:eastAsia="Arial" w:hAnsi="Arial"/>
          <w:sz w:val="18"/>
          <w:szCs w:val="18"/>
          <w:u w:val="single" w:color="auto"/>
          <w:color w:val="auto"/>
        </w:rPr>
        <w:t>Representations of Sublandlord</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Sublandlord represents and warrants the following is true and correct as of the date hereof:</w:t>
      </w:r>
    </w:p>
    <w:p>
      <w:pPr>
        <w:spacing w:after="0" w:line="225" w:lineRule="exact"/>
        <w:rPr>
          <w:sz w:val="20"/>
          <w:szCs w:val="20"/>
          <w:color w:val="auto"/>
        </w:rPr>
      </w:pPr>
    </w:p>
    <w:p>
      <w:pPr>
        <w:ind w:right="60" w:firstLine="644"/>
        <w:spacing w:after="0" w:line="277" w:lineRule="auto"/>
        <w:tabs>
          <w:tab w:leader="none" w:pos="1293" w:val="left"/>
        </w:tabs>
        <w:numPr>
          <w:ilvl w:val="0"/>
          <w:numId w:val="586"/>
        </w:numPr>
        <w:rPr>
          <w:rFonts w:ascii="Arial" w:cs="Arial" w:eastAsia="Arial" w:hAnsi="Arial"/>
          <w:sz w:val="18"/>
          <w:szCs w:val="18"/>
          <w:color w:val="auto"/>
        </w:rPr>
      </w:pPr>
      <w:r>
        <w:rPr>
          <w:rFonts w:ascii="Arial" w:cs="Arial" w:eastAsia="Arial" w:hAnsi="Arial"/>
          <w:sz w:val="18"/>
          <w:szCs w:val="18"/>
          <w:color w:val="auto"/>
        </w:rPr>
        <w:t>Sublandlord is the “Tenant” under the Primary Lease and has the capacity to enter into this Sublease with Subtenant, subject to Prime Landlord’s consent.</w:t>
      </w:r>
    </w:p>
    <w:p>
      <w:pPr>
        <w:spacing w:after="0" w:line="170" w:lineRule="exact"/>
        <w:rPr>
          <w:rFonts w:ascii="Arial" w:cs="Arial" w:eastAsia="Arial" w:hAnsi="Arial"/>
          <w:sz w:val="18"/>
          <w:szCs w:val="18"/>
          <w:color w:val="auto"/>
        </w:rPr>
      </w:pPr>
    </w:p>
    <w:p>
      <w:pPr>
        <w:ind w:right="180" w:firstLine="644"/>
        <w:spacing w:after="0" w:line="277" w:lineRule="auto"/>
        <w:tabs>
          <w:tab w:leader="none" w:pos="1303" w:val="left"/>
        </w:tabs>
        <w:numPr>
          <w:ilvl w:val="0"/>
          <w:numId w:val="586"/>
        </w:numPr>
        <w:rPr>
          <w:rFonts w:ascii="Arial" w:cs="Arial" w:eastAsia="Arial" w:hAnsi="Arial"/>
          <w:sz w:val="18"/>
          <w:szCs w:val="18"/>
          <w:color w:val="auto"/>
        </w:rPr>
      </w:pPr>
      <w:r>
        <w:rPr>
          <w:rFonts w:ascii="Arial" w:cs="Arial" w:eastAsia="Arial" w:hAnsi="Arial"/>
          <w:sz w:val="18"/>
          <w:szCs w:val="18"/>
          <w:color w:val="auto"/>
        </w:rPr>
        <w:t xml:space="preserve">The Primary Lease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is a true, correct and complete copy of the Primary Lease, is in full force and effect, and has not been further modified, amended or supplemented except as expressly set forth herein.</w:t>
      </w:r>
    </w:p>
    <w:p>
      <w:pPr>
        <w:spacing w:after="0" w:line="170" w:lineRule="exact"/>
        <w:rPr>
          <w:rFonts w:ascii="Arial" w:cs="Arial" w:eastAsia="Arial" w:hAnsi="Arial"/>
          <w:sz w:val="18"/>
          <w:szCs w:val="18"/>
          <w:color w:val="auto"/>
        </w:rPr>
      </w:pPr>
    </w:p>
    <w:p>
      <w:pPr>
        <w:ind w:right="140" w:firstLine="644"/>
        <w:spacing w:after="0" w:line="277" w:lineRule="auto"/>
        <w:tabs>
          <w:tab w:leader="none" w:pos="1307" w:val="left"/>
        </w:tabs>
        <w:numPr>
          <w:ilvl w:val="0"/>
          <w:numId w:val="586"/>
        </w:numPr>
        <w:rPr>
          <w:rFonts w:ascii="Arial" w:cs="Arial" w:eastAsia="Arial" w:hAnsi="Arial"/>
          <w:sz w:val="18"/>
          <w:szCs w:val="18"/>
          <w:color w:val="auto"/>
        </w:rPr>
      </w:pPr>
      <w:r>
        <w:rPr>
          <w:rFonts w:ascii="Arial" w:cs="Arial" w:eastAsia="Arial" w:hAnsi="Arial"/>
          <w:sz w:val="18"/>
          <w:szCs w:val="18"/>
          <w:color w:val="auto"/>
        </w:rPr>
        <w:t>Sublandlord has not received any notice, and has no actual knowledge, of any default by Sublandlord or by Primary Landlord under the Primary Lease.</w:t>
      </w:r>
    </w:p>
    <w:p>
      <w:pPr>
        <w:spacing w:after="0" w:line="170" w:lineRule="exact"/>
        <w:rPr>
          <w:rFonts w:ascii="Arial" w:cs="Arial" w:eastAsia="Arial" w:hAnsi="Arial"/>
          <w:sz w:val="18"/>
          <w:szCs w:val="18"/>
          <w:color w:val="auto"/>
        </w:rPr>
      </w:pPr>
    </w:p>
    <w:p>
      <w:pPr>
        <w:ind w:right="100" w:firstLine="644"/>
        <w:spacing w:after="0" w:line="277" w:lineRule="auto"/>
        <w:tabs>
          <w:tab w:leader="none" w:pos="1303" w:val="left"/>
        </w:tabs>
        <w:numPr>
          <w:ilvl w:val="0"/>
          <w:numId w:val="586"/>
        </w:numPr>
        <w:rPr>
          <w:rFonts w:ascii="Arial" w:cs="Arial" w:eastAsia="Arial" w:hAnsi="Arial"/>
          <w:sz w:val="18"/>
          <w:szCs w:val="18"/>
          <w:color w:val="auto"/>
        </w:rPr>
      </w:pPr>
      <w:r>
        <w:rPr>
          <w:rFonts w:ascii="Arial" w:cs="Arial" w:eastAsia="Arial" w:hAnsi="Arial"/>
          <w:sz w:val="18"/>
          <w:szCs w:val="18"/>
          <w:color w:val="auto"/>
        </w:rPr>
        <w:t>Sublandlord shall not terminate the Primary Lease or take (or fail to take) any action that would cause the Primary Lease to be terminated or to materially diminish or increase Subtenant’s obligations thereunder during the Term.</w:t>
      </w:r>
    </w:p>
    <w:p>
      <w:pPr>
        <w:spacing w:after="0" w:line="170" w:lineRule="exact"/>
        <w:rPr>
          <w:sz w:val="20"/>
          <w:szCs w:val="20"/>
          <w:color w:val="auto"/>
        </w:rPr>
      </w:pPr>
    </w:p>
    <w:p>
      <w:pPr>
        <w:ind w:left="2580" w:hanging="640"/>
        <w:spacing w:after="0"/>
        <w:tabs>
          <w:tab w:leader="none" w:pos="2580" w:val="left"/>
        </w:tabs>
        <w:numPr>
          <w:ilvl w:val="0"/>
          <w:numId w:val="587"/>
        </w:numPr>
        <w:rPr>
          <w:rFonts w:ascii="Arial" w:cs="Arial" w:eastAsia="Arial" w:hAnsi="Arial"/>
          <w:sz w:val="18"/>
          <w:szCs w:val="18"/>
          <w:color w:val="auto"/>
        </w:rPr>
      </w:pPr>
      <w:r>
        <w:rPr>
          <w:rFonts w:ascii="Arial" w:cs="Arial" w:eastAsia="Arial" w:hAnsi="Arial"/>
          <w:sz w:val="18"/>
          <w:szCs w:val="18"/>
          <w:u w:val="single" w:color="auto"/>
          <w:color w:val="auto"/>
        </w:rPr>
        <w:t>AS-IS Condition</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Subtenant accepts the Subleased Premises in its current, “as-is” condition. Sublandlord shall have no obligation to furnish or supply any work, services, furniture, fixtures, equipment or decorations, except as noted. Sublandlord shall deliver the Subleased Premises in broom clean condition. On or before the Sublease Expiration Date or earlier termination or expiration of this Sublease, Subtenant shall restore the Subleased Premises to the condition existing as of the Sublease Commencement Date, ordinary wear and tear excepted. The obligations of Subtenant hereunder shall survive the expiration or earlier termination of this Sublease.</w:t>
      </w:r>
    </w:p>
    <w:p>
      <w:pPr>
        <w:spacing w:after="0" w:line="176" w:lineRule="exact"/>
        <w:rPr>
          <w:sz w:val="20"/>
          <w:szCs w:val="20"/>
          <w:color w:val="auto"/>
        </w:rPr>
      </w:pPr>
    </w:p>
    <w:p>
      <w:pPr>
        <w:ind w:left="2580" w:hanging="640"/>
        <w:spacing w:after="0"/>
        <w:tabs>
          <w:tab w:leader="none" w:pos="2580"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Performance By Sublandlord</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Notwithstanding any other provision of this Sublease, Sublandlord shall have no obligation (a) to furnish or provide, or cause to be furnished or provided, any repairs, restoration, alterations or other work, or electricity, heating, ventilation, air-conditioning, water, elevator, cleaning or other utilities or services, or (b) to comply with or perform or, except as expressly provided in this Sublease, to cause the compliance with or performance of, any of the terms and conditions required to be performed by Prime Landlord pursuant to the terms of the Primary Lease. Subtenant hereby agrees that Prime Landlord is solely responsible for the performance of the foregoing obligations. Notwithstanding the foregoing, upon the written request of Subtenant, Sublandlord shall make a written demand upon Prime Landlord to perform its obligations under</w:t>
      </w:r>
    </w:p>
    <w:p>
      <w:pPr>
        <w:spacing w:after="0" w:line="1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480"/>
          </w:cols>
          <w:pgMar w:left="980" w:top="342" w:right="439" w:bottom="1440" w:gutter="0" w:footer="0" w:header="0"/>
        </w:sectPr>
      </w:pPr>
    </w:p>
    <w:bookmarkStart w:id="689" w:name="page690"/>
    <w:bookmarkEnd w:id="689"/>
    <w:p>
      <w:pPr>
        <w:spacing w:after="0" w:line="272" w:lineRule="auto"/>
        <w:rPr>
          <w:sz w:val="20"/>
          <w:szCs w:val="20"/>
          <w:color w:val="auto"/>
        </w:rPr>
      </w:pPr>
      <w:r>
        <w:rPr>
          <w:rFonts w:ascii="Arial" w:cs="Arial" w:eastAsia="Arial" w:hAnsi="Arial"/>
          <w:sz w:val="17"/>
          <w:szCs w:val="17"/>
          <w:color w:val="auto"/>
        </w:rPr>
        <w:t>the Primary Lease with respect to the Subleased Premises if Prime Landlord fails to perform same within the time frame and in the manner required pursuant to the Primary Lease; provided, however, Sublandlord shall not be required to bring any action against the Prime Landlord to enforce its obligations, unless Subtenant agrees to pay all of Sublandlord’s reasonable costs of such action. In the event Sublandlord makes written demand upon Prime Landlord or brings an action against Prime Landlord to enforce Prime Landlord’s obligations under the Primary Lease with respect to the Subleased Premises, all reasonable costs and expenses (including without limitation reasonable attorneys’ fees and expenses) so incurred by Sublandlord in connection therewith shall be deemed Additional Rent and shall be due and payable by Subtenant to Sublandlord within five (5) days after notice from Sublandlord.</w:t>
      </w:r>
    </w:p>
    <w:p>
      <w:pPr>
        <w:spacing w:after="0" w:line="177" w:lineRule="exact"/>
        <w:rPr>
          <w:sz w:val="20"/>
          <w:szCs w:val="20"/>
          <w:color w:val="auto"/>
        </w:rPr>
      </w:pPr>
    </w:p>
    <w:p>
      <w:pPr>
        <w:ind w:left="2580" w:hanging="640"/>
        <w:spacing w:after="0"/>
        <w:tabs>
          <w:tab w:leader="none" w:pos="2580"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No Privity of Estate; No Privity of Contract</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Nothing in this Sublease shall be construed to create privity of estate or privity of contract between Subtenant and Prime Landlord.</w:t>
      </w:r>
    </w:p>
    <w:p>
      <w:pPr>
        <w:spacing w:after="0" w:line="237" w:lineRule="exact"/>
        <w:rPr>
          <w:sz w:val="20"/>
          <w:szCs w:val="20"/>
          <w:color w:val="auto"/>
        </w:rPr>
      </w:pPr>
    </w:p>
    <w:p>
      <w:pPr>
        <w:ind w:left="2580" w:hanging="640"/>
        <w:spacing w:after="0"/>
        <w:tabs>
          <w:tab w:leader="none" w:pos="2580" w:val="left"/>
        </w:tabs>
        <w:numPr>
          <w:ilvl w:val="0"/>
          <w:numId w:val="590"/>
        </w:numPr>
        <w:rPr>
          <w:rFonts w:ascii="Arial" w:cs="Arial" w:eastAsia="Arial" w:hAnsi="Arial"/>
          <w:sz w:val="18"/>
          <w:szCs w:val="18"/>
          <w:color w:val="auto"/>
        </w:rPr>
      </w:pPr>
      <w:r>
        <w:rPr>
          <w:rFonts w:ascii="Arial" w:cs="Arial" w:eastAsia="Arial" w:hAnsi="Arial"/>
          <w:sz w:val="18"/>
          <w:szCs w:val="18"/>
          <w:u w:val="single" w:color="auto"/>
          <w:color w:val="auto"/>
        </w:rPr>
        <w:t>No Breach of Primary Lease</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Subtenant shall not do or permit to be done any act or thing, or omit to do anything, which may constitute a breach or violation of any term, covenant or condition of the Primary Lease, notwithstanding such act, thing or omission is permitted under the terms of this Sublease.</w:t>
      </w:r>
    </w:p>
    <w:p>
      <w:pPr>
        <w:spacing w:after="0" w:line="124" w:lineRule="exact"/>
        <w:rPr>
          <w:sz w:val="20"/>
          <w:szCs w:val="20"/>
          <w:color w:val="auto"/>
        </w:rPr>
      </w:pPr>
    </w:p>
    <w:p>
      <w:pPr>
        <w:ind w:left="2580" w:hanging="640"/>
        <w:spacing w:after="0"/>
        <w:tabs>
          <w:tab w:leader="none" w:pos="2580" w:val="left"/>
        </w:tabs>
        <w:numPr>
          <w:ilvl w:val="1"/>
          <w:numId w:val="591"/>
        </w:numPr>
        <w:rPr>
          <w:rFonts w:ascii="Arial" w:cs="Arial" w:eastAsia="Arial" w:hAnsi="Arial"/>
          <w:sz w:val="18"/>
          <w:szCs w:val="18"/>
          <w:color w:val="auto"/>
        </w:rPr>
      </w:pPr>
      <w:r>
        <w:rPr>
          <w:rFonts w:ascii="Arial" w:cs="Arial" w:eastAsia="Arial" w:hAnsi="Arial"/>
          <w:sz w:val="18"/>
          <w:szCs w:val="18"/>
          <w:u w:val="single" w:color="auto"/>
          <w:color w:val="auto"/>
        </w:rPr>
        <w:t>Subtenant Defaults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44"/>
        <w:spacing w:after="0" w:line="254" w:lineRule="auto"/>
        <w:tabs>
          <w:tab w:leader="none" w:pos="1293" w:val="left"/>
        </w:tabs>
        <w:numPr>
          <w:ilvl w:val="0"/>
          <w:numId w:val="592"/>
        </w:numPr>
        <w:rPr>
          <w:rFonts w:ascii="Arial" w:cs="Arial" w:eastAsia="Arial" w:hAnsi="Arial"/>
          <w:sz w:val="18"/>
          <w:szCs w:val="18"/>
          <w:color w:val="auto"/>
        </w:rPr>
      </w:pPr>
      <w:r>
        <w:rPr>
          <w:rFonts w:ascii="Arial" w:cs="Arial" w:eastAsia="Arial" w:hAnsi="Arial"/>
          <w:sz w:val="18"/>
          <w:szCs w:val="18"/>
          <w:color w:val="auto"/>
        </w:rPr>
        <w:t xml:space="preserve">If Subtenant fails to cure a default under this Sublease within any applicable grace or cure period contained in the Primary Lease (as such applicable grace or cure period is modified by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herein), Sublandlord, after thirty (30) days’ notice to Subtenant, shall have the right, but not the obligation, to seek to remedy any such default on the behalf of, and at the expense of, Subtenant, provided, however, that in the case of: (i) a life safety or property related emergency; or (ii) a default which must be cured within a time frame set forth in the Primary Lease which does not allow sufficient time for prior notice to be given to Subtenant, Sublandlord may remedy any such default without being required first to give notice to Subtenant. Any reasonable cost and expense (including without limitation reasonable attorneys’ fees and expenses) so incurred by Sublandlord shall be deemed Additional Rent and shall be due and payable by Subtenant to Sublandlord within thirty (30) days after notice from Sublandlord.</w:t>
      </w:r>
    </w:p>
    <w:p>
      <w:pPr>
        <w:spacing w:after="0" w:line="191" w:lineRule="exact"/>
        <w:rPr>
          <w:rFonts w:ascii="Arial" w:cs="Arial" w:eastAsia="Arial" w:hAnsi="Arial"/>
          <w:sz w:val="18"/>
          <w:szCs w:val="18"/>
          <w:color w:val="auto"/>
        </w:rPr>
      </w:pPr>
    </w:p>
    <w:p>
      <w:pPr>
        <w:ind w:right="80" w:firstLine="644"/>
        <w:spacing w:after="0" w:line="277" w:lineRule="auto"/>
        <w:tabs>
          <w:tab w:leader="none" w:pos="1303" w:val="left"/>
        </w:tabs>
        <w:numPr>
          <w:ilvl w:val="0"/>
          <w:numId w:val="592"/>
        </w:numPr>
        <w:rPr>
          <w:rFonts w:ascii="Arial" w:cs="Arial" w:eastAsia="Arial" w:hAnsi="Arial"/>
          <w:sz w:val="18"/>
          <w:szCs w:val="18"/>
          <w:color w:val="auto"/>
        </w:rPr>
      </w:pPr>
      <w:r>
        <w:rPr>
          <w:rFonts w:ascii="Arial" w:cs="Arial" w:eastAsia="Arial" w:hAnsi="Arial"/>
          <w:sz w:val="18"/>
          <w:szCs w:val="18"/>
          <w:color w:val="auto"/>
        </w:rPr>
        <w:t>If Subtenant fails to pay any installment of Base Rent or Additional Rent, Subtenant shall be subject to payment of a late charge as provided in Article 25 of the Primary Lease.</w:t>
      </w:r>
    </w:p>
    <w:p>
      <w:pPr>
        <w:spacing w:after="0" w:line="170" w:lineRule="exact"/>
        <w:rPr>
          <w:rFonts w:ascii="Arial" w:cs="Arial" w:eastAsia="Arial" w:hAnsi="Arial"/>
          <w:sz w:val="18"/>
          <w:szCs w:val="18"/>
          <w:color w:val="auto"/>
        </w:rPr>
      </w:pPr>
    </w:p>
    <w:p>
      <w:pPr>
        <w:ind w:right="220" w:firstLine="644"/>
        <w:spacing w:after="0" w:line="263" w:lineRule="auto"/>
        <w:tabs>
          <w:tab w:leader="none" w:pos="1307" w:val="left"/>
        </w:tabs>
        <w:numPr>
          <w:ilvl w:val="0"/>
          <w:numId w:val="592"/>
        </w:numPr>
        <w:rPr>
          <w:rFonts w:ascii="Arial" w:cs="Arial" w:eastAsia="Arial" w:hAnsi="Arial"/>
          <w:sz w:val="18"/>
          <w:szCs w:val="18"/>
          <w:color w:val="auto"/>
        </w:rPr>
      </w:pPr>
      <w:r>
        <w:rPr>
          <w:rFonts w:ascii="Arial" w:cs="Arial" w:eastAsia="Arial" w:hAnsi="Arial"/>
          <w:sz w:val="18"/>
          <w:szCs w:val="18"/>
          <w:color w:val="auto"/>
        </w:rPr>
        <w:t>If Subtenant fails to pay any installment of Base Rent or Additional Rent within five (5) days from the due date of such payment, in addition to the payment of the late charge set forth immediately above, Subtenant shall also pay to Sublandlord, as Additional Rent, interest at</w:t>
      </w:r>
    </w:p>
    <w:p>
      <w:pPr>
        <w:spacing w:after="0" w:line="18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80"/>
          </w:cols>
          <w:pgMar w:left="980" w:top="342" w:right="339" w:bottom="1440" w:gutter="0" w:footer="0" w:header="0"/>
        </w:sectPr>
      </w:pPr>
    </w:p>
    <w:bookmarkStart w:id="690" w:name="page691"/>
    <w:bookmarkEnd w:id="690"/>
    <w:p>
      <w:pPr>
        <w:jc w:val="both"/>
        <w:ind w:right="480"/>
        <w:spacing w:after="0" w:line="266" w:lineRule="auto"/>
        <w:rPr>
          <w:sz w:val="20"/>
          <w:szCs w:val="20"/>
          <w:color w:val="auto"/>
        </w:rPr>
      </w:pPr>
      <w:r>
        <w:rPr>
          <w:rFonts w:ascii="Arial" w:cs="Arial" w:eastAsia="Arial" w:hAnsi="Arial"/>
          <w:sz w:val="18"/>
          <w:szCs w:val="18"/>
          <w:color w:val="auto"/>
        </w:rPr>
        <w:t>the Default Rate (hereinafter defined) from the due date of such payment to the date payment is made. “</w:t>
      </w:r>
      <w:r>
        <w:rPr>
          <w:rFonts w:ascii="Arial" w:cs="Arial" w:eastAsia="Arial" w:hAnsi="Arial"/>
          <w:sz w:val="18"/>
          <w:szCs w:val="18"/>
          <w:b w:val="1"/>
          <w:bCs w:val="1"/>
          <w:color w:val="auto"/>
        </w:rPr>
        <w:t>Default Rate</w:t>
      </w:r>
      <w:r>
        <w:rPr>
          <w:rFonts w:ascii="Arial" w:cs="Arial" w:eastAsia="Arial" w:hAnsi="Arial"/>
          <w:sz w:val="18"/>
          <w:szCs w:val="18"/>
          <w:color w:val="auto"/>
        </w:rPr>
        <w:t>” shall mean a rate per annum equal to the lesser of: (i) 10% on the due date of such Base Rent or Additional Rent; and (ii) the highest rate of interest permitted by applicable laws.</w:t>
      </w:r>
    </w:p>
    <w:p>
      <w:pPr>
        <w:spacing w:after="0" w:line="180" w:lineRule="exact"/>
        <w:rPr>
          <w:sz w:val="20"/>
          <w:szCs w:val="20"/>
          <w:color w:val="auto"/>
        </w:rPr>
      </w:pPr>
    </w:p>
    <w:p>
      <w:pPr>
        <w:ind w:left="2580" w:hanging="640"/>
        <w:spacing w:after="0"/>
        <w:tabs>
          <w:tab w:leader="none" w:pos="2580" w:val="left"/>
        </w:tabs>
        <w:numPr>
          <w:ilvl w:val="0"/>
          <w:numId w:val="593"/>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Whenever the consent or approval of Sublandlord is required, Subtenant shall also be obligated to obtain the written consent or approval of Prime Landlord, if required pursuant to the terms of the Primary Lease. Sublandlord shall promptly make such consent request on behalf of Subtenant and Subtenant shall promptly provide any information or documentation that Prime Landlord may request. Subtenant shall reimburse Sublandlord, not later than thirty (30) days after written demand by Sublandlord, for any reasonable fees and disbursements of attorneys, architects, engineers or others charged by Prime Landlord in connection with any consent or approval. Sublandlord shall have no liability of any kind to Subtenant for Prime Landlord’s failure or refusal to give its consent or approval.</w:t>
      </w:r>
    </w:p>
    <w:p>
      <w:pPr>
        <w:spacing w:after="0" w:line="178" w:lineRule="exact"/>
        <w:rPr>
          <w:sz w:val="20"/>
          <w:szCs w:val="20"/>
          <w:color w:val="auto"/>
        </w:rPr>
      </w:pPr>
    </w:p>
    <w:p>
      <w:pPr>
        <w:ind w:left="2580" w:hanging="640"/>
        <w:spacing w:after="0"/>
        <w:tabs>
          <w:tab w:leader="none" w:pos="2580" w:val="left"/>
        </w:tabs>
        <w:numPr>
          <w:ilvl w:val="0"/>
          <w:numId w:val="594"/>
        </w:numPr>
        <w:rPr>
          <w:rFonts w:ascii="Arial" w:cs="Arial" w:eastAsia="Arial" w:hAnsi="Arial"/>
          <w:sz w:val="18"/>
          <w:szCs w:val="18"/>
          <w:color w:val="auto"/>
        </w:rPr>
      </w:pPr>
      <w:r>
        <w:rPr>
          <w:rFonts w:ascii="Arial" w:cs="Arial" w:eastAsia="Arial" w:hAnsi="Arial"/>
          <w:sz w:val="18"/>
          <w:szCs w:val="18"/>
          <w:u w:val="single" w:color="auto"/>
          <w:color w:val="auto"/>
        </w:rPr>
        <w:t>Prime Landlord Consent to Sublease</w:t>
      </w:r>
      <w:r>
        <w:rPr>
          <w:rFonts w:ascii="Arial" w:cs="Arial" w:eastAsia="Arial" w:hAnsi="Arial"/>
          <w:sz w:val="18"/>
          <w:szCs w:val="18"/>
          <w:color w:val="auto"/>
        </w:rPr>
        <w:t>.</w:t>
      </w:r>
    </w:p>
    <w:p>
      <w:pPr>
        <w:spacing w:after="0" w:line="225"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This Sublease is expressly conditioned upon obtaining the written consent of Prime Landlord and the written consent of any mortgagee, ground lessor or other third party required under the Primary Lease, (collectively, “</w:t>
      </w:r>
      <w:r>
        <w:rPr>
          <w:rFonts w:ascii="Arial" w:cs="Arial" w:eastAsia="Arial" w:hAnsi="Arial"/>
          <w:sz w:val="18"/>
          <w:szCs w:val="18"/>
          <w:b w:val="1"/>
          <w:bCs w:val="1"/>
          <w:color w:val="auto"/>
        </w:rPr>
        <w:t>Prime Landlord Consent</w:t>
      </w:r>
      <w:r>
        <w:rPr>
          <w:rFonts w:ascii="Arial" w:cs="Arial" w:eastAsia="Arial" w:hAnsi="Arial"/>
          <w:sz w:val="18"/>
          <w:szCs w:val="18"/>
          <w:color w:val="auto"/>
        </w:rPr>
        <w:t>”). The Prime Landlord Consent shall include, to the reasonable satisfaction of Subtenant, Prime Landlord’s approval of Subtenant’s Initial Alterations as described in Section 21.</w:t>
      </w:r>
    </w:p>
    <w:p>
      <w:pPr>
        <w:spacing w:after="0" w:line="187" w:lineRule="exact"/>
        <w:rPr>
          <w:sz w:val="20"/>
          <w:szCs w:val="20"/>
          <w:color w:val="auto"/>
        </w:rPr>
      </w:pPr>
    </w:p>
    <w:p>
      <w:pPr>
        <w:ind w:firstLine="644"/>
        <w:spacing w:after="0" w:line="293" w:lineRule="auto"/>
        <w:tabs>
          <w:tab w:leader="none" w:pos="1293" w:val="left"/>
        </w:tabs>
        <w:numPr>
          <w:ilvl w:val="0"/>
          <w:numId w:val="595"/>
        </w:numPr>
        <w:rPr>
          <w:rFonts w:ascii="Arial" w:cs="Arial" w:eastAsia="Arial" w:hAnsi="Arial"/>
          <w:sz w:val="16"/>
          <w:szCs w:val="16"/>
          <w:color w:val="auto"/>
        </w:rPr>
      </w:pPr>
      <w:r>
        <w:rPr>
          <w:rFonts w:ascii="Arial" w:cs="Arial" w:eastAsia="Arial" w:hAnsi="Arial"/>
          <w:sz w:val="16"/>
          <w:szCs w:val="16"/>
          <w:color w:val="auto"/>
        </w:rPr>
        <w:t>Any fees and expenses incurred by the Prime Landlord or any mortgagee, ground lessor or other third party in connection with requesting and obtaining the Prime Landlord Consent shall be paid by Sublandlord and shall thereafter be reimbursed by Subtenant to Sublandlord as Additional Rent not later than thirty (30) days after written demand by Sublandlord. Subtenant agrees to cooperate with Prime Landlord and supply all information and documentation requested by Prime Landlord within thirty (30) days of its request therefor. Sublandlord shall not be required to perform any acts, expend any funds or bring any legal proceedings in order to obtain the Prime Landlord Consent and Subtenant shall have no right to any claim against Sublandlord in the event the Prime Landlord Consent is not obtained.</w:t>
      </w:r>
    </w:p>
    <w:p>
      <w:pPr>
        <w:spacing w:after="0" w:line="164" w:lineRule="exact"/>
        <w:rPr>
          <w:rFonts w:ascii="Arial" w:cs="Arial" w:eastAsia="Arial" w:hAnsi="Arial"/>
          <w:sz w:val="16"/>
          <w:szCs w:val="16"/>
          <w:color w:val="auto"/>
        </w:rPr>
      </w:pPr>
    </w:p>
    <w:p>
      <w:pPr>
        <w:jc w:val="both"/>
        <w:ind w:right="160" w:firstLine="644"/>
        <w:spacing w:after="0" w:line="257" w:lineRule="auto"/>
        <w:tabs>
          <w:tab w:leader="none" w:pos="1303" w:val="left"/>
        </w:tabs>
        <w:numPr>
          <w:ilvl w:val="0"/>
          <w:numId w:val="595"/>
        </w:numPr>
        <w:rPr>
          <w:rFonts w:ascii="Arial" w:cs="Arial" w:eastAsia="Arial" w:hAnsi="Arial"/>
          <w:sz w:val="18"/>
          <w:szCs w:val="18"/>
          <w:color w:val="auto"/>
        </w:rPr>
      </w:pPr>
      <w:r>
        <w:rPr>
          <w:rFonts w:ascii="Arial" w:cs="Arial" w:eastAsia="Arial" w:hAnsi="Arial"/>
          <w:sz w:val="18"/>
          <w:szCs w:val="18"/>
          <w:color w:val="auto"/>
        </w:rPr>
        <w:t>Sublandlord shall make its best commercially reasonable efforts to obtain the Prime Landlord Consent. If the Prime Landlord Consent is not obtained within sixty (60) days from the date of this Sublease, either party may terminate this Sublease upon written notice to the other, whereupon Sublandlord shall promptly refund to Subtenant the first month’s Base Rent and the Security Deposit paid to Sublandlord, and neither party shall have any further obligation to the other under this Sublease, except to the extent that the provisions of this Sublease expressly survive the termination of this Sublease.</w:t>
      </w:r>
    </w:p>
    <w:p>
      <w:pPr>
        <w:spacing w:after="0" w:line="183" w:lineRule="exact"/>
        <w:rPr>
          <w:rFonts w:ascii="Arial" w:cs="Arial" w:eastAsia="Arial" w:hAnsi="Arial"/>
          <w:sz w:val="18"/>
          <w:szCs w:val="18"/>
          <w:color w:val="auto"/>
        </w:rPr>
      </w:pPr>
    </w:p>
    <w:p>
      <w:pPr>
        <w:ind w:left="1300" w:hanging="656"/>
        <w:spacing w:after="0"/>
        <w:tabs>
          <w:tab w:leader="none" w:pos="13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Section 15</w:t>
      </w:r>
      <w:r>
        <w:rPr>
          <w:rFonts w:ascii="Arial" w:cs="Arial" w:eastAsia="Arial" w:hAnsi="Arial"/>
          <w:sz w:val="18"/>
          <w:szCs w:val="18"/>
          <w:color w:val="auto"/>
        </w:rPr>
        <w:t xml:space="preserve"> shall survive the expiration or earlier termination of this Sublease.</w:t>
      </w:r>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40"/>
          </w:cols>
          <w:pgMar w:left="980" w:top="338" w:right="379" w:bottom="1440" w:gutter="0" w:footer="0" w:header="0"/>
        </w:sectPr>
      </w:pPr>
    </w:p>
    <w:bookmarkStart w:id="691" w:name="page692"/>
    <w:bookmarkEnd w:id="691"/>
    <w:p>
      <w:pPr>
        <w:ind w:left="3240" w:hanging="640"/>
        <w:spacing w:after="0"/>
        <w:tabs>
          <w:tab w:leader="none" w:pos="3240"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Assignment or Subletting</w:t>
      </w:r>
      <w:r>
        <w:rPr>
          <w:rFonts w:ascii="Arial" w:cs="Arial" w:eastAsia="Arial" w:hAnsi="Arial"/>
          <w:sz w:val="18"/>
          <w:szCs w:val="18"/>
          <w:color w:val="auto"/>
        </w:rPr>
        <w:t>.</w:t>
      </w:r>
    </w:p>
    <w:p>
      <w:pPr>
        <w:spacing w:after="0" w:line="225" w:lineRule="exact"/>
        <w:rPr>
          <w:sz w:val="20"/>
          <w:szCs w:val="20"/>
          <w:color w:val="auto"/>
        </w:rPr>
      </w:pPr>
    </w:p>
    <w:p>
      <w:pPr>
        <w:jc w:val="both"/>
        <w:ind w:left="660" w:right="440" w:firstLine="1296"/>
        <w:spacing w:after="0" w:line="311" w:lineRule="auto"/>
        <w:rPr>
          <w:sz w:val="20"/>
          <w:szCs w:val="20"/>
          <w:color w:val="auto"/>
        </w:rPr>
      </w:pPr>
      <w:r>
        <w:rPr>
          <w:rFonts w:ascii="Arial" w:cs="Arial" w:eastAsia="Arial" w:hAnsi="Arial"/>
          <w:sz w:val="16"/>
          <w:szCs w:val="16"/>
          <w:color w:val="auto"/>
        </w:rPr>
        <w:t>Subtenant shall not sublet all or any portion of the Subleased Premises or assign, encumber, mortgage, pledge or otherwise transfer this Sublease (by operation of law or otherwise) or any interest therein, without the prior written consent of: (a) Sublandlord, which consent may be unreasonably withheld or may be withheld in its sole and absolute discretion, and (b) Prime Landlord.</w:t>
      </w:r>
    </w:p>
    <w:p>
      <w:pPr>
        <w:spacing w:after="0" w:line="149" w:lineRule="exact"/>
        <w:rPr>
          <w:sz w:val="20"/>
          <w:szCs w:val="20"/>
          <w:color w:val="auto"/>
        </w:rPr>
      </w:pPr>
    </w:p>
    <w:p>
      <w:pPr>
        <w:ind w:left="3240" w:hanging="640"/>
        <w:spacing w:after="0"/>
        <w:tabs>
          <w:tab w:leader="none" w:pos="3240" w:val="left"/>
        </w:tabs>
        <w:numPr>
          <w:ilvl w:val="0"/>
          <w:numId w:val="597"/>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sz w:val="20"/>
          <w:szCs w:val="20"/>
          <w:color w:val="auto"/>
        </w:rPr>
      </w:pPr>
    </w:p>
    <w:p>
      <w:pPr>
        <w:ind w:left="660" w:firstLine="1296"/>
        <w:spacing w:after="0" w:line="277" w:lineRule="auto"/>
        <w:rPr>
          <w:sz w:val="20"/>
          <w:szCs w:val="20"/>
          <w:color w:val="auto"/>
        </w:rPr>
      </w:pPr>
      <w:r>
        <w:rPr>
          <w:rFonts w:ascii="Arial" w:cs="Arial" w:eastAsia="Arial" w:hAnsi="Arial"/>
          <w:sz w:val="18"/>
          <w:szCs w:val="18"/>
          <w:color w:val="auto"/>
        </w:rPr>
        <w:t>Subtenant shall indemnify and hold harmless Sublandlord from any claims, liabilities and damages that Sublandlord may sustain as a result of a breach by Subtenant of this Sublease.</w:t>
      </w:r>
    </w:p>
    <w:p>
      <w:pPr>
        <w:spacing w:after="0" w:line="170" w:lineRule="exact"/>
        <w:rPr>
          <w:sz w:val="20"/>
          <w:szCs w:val="20"/>
          <w:color w:val="auto"/>
        </w:rPr>
      </w:pPr>
    </w:p>
    <w:p>
      <w:pPr>
        <w:ind w:left="3240" w:hanging="640"/>
        <w:spacing w:after="0"/>
        <w:tabs>
          <w:tab w:leader="none" w:pos="3240"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225" w:lineRule="exact"/>
        <w:rPr>
          <w:sz w:val="20"/>
          <w:szCs w:val="20"/>
          <w:color w:val="auto"/>
        </w:rPr>
      </w:pPr>
    </w:p>
    <w:p>
      <w:pPr>
        <w:ind w:left="660" w:right="80" w:firstLine="1296"/>
        <w:spacing w:after="0" w:line="257" w:lineRule="auto"/>
        <w:rPr>
          <w:sz w:val="20"/>
          <w:szCs w:val="20"/>
          <w:color w:val="auto"/>
        </w:rPr>
      </w:pPr>
      <w:r>
        <w:rPr>
          <w:rFonts w:ascii="Arial" w:cs="Arial" w:eastAsia="Arial" w:hAnsi="Arial"/>
          <w:sz w:val="18"/>
          <w:szCs w:val="18"/>
          <w:color w:val="auto"/>
        </w:rPr>
        <w:t>Subtenant hereby releases Sublandlord or anyone claiming through or under Sublandlord by way of subrogation or otherwise. Subtenant hereby releases Prime Landlord or anyone claiming through or under Prime Landlord by way of subrogation or otherwise to the extent that Sublandlord releases Prime Landlord pursuant to the terms of the Primary Lease. Subtenant shall cause its insurance carriers to include any clauses or endorsements in favor of Sublandlord, Prime Landlord and any additional parties, which Sublandlord is required to provide pursuant to the provisions of the Primary Lease.</w:t>
      </w:r>
    </w:p>
    <w:p>
      <w:pPr>
        <w:spacing w:after="0" w:line="188" w:lineRule="exact"/>
        <w:rPr>
          <w:sz w:val="20"/>
          <w:szCs w:val="20"/>
          <w:color w:val="auto"/>
        </w:rPr>
      </w:pPr>
    </w:p>
    <w:p>
      <w:pPr>
        <w:ind w:left="3240" w:hanging="640"/>
        <w:spacing w:after="0"/>
        <w:tabs>
          <w:tab w:leader="none" w:pos="3240" w:val="left"/>
        </w:tabs>
        <w:numPr>
          <w:ilvl w:val="0"/>
          <w:numId w:val="59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All notices and other communications required or permitted under this Sublease shall be given in the same manner as in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Primary Lease. Notices shall be addressed to the addresses set forth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To Subtenant at:</w:t>
            </w:r>
          </w:p>
        </w:tc>
        <w:tc>
          <w:tcPr>
            <w:tcW w:w="580" w:type="dxa"/>
            <w:vAlign w:val="bottom"/>
          </w:tcPr>
          <w:p>
            <w:pPr>
              <w:spacing w:after="0"/>
              <w:rPr>
                <w:sz w:val="18"/>
                <w:szCs w:val="18"/>
                <w:color w:val="auto"/>
              </w:rPr>
            </w:pPr>
          </w:p>
        </w:tc>
        <w:tc>
          <w:tcPr>
            <w:tcW w:w="4600" w:type="dxa"/>
            <w:vAlign w:val="bottom"/>
          </w:tcPr>
          <w:p>
            <w:pPr>
              <w:ind w:left="1800"/>
              <w:spacing w:after="0"/>
              <w:rPr>
                <w:sz w:val="20"/>
                <w:szCs w:val="20"/>
                <w:color w:val="auto"/>
              </w:rPr>
            </w:pPr>
            <w:r>
              <w:rPr>
                <w:rFonts w:ascii="Arial" w:cs="Arial" w:eastAsia="Arial" w:hAnsi="Arial"/>
                <w:sz w:val="18"/>
                <w:szCs w:val="18"/>
                <w:color w:val="auto"/>
                <w:w w:val="89"/>
              </w:rPr>
              <w:t>15440 Laguna Canyon Road Suite 250</w:t>
            </w:r>
          </w:p>
        </w:tc>
      </w:tr>
      <w:tr>
        <w:trPr>
          <w:trHeight w:val="216"/>
        </w:trPr>
        <w:tc>
          <w:tcPr>
            <w:tcW w:w="3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ind w:left="1800"/>
              <w:spacing w:after="0"/>
              <w:rPr>
                <w:sz w:val="20"/>
                <w:szCs w:val="20"/>
                <w:color w:val="auto"/>
              </w:rPr>
            </w:pPr>
            <w:r>
              <w:rPr>
                <w:rFonts w:ascii="Arial" w:cs="Arial" w:eastAsia="Arial" w:hAnsi="Arial"/>
                <w:sz w:val="18"/>
                <w:szCs w:val="18"/>
                <w:color w:val="auto"/>
              </w:rPr>
              <w:t>Irvine, CA 92618</w:t>
            </w:r>
          </w:p>
        </w:tc>
      </w:tr>
      <w:tr>
        <w:trPr>
          <w:trHeight w:val="230"/>
        </w:trPr>
        <w:tc>
          <w:tcPr>
            <w:tcW w:w="3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0" w:type="dxa"/>
            <w:vAlign w:val="bottom"/>
          </w:tcPr>
          <w:p>
            <w:pPr>
              <w:ind w:left="1800"/>
              <w:spacing w:after="0"/>
              <w:rPr>
                <w:sz w:val="20"/>
                <w:szCs w:val="20"/>
                <w:color w:val="auto"/>
              </w:rPr>
            </w:pPr>
            <w:r>
              <w:rPr>
                <w:rFonts w:ascii="Arial" w:cs="Arial" w:eastAsia="Arial" w:hAnsi="Arial"/>
                <w:sz w:val="18"/>
                <w:szCs w:val="18"/>
                <w:color w:val="auto"/>
              </w:rPr>
              <w:t>Attention: General Counsel</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To Sublandlord at:</w:t>
            </w:r>
          </w:p>
        </w:tc>
        <w:tc>
          <w:tcPr>
            <w:tcW w:w="580" w:type="dxa"/>
            <w:vAlign w:val="bottom"/>
          </w:tcPr>
          <w:p>
            <w:pPr>
              <w:spacing w:after="0"/>
              <w:rPr>
                <w:sz w:val="24"/>
                <w:szCs w:val="24"/>
                <w:color w:val="auto"/>
              </w:rPr>
            </w:pPr>
          </w:p>
        </w:tc>
        <w:tc>
          <w:tcPr>
            <w:tcW w:w="4600" w:type="dxa"/>
            <w:vAlign w:val="bottom"/>
          </w:tcPr>
          <w:p>
            <w:pPr>
              <w:ind w:left="1800"/>
              <w:spacing w:after="0"/>
              <w:rPr>
                <w:sz w:val="20"/>
                <w:szCs w:val="20"/>
                <w:color w:val="auto"/>
              </w:rPr>
            </w:pPr>
            <w:r>
              <w:rPr>
                <w:rFonts w:ascii="Arial" w:cs="Arial" w:eastAsia="Arial" w:hAnsi="Arial"/>
                <w:sz w:val="18"/>
                <w:szCs w:val="18"/>
                <w:color w:val="auto"/>
              </w:rPr>
              <w:t>698 West 10000 South</w:t>
            </w:r>
          </w:p>
        </w:tc>
      </w:tr>
      <w:tr>
        <w:trPr>
          <w:trHeight w:val="216"/>
        </w:trPr>
        <w:tc>
          <w:tcPr>
            <w:tcW w:w="3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0" w:type="dxa"/>
            <w:vAlign w:val="bottom"/>
          </w:tcPr>
          <w:p>
            <w:pPr>
              <w:ind w:left="1800"/>
              <w:spacing w:after="0"/>
              <w:rPr>
                <w:sz w:val="20"/>
                <w:szCs w:val="20"/>
                <w:color w:val="auto"/>
              </w:rPr>
            </w:pPr>
            <w:r>
              <w:rPr>
                <w:rFonts w:ascii="Arial" w:cs="Arial" w:eastAsia="Arial" w:hAnsi="Arial"/>
                <w:sz w:val="18"/>
                <w:szCs w:val="18"/>
                <w:color w:val="auto"/>
              </w:rPr>
              <w:t>South Jordan, UT</w:t>
            </w:r>
          </w:p>
        </w:tc>
      </w:tr>
      <w:tr>
        <w:trPr>
          <w:trHeight w:val="230"/>
        </w:trPr>
        <w:tc>
          <w:tcPr>
            <w:tcW w:w="3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0" w:type="dxa"/>
            <w:vAlign w:val="bottom"/>
          </w:tcPr>
          <w:p>
            <w:pPr>
              <w:ind w:left="1800"/>
              <w:spacing w:after="0"/>
              <w:rPr>
                <w:sz w:val="20"/>
                <w:szCs w:val="20"/>
                <w:color w:val="auto"/>
              </w:rPr>
            </w:pPr>
            <w:r>
              <w:rPr>
                <w:rFonts w:ascii="Arial" w:cs="Arial" w:eastAsia="Arial" w:hAnsi="Arial"/>
                <w:sz w:val="18"/>
                <w:szCs w:val="18"/>
                <w:color w:val="auto"/>
              </w:rPr>
              <w:t>Attn: Legal Department</w:t>
            </w:r>
          </w:p>
        </w:tc>
      </w:tr>
      <w:tr>
        <w:trPr>
          <w:trHeight w:val="391"/>
        </w:trPr>
        <w:tc>
          <w:tcPr>
            <w:tcW w:w="324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5180" w:type="dxa"/>
            <w:vAlign w:val="bottom"/>
            <w:gridSpan w:val="2"/>
          </w:tcPr>
          <w:p>
            <w:pPr>
              <w:spacing w:after="0"/>
              <w:rPr>
                <w:sz w:val="20"/>
                <w:szCs w:val="20"/>
                <w:color w:val="auto"/>
              </w:rPr>
            </w:pPr>
            <w:r>
              <w:rPr>
                <w:rFonts w:ascii="Arial" w:cs="Arial" w:eastAsia="Arial" w:hAnsi="Arial"/>
                <w:sz w:val="18"/>
                <w:szCs w:val="18"/>
                <w:color w:val="auto"/>
              </w:rPr>
              <w:t>Brokers.</w:t>
            </w:r>
          </w:p>
        </w:tc>
      </w:tr>
      <w:tr>
        <w:trPr>
          <w:trHeight w:val="20"/>
        </w:trPr>
        <w:tc>
          <w:tcPr>
            <w:tcW w:w="3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40" w:firstLine="1296"/>
        <w:spacing w:after="0" w:line="277" w:lineRule="auto"/>
        <w:rPr>
          <w:sz w:val="20"/>
          <w:szCs w:val="20"/>
          <w:color w:val="auto"/>
        </w:rPr>
      </w:pPr>
      <w:r>
        <w:rPr>
          <w:rFonts w:ascii="Arial" w:cs="Arial" w:eastAsia="Arial" w:hAnsi="Arial"/>
          <w:sz w:val="18"/>
          <w:szCs w:val="18"/>
          <w:color w:val="auto"/>
        </w:rPr>
        <w:t>Sublandlord and Subtenant each represent to the other that it has not dealt with any other broker other than Jones Lang LaSalle (“</w:t>
      </w:r>
      <w:r>
        <w:rPr>
          <w:rFonts w:ascii="Arial" w:cs="Arial" w:eastAsia="Arial" w:hAnsi="Arial"/>
          <w:sz w:val="18"/>
          <w:szCs w:val="18"/>
          <w:b w:val="1"/>
          <w:bCs w:val="1"/>
          <w:color w:val="auto"/>
        </w:rPr>
        <w:t>Subtenant’s Broker</w:t>
      </w:r>
      <w:r>
        <w:rPr>
          <w:rFonts w:ascii="Arial" w:cs="Arial" w:eastAsia="Arial" w:hAnsi="Arial"/>
          <w:sz w:val="18"/>
          <w:szCs w:val="18"/>
          <w:color w:val="auto"/>
        </w:rPr>
        <w:t>”) in connection with this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92" w:name="page693"/>
    <w:bookmarkEnd w:id="692"/>
    <w:p>
      <w:pPr>
        <w:ind w:right="80"/>
        <w:spacing w:after="0" w:line="296" w:lineRule="auto"/>
        <w:rPr>
          <w:sz w:val="20"/>
          <w:szCs w:val="20"/>
          <w:color w:val="auto"/>
        </w:rPr>
      </w:pPr>
      <w:r>
        <w:rPr>
          <w:rFonts w:ascii="Arial" w:cs="Arial" w:eastAsia="Arial" w:hAnsi="Arial"/>
          <w:sz w:val="16"/>
          <w:szCs w:val="16"/>
          <w:color w:val="auto"/>
        </w:rPr>
        <w:t xml:space="preserve">Sublease and the transactions contemplated hereby. Sublandlord shall compensate Subtenant’s Broker in accordance with a separate agreement. Sublandlord and Subtenant each indemnify and hold harmless the other from and against all claims, liabilities, damages, costs and expenses (including without limitation reasonable attorneys’ fees and other charges) arising out of any claim, demand or proceeding for commissions, fees, reimbursement for expenses or other compensation by any person or entity who shall claim to have dealt with the indemnifying party in connection with the Sublease other than Broker. This </w:t>
      </w:r>
      <w:r>
        <w:rPr>
          <w:rFonts w:ascii="Arial" w:cs="Arial" w:eastAsia="Arial" w:hAnsi="Arial"/>
          <w:sz w:val="16"/>
          <w:szCs w:val="16"/>
          <w:b w:val="1"/>
          <w:bCs w:val="1"/>
          <w:color w:val="auto"/>
        </w:rPr>
        <w:t>Section 20</w:t>
      </w:r>
      <w:r>
        <w:rPr>
          <w:rFonts w:ascii="Arial" w:cs="Arial" w:eastAsia="Arial" w:hAnsi="Arial"/>
          <w:sz w:val="16"/>
          <w:szCs w:val="16"/>
          <w:color w:val="auto"/>
        </w:rPr>
        <w:t xml:space="preserve"> shall survive the expiration or earlier termination of this Sublease.</w:t>
      </w:r>
    </w:p>
    <w:p>
      <w:pPr>
        <w:spacing w:after="0" w:line="161" w:lineRule="exact"/>
        <w:rPr>
          <w:sz w:val="20"/>
          <w:szCs w:val="20"/>
          <w:color w:val="auto"/>
        </w:rPr>
      </w:pPr>
    </w:p>
    <w:p>
      <w:pPr>
        <w:ind w:right="40" w:firstLine="644"/>
        <w:spacing w:after="0" w:line="263" w:lineRule="auto"/>
        <w:tabs>
          <w:tab w:leader="none" w:pos="1291" w:val="left"/>
        </w:tabs>
        <w:numPr>
          <w:ilvl w:val="0"/>
          <w:numId w:val="600"/>
        </w:numPr>
        <w:rPr>
          <w:rFonts w:ascii="Arial" w:cs="Arial" w:eastAsia="Arial" w:hAnsi="Arial"/>
          <w:sz w:val="18"/>
          <w:szCs w:val="18"/>
          <w:color w:val="auto"/>
        </w:rPr>
      </w:pPr>
      <w:r>
        <w:rPr>
          <w:rFonts w:ascii="Arial" w:cs="Arial" w:eastAsia="Arial" w:hAnsi="Arial"/>
          <w:sz w:val="18"/>
          <w:szCs w:val="18"/>
          <w:u w:val="single" w:color="auto"/>
          <w:color w:val="auto"/>
        </w:rPr>
        <w:t>Initial Subtenant Alterations.</w:t>
      </w:r>
      <w:r>
        <w:rPr>
          <w:rFonts w:ascii="Arial" w:cs="Arial" w:eastAsia="Arial" w:hAnsi="Arial"/>
          <w:sz w:val="18"/>
          <w:szCs w:val="18"/>
          <w:color w:val="auto"/>
        </w:rPr>
        <w:t xml:space="preserve"> Sublandlord consents to the initial alterations and improvements to be constructed and installed in the Subleased Premises in accordance with Article 8 of the Primary Lease, including a security system comparable to the system installed by Subtenant under its sublease for Suite 300 of the 150 Mathilda Building, as described in Exhibit C.</w:t>
      </w:r>
    </w:p>
    <w:p>
      <w:pPr>
        <w:spacing w:after="0" w:line="183" w:lineRule="exact"/>
        <w:rPr>
          <w:rFonts w:ascii="Arial" w:cs="Arial" w:eastAsia="Arial" w:hAnsi="Arial"/>
          <w:sz w:val="18"/>
          <w:szCs w:val="18"/>
          <w:color w:val="auto"/>
        </w:rPr>
      </w:pPr>
    </w:p>
    <w:p>
      <w:pPr>
        <w:ind w:right="540" w:firstLine="644"/>
        <w:spacing w:after="0" w:line="277" w:lineRule="auto"/>
        <w:tabs>
          <w:tab w:leader="none" w:pos="1291" w:val="left"/>
        </w:tabs>
        <w:numPr>
          <w:ilvl w:val="0"/>
          <w:numId w:val="600"/>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Sublandlord shall arrange with Primary Landlord for Subtenant to have Building standard entry door and lobby signage for the Subleased Premises.</w:t>
      </w:r>
    </w:p>
    <w:p>
      <w:pPr>
        <w:spacing w:after="0" w:line="170" w:lineRule="exact"/>
        <w:rPr>
          <w:rFonts w:ascii="Arial" w:cs="Arial" w:eastAsia="Arial" w:hAnsi="Arial"/>
          <w:sz w:val="18"/>
          <w:szCs w:val="18"/>
          <w:color w:val="auto"/>
        </w:rPr>
      </w:pPr>
    </w:p>
    <w:p>
      <w:pPr>
        <w:ind w:firstLine="644"/>
        <w:spacing w:after="0" w:line="290" w:lineRule="auto"/>
        <w:tabs>
          <w:tab w:leader="none" w:pos="1291" w:val="left"/>
        </w:tabs>
        <w:numPr>
          <w:ilvl w:val="0"/>
          <w:numId w:val="600"/>
        </w:numPr>
        <w:rPr>
          <w:rFonts w:ascii="Arial" w:cs="Arial" w:eastAsia="Arial" w:hAnsi="Arial"/>
          <w:sz w:val="16"/>
          <w:szCs w:val="16"/>
          <w:color w:val="auto"/>
        </w:rPr>
      </w:pPr>
      <w:r>
        <w:rPr>
          <w:rFonts w:ascii="Arial" w:cs="Arial" w:eastAsia="Arial" w:hAnsi="Arial"/>
          <w:sz w:val="16"/>
          <w:szCs w:val="16"/>
          <w:u w:val="single" w:color="auto"/>
          <w:color w:val="auto"/>
        </w:rPr>
        <w:t>Furniture, Fixtures and Equipment</w:t>
      </w:r>
      <w:r>
        <w:rPr>
          <w:rFonts w:ascii="Arial" w:cs="Arial" w:eastAsia="Arial" w:hAnsi="Arial"/>
          <w:sz w:val="16"/>
          <w:szCs w:val="16"/>
          <w:color w:val="auto"/>
        </w:rPr>
        <w:t>. Prior to full execution of this Sublease, Sublandlord shall provide Subtenant with an inventory of the furniture, fixtures and equipment (“FF&amp;E”) currently located in the Subleased Premises. Not later than the date of delivery of Primary Landlord’s Consent, Subtenant will give written notice to Sublandlord describing the items of FF&amp;E that Subtenant would like to have removed from the Subleased Premises. Sublandlord shall remove such items within ten (10) days after receipt of such notice. Sublandlord shall lease the remaining items of FF&amp;E to Subtenant for One Dollar ($1.00) per year. Subtenant shall, at Subtenant’s sole cost, be responsible for maintenance, repair and insuring all such FF&amp;E. Subtenant shall have the right to purchase the FF&amp;E at the end of the Term for One Dollar ($1.00). Upon Subtenant’s request, Sublandlord shall assign to Subtenant all manufacturers’ warranties, if any, relating to the FF&amp;E. All FF&amp;E is leased and sold (if Subtenant elects to purchase) in “as is” condition, with no representations or warranties by Subtenant.</w:t>
      </w:r>
    </w:p>
    <w:p>
      <w:pPr>
        <w:spacing w:after="0" w:line="165" w:lineRule="exact"/>
        <w:rPr>
          <w:rFonts w:ascii="Arial" w:cs="Arial" w:eastAsia="Arial" w:hAnsi="Arial"/>
          <w:sz w:val="16"/>
          <w:szCs w:val="16"/>
          <w:color w:val="auto"/>
        </w:rPr>
      </w:pPr>
    </w:p>
    <w:p>
      <w:pPr>
        <w:ind w:left="2580" w:hanging="640"/>
        <w:spacing w:after="0"/>
        <w:tabs>
          <w:tab w:leader="none" w:pos="2580" w:val="left"/>
        </w:tabs>
        <w:numPr>
          <w:ilvl w:val="1"/>
          <w:numId w:val="60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225" w:lineRule="exact"/>
        <w:rPr>
          <w:sz w:val="20"/>
          <w:szCs w:val="20"/>
          <w:color w:val="auto"/>
        </w:rPr>
      </w:pPr>
    </w:p>
    <w:p>
      <w:pPr>
        <w:jc w:val="both"/>
        <w:ind w:right="40" w:firstLine="1296"/>
        <w:spacing w:after="0" w:line="286" w:lineRule="auto"/>
        <w:rPr>
          <w:sz w:val="20"/>
          <w:szCs w:val="20"/>
          <w:color w:val="auto"/>
        </w:rPr>
      </w:pPr>
      <w:r>
        <w:rPr>
          <w:rFonts w:ascii="Arial" w:cs="Arial" w:eastAsia="Arial" w:hAnsi="Arial"/>
          <w:sz w:val="17"/>
          <w:szCs w:val="17"/>
          <w:color w:val="auto"/>
        </w:rPr>
        <w:t>This Sublease contains the entire agreement between the parties with respect to the subject matter contained herein and all prior negotiations and agreements are merged herein. In the event any provisions of this Sublease are held to be invalid or unenforceable in any respect, the validity, legality or enforceability of the remaining provisions of this Sublease shall remain unaffected.</w:t>
      </w:r>
    </w:p>
    <w:p>
      <w:pPr>
        <w:spacing w:after="0" w:line="165" w:lineRule="exact"/>
        <w:rPr>
          <w:sz w:val="20"/>
          <w:szCs w:val="20"/>
          <w:color w:val="auto"/>
        </w:rPr>
      </w:pPr>
    </w:p>
    <w:p>
      <w:pPr>
        <w:ind w:left="2580" w:hanging="640"/>
        <w:spacing w:after="0"/>
        <w:tabs>
          <w:tab w:leader="none" w:pos="2580"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Sublease may not be modified or amended in any manner other than by a written agreement signed by Sublandlord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Subtenant.</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560"/>
          </w:cols>
          <w:pgMar w:left="980" w:top="342" w:right="359" w:bottom="1440" w:gutter="0" w:footer="0" w:header="0"/>
        </w:sectPr>
      </w:pPr>
    </w:p>
    <w:bookmarkStart w:id="693" w:name="page694"/>
    <w:bookmarkEnd w:id="693"/>
    <w:p>
      <w:pPr>
        <w:ind w:left="2580" w:hanging="640"/>
        <w:spacing w:after="0"/>
        <w:tabs>
          <w:tab w:leader="none" w:pos="2580" w:val="left"/>
        </w:tabs>
        <w:numPr>
          <w:ilvl w:val="0"/>
          <w:numId w:val="60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The covenants and agreements contained in this Sublease shall bind and inure to the benefit of Sublandlord and Subtenant and their respective permitted successors and assigns.</w:t>
      </w:r>
    </w:p>
    <w:p>
      <w:pPr>
        <w:spacing w:after="0" w:line="170" w:lineRule="exact"/>
        <w:rPr>
          <w:sz w:val="20"/>
          <w:szCs w:val="20"/>
          <w:color w:val="auto"/>
        </w:rPr>
      </w:pPr>
    </w:p>
    <w:p>
      <w:pPr>
        <w:ind w:left="2580" w:hanging="640"/>
        <w:spacing w:after="0"/>
        <w:tabs>
          <w:tab w:leader="none" w:pos="2580"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Arial" w:cs="Arial" w:eastAsia="Arial" w:hAnsi="Arial"/>
          <w:sz w:val="17"/>
          <w:szCs w:val="17"/>
          <w:color w:val="auto"/>
        </w:rPr>
        <w:t>This Sublease may be executed in any number of counterparts, each of which when so executed and delivered shall be deemed an original for all purposes, and all such counterparts shall together constitute but one and the same instrument. A signed copy of this Sublease delivered by e-mail shall be deemed to have the same legal effect as delivery of an original signed copy of this Sublease.</w:t>
      </w:r>
    </w:p>
    <w:p>
      <w:pPr>
        <w:spacing w:after="0" w:line="165" w:lineRule="exact"/>
        <w:rPr>
          <w:sz w:val="20"/>
          <w:szCs w:val="20"/>
          <w:color w:val="auto"/>
        </w:rPr>
      </w:pPr>
    </w:p>
    <w:p>
      <w:pPr>
        <w:ind w:left="2580" w:hanging="640"/>
        <w:spacing w:after="0"/>
        <w:tabs>
          <w:tab w:leader="none" w:pos="2580" w:val="left"/>
        </w:tabs>
        <w:numPr>
          <w:ilvl w:val="0"/>
          <w:numId w:val="60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All capitalized terms not otherwise defined in this Sublease shall have the definitions contained in the Primary Lease.</w:t>
      </w:r>
    </w:p>
    <w:p>
      <w:pPr>
        <w:spacing w:after="0" w:line="237" w:lineRule="exact"/>
        <w:rPr>
          <w:sz w:val="20"/>
          <w:szCs w:val="20"/>
          <w:color w:val="auto"/>
        </w:rPr>
      </w:pPr>
    </w:p>
    <w:p>
      <w:pPr>
        <w:ind w:left="2580" w:hanging="640"/>
        <w:spacing w:after="0"/>
        <w:tabs>
          <w:tab w:leader="none" w:pos="2580" w:val="left"/>
        </w:tabs>
        <w:numPr>
          <w:ilvl w:val="0"/>
          <w:numId w:val="605"/>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w:t>
      </w:r>
    </w:p>
    <w:p>
      <w:pPr>
        <w:spacing w:after="0" w:line="225" w:lineRule="exact"/>
        <w:rPr>
          <w:sz w:val="20"/>
          <w:szCs w:val="20"/>
          <w:color w:val="auto"/>
        </w:rPr>
      </w:pPr>
    </w:p>
    <w:p>
      <w:pPr>
        <w:ind w:right="260" w:firstLine="1296"/>
        <w:spacing w:after="0" w:line="277" w:lineRule="auto"/>
        <w:rPr>
          <w:sz w:val="20"/>
          <w:szCs w:val="20"/>
          <w:color w:val="auto"/>
        </w:rPr>
      </w:pPr>
      <w:r>
        <w:rPr>
          <w:rFonts w:ascii="Arial" w:cs="Arial" w:eastAsia="Arial" w:hAnsi="Arial"/>
          <w:sz w:val="18"/>
          <w:szCs w:val="18"/>
          <w:color w:val="auto"/>
        </w:rPr>
        <w:t>This Sublease shall be governed by, and construed in accordance with, the laws of the State of California, without regard to conflict of law rules.</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153275" cy="298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420"/>
          </w:cols>
          <w:pgMar w:left="980" w:top="342" w:right="499" w:bottom="1440" w:gutter="0" w:footer="0" w:header="0"/>
        </w:sectPr>
      </w:pPr>
    </w:p>
    <w:bookmarkStart w:id="694" w:name="page695"/>
    <w:bookmarkEnd w:id="694"/>
    <w:p>
      <w:pPr>
        <w:spacing w:after="0"/>
        <w:rPr>
          <w:sz w:val="20"/>
          <w:szCs w:val="20"/>
          <w:color w:val="auto"/>
        </w:rPr>
      </w:pPr>
      <w:r>
        <w:rPr>
          <w:rFonts w:ascii="Arial" w:cs="Arial" w:eastAsia="Arial" w:hAnsi="Arial"/>
          <w:sz w:val="16"/>
          <w:szCs w:val="16"/>
          <w:color w:val="auto"/>
        </w:rPr>
        <w:t>IN WITNESS WHEREOF, the parties hereto have executed this Sublease as of the date first above written.</w:t>
      </w:r>
    </w:p>
    <w:p>
      <w:pPr>
        <w:spacing w:after="0" w:line="24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SUBLANDLORD</w:t>
      </w:r>
      <w:r>
        <w:rPr>
          <w:rFonts w:ascii="Arial" w:cs="Arial" w:eastAsia="Arial" w:hAnsi="Arial"/>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LANDesk Software Inc.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Mark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Mark McBride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CFO</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SUBTENANT</w:t>
      </w:r>
      <w:r>
        <w:rPr>
          <w:rFonts w:ascii="Arial" w:cs="Arial" w:eastAsia="Arial" w:hAnsi="Arial"/>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Crowdstrike, Inc.</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Burt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326580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Burt Podbere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0139"/>
      </w:cols>
      <w:pgMar w:left="32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F8284B"/>
    <w:multiLevelType w:val="hybridMultilevel"/>
    <w:lvl w:ilvl="0">
      <w:lvlJc w:val="left"/>
      <w:lvlText w:val="(%1)"/>
      <w:numFmt w:val="decimal"/>
      <w:start w:val="1"/>
    </w:lvl>
  </w:abstractNum>
  <w:abstractNum w:abstractNumId="1">
    <w:nsid w:val="4FA327CE"/>
    <w:multiLevelType w:val="hybridMultilevel"/>
    <w:lvl w:ilvl="0">
      <w:lvlJc w:val="left"/>
      <w:lvlText w:val="(%1)"/>
      <w:numFmt w:val="decimal"/>
      <w:start w:val="1"/>
    </w:lvl>
  </w:abstractNum>
  <w:abstractNum w:abstractNumId="2">
    <w:nsid w:val="1873983A"/>
    <w:multiLevelType w:val="hybridMultilevel"/>
    <w:lvl w:ilvl="0">
      <w:lvlJc w:val="left"/>
      <w:lvlText w:val="•"/>
      <w:numFmt w:val="bullet"/>
      <w:start w:val="1"/>
    </w:lvl>
  </w:abstractNum>
  <w:abstractNum w:abstractNumId="3">
    <w:nsid w:val="3D2DD275"/>
    <w:multiLevelType w:val="hybridMultilevel"/>
    <w:lvl w:ilvl="0">
      <w:lvlJc w:val="left"/>
      <w:lvlText w:val="•"/>
      <w:numFmt w:val="bullet"/>
      <w:start w:val="1"/>
    </w:lvl>
  </w:abstractNum>
  <w:abstractNum w:abstractNumId="4">
    <w:nsid w:val="2E17ECA7"/>
    <w:multiLevelType w:val="hybridMultilevel"/>
    <w:lvl w:ilvl="0">
      <w:lvlJc w:val="left"/>
      <w:lvlText w:val="•"/>
      <w:numFmt w:val="bullet"/>
      <w:start w:val="1"/>
    </w:lvl>
  </w:abstractNum>
  <w:abstractNum w:abstractNumId="5">
    <w:nsid w:val="53B2564F"/>
    <w:multiLevelType w:val="hybridMultilevel"/>
    <w:lvl w:ilvl="0">
      <w:lvlJc w:val="left"/>
      <w:lvlText w:val="•"/>
      <w:numFmt w:val="bullet"/>
      <w:start w:val="1"/>
    </w:lvl>
  </w:abstractNum>
  <w:abstractNum w:abstractNumId="6">
    <w:nsid w:val="75509D76"/>
    <w:multiLevelType w:val="hybridMultilevel"/>
    <w:lvl w:ilvl="0">
      <w:lvlJc w:val="left"/>
      <w:lvlText w:val="•"/>
      <w:numFmt w:val="bullet"/>
      <w:start w:val="1"/>
    </w:lvl>
  </w:abstractNum>
  <w:abstractNum w:abstractNumId="7">
    <w:nsid w:val="1AF7F0EA"/>
    <w:multiLevelType w:val="hybridMultilevel"/>
    <w:lvl w:ilvl="0">
      <w:lvlJc w:val="left"/>
      <w:lvlText w:val="•"/>
      <w:numFmt w:val="bullet"/>
      <w:start w:val="1"/>
    </w:lvl>
  </w:abstractNum>
  <w:abstractNum w:abstractNumId="8">
    <w:nsid w:val="4DA32C7E"/>
    <w:multiLevelType w:val="hybridMultilevel"/>
    <w:lvl w:ilvl="0">
      <w:lvlJc w:val="left"/>
      <w:lvlText w:val="•"/>
      <w:numFmt w:val="bullet"/>
      <w:start w:val="1"/>
    </w:lvl>
  </w:abstractNum>
  <w:abstractNum w:abstractNumId="9">
    <w:nsid w:val="6EC68664"/>
    <w:multiLevelType w:val="hybridMultilevel"/>
    <w:lvl w:ilvl="0">
      <w:lvlJc w:val="left"/>
      <w:lvlText w:val="•"/>
      <w:numFmt w:val="bullet"/>
      <w:start w:val="1"/>
    </w:lvl>
  </w:abstractNum>
  <w:abstractNum w:abstractNumId="10">
    <w:nsid w:val="E0D31FF"/>
    <w:multiLevelType w:val="hybridMultilevel"/>
    <w:lvl w:ilvl="0">
      <w:lvlJc w:val="left"/>
      <w:lvlText w:val="•"/>
      <w:numFmt w:val="bullet"/>
      <w:start w:val="1"/>
    </w:lvl>
  </w:abstractNum>
  <w:abstractNum w:abstractNumId="11">
    <w:nsid w:val="2FD0AD81"/>
    <w:multiLevelType w:val="hybridMultilevel"/>
    <w:lvl w:ilvl="0">
      <w:lvlJc w:val="left"/>
      <w:lvlText w:val="(%1)"/>
      <w:numFmt w:val="decimal"/>
      <w:start w:val="2"/>
    </w:lvl>
  </w:abstractNum>
  <w:abstractNum w:abstractNumId="12">
    <w:nsid w:val="1978EBEB"/>
    <w:multiLevelType w:val="hybridMultilevel"/>
    <w:lvl w:ilvl="0">
      <w:lvlJc w:val="left"/>
      <w:lvlText w:val="(%1)"/>
      <w:numFmt w:val="decimal"/>
      <w:start w:val="1"/>
    </w:lvl>
  </w:abstractNum>
  <w:abstractNum w:abstractNumId="13">
    <w:nsid w:val="52C12C61"/>
    <w:multiLevelType w:val="hybridMultilevel"/>
    <w:lvl w:ilvl="0">
      <w:lvlJc w:val="left"/>
      <w:lvlText w:val="(%1)"/>
      <w:numFmt w:val="decimal"/>
      <w:start w:val="4"/>
    </w:lvl>
  </w:abstractNum>
  <w:abstractNum w:abstractNumId="14">
    <w:nsid w:val="4BDD53FD"/>
    <w:multiLevelType w:val="hybridMultilevel"/>
    <w:lvl w:ilvl="0">
      <w:lvlJc w:val="left"/>
      <w:lvlText w:val="•"/>
      <w:numFmt w:val="bullet"/>
      <w:start w:val="1"/>
    </w:lvl>
  </w:abstractNum>
  <w:abstractNum w:abstractNumId="15">
    <w:nsid w:val="569951FE"/>
    <w:multiLevelType w:val="hybridMultilevel"/>
    <w:lvl w:ilvl="0">
      <w:lvlJc w:val="left"/>
      <w:lvlText w:val="•"/>
      <w:numFmt w:val="bullet"/>
      <w:start w:val="1"/>
    </w:lvl>
  </w:abstractNum>
  <w:abstractNum w:abstractNumId="16">
    <w:nsid w:val="4C54E2C3"/>
    <w:multiLevelType w:val="hybridMultilevel"/>
    <w:lvl w:ilvl="0">
      <w:lvlJc w:val="left"/>
      <w:lvlText w:val="•"/>
      <w:numFmt w:val="bullet"/>
      <w:start w:val="1"/>
    </w:lvl>
  </w:abstractNum>
  <w:abstractNum w:abstractNumId="17">
    <w:nsid w:val="788BD9B"/>
    <w:multiLevelType w:val="hybridMultilevel"/>
    <w:lvl w:ilvl="0">
      <w:lvlJc w:val="left"/>
      <w:lvlText w:val="•"/>
      <w:numFmt w:val="bullet"/>
      <w:start w:val="1"/>
    </w:lvl>
  </w:abstractNum>
  <w:abstractNum w:abstractNumId="18">
    <w:nsid w:val="47CAA567"/>
    <w:multiLevelType w:val="hybridMultilevel"/>
    <w:lvl w:ilvl="0">
      <w:lvlJc w:val="left"/>
      <w:lvlText w:val="•"/>
      <w:numFmt w:val="bullet"/>
      <w:start w:val="1"/>
    </w:lvl>
  </w:abstractNum>
  <w:abstractNum w:abstractNumId="19">
    <w:nsid w:val="48249DBF"/>
    <w:multiLevelType w:val="hybridMultilevel"/>
    <w:lvl w:ilvl="0">
      <w:lvlJc w:val="left"/>
      <w:lvlText w:val="•"/>
      <w:numFmt w:val="bullet"/>
      <w:start w:val="1"/>
    </w:lvl>
  </w:abstractNum>
  <w:abstractNum w:abstractNumId="20">
    <w:nsid w:val="1F0E5D0D"/>
    <w:multiLevelType w:val="hybridMultilevel"/>
    <w:lvl w:ilvl="0">
      <w:lvlJc w:val="left"/>
      <w:lvlText w:val="•"/>
      <w:numFmt w:val="bullet"/>
      <w:start w:val="1"/>
    </w:lvl>
  </w:abstractNum>
  <w:abstractNum w:abstractNumId="21">
    <w:nsid w:val="26BAAE9"/>
    <w:multiLevelType w:val="hybridMultilevel"/>
    <w:lvl w:ilvl="0">
      <w:lvlJc w:val="left"/>
      <w:lvlText w:val="•"/>
      <w:numFmt w:val="bullet"/>
      <w:start w:val="1"/>
    </w:lvl>
  </w:abstractNum>
  <w:abstractNum w:abstractNumId="22">
    <w:nsid w:val="2C02FE8C"/>
    <w:multiLevelType w:val="hybridMultilevel"/>
    <w:lvl w:ilvl="0">
      <w:lvlJc w:val="left"/>
      <w:lvlText w:val="•"/>
      <w:numFmt w:val="bullet"/>
      <w:start w:val="1"/>
    </w:lvl>
  </w:abstractNum>
  <w:abstractNum w:abstractNumId="23">
    <w:nsid w:val="129517E"/>
    <w:multiLevelType w:val="hybridMultilevel"/>
    <w:lvl w:ilvl="0">
      <w:lvlJc w:val="left"/>
      <w:lvlText w:val="•"/>
      <w:numFmt w:val="bullet"/>
      <w:start w:val="1"/>
    </w:lvl>
  </w:abstractNum>
  <w:abstractNum w:abstractNumId="24">
    <w:nsid w:val="763B8C4E"/>
    <w:multiLevelType w:val="hybridMultilevel"/>
    <w:lvl w:ilvl="0">
      <w:lvlJc w:val="left"/>
      <w:lvlText w:val="•"/>
      <w:numFmt w:val="bullet"/>
      <w:start w:val="1"/>
    </w:lvl>
  </w:abstractNum>
  <w:abstractNum w:abstractNumId="25">
    <w:nsid w:val="4CFB8D32"/>
    <w:multiLevelType w:val="hybridMultilevel"/>
    <w:lvl w:ilvl="0">
      <w:lvlJc w:val="left"/>
      <w:lvlText w:val="•"/>
      <w:numFmt w:val="bullet"/>
      <w:start w:val="1"/>
    </w:lvl>
  </w:abstractNum>
  <w:abstractNum w:abstractNumId="26">
    <w:nsid w:val="62A5D5BD"/>
    <w:multiLevelType w:val="hybridMultilevel"/>
    <w:lvl w:ilvl="0">
      <w:lvlJc w:val="left"/>
      <w:lvlText w:val="•"/>
      <w:numFmt w:val="bullet"/>
      <w:start w:val="1"/>
    </w:lvl>
  </w:abstractNum>
  <w:abstractNum w:abstractNumId="27">
    <w:nsid w:val="718FABF9"/>
    <w:multiLevelType w:val="hybridMultilevel"/>
    <w:lvl w:ilvl="0">
      <w:lvlJc w:val="left"/>
      <w:lvlText w:val="•"/>
      <w:numFmt w:val="bullet"/>
      <w:start w:val="1"/>
    </w:lvl>
  </w:abstractNum>
  <w:abstractNum w:abstractNumId="28">
    <w:nsid w:val="7775797C"/>
    <w:multiLevelType w:val="hybridMultilevel"/>
    <w:lvl w:ilvl="0">
      <w:lvlJc w:val="left"/>
      <w:lvlText w:val="•"/>
      <w:numFmt w:val="bullet"/>
      <w:start w:val="1"/>
    </w:lvl>
  </w:abstractNum>
  <w:abstractNum w:abstractNumId="29">
    <w:nsid w:val="1626FB8C"/>
    <w:multiLevelType w:val="hybridMultilevel"/>
    <w:lvl w:ilvl="0">
      <w:lvlJc w:val="left"/>
      <w:lvlText w:val="•"/>
      <w:numFmt w:val="bullet"/>
      <w:start w:val="1"/>
    </w:lvl>
  </w:abstractNum>
  <w:abstractNum w:abstractNumId="30">
    <w:nsid w:val="3957756A"/>
    <w:multiLevelType w:val="hybridMultilevel"/>
    <w:lvl w:ilvl="0">
      <w:lvlJc w:val="left"/>
      <w:lvlText w:val="•"/>
      <w:numFmt w:val="bullet"/>
      <w:start w:val="1"/>
    </w:lvl>
  </w:abstractNum>
  <w:abstractNum w:abstractNumId="31">
    <w:nsid w:val="3E6DA1C7"/>
    <w:multiLevelType w:val="hybridMultilevel"/>
    <w:lvl w:ilvl="0">
      <w:lvlJc w:val="left"/>
      <w:lvlText w:val="•"/>
      <w:numFmt w:val="bullet"/>
      <w:start w:val="1"/>
    </w:lvl>
  </w:abstractNum>
  <w:abstractNum w:abstractNumId="32">
    <w:nsid w:val="65CA235B"/>
    <w:multiLevelType w:val="hybridMultilevel"/>
    <w:lvl w:ilvl="0">
      <w:lvlJc w:val="left"/>
      <w:lvlText w:val="•"/>
      <w:numFmt w:val="bullet"/>
      <w:start w:val="1"/>
    </w:lvl>
  </w:abstractNum>
  <w:abstractNum w:abstractNumId="33">
    <w:nsid w:val="51CB0DA4"/>
    <w:multiLevelType w:val="hybridMultilevel"/>
    <w:lvl w:ilvl="0">
      <w:lvlJc w:val="left"/>
      <w:lvlText w:val="•"/>
      <w:numFmt w:val="bullet"/>
      <w:start w:val="1"/>
    </w:lvl>
  </w:abstractNum>
  <w:abstractNum w:abstractNumId="34">
    <w:nsid w:val="7B9B743C"/>
    <w:multiLevelType w:val="hybridMultilevel"/>
    <w:lvl w:ilvl="0">
      <w:lvlJc w:val="left"/>
      <w:lvlText w:val="•"/>
      <w:numFmt w:val="bullet"/>
      <w:start w:val="1"/>
    </w:lvl>
  </w:abstractNum>
  <w:abstractNum w:abstractNumId="35">
    <w:nsid w:val="13E21002"/>
    <w:multiLevelType w:val="hybridMultilevel"/>
    <w:lvl w:ilvl="0">
      <w:lvlJc w:val="left"/>
      <w:lvlText w:val="•"/>
      <w:numFmt w:val="bullet"/>
      <w:start w:val="1"/>
    </w:lvl>
  </w:abstractNum>
  <w:abstractNum w:abstractNumId="36">
    <w:nsid w:val="257D63F4"/>
    <w:multiLevelType w:val="hybridMultilevel"/>
    <w:lvl w:ilvl="0">
      <w:lvlJc w:val="left"/>
      <w:lvlText w:val="•"/>
      <w:numFmt w:val="bullet"/>
      <w:start w:val="1"/>
    </w:lvl>
  </w:abstractNum>
  <w:abstractNum w:abstractNumId="37">
    <w:nsid w:val="70EC11B2"/>
    <w:multiLevelType w:val="hybridMultilevel"/>
    <w:lvl w:ilvl="0">
      <w:lvlJc w:val="left"/>
      <w:lvlText w:val="•"/>
      <w:numFmt w:val="bullet"/>
      <w:start w:val="1"/>
    </w:lvl>
  </w:abstractNum>
  <w:abstractNum w:abstractNumId="38">
    <w:nsid w:val="2EDA00ED"/>
    <w:multiLevelType w:val="hybridMultilevel"/>
    <w:lvl w:ilvl="0">
      <w:lvlJc w:val="left"/>
      <w:lvlText w:val="•"/>
      <w:numFmt w:val="bullet"/>
      <w:start w:val="1"/>
    </w:lvl>
  </w:abstractNum>
  <w:abstractNum w:abstractNumId="39">
    <w:nsid w:val="73209072"/>
    <w:multiLevelType w:val="hybridMultilevel"/>
    <w:lvl w:ilvl="0">
      <w:lvlJc w:val="left"/>
      <w:lvlText w:val="•"/>
      <w:numFmt w:val="bullet"/>
      <w:start w:val="1"/>
    </w:lvl>
    <w:lvl w:ilvl="1">
      <w:lvlJc w:val="left"/>
      <w:lvlText w:val="•"/>
      <w:numFmt w:val="bullet"/>
      <w:start w:val="1"/>
    </w:lvl>
  </w:abstractNum>
  <w:abstractNum w:abstractNumId="40">
    <w:nsid w:val="5FB29816"/>
    <w:multiLevelType w:val="hybridMultilevel"/>
    <w:lvl w:ilvl="0">
      <w:lvlJc w:val="left"/>
      <w:lvlText w:val="$"/>
      <w:numFmt w:val="bullet"/>
      <w:start w:val="1"/>
    </w:lvl>
  </w:abstractNum>
  <w:abstractNum w:abstractNumId="41">
    <w:nsid w:val="3CE732EC"/>
    <w:multiLevelType w:val="hybridMultilevel"/>
    <w:lvl w:ilvl="0">
      <w:lvlJc w:val="left"/>
      <w:lvlText w:val="$"/>
      <w:numFmt w:val="bullet"/>
      <w:start w:val="1"/>
    </w:lvl>
  </w:abstractNum>
  <w:abstractNum w:abstractNumId="42">
    <w:nsid w:val="22F13DF3"/>
    <w:multiLevelType w:val="hybridMultilevel"/>
    <w:lvl w:ilvl="0">
      <w:lvlJc w:val="left"/>
      <w:lvlText w:val="$"/>
      <w:numFmt w:val="bullet"/>
      <w:start w:val="1"/>
    </w:lvl>
  </w:abstractNum>
  <w:abstractNum w:abstractNumId="43">
    <w:nsid w:val="792B8401"/>
    <w:multiLevelType w:val="hybridMultilevel"/>
    <w:lvl w:ilvl="0">
      <w:lvlJc w:val="left"/>
      <w:lvlText w:val="$"/>
      <w:numFmt w:val="bullet"/>
      <w:start w:val="1"/>
    </w:lvl>
  </w:abstractNum>
  <w:abstractNum w:abstractNumId="44">
    <w:nsid w:val="FA85F4D"/>
    <w:multiLevelType w:val="hybridMultilevel"/>
    <w:lvl w:ilvl="0">
      <w:lvlJc w:val="left"/>
      <w:lvlText w:val="•"/>
      <w:numFmt w:val="bullet"/>
      <w:start w:val="1"/>
    </w:lvl>
    <w:lvl w:ilvl="1">
      <w:lvlJc w:val="left"/>
      <w:lvlText w:val="•"/>
      <w:numFmt w:val="bullet"/>
      <w:start w:val="1"/>
    </w:lvl>
  </w:abstractNum>
  <w:abstractNum w:abstractNumId="45">
    <w:nsid w:val="6ECE91F0"/>
    <w:multiLevelType w:val="hybridMultilevel"/>
    <w:lvl w:ilvl="0">
      <w:lvlJc w:val="left"/>
      <w:lvlText w:val="(%1)"/>
      <w:numFmt w:val="decimal"/>
      <w:start w:val="2"/>
    </w:lvl>
  </w:abstractNum>
  <w:abstractNum w:abstractNumId="46">
    <w:nsid w:val="4FC4D600"/>
    <w:multiLevelType w:val="hybridMultilevel"/>
    <w:lvl w:ilvl="0">
      <w:lvlJc w:val="left"/>
      <w:lvlText w:val="(%1)"/>
      <w:numFmt w:val="decimal"/>
      <w:start w:val="1"/>
    </w:lvl>
  </w:abstractNum>
  <w:abstractNum w:abstractNumId="47">
    <w:nsid w:val="5BFD4210"/>
    <w:multiLevelType w:val="hybridMultilevel"/>
    <w:lvl w:ilvl="0">
      <w:lvlJc w:val="left"/>
      <w:lvlText w:val="•"/>
      <w:numFmt w:val="bullet"/>
      <w:start w:val="1"/>
    </w:lvl>
  </w:abstractNum>
  <w:abstractNum w:abstractNumId="48">
    <w:nsid w:val="76574F8B"/>
    <w:multiLevelType w:val="hybridMultilevel"/>
    <w:lvl w:ilvl="0">
      <w:lvlJc w:val="left"/>
      <w:lvlText w:val="•"/>
      <w:numFmt w:val="bullet"/>
      <w:start w:val="1"/>
    </w:lvl>
  </w:abstractNum>
  <w:abstractNum w:abstractNumId="49">
    <w:nsid w:val="178F7B67"/>
    <w:multiLevelType w:val="hybridMultilevel"/>
    <w:lvl w:ilvl="0">
      <w:lvlJc w:val="left"/>
      <w:lvlText w:val="(%1)"/>
      <w:numFmt w:val="decimal"/>
      <w:start w:val="1"/>
    </w:lvl>
  </w:abstractNum>
  <w:abstractNum w:abstractNumId="50">
    <w:nsid w:val="2421DFCF"/>
    <w:multiLevelType w:val="hybridMultilevel"/>
    <w:lvl w:ilvl="0">
      <w:lvlJc w:val="left"/>
      <w:lvlText w:val="•"/>
      <w:numFmt w:val="bullet"/>
      <w:start w:val="1"/>
    </w:lvl>
  </w:abstractNum>
  <w:abstractNum w:abstractNumId="51">
    <w:nsid w:val="1565AC99"/>
    <w:multiLevelType w:val="hybridMultilevel"/>
    <w:lvl w:ilvl="0">
      <w:lvlJc w:val="left"/>
      <w:lvlText w:val="•"/>
      <w:numFmt w:val="bullet"/>
      <w:start w:val="1"/>
    </w:lvl>
  </w:abstractNum>
  <w:abstractNum w:abstractNumId="52">
    <w:nsid w:val="19FB2650"/>
    <w:multiLevelType w:val="hybridMultilevel"/>
    <w:lvl w:ilvl="0">
      <w:lvlJc w:val="left"/>
      <w:lvlText w:val="%1."/>
      <w:numFmt w:val="decimal"/>
      <w:start w:val="1"/>
    </w:lvl>
  </w:abstractNum>
  <w:abstractNum w:abstractNumId="53">
    <w:nsid w:val="5024DE5B"/>
    <w:multiLevelType w:val="hybridMultilevel"/>
    <w:lvl w:ilvl="0">
      <w:lvlJc w:val="left"/>
      <w:lvlText w:val="•"/>
      <w:numFmt w:val="bullet"/>
      <w:start w:val="1"/>
    </w:lvl>
  </w:abstractNum>
  <w:abstractNum w:abstractNumId="54">
    <w:nsid w:val="168EFE17"/>
    <w:multiLevelType w:val="hybridMultilevel"/>
    <w:lvl w:ilvl="0">
      <w:lvlJc w:val="left"/>
      <w:lvlText w:val="•"/>
      <w:numFmt w:val="bullet"/>
      <w:start w:val="1"/>
    </w:lvl>
  </w:abstractNum>
  <w:abstractNum w:abstractNumId="55">
    <w:nsid w:val="1036B29F"/>
    <w:multiLevelType w:val="hybridMultilevel"/>
    <w:lvl w:ilvl="0">
      <w:lvlJc w:val="left"/>
      <w:lvlText w:val="•"/>
      <w:numFmt w:val="bullet"/>
      <w:start w:val="1"/>
    </w:lvl>
  </w:abstractNum>
  <w:abstractNum w:abstractNumId="56">
    <w:nsid w:val="1D206B8E"/>
    <w:multiLevelType w:val="hybridMultilevel"/>
    <w:lvl w:ilvl="0">
      <w:lvlJc w:val="left"/>
      <w:lvlText w:val="•"/>
      <w:numFmt w:val="bullet"/>
      <w:start w:val="1"/>
    </w:lvl>
  </w:abstractNum>
  <w:abstractNum w:abstractNumId="57">
    <w:nsid w:val="7934D3D4"/>
    <w:multiLevelType w:val="hybridMultilevel"/>
    <w:lvl w:ilvl="0">
      <w:lvlJc w:val="left"/>
      <w:lvlText w:val="•"/>
      <w:numFmt w:val="bullet"/>
      <w:start w:val="1"/>
    </w:lvl>
  </w:abstractNum>
  <w:abstractNum w:abstractNumId="58">
    <w:nsid w:val="1C65E98"/>
    <w:multiLevelType w:val="hybridMultilevel"/>
    <w:lvl w:ilvl="0">
      <w:lvlJc w:val="left"/>
      <w:lvlText w:val="•"/>
      <w:numFmt w:val="bullet"/>
      <w:start w:val="1"/>
    </w:lvl>
  </w:abstractNum>
  <w:abstractNum w:abstractNumId="59">
    <w:nsid w:val="1495E50A"/>
    <w:multiLevelType w:val="hybridMultilevel"/>
    <w:lvl w:ilvl="0">
      <w:lvlJc w:val="left"/>
      <w:lvlText w:val="•"/>
      <w:numFmt w:val="bullet"/>
      <w:start w:val="1"/>
    </w:lvl>
  </w:abstractNum>
  <w:abstractNum w:abstractNumId="60">
    <w:nsid w:val="F5BCF61"/>
    <w:multiLevelType w:val="hybridMultilevel"/>
    <w:lvl w:ilvl="0">
      <w:lvlJc w:val="left"/>
      <w:lvlText w:val="•"/>
      <w:numFmt w:val="bullet"/>
      <w:start w:val="1"/>
    </w:lvl>
  </w:abstractNum>
  <w:abstractNum w:abstractNumId="61">
    <w:nsid w:val="3B1DD403"/>
    <w:multiLevelType w:val="hybridMultilevel"/>
    <w:lvl w:ilvl="0">
      <w:lvlJc w:val="left"/>
      <w:lvlText w:val="•"/>
      <w:numFmt w:val="bullet"/>
      <w:start w:val="1"/>
    </w:lvl>
  </w:abstractNum>
  <w:abstractNum w:abstractNumId="62">
    <w:nsid w:val="530386D1"/>
    <w:multiLevelType w:val="hybridMultilevel"/>
    <w:lvl w:ilvl="0">
      <w:lvlJc w:val="left"/>
      <w:lvlText w:val="•"/>
      <w:numFmt w:val="bullet"/>
      <w:start w:val="1"/>
    </w:lvl>
  </w:abstractNum>
  <w:abstractNum w:abstractNumId="63">
    <w:nsid w:val="7525F2BC"/>
    <w:multiLevelType w:val="hybridMultilevel"/>
    <w:lvl w:ilvl="0">
      <w:lvlJc w:val="left"/>
      <w:lvlText w:val="•"/>
      <w:numFmt w:val="bullet"/>
      <w:start w:val="1"/>
    </w:lvl>
  </w:abstractNum>
  <w:abstractNum w:abstractNumId="64">
    <w:nsid w:val="CE8E1A7"/>
    <w:multiLevelType w:val="hybridMultilevel"/>
    <w:lvl w:ilvl="0">
      <w:lvlJc w:val="left"/>
      <w:lvlText w:val="•"/>
      <w:numFmt w:val="bullet"/>
      <w:start w:val="1"/>
    </w:lvl>
  </w:abstractNum>
  <w:abstractNum w:abstractNumId="65">
    <w:nsid w:val="4E9EFB0D"/>
    <w:multiLevelType w:val="hybridMultilevel"/>
    <w:lvl w:ilvl="0">
      <w:lvlJc w:val="left"/>
      <w:lvlText w:val="."/>
      <w:numFmt w:val="bullet"/>
      <w:start w:val="1"/>
    </w:lvl>
  </w:abstractNum>
  <w:abstractNum w:abstractNumId="66">
    <w:nsid w:val="90802BE"/>
    <w:multiLevelType w:val="hybridMultilevel"/>
    <w:lvl w:ilvl="0">
      <w:lvlJc w:val="left"/>
      <w:lvlText w:val="•"/>
      <w:numFmt w:val="bullet"/>
      <w:start w:val="1"/>
    </w:lvl>
  </w:abstractNum>
  <w:abstractNum w:abstractNumId="67">
    <w:nsid w:val="3266459B"/>
    <w:multiLevelType w:val="hybridMultilevel"/>
    <w:lvl w:ilvl="0">
      <w:lvlJc w:val="left"/>
      <w:lvlText w:val="•"/>
      <w:numFmt w:val="bullet"/>
      <w:start w:val="1"/>
    </w:lvl>
  </w:abstractNum>
  <w:abstractNum w:abstractNumId="68">
    <w:nsid w:val="3F8B0CBF"/>
    <w:multiLevelType w:val="hybridMultilevel"/>
    <w:lvl w:ilvl="0">
      <w:lvlJc w:val="left"/>
      <w:lvlText w:val="•"/>
      <w:numFmt w:val="bullet"/>
      <w:start w:val="1"/>
    </w:lvl>
  </w:abstractNum>
  <w:abstractNum w:abstractNumId="69">
    <w:nsid w:val="37E203AB"/>
    <w:multiLevelType w:val="hybridMultilevel"/>
    <w:lvl w:ilvl="0">
      <w:lvlJc w:val="left"/>
      <w:lvlText w:val="•"/>
      <w:numFmt w:val="bullet"/>
      <w:start w:val="1"/>
    </w:lvl>
  </w:abstractNum>
  <w:abstractNum w:abstractNumId="70">
    <w:nsid w:val="2586D60E"/>
    <w:multiLevelType w:val="hybridMultilevel"/>
    <w:lvl w:ilvl="0">
      <w:lvlJc w:val="left"/>
      <w:lvlText w:val="(%1)"/>
      <w:numFmt w:val="decimal"/>
      <w:start w:val="1"/>
    </w:lvl>
  </w:abstractNum>
  <w:abstractNum w:abstractNumId="71">
    <w:nsid w:val="1F3DA4D5"/>
    <w:multiLevelType w:val="hybridMultilevel"/>
    <w:lvl w:ilvl="0">
      <w:lvlJc w:val="left"/>
      <w:lvlText w:val="%1"/>
      <w:numFmt w:val="decimal"/>
      <w:start w:val="1"/>
    </w:lvl>
    <w:lvl w:ilvl="1">
      <w:lvlJc w:val="left"/>
      <w:lvlText w:val="(%2)"/>
      <w:numFmt w:val="lowerLetter"/>
      <w:start w:val="1"/>
    </w:lvl>
  </w:abstractNum>
  <w:abstractNum w:abstractNumId="72">
    <w:nsid w:val="74C93698"/>
    <w:multiLevelType w:val="hybridMultilevel"/>
    <w:lvl w:ilvl="0">
      <w:lvlJc w:val="left"/>
      <w:lvlText w:val="(%1)"/>
      <w:numFmt w:val="decimal"/>
      <w:start w:val="3"/>
    </w:lvl>
    <w:lvl w:ilvl="1">
      <w:lvlJc w:val="left"/>
      <w:lvlText w:val="%2"/>
      <w:numFmt w:val="lowerLetter"/>
      <w:start w:val="1"/>
    </w:lvl>
  </w:abstractNum>
  <w:abstractNum w:abstractNumId="73">
    <w:nsid w:val="48781401"/>
    <w:multiLevelType w:val="hybridMultilevel"/>
    <w:lvl w:ilvl="0">
      <w:lvlJc w:val="left"/>
      <w:lvlText w:val="(%1)"/>
      <w:numFmt w:val="decimal"/>
      <w:start w:val="1"/>
    </w:lvl>
  </w:abstractNum>
  <w:abstractNum w:abstractNumId="74">
    <w:nsid w:val="186928D6"/>
    <w:multiLevelType w:val="hybridMultilevel"/>
    <w:lvl w:ilvl="0">
      <w:lvlJc w:val="left"/>
      <w:lvlText w:val="(%1)"/>
      <w:numFmt w:val="decimal"/>
      <w:start w:val="1"/>
    </w:lvl>
  </w:abstractNum>
  <w:abstractNum w:abstractNumId="75">
    <w:nsid w:val="47195E5"/>
    <w:multiLevelType w:val="hybridMultilevel"/>
    <w:lvl w:ilvl="0">
      <w:lvlJc w:val="left"/>
      <w:lvlText w:val="•"/>
      <w:numFmt w:val="bullet"/>
      <w:start w:val="1"/>
    </w:lvl>
  </w:abstractNum>
  <w:abstractNum w:abstractNumId="76">
    <w:nsid w:val="3746A5F2"/>
    <w:multiLevelType w:val="hybridMultilevel"/>
    <w:lvl w:ilvl="0">
      <w:lvlJc w:val="left"/>
      <w:lvlText w:val="(%1)"/>
      <w:numFmt w:val="lowerRoman"/>
      <w:start w:val="1"/>
    </w:lvl>
  </w:abstractNum>
  <w:abstractNum w:abstractNumId="77">
    <w:nsid w:val="682DFED6"/>
    <w:multiLevelType w:val="hybridMultilevel"/>
    <w:lvl w:ilvl="0">
      <w:lvlJc w:val="left"/>
      <w:lvlText w:val="$"/>
      <w:numFmt w:val="bullet"/>
      <w:start w:val="1"/>
    </w:lvl>
  </w:abstractNum>
  <w:abstractNum w:abstractNumId="78">
    <w:nsid w:val="606ED7F6"/>
    <w:multiLevelType w:val="hybridMultilevel"/>
    <w:lvl w:ilvl="0">
      <w:lvlJc w:val="left"/>
      <w:lvlText w:val="•"/>
      <w:numFmt w:val="bullet"/>
      <w:start w:val="1"/>
    </w:lvl>
  </w:abstractNum>
  <w:abstractNum w:abstractNumId="79">
    <w:nsid w:val="2D9DF57D"/>
    <w:multiLevelType w:val="hybridMultilevel"/>
    <w:lvl w:ilvl="0">
      <w:lvlJc w:val="left"/>
      <w:lvlText w:val="•"/>
      <w:numFmt w:val="bullet"/>
      <w:start w:val="1"/>
    </w:lvl>
  </w:abstractNum>
  <w:abstractNum w:abstractNumId="80">
    <w:nsid w:val="7FBD7A3E"/>
    <w:multiLevelType w:val="hybridMultilevel"/>
    <w:lvl w:ilvl="0">
      <w:lvlJc w:val="left"/>
      <w:lvlText w:val="•"/>
      <w:numFmt w:val="bullet"/>
      <w:start w:val="1"/>
    </w:lvl>
  </w:abstractNum>
  <w:abstractNum w:abstractNumId="81">
    <w:nsid w:val="490B7C5"/>
    <w:multiLevelType w:val="hybridMultilevel"/>
    <w:lvl w:ilvl="0">
      <w:lvlJc w:val="left"/>
      <w:lvlText w:val="(%1)"/>
      <w:numFmt w:val="decimal"/>
      <w:start w:val="1"/>
    </w:lvl>
  </w:abstractNum>
  <w:abstractNum w:abstractNumId="82">
    <w:nsid w:val="4303A216"/>
    <w:multiLevelType w:val="hybridMultilevel"/>
    <w:lvl w:ilvl="0">
      <w:lvlJc w:val="left"/>
      <w:lvlText w:val="(%1)"/>
      <w:numFmt w:val="decimal"/>
      <w:start w:val="1"/>
    </w:lvl>
  </w:abstractNum>
  <w:abstractNum w:abstractNumId="83">
    <w:nsid w:val="19B8A08E"/>
    <w:multiLevelType w:val="hybridMultilevel"/>
    <w:lvl w:ilvl="0">
      <w:lvlJc w:val="left"/>
      <w:lvlText w:val="•"/>
      <w:numFmt w:val="bullet"/>
      <w:start w:val="1"/>
    </w:lvl>
  </w:abstractNum>
  <w:abstractNum w:abstractNumId="84">
    <w:nsid w:val="54B59621"/>
    <w:multiLevelType w:val="hybridMultilevel"/>
    <w:lvl w:ilvl="0">
      <w:lvlJc w:val="left"/>
      <w:lvlText w:val="•"/>
      <w:numFmt w:val="bullet"/>
      <w:start w:val="1"/>
    </w:lvl>
  </w:abstractNum>
  <w:abstractNum w:abstractNumId="85">
    <w:nsid w:val="5992A02E"/>
    <w:multiLevelType w:val="hybridMultilevel"/>
    <w:lvl w:ilvl="0">
      <w:lvlJc w:val="left"/>
      <w:lvlText w:val="*"/>
      <w:numFmt w:val="bullet"/>
      <w:start w:val="1"/>
    </w:lvl>
  </w:abstractNum>
  <w:abstractNum w:abstractNumId="86">
    <w:nsid w:val="29EF532D"/>
    <w:multiLevelType w:val="hybridMultilevel"/>
    <w:lvl w:ilvl="0">
      <w:lvlJc w:val="left"/>
      <w:lvlText w:val="(%1)"/>
      <w:numFmt w:val="decimal"/>
      <w:start w:val="1"/>
    </w:lvl>
  </w:abstractNum>
  <w:abstractNum w:abstractNumId="87">
    <w:nsid w:val="71D601AF"/>
    <w:multiLevelType w:val="hybridMultilevel"/>
    <w:lvl w:ilvl="0">
      <w:lvlJc w:val="left"/>
      <w:lvlText w:val="(%1)"/>
      <w:numFmt w:val="decimal"/>
      <w:start w:val="3"/>
    </w:lvl>
    <w:lvl w:ilvl="1">
      <w:lvlJc w:val="left"/>
      <w:lvlText w:val="(%2)"/>
      <w:numFmt w:val="lowerRoman"/>
      <w:start w:val="2"/>
    </w:lvl>
  </w:abstractNum>
  <w:abstractNum w:abstractNumId="88">
    <w:nsid w:val="52C77402"/>
    <w:multiLevelType w:val="hybridMultilevel"/>
    <w:lvl w:ilvl="0">
      <w:lvlJc w:val="left"/>
      <w:lvlText w:val="•"/>
      <w:numFmt w:val="bullet"/>
      <w:start w:val="1"/>
    </w:lvl>
  </w:abstractNum>
  <w:abstractNum w:abstractNumId="89">
    <w:nsid w:val="2BB5B1C6"/>
    <w:multiLevelType w:val="hybridMultilevel"/>
    <w:lvl w:ilvl="0">
      <w:lvlJc w:val="left"/>
      <w:lvlText w:val="•"/>
      <w:numFmt w:val="bullet"/>
      <w:start w:val="1"/>
    </w:lvl>
  </w:abstractNum>
  <w:abstractNum w:abstractNumId="90">
    <w:nsid w:val="66BE6B9"/>
    <w:multiLevelType w:val="hybridMultilevel"/>
    <w:lvl w:ilvl="0">
      <w:lvlJc w:val="left"/>
      <w:lvlText w:val="•"/>
      <w:numFmt w:val="bullet"/>
      <w:start w:val="1"/>
    </w:lvl>
  </w:abstractNum>
  <w:abstractNum w:abstractNumId="91">
    <w:nsid w:val="62234363"/>
    <w:multiLevelType w:val="hybridMultilevel"/>
    <w:lvl w:ilvl="0">
      <w:lvlJc w:val="left"/>
      <w:lvlText w:val="•"/>
      <w:numFmt w:val="bullet"/>
      <w:start w:val="1"/>
    </w:lvl>
  </w:abstractNum>
  <w:abstractNum w:abstractNumId="92">
    <w:nsid w:val="66D385C9"/>
    <w:multiLevelType w:val="hybridMultilevel"/>
    <w:lvl w:ilvl="0">
      <w:lvlJc w:val="left"/>
      <w:lvlText w:val="•"/>
      <w:numFmt w:val="bullet"/>
      <w:start w:val="1"/>
    </w:lvl>
  </w:abstractNum>
  <w:abstractNum w:abstractNumId="93">
    <w:nsid w:val="596F6D8A"/>
    <w:multiLevelType w:val="hybridMultilevel"/>
    <w:lvl w:ilvl="0">
      <w:lvlJc w:val="left"/>
      <w:lvlText w:val="•"/>
      <w:numFmt w:val="bullet"/>
      <w:start w:val="1"/>
    </w:lvl>
  </w:abstractNum>
  <w:abstractNum w:abstractNumId="94">
    <w:nsid w:val="5749361F"/>
    <w:multiLevelType w:val="hybridMultilevel"/>
    <w:lvl w:ilvl="0">
      <w:lvlJc w:val="left"/>
      <w:lvlText w:val="%1)"/>
      <w:numFmt w:val="lowerLetter"/>
      <w:start w:val="1"/>
    </w:lvl>
  </w:abstractNum>
  <w:abstractNum w:abstractNumId="95">
    <w:nsid w:val="73BC6770"/>
    <w:multiLevelType w:val="hybridMultilevel"/>
    <w:lvl w:ilvl="0">
      <w:lvlJc w:val="left"/>
      <w:lvlText w:val="%1."/>
      <w:numFmt w:val="decimal"/>
      <w:start w:val="2"/>
    </w:lvl>
  </w:abstractNum>
  <w:abstractNum w:abstractNumId="96">
    <w:nsid w:val="280E6897"/>
    <w:multiLevelType w:val="hybridMultilevel"/>
    <w:lvl w:ilvl="0">
      <w:lvlJc w:val="left"/>
      <w:lvlText w:val="(%1)"/>
      <w:numFmt w:val="decimal"/>
      <w:start w:val="2"/>
    </w:lvl>
  </w:abstractNum>
  <w:abstractNum w:abstractNumId="97">
    <w:nsid w:val="605138DE"/>
    <w:multiLevelType w:val="hybridMultilevel"/>
    <w:lvl w:ilvl="0">
      <w:lvlJc w:val="left"/>
      <w:lvlText w:val="(%1)"/>
      <w:numFmt w:val="decimal"/>
      <w:start w:val="1"/>
    </w:lvl>
  </w:abstractNum>
  <w:abstractNum w:abstractNumId="98">
    <w:nsid w:val="2622AD0C"/>
    <w:multiLevelType w:val="hybridMultilevel"/>
    <w:lvl w:ilvl="0">
      <w:lvlJc w:val="left"/>
      <w:lvlText w:val="(%1)"/>
      <w:numFmt w:val="lowerLetter"/>
      <w:start w:val="2"/>
    </w:lvl>
  </w:abstractNum>
  <w:abstractNum w:abstractNumId="99">
    <w:nsid w:val="67997556"/>
    <w:multiLevelType w:val="hybridMultilevel"/>
    <w:lvl w:ilvl="0">
      <w:lvlJc w:val="left"/>
      <w:lvlText w:val="(%1)"/>
      <w:numFmt w:val="lowerRoman"/>
      <w:start w:val="1"/>
    </w:lvl>
  </w:abstractNum>
  <w:abstractNum w:abstractNumId="100">
    <w:nsid w:val="18333C89"/>
    <w:multiLevelType w:val="hybridMultilevel"/>
    <w:lvl w:ilvl="0">
      <w:lvlJc w:val="left"/>
      <w:lvlText w:val="(%1)"/>
      <w:numFmt w:val="decimal"/>
      <w:start w:val="1"/>
    </w:lvl>
  </w:abstractNum>
  <w:abstractNum w:abstractNumId="101">
    <w:nsid w:val="4BA9831A"/>
    <w:multiLevelType w:val="hybridMultilevel"/>
    <w:lvl w:ilvl="0">
      <w:lvlJc w:val="left"/>
      <w:lvlText w:val="%1."/>
      <w:numFmt w:val="decimal"/>
      <w:start w:val="10"/>
    </w:lvl>
  </w:abstractNum>
  <w:abstractNum w:abstractNumId="102">
    <w:nsid w:val="6D71A2B"/>
    <w:multiLevelType w:val="hybridMultilevel"/>
    <w:lvl w:ilvl="0">
      <w:lvlJc w:val="left"/>
      <w:lvlText w:val="%1."/>
      <w:numFmt w:val="decimal"/>
      <w:start w:val="12"/>
    </w:lvl>
  </w:abstractNum>
  <w:abstractNum w:abstractNumId="103">
    <w:nsid w:val="CFC7321"/>
    <w:multiLevelType w:val="hybridMultilevel"/>
    <w:lvl w:ilvl="0">
      <w:lvlJc w:val="left"/>
      <w:lvlText w:val="$"/>
      <w:numFmt w:val="bullet"/>
      <w:start w:val="1"/>
    </w:lvl>
  </w:abstractNum>
  <w:abstractNum w:abstractNumId="104">
    <w:nsid w:val="1421971B"/>
    <w:multiLevelType w:val="hybridMultilevel"/>
    <w:lvl w:ilvl="0">
      <w:lvlJc w:val="left"/>
      <w:lvlText w:val="$"/>
      <w:numFmt w:val="bullet"/>
      <w:start w:val="1"/>
    </w:lvl>
  </w:abstractNum>
  <w:abstractNum w:abstractNumId="105">
    <w:nsid w:val="1F404301"/>
    <w:multiLevelType w:val="hybridMultilevel"/>
    <w:lvl w:ilvl="0">
      <w:lvlJc w:val="left"/>
      <w:lvlText w:val="*"/>
      <w:numFmt w:val="bullet"/>
      <w:start w:val="1"/>
    </w:lvl>
  </w:abstractNum>
  <w:abstractNum w:abstractNumId="106">
    <w:nsid w:val="116E0907"/>
    <w:multiLevelType w:val="hybridMultilevel"/>
    <w:lvl w:ilvl="0">
      <w:lvlJc w:val="left"/>
      <w:lvlText w:val="•"/>
      <w:numFmt w:val="bullet"/>
      <w:start w:val="1"/>
    </w:lvl>
  </w:abstractNum>
  <w:abstractNum w:abstractNumId="107">
    <w:nsid w:val="4B683D0D"/>
    <w:multiLevelType w:val="hybridMultilevel"/>
    <w:lvl w:ilvl="0">
      <w:lvlJc w:val="left"/>
      <w:lvlText w:val="•"/>
      <w:numFmt w:val="bullet"/>
      <w:start w:val="1"/>
    </w:lvl>
  </w:abstractNum>
  <w:abstractNum w:abstractNumId="108">
    <w:nsid w:val="76E41D8"/>
    <w:multiLevelType w:val="hybridMultilevel"/>
    <w:lvl w:ilvl="0">
      <w:lvlJc w:val="left"/>
      <w:lvlText w:val="•"/>
      <w:numFmt w:val="bullet"/>
      <w:start w:val="1"/>
    </w:lvl>
  </w:abstractNum>
  <w:abstractNum w:abstractNumId="109">
    <w:nsid w:val="71DCE0FD"/>
    <w:multiLevelType w:val="hybridMultilevel"/>
    <w:lvl w:ilvl="0">
      <w:lvlJc w:val="left"/>
      <w:lvlText w:val="(%1)"/>
      <w:numFmt w:val="lowerLetter"/>
      <w:start w:val="1"/>
    </w:lvl>
  </w:abstractNum>
  <w:abstractNum w:abstractNumId="110">
    <w:nsid w:val="7906328B"/>
    <w:multiLevelType w:val="hybridMultilevel"/>
    <w:lvl w:ilvl="0">
      <w:lvlJc w:val="left"/>
      <w:lvlText w:val="(%1)"/>
      <w:numFmt w:val="lowerLetter"/>
      <w:start w:val="2"/>
    </w:lvl>
  </w:abstractNum>
  <w:abstractNum w:abstractNumId="111">
    <w:nsid w:val="72BBC16"/>
    <w:multiLevelType w:val="hybridMultilevel"/>
    <w:lvl w:ilvl="0">
      <w:lvlJc w:val="left"/>
      <w:lvlText w:val="(%1)"/>
      <w:numFmt w:val="decimal"/>
      <w:start w:val="1"/>
    </w:lvl>
  </w:abstractNum>
  <w:abstractNum w:abstractNumId="112">
    <w:nsid w:val="766D98C2"/>
    <w:multiLevelType w:val="hybridMultilevel"/>
    <w:lvl w:ilvl="0">
      <w:lvlJc w:val="left"/>
      <w:lvlText w:val="*"/>
      <w:numFmt w:val="bullet"/>
      <w:start w:val="1"/>
    </w:lvl>
  </w:abstractNum>
  <w:abstractNum w:abstractNumId="113">
    <w:nsid w:val="3C09D4A1"/>
    <w:multiLevelType w:val="hybridMultilevel"/>
    <w:lvl w:ilvl="0">
      <w:lvlJc w:val="left"/>
      <w:lvlText w:val="+"/>
      <w:numFmt w:val="bullet"/>
      <w:start w:val="1"/>
    </w:lvl>
  </w:abstractNum>
  <w:abstractNum w:abstractNumId="114">
    <w:nsid w:val="20E45CA4"/>
    <w:multiLevelType w:val="hybridMultilevel"/>
    <w:lvl w:ilvl="0">
      <w:lvlJc w:val="left"/>
      <w:lvlText w:val="%1."/>
      <w:numFmt w:val="decimal"/>
      <w:start w:val="1"/>
    </w:lvl>
  </w:abstractNum>
  <w:abstractNum w:abstractNumId="115">
    <w:nsid w:val="4B232EE3"/>
    <w:multiLevelType w:val="hybridMultilevel"/>
    <w:lvl w:ilvl="0">
      <w:lvlJc w:val="left"/>
      <w:lvlText w:val="%1."/>
      <w:numFmt w:val="upperLetter"/>
      <w:start w:val="1"/>
    </w:lvl>
    <w:lvl w:ilvl="1">
      <w:lvlJc w:val="left"/>
      <w:lvlText w:val="%2."/>
      <w:numFmt w:val="decimal"/>
      <w:start w:val="1"/>
    </w:lvl>
  </w:abstractNum>
  <w:abstractNum w:abstractNumId="116">
    <w:nsid w:val="159C74CF"/>
    <w:multiLevelType w:val="hybridMultilevel"/>
    <w:lvl w:ilvl="0">
      <w:lvlJc w:val="left"/>
      <w:lvlText w:val="%1"/>
      <w:numFmt w:val="upperLetter"/>
      <w:start w:val="1"/>
    </w:lvl>
    <w:lvl w:ilvl="1">
      <w:lvlJc w:val="left"/>
      <w:lvlText w:val="%2."/>
      <w:numFmt w:val="decimal"/>
      <w:start w:val="2"/>
    </w:lvl>
  </w:abstractNum>
  <w:abstractNum w:abstractNumId="117">
    <w:nsid w:val="4AD3AFD2"/>
    <w:multiLevelType w:val="hybridMultilevel"/>
    <w:lvl w:ilvl="0">
      <w:lvlJc w:val="left"/>
      <w:lvlText w:val="%1."/>
      <w:numFmt w:val="upperLetter"/>
      <w:start w:val="2"/>
    </w:lvl>
    <w:lvl w:ilvl="1">
      <w:lvlJc w:val="left"/>
      <w:lvlText w:val="%2"/>
      <w:numFmt w:val="decimal"/>
      <w:start w:val="1"/>
    </w:lvl>
  </w:abstractNum>
  <w:abstractNum w:abstractNumId="118">
    <w:nsid w:val="3CF93092"/>
    <w:multiLevelType w:val="hybridMultilevel"/>
    <w:lvl w:ilvl="0">
      <w:lvlJc w:val="left"/>
      <w:lvlText w:val="%1."/>
      <w:numFmt w:val="decimal"/>
      <w:start w:val="1"/>
    </w:lvl>
  </w:abstractNum>
  <w:abstractNum w:abstractNumId="119">
    <w:nsid w:val="6863E8D2"/>
    <w:multiLevelType w:val="hybridMultilevel"/>
    <w:lvl w:ilvl="0">
      <w:lvlJc w:val="left"/>
      <w:lvlText w:val="%1."/>
      <w:numFmt w:val="decimal"/>
      <w:start w:val="2"/>
    </w:lvl>
  </w:abstractNum>
  <w:abstractNum w:abstractNumId="120">
    <w:nsid w:val="76896198"/>
    <w:multiLevelType w:val="hybridMultilevel"/>
    <w:lvl w:ilvl="0">
      <w:lvlJc w:val="left"/>
      <w:lvlText w:val="(%1)"/>
      <w:numFmt w:val="lowerLetter"/>
      <w:start w:val="1"/>
    </w:lvl>
  </w:abstractNum>
  <w:abstractNum w:abstractNumId="121">
    <w:nsid w:val="4365174B"/>
    <w:multiLevelType w:val="hybridMultilevel"/>
    <w:lvl w:ilvl="0">
      <w:lvlJc w:val="left"/>
      <w:lvlText w:val="%1"/>
      <w:numFmt w:val="decimal"/>
      <w:start w:val="1"/>
    </w:lvl>
    <w:lvl w:ilvl="1">
      <w:lvlJc w:val="left"/>
      <w:lvlText w:val="(%2)"/>
      <w:numFmt w:val="lowerLetter"/>
      <w:start w:val="1"/>
    </w:lvl>
  </w:abstractNum>
  <w:abstractNum w:abstractNumId="122">
    <w:nsid w:val="4A872C35"/>
    <w:multiLevelType w:val="hybridMultilevel"/>
    <w:lvl w:ilvl="0">
      <w:lvlJc w:val="left"/>
      <w:lvlText w:val="(%1)"/>
      <w:numFmt w:val="decimal"/>
      <w:start w:val="1"/>
    </w:lvl>
    <w:lvl w:ilvl="1">
      <w:lvlJc w:val="left"/>
      <w:lvlText w:val="(%2)"/>
      <w:numFmt w:val="lowerLetter"/>
      <w:start w:val="3"/>
    </w:lvl>
  </w:abstractNum>
  <w:abstractNum w:abstractNumId="123">
    <w:nsid w:val="5D5CE761"/>
    <w:multiLevelType w:val="hybridMultilevel"/>
    <w:lvl w:ilvl="0">
      <w:lvlJc w:val="left"/>
      <w:lvlText w:val="(%1)"/>
      <w:numFmt w:val="decimal"/>
      <w:start w:val="1"/>
    </w:lvl>
  </w:abstractNum>
  <w:abstractNum w:abstractNumId="124">
    <w:nsid w:val="1CD484D5"/>
    <w:multiLevelType w:val="hybridMultilevel"/>
    <w:lvl w:ilvl="0">
      <w:lvlJc w:val="left"/>
      <w:lvlText w:val="(%1)"/>
      <w:numFmt w:val="lowerLetter"/>
      <w:start w:val="1"/>
    </w:lvl>
  </w:abstractNum>
  <w:abstractNum w:abstractNumId="125">
    <w:nsid w:val="21D06255"/>
    <w:multiLevelType w:val="hybridMultilevel"/>
    <w:lvl w:ilvl="0">
      <w:lvlJc w:val="left"/>
      <w:lvlText w:val="%1."/>
      <w:numFmt w:val="decimal"/>
      <w:start w:val="3"/>
    </w:lvl>
  </w:abstractNum>
  <w:abstractNum w:abstractNumId="126">
    <w:nsid w:val="51194ED1"/>
    <w:multiLevelType w:val="hybridMultilevel"/>
    <w:lvl w:ilvl="0">
      <w:lvlJc w:val="left"/>
      <w:lvlText w:val="(%1)"/>
      <w:numFmt w:val="lowerLetter"/>
      <w:start w:val="1"/>
    </w:lvl>
  </w:abstractNum>
  <w:abstractNum w:abstractNumId="127">
    <w:nsid w:val="44E2ED6C"/>
    <w:multiLevelType w:val="hybridMultilevel"/>
    <w:lvl w:ilvl="0">
      <w:lvlJc w:val="left"/>
      <w:lvlText w:val="(%1)"/>
      <w:numFmt w:val="lowerLetter"/>
      <w:start w:val="9"/>
    </w:lvl>
  </w:abstractNum>
  <w:abstractNum w:abstractNumId="128">
    <w:nsid w:val="2219B33"/>
    <w:multiLevelType w:val="hybridMultilevel"/>
    <w:lvl w:ilvl="0">
      <w:lvlJc w:val="left"/>
      <w:lvlText w:val="(%1)"/>
      <w:numFmt w:val="lowerLetter"/>
      <w:start w:val="2"/>
    </w:lvl>
    <w:lvl w:ilvl="1">
      <w:lvlJc w:val="left"/>
      <w:lvlText w:val="(%2)"/>
      <w:numFmt w:val="lowerLetter"/>
      <w:start w:val="14"/>
    </w:lvl>
  </w:abstractNum>
  <w:abstractNum w:abstractNumId="129">
    <w:nsid w:val="773BFBDD"/>
    <w:multiLevelType w:val="hybridMultilevel"/>
    <w:lvl w:ilvl="0">
      <w:lvlJc w:val="left"/>
      <w:lvlText w:val="(%1)"/>
      <w:numFmt w:val="lowerLetter"/>
      <w:start w:val="1"/>
    </w:lvl>
  </w:abstractNum>
  <w:abstractNum w:abstractNumId="130">
    <w:nsid w:val="2C7C62C2"/>
    <w:multiLevelType w:val="hybridMultilevel"/>
    <w:lvl w:ilvl="0">
      <w:lvlJc w:val="left"/>
      <w:lvlText w:val="(%1)"/>
      <w:numFmt w:val="lowerLetter"/>
      <w:start w:val="1"/>
    </w:lvl>
  </w:abstractNum>
  <w:abstractNum w:abstractNumId="131">
    <w:nsid w:val="1A54D7BC"/>
    <w:multiLevelType w:val="hybridMultilevel"/>
    <w:lvl w:ilvl="0">
      <w:lvlJc w:val="left"/>
      <w:lvlText w:val="(%1)"/>
      <w:numFmt w:val="lowerLetter"/>
      <w:start w:val="2"/>
    </w:lvl>
  </w:abstractNum>
  <w:abstractNum w:abstractNumId="132">
    <w:nsid w:val="42E57EF7"/>
    <w:multiLevelType w:val="hybridMultilevel"/>
    <w:lvl w:ilvl="0">
      <w:lvlJc w:val="left"/>
      <w:lvlText w:val="(%1)"/>
      <w:numFmt w:val="lowerLetter"/>
      <w:start w:val="1"/>
    </w:lvl>
  </w:abstractNum>
  <w:abstractNum w:abstractNumId="133">
    <w:nsid w:val="33537CED"/>
    <w:multiLevelType w:val="hybridMultilevel"/>
    <w:lvl w:ilvl="0">
      <w:lvlJc w:val="left"/>
      <w:lvlText w:val="(%1)"/>
      <w:numFmt w:val="lowerLetter"/>
      <w:start w:val="1"/>
    </w:lvl>
  </w:abstractNum>
  <w:abstractNum w:abstractNumId="134">
    <w:nsid w:val="27514AD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5">
    <w:nsid w:val="57071613"/>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136">
    <w:nsid w:val="5293BFEF"/>
    <w:multiLevelType w:val="hybridMultilevel"/>
    <w:lvl w:ilvl="0">
      <w:lvlJc w:val="left"/>
      <w:lvlText w:val="(%1)"/>
      <w:numFmt w:val="lowerLetter"/>
      <w:start w:val="2"/>
    </w:lvl>
  </w:abstractNum>
  <w:abstractNum w:abstractNumId="137">
    <w:nsid w:val="38BF53E5"/>
    <w:multiLevelType w:val="hybridMultilevel"/>
    <w:lvl w:ilvl="0">
      <w:lvlJc w:val="left"/>
      <w:lvlText w:val="(%1)"/>
      <w:numFmt w:val="lowerLetter"/>
      <w:start w:val="1"/>
    </w:lvl>
  </w:abstractNum>
  <w:abstractNum w:abstractNumId="138">
    <w:nsid w:val="226F5320"/>
    <w:multiLevelType w:val="hybridMultilevel"/>
    <w:lvl w:ilvl="0">
      <w:lvlJc w:val="left"/>
      <w:lvlText w:val="(%1)"/>
      <w:numFmt w:val="lowerRoman"/>
      <w:start w:val="1"/>
    </w:lvl>
  </w:abstractNum>
  <w:abstractNum w:abstractNumId="139">
    <w:nsid w:val="5A0201C7"/>
    <w:multiLevelType w:val="hybridMultilevel"/>
    <w:lvl w:ilvl="0">
      <w:lvlJc w:val="left"/>
      <w:lvlText w:val="(%1)"/>
      <w:numFmt w:val="lowerRoman"/>
      <w:start w:val="6"/>
    </w:lvl>
  </w:abstractNum>
  <w:abstractNum w:abstractNumId="140">
    <w:nsid w:val="2A9C34E2"/>
    <w:multiLevelType w:val="hybridMultilevel"/>
    <w:lvl w:ilvl="0">
      <w:lvlJc w:val="left"/>
      <w:lvlText w:val="(%1)"/>
      <w:numFmt w:val="lowerLetter"/>
      <w:start w:val="2"/>
    </w:lvl>
  </w:abstractNum>
  <w:abstractNum w:abstractNumId="141">
    <w:nsid w:val="1B7585AB"/>
    <w:multiLevelType w:val="hybridMultilevel"/>
    <w:lvl w:ilvl="0">
      <w:lvlJc w:val="left"/>
      <w:lvlText w:val="(%1)"/>
      <w:numFmt w:val="lowerLetter"/>
      <w:start w:val="1"/>
    </w:lvl>
  </w:abstractNum>
  <w:abstractNum w:abstractNumId="142">
    <w:nsid w:val="612DBDDD"/>
    <w:multiLevelType w:val="hybridMultilevel"/>
    <w:lvl w:ilvl="0">
      <w:lvlJc w:val="left"/>
      <w:lvlText w:val="(%1)"/>
      <w:numFmt w:val="lowerLetter"/>
      <w:start w:val="2"/>
    </w:lvl>
  </w:abstractNum>
  <w:abstractNum w:abstractNumId="143">
    <w:nsid w:val="2109CDA4"/>
    <w:multiLevelType w:val="hybridMultilevel"/>
    <w:lvl w:ilvl="0">
      <w:lvlJc w:val="left"/>
      <w:lvlText w:val="(%1)"/>
      <w:numFmt w:val="lowerLetter"/>
      <w:start w:val="1"/>
    </w:lvl>
  </w:abstractNum>
  <w:abstractNum w:abstractNumId="144">
    <w:nsid w:val="577F5A4D"/>
    <w:multiLevelType w:val="hybridMultilevel"/>
    <w:lvl w:ilvl="0">
      <w:lvlJc w:val="left"/>
      <w:lvlText w:val="(%1)"/>
      <w:numFmt w:val="lowerLetter"/>
      <w:start w:val="1"/>
    </w:lvl>
  </w:abstractNum>
  <w:abstractNum w:abstractNumId="145">
    <w:nsid w:val="2121A81"/>
    <w:multiLevelType w:val="hybridMultilevel"/>
    <w:lvl w:ilvl="0">
      <w:lvlJc w:val="left"/>
      <w:lvlText w:val="(%1)"/>
      <w:numFmt w:val="lowerRoman"/>
      <w:start w:val="1"/>
    </w:lvl>
  </w:abstractNum>
  <w:abstractNum w:abstractNumId="146">
    <w:nsid w:val="6C2CFC88"/>
    <w:multiLevelType w:val="hybridMultilevel"/>
    <w:lvl w:ilvl="0">
      <w:lvlJc w:val="left"/>
      <w:lvlText w:val="(%1)"/>
      <w:numFmt w:val="lowerRoman"/>
      <w:start w:val="3"/>
    </w:lvl>
  </w:abstractNum>
  <w:abstractNum w:abstractNumId="147">
    <w:nsid w:val="6D1BCF1C"/>
    <w:multiLevelType w:val="hybridMultilevel"/>
    <w:lvl w:ilvl="0">
      <w:lvlJc w:val="left"/>
      <w:lvlText w:val="(%1)"/>
      <w:numFmt w:val="lowerLetter"/>
      <w:start w:val="2"/>
    </w:lvl>
  </w:abstractNum>
  <w:abstractNum w:abstractNumId="148">
    <w:nsid w:val="4CE5CA53"/>
    <w:multiLevelType w:val="hybridMultilevel"/>
    <w:lvl w:ilvl="0">
      <w:lvlJc w:val="left"/>
      <w:lvlText w:val="(%1)"/>
      <w:numFmt w:val="lowerRoman"/>
      <w:start w:val="1"/>
    </w:lvl>
  </w:abstractNum>
  <w:abstractNum w:abstractNumId="149">
    <w:nsid w:val="29262D1A"/>
    <w:multiLevelType w:val="hybridMultilevel"/>
    <w:lvl w:ilvl="0">
      <w:lvlJc w:val="left"/>
      <w:lvlText w:val="(%1)"/>
      <w:numFmt w:val="decimal"/>
      <w:start w:val="1"/>
    </w:lvl>
  </w:abstractNum>
  <w:abstractNum w:abstractNumId="150">
    <w:nsid w:val="557FB7EE"/>
    <w:multiLevelType w:val="hybridMultilevel"/>
    <w:lvl w:ilvl="0">
      <w:lvlJc w:val="left"/>
      <w:lvlText w:val="%1."/>
      <w:numFmt w:val="decimal"/>
      <w:start w:val="5"/>
    </w:lvl>
  </w:abstractNum>
  <w:abstractNum w:abstractNumId="151">
    <w:nsid w:val="436F2BEB"/>
    <w:multiLevelType w:val="hybridMultilevel"/>
    <w:lvl w:ilvl="0">
      <w:lvlJc w:val="left"/>
      <w:lvlText w:val="%1."/>
      <w:numFmt w:val="decimal"/>
      <w:start w:val="6"/>
    </w:lvl>
  </w:abstractNum>
  <w:abstractNum w:abstractNumId="152">
    <w:nsid w:val="6C8B4466"/>
    <w:multiLevelType w:val="hybridMultilevel"/>
    <w:lvl w:ilvl="0">
      <w:lvlJc w:val="left"/>
      <w:lvlText w:val="(%1)"/>
      <w:numFmt w:val="decimal"/>
      <w:start w:val="10"/>
    </w:lvl>
  </w:abstractNum>
  <w:abstractNum w:abstractNumId="153">
    <w:nsid w:val="2006E424"/>
    <w:multiLevelType w:val="hybridMultilevel"/>
    <w:lvl w:ilvl="0">
      <w:lvlJc w:val="left"/>
      <w:lvlText w:val="(%1)"/>
      <w:numFmt w:val="lowerLetter"/>
      <w:start w:val="1"/>
    </w:lvl>
  </w:abstractNum>
  <w:abstractNum w:abstractNumId="154">
    <w:nsid w:val="20CC134C"/>
    <w:multiLevelType w:val="hybridMultilevel"/>
    <w:lvl w:ilvl="0">
      <w:lvlJc w:val="left"/>
      <w:lvlText w:val="(%1)"/>
      <w:numFmt w:val="lowerLetter"/>
      <w:start w:val="3"/>
    </w:lvl>
  </w:abstractNum>
  <w:abstractNum w:abstractNumId="155">
    <w:nsid w:val="95FC93B"/>
    <w:multiLevelType w:val="hybridMultilevel"/>
    <w:lvl w:ilvl="0">
      <w:lvlJc w:val="left"/>
      <w:lvlText w:val="%1."/>
      <w:numFmt w:val="decimal"/>
      <w:start w:val="7"/>
    </w:lvl>
  </w:abstractNum>
  <w:abstractNum w:abstractNumId="156">
    <w:nsid w:val="41D74679"/>
    <w:multiLevelType w:val="hybridMultilevel"/>
    <w:lvl w:ilvl="0">
      <w:lvlJc w:val="left"/>
      <w:lvlText w:val="%1."/>
      <w:numFmt w:val="decimal"/>
      <w:start w:val="8"/>
    </w:lvl>
  </w:abstractNum>
  <w:abstractNum w:abstractNumId="157">
    <w:nsid w:val="71E5621E"/>
    <w:multiLevelType w:val="hybridMultilevel"/>
    <w:lvl w:ilvl="0">
      <w:lvlJc w:val="left"/>
      <w:lvlText w:val="%1."/>
      <w:numFmt w:val="decimal"/>
      <w:start w:val="1"/>
    </w:lvl>
    <w:lvl w:ilvl="1">
      <w:lvlJc w:val="left"/>
      <w:lvlText w:val="(%2)"/>
      <w:numFmt w:val="lowerLetter"/>
      <w:start w:val="1"/>
    </w:lvl>
  </w:abstractNum>
  <w:abstractNum w:abstractNumId="158">
    <w:nsid w:val="4E42B6A8"/>
    <w:multiLevelType w:val="hybridMultilevel"/>
    <w:lvl w:ilvl="0">
      <w:lvlJc w:val="left"/>
      <w:lvlText w:val="%1."/>
      <w:numFmt w:val="decimal"/>
      <w:start w:val="4"/>
    </w:lvl>
  </w:abstractNum>
  <w:abstractNum w:abstractNumId="159">
    <w:nsid w:val="43F8E1AC"/>
    <w:multiLevelType w:val="hybridMultilevel"/>
    <w:lvl w:ilvl="0">
      <w:lvlJc w:val="left"/>
      <w:lvlText w:val="(%1)"/>
      <w:numFmt w:val="lowerLetter"/>
      <w:start w:val="1"/>
    </w:lvl>
  </w:abstractNum>
  <w:abstractNum w:abstractNumId="160">
    <w:nsid w:val="69215DFB"/>
    <w:multiLevelType w:val="hybridMultilevel"/>
    <w:lvl w:ilvl="0">
      <w:lvlJc w:val="left"/>
      <w:lvlText w:val="%1."/>
      <w:numFmt w:val="decimal"/>
      <w:start w:val="1"/>
    </w:lvl>
  </w:abstractNum>
  <w:abstractNum w:abstractNumId="161">
    <w:nsid w:val="7ABF196A"/>
    <w:multiLevelType w:val="hybridMultilevel"/>
    <w:lvl w:ilvl="0">
      <w:lvlJc w:val="left"/>
      <w:lvlText w:val="(%1)"/>
      <w:numFmt w:val="lowerLetter"/>
      <w:start w:val="1"/>
    </w:lvl>
    <w:lvl w:ilvl="1">
      <w:lvlJc w:val="left"/>
      <w:lvlText w:val="(%2)"/>
      <w:numFmt w:val="lowerLetter"/>
      <w:start w:val="9"/>
    </w:lvl>
  </w:abstractNum>
  <w:abstractNum w:abstractNumId="162">
    <w:nsid w:val="5E4DB968"/>
    <w:multiLevelType w:val="hybridMultilevel"/>
    <w:lvl w:ilvl="0">
      <w:lvlJc w:val="left"/>
      <w:lvlText w:val="%1"/>
      <w:numFmt w:val="lowerLetter"/>
      <w:start w:val="1"/>
    </w:lvl>
    <w:lvl w:ilvl="1">
      <w:lvlJc w:val="left"/>
      <w:lvlText w:val="(%2)"/>
      <w:numFmt w:val="lowerRoman"/>
      <w:start w:val="2"/>
    </w:lvl>
  </w:abstractNum>
  <w:abstractNum w:abstractNumId="163">
    <w:nsid w:val="2C06DCF3"/>
    <w:multiLevelType w:val="hybridMultilevel"/>
    <w:lvl w:ilvl="0">
      <w:lvlJc w:val="left"/>
      <w:lvlText w:val="(%1)"/>
      <w:numFmt w:val="lowerLetter"/>
      <w:start w:val="2"/>
    </w:lvl>
    <w:lvl w:ilvl="1">
      <w:lvlJc w:val="left"/>
      <w:lvlText w:val="%2"/>
      <w:numFmt w:val="lowerRoman"/>
      <w:start w:val="1"/>
    </w:lvl>
  </w:abstractNum>
  <w:abstractNum w:abstractNumId="164">
    <w:nsid w:val="2E129658"/>
    <w:multiLevelType w:val="hybridMultilevel"/>
    <w:lvl w:ilvl="0">
      <w:lvlJc w:val="left"/>
      <w:lvlText w:val="(%1)"/>
      <w:numFmt w:val="lowerLetter"/>
      <w:start w:val="3"/>
    </w:lvl>
    <w:lvl w:ilvl="1">
      <w:lvlJc w:val="left"/>
      <w:lvlText w:val="(%2)"/>
      <w:numFmt w:val="lowerLetter"/>
      <w:start w:val="9"/>
    </w:lvl>
  </w:abstractNum>
  <w:abstractNum w:abstractNumId="165">
    <w:nsid w:val="59F0446"/>
    <w:multiLevelType w:val="hybridMultilevel"/>
    <w:lvl w:ilvl="0">
      <w:lvlJc w:val="left"/>
      <w:lvlText w:val="·"/>
      <w:numFmt w:val="bullet"/>
      <w:start w:val="1"/>
    </w:lvl>
  </w:abstractNum>
  <w:abstractNum w:abstractNumId="166">
    <w:nsid w:val="30DF306"/>
    <w:multiLevelType w:val="hybridMultilevel"/>
    <w:lvl w:ilvl="0">
      <w:lvlJc w:val="left"/>
      <w:lvlText w:val="(%1)"/>
      <w:numFmt w:val="upperLetter"/>
      <w:start w:val="1"/>
    </w:lvl>
  </w:abstractNum>
  <w:abstractNum w:abstractNumId="167">
    <w:nsid w:val="A65647"/>
    <w:multiLevelType w:val="hybridMultilevel"/>
    <w:lvl w:ilvl="0">
      <w:lvlJc w:val="left"/>
      <w:lvlText w:val="(%1)"/>
      <w:numFmt w:val="upperLetter"/>
      <w:start w:val="4"/>
    </w:lvl>
  </w:abstractNum>
  <w:abstractNum w:abstractNumId="168">
    <w:nsid w:val="3E5E582B"/>
    <w:multiLevelType w:val="hybridMultilevel"/>
    <w:lvl w:ilvl="0">
      <w:lvlJc w:val="left"/>
      <w:lvlText w:val="%1"/>
      <w:numFmt w:val="lowerLetter"/>
      <w:start w:val="1"/>
    </w:lvl>
    <w:lvl w:ilvl="1">
      <w:lvlJc w:val="left"/>
      <w:lvlText w:val="(%2)"/>
      <w:numFmt w:val="lowerLetter"/>
      <w:start w:val="35"/>
    </w:lvl>
  </w:abstractNum>
  <w:abstractNum w:abstractNumId="169">
    <w:nsid w:val="257D4626"/>
    <w:multiLevelType w:val="hybridMultilevel"/>
    <w:lvl w:ilvl="0">
      <w:lvlJc w:val="left"/>
      <w:lvlText w:val="(%1)"/>
      <w:numFmt w:val="lowerLetter"/>
      <w:start w:val="4"/>
    </w:lvl>
    <w:lvl w:ilvl="1">
      <w:lvlJc w:val="left"/>
      <w:lvlText w:val="%2"/>
      <w:numFmt w:val="lowerLetter"/>
      <w:start w:val="1"/>
    </w:lvl>
  </w:abstractNum>
  <w:abstractNum w:abstractNumId="170">
    <w:nsid w:val="5AA8580E"/>
    <w:multiLevelType w:val="hybridMultilevel"/>
    <w:lvl w:ilvl="0">
      <w:lvlJc w:val="left"/>
      <w:lvlText w:val="·"/>
      <w:numFmt w:val="bullet"/>
      <w:start w:val="1"/>
    </w:lvl>
  </w:abstractNum>
  <w:abstractNum w:abstractNumId="171">
    <w:nsid w:val="68FA8D0D"/>
    <w:multiLevelType w:val="hybridMultilevel"/>
    <w:lvl w:ilvl="0">
      <w:lvlJc w:val="left"/>
      <w:lvlText w:val="(%1)"/>
      <w:numFmt w:val="lowerLetter"/>
      <w:start w:val="5"/>
    </w:lvl>
  </w:abstractNum>
  <w:abstractNum w:abstractNumId="172">
    <w:nsid w:val="40F2CBD2"/>
    <w:multiLevelType w:val="hybridMultilevel"/>
    <w:lvl w:ilvl="0">
      <w:lvlJc w:val="left"/>
      <w:lvlText w:val="%1."/>
      <w:numFmt w:val="decimal"/>
      <w:start w:val="2"/>
    </w:lvl>
  </w:abstractNum>
  <w:abstractNum w:abstractNumId="173">
    <w:nsid w:val="3BD615EB"/>
    <w:multiLevelType w:val="hybridMultilevel"/>
    <w:lvl w:ilvl="0">
      <w:lvlJc w:val="left"/>
      <w:lvlText w:val="(%1)"/>
      <w:numFmt w:val="lowerLetter"/>
      <w:start w:val="1"/>
    </w:lvl>
    <w:lvl w:ilvl="1">
      <w:lvlJc w:val="left"/>
      <w:lvlText w:val="(%2)"/>
      <w:numFmt w:val="lowerLetter"/>
      <w:start w:val="9"/>
    </w:lvl>
  </w:abstractNum>
  <w:abstractNum w:abstractNumId="174">
    <w:nsid w:val="A045AB2"/>
    <w:multiLevelType w:val="hybridMultilevel"/>
    <w:lvl w:ilvl="0">
      <w:lvlJc w:val="left"/>
      <w:lvlText w:val="(%1)"/>
      <w:numFmt w:val="upperLetter"/>
      <w:start w:val="1"/>
    </w:lvl>
  </w:abstractNum>
  <w:abstractNum w:abstractNumId="175">
    <w:nsid w:val="1872261F"/>
    <w:multiLevelType w:val="hybridMultilevel"/>
    <w:lvl w:ilvl="0">
      <w:lvlJc w:val="left"/>
      <w:lvlText w:val="(%1)"/>
      <w:numFmt w:val="upperLetter"/>
      <w:start w:val="5"/>
    </w:lvl>
  </w:abstractNum>
  <w:abstractNum w:abstractNumId="176">
    <w:nsid w:val="3DE8306C"/>
    <w:multiLevelType w:val="hybridMultilevel"/>
    <w:lvl w:ilvl="0">
      <w:lvlJc w:val="left"/>
      <w:lvlText w:val="%1"/>
      <w:numFmt w:val="lowerLetter"/>
      <w:start w:val="1"/>
    </w:lvl>
    <w:lvl w:ilvl="1">
      <w:lvlJc w:val="left"/>
      <w:lvlText w:val="(%2)"/>
      <w:numFmt w:val="lowerRoman"/>
      <w:start w:val="2"/>
    </w:lvl>
  </w:abstractNum>
  <w:abstractNum w:abstractNumId="177">
    <w:nsid w:val="7631573A"/>
    <w:multiLevelType w:val="hybridMultilevel"/>
    <w:lvl w:ilvl="0">
      <w:lvlJc w:val="left"/>
      <w:lvlText w:val="(%1)"/>
      <w:numFmt w:val="lowerLetter"/>
      <w:start w:val="2"/>
    </w:lvl>
    <w:lvl w:ilvl="1">
      <w:lvlJc w:val="left"/>
      <w:lvlText w:val="%2"/>
      <w:numFmt w:val="lowerRoman"/>
      <w:start w:val="1"/>
    </w:lvl>
  </w:abstractNum>
  <w:abstractNum w:abstractNumId="178">
    <w:nsid w:val="58DF53B"/>
    <w:multiLevelType w:val="hybridMultilevel"/>
    <w:lvl w:ilvl="0">
      <w:lvlJc w:val="left"/>
      <w:lvlText w:val="(%1)"/>
      <w:numFmt w:val="lowerLetter"/>
      <w:start w:val="3"/>
    </w:lvl>
    <w:lvl w:ilvl="1">
      <w:lvlJc w:val="left"/>
      <w:lvlText w:val="(%2)"/>
      <w:numFmt w:val="lowerLetter"/>
      <w:start w:val="9"/>
    </w:lvl>
  </w:abstractNum>
  <w:abstractNum w:abstractNumId="179">
    <w:nsid w:val="ACDFAC0"/>
    <w:multiLevelType w:val="hybridMultilevel"/>
    <w:lvl w:ilvl="0">
      <w:lvlJc w:val="left"/>
      <w:lvlText w:val="(%1)"/>
      <w:numFmt w:val="lowerLetter"/>
      <w:start w:val="5"/>
    </w:lvl>
    <w:lvl w:ilvl="1">
      <w:lvlJc w:val="left"/>
      <w:lvlText w:val="(%2)"/>
      <w:numFmt w:val="lowerLetter"/>
      <w:start w:val="9"/>
    </w:lvl>
  </w:abstractNum>
  <w:abstractNum w:abstractNumId="180">
    <w:nsid w:val="1F578454"/>
    <w:multiLevelType w:val="hybridMultilevel"/>
    <w:lvl w:ilvl="0">
      <w:lvlJc w:val="left"/>
      <w:lvlText w:val="%1"/>
      <w:numFmt w:val="lowerLetter"/>
      <w:start w:val="1"/>
    </w:lvl>
    <w:lvl w:ilvl="1">
      <w:lvlJc w:val="left"/>
      <w:lvlText w:val="(%2)"/>
      <w:numFmt w:val="lowerRoman"/>
      <w:start w:val="2"/>
    </w:lvl>
  </w:abstractNum>
  <w:abstractNum w:abstractNumId="181">
    <w:nsid w:val="5B0DAD2A"/>
    <w:multiLevelType w:val="hybridMultilevel"/>
    <w:lvl w:ilvl="0">
      <w:lvlJc w:val="left"/>
      <w:lvlText w:val="(%1)"/>
      <w:numFmt w:val="lowerLetter"/>
      <w:start w:val="7"/>
    </w:lvl>
    <w:lvl w:ilvl="1">
      <w:lvlJc w:val="left"/>
      <w:lvlText w:val="(%2)"/>
      <w:numFmt w:val="lowerRoman"/>
      <w:start w:val="1"/>
    </w:lvl>
  </w:abstractNum>
  <w:abstractNum w:abstractNumId="182">
    <w:nsid w:val="4E3D26A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83">
    <w:nsid w:val="BE2C8BA"/>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184">
    <w:nsid w:val="7B14914E"/>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85">
    <w:nsid w:val="6F0939F8"/>
    <w:multiLevelType w:val="hybridMultilevel"/>
    <w:lvl w:ilvl="0">
      <w:lvlJc w:val="left"/>
      <w:lvlText w:val="(%1)"/>
      <w:numFmt w:val="lowerRoman"/>
      <w:start w:val="1"/>
    </w:lvl>
  </w:abstractNum>
  <w:abstractNum w:abstractNumId="186">
    <w:nsid w:val="154291F6"/>
    <w:multiLevelType w:val="hybridMultilevel"/>
    <w:lvl w:ilvl="0">
      <w:lvlJc w:val="left"/>
      <w:lvlText w:val="%1."/>
      <w:numFmt w:val="decimal"/>
      <w:start w:val="3"/>
    </w:lvl>
  </w:abstractNum>
  <w:abstractNum w:abstractNumId="187">
    <w:nsid w:val="3CEBD7C7"/>
    <w:multiLevelType w:val="hybridMultilevel"/>
    <w:lvl w:ilvl="0">
      <w:lvlJc w:val="left"/>
      <w:lvlText w:val="(%1)"/>
      <w:numFmt w:val="lowerLetter"/>
      <w:start w:val="1"/>
    </w:lvl>
    <w:lvl w:ilvl="1">
      <w:lvlJc w:val="left"/>
      <w:lvlText w:val="(%2)"/>
      <w:numFmt w:val="lowerLetter"/>
      <w:start w:val="9"/>
    </w:lvl>
  </w:abstractNum>
  <w:abstractNum w:abstractNumId="188">
    <w:nsid w:val="60EE9C16"/>
    <w:multiLevelType w:val="hybridMultilevel"/>
    <w:lvl w:ilvl="0">
      <w:lvlJc w:val="left"/>
      <w:lvlText w:val="(%1)"/>
      <w:numFmt w:val="lowerRoman"/>
      <w:start w:val="2"/>
    </w:lvl>
  </w:abstractNum>
  <w:abstractNum w:abstractNumId="189">
    <w:nsid w:val="6385489E"/>
    <w:multiLevelType w:val="hybridMultilevel"/>
    <w:lvl w:ilvl="0">
      <w:lvlJc w:val="left"/>
      <w:lvlText w:val="(%1)"/>
      <w:numFmt w:val="lowerLetter"/>
      <w:start w:val="3"/>
    </w:lvl>
  </w:abstractNum>
  <w:abstractNum w:abstractNumId="190">
    <w:nsid w:val="E4B973"/>
    <w:multiLevelType w:val="hybridMultilevel"/>
    <w:lvl w:ilvl="0">
      <w:lvlJc w:val="left"/>
      <w:lvlText w:val="·"/>
      <w:numFmt w:val="bullet"/>
      <w:start w:val="1"/>
    </w:lvl>
  </w:abstractNum>
  <w:abstractNum w:abstractNumId="191">
    <w:nsid w:val="4A0FFA11"/>
    <w:multiLevelType w:val="hybridMultilevel"/>
    <w:lvl w:ilvl="0">
      <w:lvlJc w:val="left"/>
      <w:lvlText w:val="·"/>
      <w:numFmt w:val="bullet"/>
      <w:start w:val="1"/>
    </w:lvl>
  </w:abstractNum>
  <w:abstractNum w:abstractNumId="192">
    <w:nsid w:val="5E446208"/>
    <w:multiLevelType w:val="hybridMultilevel"/>
    <w:lvl w:ilvl="0">
      <w:lvlJc w:val="left"/>
      <w:lvlText w:val="%1"/>
      <w:numFmt w:val="lowerRoman"/>
      <w:start w:val="1"/>
    </w:lvl>
    <w:lvl w:ilvl="1">
      <w:lvlJc w:val="left"/>
      <w:lvlText w:val="(%2)"/>
      <w:numFmt w:val="lowerRoman"/>
      <w:start w:val="1"/>
    </w:lvl>
  </w:abstractNum>
  <w:abstractNum w:abstractNumId="193">
    <w:nsid w:val="5F3272DB"/>
    <w:multiLevelType w:val="hybridMultilevel"/>
    <w:lvl w:ilvl="0">
      <w:lvlJc w:val="left"/>
      <w:lvlText w:val="(%1)"/>
      <w:numFmt w:val="lowerRoman"/>
      <w:start w:val="2"/>
    </w:lvl>
    <w:lvl w:ilvl="1">
      <w:lvlJc w:val="left"/>
      <w:lvlText w:val="(%2)"/>
      <w:numFmt w:val="lowerRoman"/>
      <w:start w:val="2"/>
    </w:lvl>
  </w:abstractNum>
  <w:abstractNum w:abstractNumId="194">
    <w:nsid w:val="7616D704"/>
    <w:multiLevelType w:val="hybridMultilevel"/>
    <w:lvl w:ilvl="0">
      <w:lvlJc w:val="left"/>
      <w:lvlText w:val="(%1)"/>
      <w:numFmt w:val="lowerRoman"/>
      <w:start w:val="4"/>
    </w:lvl>
  </w:abstractNum>
  <w:abstractNum w:abstractNumId="195">
    <w:nsid w:val="C56F860"/>
    <w:multiLevelType w:val="hybridMultilevel"/>
    <w:lvl w:ilvl="0">
      <w:lvlJc w:val="left"/>
      <w:lvlText w:val="%1"/>
      <w:numFmt w:val="lowerRoman"/>
      <w:start w:val="1"/>
    </w:lvl>
    <w:lvl w:ilvl="1">
      <w:lvlJc w:val="left"/>
      <w:lvlText w:val="(%2)"/>
      <w:numFmt w:val="lowerRoman"/>
      <w:start w:val="7"/>
    </w:lvl>
  </w:abstractNum>
  <w:abstractNum w:abstractNumId="196">
    <w:nsid w:val="64D17722"/>
    <w:multiLevelType w:val="hybridMultilevel"/>
    <w:lvl w:ilvl="0">
      <w:lvlJc w:val="left"/>
      <w:lvlText w:val="(%1)"/>
      <w:numFmt w:val="lowerRoman"/>
      <w:start w:val="1"/>
    </w:lvl>
    <w:lvl w:ilvl="1">
      <w:lvlJc w:val="left"/>
      <w:lvlText w:val="(%2)"/>
      <w:numFmt w:val="lowerRoman"/>
      <w:start w:val="9"/>
    </w:lvl>
  </w:abstractNum>
  <w:abstractNum w:abstractNumId="197">
    <w:nsid w:val="7924CA0A"/>
    <w:multiLevelType w:val="hybridMultilevel"/>
    <w:lvl w:ilvl="0">
      <w:lvlJc w:val="left"/>
      <w:lvlText w:val="(%1)"/>
      <w:numFmt w:val="lowerLetter"/>
      <w:start w:val="4"/>
    </w:lvl>
    <w:lvl w:ilvl="1">
      <w:lvlJc w:val="left"/>
      <w:lvlText w:val="(%2)"/>
      <w:numFmt w:val="lowerLetter"/>
      <w:start w:val="9"/>
    </w:lvl>
  </w:abstractNum>
  <w:abstractNum w:abstractNumId="198">
    <w:nsid w:val="CFD4EA7"/>
    <w:multiLevelType w:val="hybridMultilevel"/>
    <w:lvl w:ilvl="0">
      <w:lvlJc w:val="left"/>
      <w:lvlText w:val="·"/>
      <w:numFmt w:val="bullet"/>
      <w:start w:val="1"/>
    </w:lvl>
  </w:abstractNum>
  <w:abstractNum w:abstractNumId="199">
    <w:nsid w:val="232FCF4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00">
    <w:nsid w:val="1EA21031"/>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01">
    <w:nsid w:val="67A5A6B5"/>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02">
    <w:nsid w:val="C2A5C5B"/>
    <w:multiLevelType w:val="hybridMultilevel"/>
    <w:lvl w:ilvl="0">
      <w:lvlJc w:val="left"/>
      <w:lvlText w:val="(%1)"/>
      <w:numFmt w:val="lowerRoman"/>
      <w:start w:val="2"/>
    </w:lvl>
    <w:lvl w:ilvl="1">
      <w:lvlJc w:val="left"/>
      <w:lvlText w:val="(%2)"/>
      <w:numFmt w:val="upperLetter"/>
      <w:start w:val="1"/>
    </w:lvl>
  </w:abstractNum>
  <w:abstractNum w:abstractNumId="203">
    <w:nsid w:val="5F94DC03"/>
    <w:multiLevelType w:val="hybridMultilevel"/>
    <w:lvl w:ilvl="0">
      <w:lvlJc w:val="left"/>
      <w:lvlText w:val="(%1)"/>
      <w:numFmt w:val="upperLetter"/>
      <w:start w:val="2"/>
    </w:lvl>
  </w:abstractNum>
  <w:abstractNum w:abstractNumId="204">
    <w:nsid w:val="237BBCA0"/>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05">
    <w:nsid w:val="162EB70D"/>
    <w:multiLevelType w:val="hybridMultilevel"/>
    <w:lvl w:ilvl="0">
      <w:lvlJc w:val="left"/>
      <w:lvlText w:val="·"/>
      <w:numFmt w:val="bullet"/>
      <w:start w:val="1"/>
    </w:lvl>
  </w:abstractNum>
  <w:abstractNum w:abstractNumId="206">
    <w:nsid w:val="78070222"/>
    <w:multiLevelType w:val="hybridMultilevel"/>
    <w:lvl w:ilvl="0">
      <w:lvlJc w:val="left"/>
      <w:lvlText w:val="·"/>
      <w:numFmt w:val="bullet"/>
      <w:start w:val="1"/>
    </w:lvl>
  </w:abstractNum>
  <w:abstractNum w:abstractNumId="207">
    <w:nsid w:val="6163ED0D"/>
    <w:multiLevelType w:val="hybridMultilevel"/>
    <w:lvl w:ilvl="0">
      <w:lvlJc w:val="left"/>
      <w:lvlText w:val="(%1)"/>
      <w:numFmt w:val="upperLetter"/>
      <w:start w:val="1"/>
    </w:lvl>
  </w:abstractNum>
  <w:abstractNum w:abstractNumId="208">
    <w:nsid w:val="C600E47"/>
    <w:multiLevelType w:val="hybridMultilevel"/>
    <w:lvl w:ilvl="0">
      <w:lvlJc w:val="left"/>
      <w:lvlText w:val="%1"/>
      <w:numFmt w:val="decimal"/>
      <w:start w:val="1"/>
    </w:lvl>
    <w:lvl w:ilvl="1">
      <w:lvlJc w:val="left"/>
      <w:lvlText w:val="(%2)"/>
      <w:numFmt w:val="lowerRoman"/>
      <w:start w:val="3"/>
    </w:lvl>
  </w:abstractNum>
  <w:abstractNum w:abstractNumId="209">
    <w:nsid w:val="7D94F75D"/>
    <w:multiLevelType w:val="hybridMultilevel"/>
    <w:lvl w:ilvl="0">
      <w:lvlJc w:val="left"/>
      <w:lvlText w:val="(%1)"/>
      <w:numFmt w:val="decimal"/>
      <w:start w:val="10"/>
    </w:lvl>
    <w:lvl w:ilvl="1">
      <w:lvlJc w:val="left"/>
      <w:lvlText w:val="(%2)"/>
      <w:numFmt w:val="lowerRoman"/>
      <w:start w:val="4"/>
    </w:lvl>
  </w:abstractNum>
  <w:abstractNum w:abstractNumId="210">
    <w:nsid w:val="6C31E7CD"/>
    <w:multiLevelType w:val="hybridMultilevel"/>
    <w:lvl w:ilvl="0">
      <w:lvlJc w:val="left"/>
      <w:lvlText w:val="%1"/>
      <w:numFmt w:val="decimal"/>
      <w:start w:val="1"/>
    </w:lvl>
    <w:lvl w:ilvl="1">
      <w:lvlJc w:val="left"/>
      <w:lvlText w:val="(%2)"/>
      <w:numFmt w:val="lowerRoman"/>
      <w:start w:val="6"/>
    </w:lvl>
  </w:abstractNum>
  <w:abstractNum w:abstractNumId="211">
    <w:nsid w:val="2BB7929B"/>
    <w:multiLevelType w:val="hybridMultilevel"/>
    <w:lvl w:ilvl="0">
      <w:lvlJc w:val="left"/>
      <w:lvlText w:val="%1."/>
      <w:numFmt w:val="decimal"/>
      <w:start w:val="4"/>
    </w:lvl>
    <w:lvl w:ilvl="1">
      <w:lvlJc w:val="left"/>
      <w:lvlText w:val="%2"/>
      <w:numFmt w:val="lowerRoman"/>
      <w:start w:val="1"/>
    </w:lvl>
  </w:abstractNum>
  <w:abstractNum w:abstractNumId="212">
    <w:nsid w:val="58A2A487"/>
    <w:multiLevelType w:val="hybridMultilevel"/>
    <w:lvl w:ilvl="0">
      <w:lvlJc w:val="left"/>
      <w:lvlText w:val="%1."/>
      <w:numFmt w:val="decimal"/>
      <w:start w:val="5"/>
    </w:lvl>
  </w:abstractNum>
  <w:abstractNum w:abstractNumId="213">
    <w:nsid w:val="3A6F0E78"/>
    <w:multiLevelType w:val="hybridMultilevel"/>
    <w:lvl w:ilvl="0">
      <w:lvlJc w:val="left"/>
      <w:lvlText w:val="(%1)"/>
      <w:numFmt w:val="lowerLetter"/>
      <w:start w:val="1"/>
    </w:lvl>
    <w:lvl w:ilvl="1">
      <w:lvlJc w:val="left"/>
      <w:lvlText w:val="(%2)"/>
      <w:numFmt w:val="lowerRoman"/>
      <w:start w:val="1"/>
    </w:lvl>
  </w:abstractNum>
  <w:abstractNum w:abstractNumId="214">
    <w:nsid w:val="379A5B56"/>
    <w:multiLevelType w:val="hybridMultilevel"/>
    <w:lvl w:ilvl="0">
      <w:lvlJc w:val="left"/>
      <w:lvlText w:val="(%1)"/>
      <w:numFmt w:val="lowerLetter"/>
      <w:start w:val="4"/>
    </w:lvl>
  </w:abstractNum>
  <w:abstractNum w:abstractNumId="215">
    <w:nsid w:val="53B735D5"/>
    <w:multiLevelType w:val="hybridMultilevel"/>
    <w:lvl w:ilvl="0">
      <w:lvlJc w:val="left"/>
      <w:lvlText w:val="%1."/>
      <w:numFmt w:val="decimal"/>
      <w:start w:val="6"/>
    </w:lvl>
  </w:abstractNum>
  <w:abstractNum w:abstractNumId="216">
    <w:nsid w:val="29784870"/>
    <w:multiLevelType w:val="hybridMultilevel"/>
    <w:lvl w:ilvl="0">
      <w:lvlJc w:val="left"/>
      <w:lvlText w:val="(%1)"/>
      <w:numFmt w:val="lowerLetter"/>
      <w:start w:val="1"/>
    </w:lvl>
  </w:abstractNum>
  <w:abstractNum w:abstractNumId="217">
    <w:nsid w:val="4CDCED4C"/>
    <w:multiLevelType w:val="hybridMultilevel"/>
    <w:lvl w:ilvl="0">
      <w:lvlJc w:val="left"/>
      <w:lvlText w:val="(%1)"/>
      <w:numFmt w:val="lowerRoman"/>
      <w:start w:val="1"/>
    </w:lvl>
  </w:abstractNum>
  <w:abstractNum w:abstractNumId="218">
    <w:nsid w:val="10A30D9C"/>
    <w:multiLevelType w:val="hybridMultilevel"/>
    <w:lvl w:ilvl="0">
      <w:lvlJc w:val="left"/>
      <w:lvlText w:val="(%1)"/>
      <w:numFmt w:val="lowerLetter"/>
      <w:start w:val="2"/>
    </w:lvl>
  </w:abstractNum>
  <w:abstractNum w:abstractNumId="219">
    <w:nsid w:val="A66E486"/>
    <w:multiLevelType w:val="hybridMultilevel"/>
    <w:lvl w:ilvl="0">
      <w:lvlJc w:val="left"/>
      <w:lvlText w:val="%1."/>
      <w:numFmt w:val="decimal"/>
      <w:start w:val="7"/>
    </w:lvl>
  </w:abstractNum>
  <w:abstractNum w:abstractNumId="220">
    <w:nsid w:val="306235EA"/>
    <w:multiLevelType w:val="hybridMultilevel"/>
    <w:lvl w:ilvl="0">
      <w:lvlJc w:val="left"/>
      <w:lvlText w:val="(%1)"/>
      <w:numFmt w:val="lowerLetter"/>
      <w:start w:val="1"/>
    </w:lvl>
    <w:lvl w:ilvl="1">
      <w:lvlJc w:val="left"/>
      <w:lvlText w:val="(%2)"/>
      <w:numFmt w:val="lowerLetter"/>
      <w:start w:val="9"/>
    </w:lvl>
  </w:abstractNum>
  <w:abstractNum w:abstractNumId="221">
    <w:nsid w:val="1187C70F"/>
    <w:multiLevelType w:val="hybridMultilevel"/>
    <w:lvl w:ilvl="0">
      <w:lvlJc w:val="left"/>
      <w:lvlText w:val="(%1)"/>
      <w:numFmt w:val="upperLetter"/>
      <w:start w:val="1"/>
    </w:lvl>
  </w:abstractNum>
  <w:abstractNum w:abstractNumId="222">
    <w:nsid w:val="5476DE98"/>
    <w:multiLevelType w:val="hybridMultilevel"/>
    <w:lvl w:ilvl="0">
      <w:lvlJc w:val="left"/>
      <w:lvlText w:val="%1"/>
      <w:numFmt w:val="lowerLetter"/>
      <w:start w:val="1"/>
    </w:lvl>
    <w:lvl w:ilvl="1">
      <w:lvlJc w:val="left"/>
      <w:lvlText w:val="(%2)"/>
      <w:numFmt w:val="lowerLetter"/>
      <w:start w:val="35"/>
    </w:lvl>
  </w:abstractNum>
  <w:abstractNum w:abstractNumId="223">
    <w:nsid w:val="EA697F2"/>
    <w:multiLevelType w:val="hybridMultilevel"/>
    <w:lvl w:ilvl="0">
      <w:lvlJc w:val="left"/>
      <w:lvlText w:val="(%1)"/>
      <w:numFmt w:val="lowerLetter"/>
      <w:start w:val="2"/>
    </w:lvl>
    <w:lvl w:ilvl="1">
      <w:lvlJc w:val="left"/>
      <w:lvlText w:val="%2"/>
      <w:numFmt w:val="lowerLetter"/>
      <w:start w:val="1"/>
    </w:lvl>
  </w:abstractNum>
  <w:abstractNum w:abstractNumId="224">
    <w:nsid w:val="70BA39EB"/>
    <w:multiLevelType w:val="hybridMultilevel"/>
    <w:lvl w:ilvl="0">
      <w:lvlJc w:val="left"/>
      <w:lvlText w:val="(%1)"/>
      <w:numFmt w:val="lowerLetter"/>
      <w:start w:val="5"/>
    </w:lvl>
  </w:abstractNum>
  <w:abstractNum w:abstractNumId="225">
    <w:nsid w:val="4A8DB59C"/>
    <w:multiLevelType w:val="hybridMultilevel"/>
    <w:lvl w:ilvl="0">
      <w:lvlJc w:val="left"/>
      <w:lvlText w:val="(%1)"/>
      <w:numFmt w:val="lowerLetter"/>
      <w:start w:val="12"/>
    </w:lvl>
  </w:abstractNum>
  <w:abstractNum w:abstractNumId="226">
    <w:nsid w:val="1AFD9053"/>
    <w:multiLevelType w:val="hybridMultilevel"/>
    <w:lvl w:ilvl="0">
      <w:lvlJc w:val="left"/>
      <w:lvlText w:val="(%1)"/>
      <w:numFmt w:val="lowerLetter"/>
      <w:start w:val="13"/>
    </w:lvl>
  </w:abstractNum>
  <w:abstractNum w:abstractNumId="227">
    <w:nsid w:val="558BB10D"/>
    <w:multiLevelType w:val="hybridMultilevel"/>
    <w:lvl w:ilvl="0">
      <w:lvlJc w:val="left"/>
      <w:lvlText w:val="(%1)"/>
      <w:numFmt w:val="lowerLetter"/>
      <w:start w:val="19"/>
    </w:lvl>
  </w:abstractNum>
  <w:abstractNum w:abstractNumId="228">
    <w:nsid w:val="43B27FA7"/>
    <w:multiLevelType w:val="hybridMultilevel"/>
    <w:lvl w:ilvl="0">
      <w:lvlJc w:val="left"/>
      <w:lvlText w:val="%1."/>
      <w:numFmt w:val="decimal"/>
      <w:start w:val="1"/>
    </w:lvl>
    <w:lvl w:ilvl="1">
      <w:lvlJc w:val="left"/>
      <w:lvlText w:val="(%2)"/>
      <w:numFmt w:val="lowerRoman"/>
      <w:start w:val="1"/>
    </w:lvl>
  </w:abstractNum>
  <w:abstractNum w:abstractNumId="229">
    <w:nsid w:val="27FADEFA"/>
    <w:multiLevelType w:val="hybridMultilevel"/>
    <w:lvl w:ilvl="0">
      <w:lvlJc w:val="left"/>
      <w:lvlText w:val="%1."/>
      <w:numFmt w:val="decimal"/>
      <w:start w:val="2"/>
    </w:lvl>
    <w:lvl w:ilvl="1">
      <w:lvlJc w:val="left"/>
      <w:lvlText w:val="(%2)"/>
      <w:numFmt w:val="lowerRoman"/>
      <w:start w:val="1"/>
    </w:lvl>
  </w:abstractNum>
  <w:abstractNum w:abstractNumId="230">
    <w:nsid w:val="78BB805A"/>
    <w:multiLevelType w:val="hybridMultilevel"/>
    <w:lvl w:ilvl="0">
      <w:lvlJc w:val="left"/>
      <w:lvlText w:val="%1"/>
      <w:numFmt w:val="decimal"/>
      <w:start w:val="1"/>
    </w:lvl>
    <w:lvl w:ilvl="1">
      <w:lvlJc w:val="left"/>
      <w:lvlText w:val="(%2)"/>
      <w:numFmt w:val="lowerRoman"/>
      <w:start w:val="2"/>
    </w:lvl>
  </w:abstractNum>
  <w:abstractNum w:abstractNumId="231">
    <w:nsid w:val="62548FD8"/>
    <w:multiLevelType w:val="hybridMultilevel"/>
    <w:lvl w:ilvl="0">
      <w:lvlJc w:val="left"/>
      <w:lvlText w:val="%1."/>
      <w:numFmt w:val="decimal"/>
      <w:start w:val="3"/>
    </w:lvl>
    <w:lvl w:ilvl="1">
      <w:lvlJc w:val="left"/>
      <w:lvlText w:val="%2"/>
      <w:numFmt w:val="lowerRoman"/>
      <w:start w:val="1"/>
    </w:lvl>
  </w:abstractNum>
  <w:abstractNum w:abstractNumId="232">
    <w:nsid w:val="FA085B0"/>
    <w:multiLevelType w:val="hybridMultilevel"/>
    <w:lvl w:ilvl="0">
      <w:lvlJc w:val="left"/>
      <w:lvlText w:val="%1."/>
      <w:numFmt w:val="decimal"/>
      <w:start w:val="1"/>
    </w:lvl>
  </w:abstractNum>
  <w:abstractNum w:abstractNumId="233">
    <w:nsid w:val="4E5DCB5"/>
    <w:multiLevelType w:val="hybridMultilevel"/>
    <w:lvl w:ilvl="0">
      <w:lvlJc w:val="left"/>
      <w:lvlText w:val="(%1)"/>
      <w:numFmt w:val="decimal"/>
      <w:start w:val="1"/>
    </w:lvl>
  </w:abstractNum>
  <w:abstractNum w:abstractNumId="234">
    <w:nsid w:val="41E96BDB"/>
    <w:multiLevelType w:val="hybridMultilevel"/>
    <w:lvl w:ilvl="0">
      <w:lvlJc w:val="left"/>
      <w:lvlText w:val="(%1)"/>
      <w:numFmt w:val="upperLetter"/>
      <w:start w:val="1"/>
    </w:lvl>
  </w:abstractNum>
  <w:abstractNum w:abstractNumId="235">
    <w:nsid w:val="331C4250"/>
    <w:multiLevelType w:val="hybridMultilevel"/>
    <w:lvl w:ilvl="0">
      <w:lvlJc w:val="left"/>
      <w:lvlText w:val="(%1)"/>
      <w:numFmt w:val="upperLetter"/>
      <w:start w:val="2"/>
    </w:lvl>
  </w:abstractNum>
  <w:abstractNum w:abstractNumId="236">
    <w:nsid w:val="1B1493C2"/>
    <w:multiLevelType w:val="hybridMultilevel"/>
    <w:lvl w:ilvl="0">
      <w:lvlJc w:val="left"/>
      <w:lvlText w:val="(%1)"/>
      <w:numFmt w:val="upperLetter"/>
      <w:start w:val="5"/>
    </w:lvl>
  </w:abstractNum>
  <w:abstractNum w:abstractNumId="237">
    <w:nsid w:val="39F06DFD"/>
    <w:multiLevelType w:val="hybridMultilevel"/>
    <w:lvl w:ilvl="0">
      <w:lvlJc w:val="left"/>
      <w:lvlText w:val="%1."/>
      <w:numFmt w:val="decimal"/>
      <w:start w:val="2"/>
    </w:lvl>
  </w:abstractNum>
  <w:abstractNum w:abstractNumId="238">
    <w:nsid w:val="14802F5D"/>
    <w:multiLevelType w:val="hybridMultilevel"/>
    <w:lvl w:ilvl="0">
      <w:lvlJc w:val="left"/>
      <w:lvlText w:val="(%1)"/>
      <w:numFmt w:val="lowerRoman"/>
      <w:start w:val="3"/>
    </w:lvl>
  </w:abstractNum>
  <w:abstractNum w:abstractNumId="239">
    <w:nsid w:val="2774A209"/>
    <w:multiLevelType w:val="hybridMultilevel"/>
    <w:lvl w:ilvl="0">
      <w:lvlJc w:val="left"/>
      <w:lvlText w:val="(%1)"/>
      <w:numFmt w:val="lowerRoman"/>
      <w:start w:val="1"/>
    </w:lvl>
  </w:abstractNum>
  <w:abstractNum w:abstractNumId="240">
    <w:nsid w:val="3785655A"/>
    <w:multiLevelType w:val="hybridMultilevel"/>
    <w:lvl w:ilvl="0">
      <w:lvlJc w:val="left"/>
      <w:lvlText w:val="(%1)"/>
      <w:numFmt w:val="lowerLetter"/>
      <w:start w:val="2"/>
    </w:lvl>
  </w:abstractNum>
  <w:abstractNum w:abstractNumId="241">
    <w:nsid w:val="B2172A"/>
    <w:multiLevelType w:val="hybridMultilevel"/>
    <w:lvl w:ilvl="0">
      <w:lvlJc w:val="left"/>
      <w:lvlText w:val="(%1)"/>
      <w:numFmt w:val="lowerLetter"/>
      <w:start w:val="1"/>
    </w:lvl>
  </w:abstractNum>
  <w:abstractNum w:abstractNumId="242">
    <w:nsid w:val="532C34A5"/>
    <w:multiLevelType w:val="hybridMultilevel"/>
    <w:lvl w:ilvl="0">
      <w:lvlJc w:val="left"/>
      <w:lvlText w:val="(%1)"/>
      <w:numFmt w:val="lowerLetter"/>
      <w:start w:val="35"/>
    </w:lvl>
    <w:lvl w:ilvl="1">
      <w:lvlJc w:val="left"/>
      <w:lvlText w:val="(%2)"/>
      <w:numFmt w:val="lowerLetter"/>
      <w:start w:val="2"/>
    </w:lvl>
  </w:abstractNum>
  <w:abstractNum w:abstractNumId="243">
    <w:nsid w:val="102809E2"/>
    <w:multiLevelType w:val="hybridMultilevel"/>
    <w:lvl w:ilvl="0">
      <w:lvlJc w:val="left"/>
      <w:lvlText w:val="(%1)"/>
      <w:numFmt w:val="upperLetter"/>
      <w:start w:val="2"/>
    </w:lvl>
    <w:lvl w:ilvl="1">
      <w:lvlJc w:val="left"/>
      <w:lvlText w:val="(%2)"/>
      <w:numFmt w:val="lowerLetter"/>
      <w:start w:val="6"/>
    </w:lvl>
  </w:abstractNum>
  <w:abstractNum w:abstractNumId="244">
    <w:nsid w:val="3B2125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45">
    <w:nsid w:val="AC68FFB"/>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35"/>
    </w:lvl>
  </w:abstractNum>
  <w:abstractNum w:abstractNumId="246">
    <w:nsid w:val="63DF3FB7"/>
    <w:multiLevelType w:val="hybridMultilevel"/>
    <w:lvl w:ilvl="0">
      <w:lvlJc w:val="left"/>
      <w:lvlText w:val="%1"/>
      <w:numFmt w:val="lowerLetter"/>
      <w:start w:val="1"/>
    </w:lvl>
    <w:lvl w:ilvl="1">
      <w:lvlJc w:val="left"/>
      <w:lvlText w:val="(%2)"/>
      <w:numFmt w:val="lowerLetter"/>
      <w:start w:val="2"/>
    </w:lvl>
  </w:abstractNum>
  <w:abstractNum w:abstractNumId="247">
    <w:nsid w:val="64996E13"/>
    <w:multiLevelType w:val="hybridMultilevel"/>
    <w:lvl w:ilvl="0">
      <w:lvlJc w:val="left"/>
      <w:lvlText w:val="(%1)"/>
      <w:numFmt w:val="lowerLetter"/>
      <w:start w:val="25"/>
    </w:lvl>
    <w:lvl w:ilvl="1">
      <w:lvlJc w:val="left"/>
      <w:lvlText w:val="(%2)"/>
      <w:numFmt w:val="lowerLetter"/>
      <w:start w:val="3"/>
    </w:lvl>
  </w:abstractNum>
  <w:abstractNum w:abstractNumId="248">
    <w:nsid w:val="57A37D4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49">
    <w:nsid w:val="74824D5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0">
    <w:nsid w:val="6F00529A"/>
    <w:multiLevelType w:val="hybridMultilevel"/>
    <w:lvl w:ilvl="0">
      <w:lvlJc w:val="left"/>
      <w:lvlText w:val="(%1)"/>
      <w:numFmt w:val="lowerLetter"/>
      <w:start w:val="1"/>
    </w:lvl>
  </w:abstractNum>
  <w:abstractNum w:abstractNumId="251">
    <w:nsid w:val="805B331"/>
    <w:multiLevelType w:val="hybridMultilevel"/>
    <w:lvl w:ilvl="0">
      <w:lvlJc w:val="left"/>
      <w:lvlText w:val="%1"/>
      <w:numFmt w:val="lowerLetter"/>
      <w:start w:val="1"/>
    </w:lvl>
    <w:lvl w:ilvl="1">
      <w:lvlJc w:val="left"/>
      <w:lvlText w:val="(%2)"/>
      <w:numFmt w:val="lowerLetter"/>
      <w:start w:val="2"/>
    </w:lvl>
  </w:abstractNum>
  <w:abstractNum w:abstractNumId="252">
    <w:nsid w:val="60A1463"/>
    <w:multiLevelType w:val="hybridMultilevel"/>
    <w:lvl w:ilvl="0">
      <w:lvlJc w:val="left"/>
      <w:lvlText w:val="(%1)"/>
      <w:numFmt w:val="lowerLetter"/>
      <w:start w:val="61"/>
    </w:lvl>
    <w:lvl w:ilvl="1">
      <w:lvlJc w:val="left"/>
      <w:lvlText w:val="(%2)"/>
      <w:numFmt w:val="lowerLetter"/>
      <w:start w:val="3"/>
    </w:lvl>
  </w:abstractNum>
  <w:abstractNum w:abstractNumId="253">
    <w:nsid w:val="43773132"/>
    <w:multiLevelType w:val="hybridMultilevel"/>
    <w:lvl w:ilvl="0">
      <w:lvlJc w:val="left"/>
      <w:lvlText w:val="(%1)"/>
      <w:numFmt w:val="lowerLetter"/>
      <w:start w:val="4"/>
    </w:lvl>
  </w:abstractNum>
  <w:abstractNum w:abstractNumId="254">
    <w:nsid w:val="16AC4B23"/>
    <w:multiLevelType w:val="hybridMultilevel"/>
    <w:lvl w:ilvl="0">
      <w:lvlJc w:val="left"/>
      <w:lvlText w:val="(%1)"/>
      <w:numFmt w:val="lowerLetter"/>
      <w:start w:val="1"/>
    </w:lvl>
  </w:abstractNum>
  <w:abstractNum w:abstractNumId="255">
    <w:nsid w:val="76C44E4E"/>
    <w:multiLevelType w:val="hybridMultilevel"/>
    <w:lvl w:ilvl="0">
      <w:lvlJc w:val="left"/>
      <w:lvlText w:val="(%1)"/>
      <w:numFmt w:val="lowerLetter"/>
      <w:start w:val="1"/>
    </w:lvl>
    <w:lvl w:ilvl="1">
      <w:lvlJc w:val="left"/>
      <w:lvlText w:val="(%2)"/>
      <w:numFmt w:val="lowerLetter"/>
      <w:start w:val="9"/>
    </w:lvl>
  </w:abstractNum>
  <w:abstractNum w:abstractNumId="256">
    <w:nsid w:val="E04E6CE"/>
    <w:multiLevelType w:val="hybridMultilevel"/>
    <w:lvl w:ilvl="0">
      <w:lvlJc w:val="left"/>
      <w:lvlText w:val="(%1)"/>
      <w:numFmt w:val="lowerRoman"/>
      <w:start w:val="2"/>
    </w:lvl>
  </w:abstractNum>
  <w:abstractNum w:abstractNumId="257">
    <w:nsid w:val="31A9DB76"/>
    <w:multiLevelType w:val="hybridMultilevel"/>
    <w:lvl w:ilvl="0">
      <w:lvlJc w:val="left"/>
      <w:lvlText w:val="(%1)"/>
      <w:numFmt w:val="lowerRoman"/>
      <w:start w:val="7"/>
    </w:lvl>
  </w:abstractNum>
  <w:abstractNum w:abstractNumId="258">
    <w:nsid w:val="4C4FFF5B"/>
    <w:multiLevelType w:val="hybridMultilevel"/>
    <w:lvl w:ilvl="0">
      <w:lvlJc w:val="left"/>
      <w:lvlText w:val="(%1)"/>
      <w:numFmt w:val="lowerRoman"/>
      <w:start w:val="14"/>
    </w:lvl>
  </w:abstractNum>
  <w:abstractNum w:abstractNumId="259">
    <w:nsid w:val="51B76675"/>
    <w:multiLevelType w:val="hybridMultilevel"/>
    <w:lvl w:ilvl="0">
      <w:lvlJc w:val="left"/>
      <w:lvlText w:val="(%1)"/>
      <w:numFmt w:val="lowerRoman"/>
      <w:start w:val="22"/>
    </w:lvl>
  </w:abstractNum>
  <w:abstractNum w:abstractNumId="260">
    <w:nsid w:val="59A4BA71"/>
    <w:multiLevelType w:val="hybridMultilevel"/>
    <w:lvl w:ilvl="0">
      <w:lvlJc w:val="left"/>
      <w:lvlText w:val="%1"/>
      <w:numFmt w:val="lowerLetter"/>
      <w:start w:val="1"/>
    </w:lvl>
    <w:lvl w:ilvl="1">
      <w:lvlJc w:val="left"/>
      <w:lvlText w:val="(%2)"/>
      <w:numFmt w:val="lowerRoman"/>
      <w:start w:val="23"/>
    </w:lvl>
  </w:abstractNum>
  <w:abstractNum w:abstractNumId="261">
    <w:nsid w:val="450B7FB6"/>
    <w:multiLevelType w:val="hybridMultilevel"/>
    <w:lvl w:ilvl="0">
      <w:lvlJc w:val="left"/>
      <w:lvlText w:val="(%1)"/>
      <w:numFmt w:val="lowerLetter"/>
      <w:start w:val="2"/>
    </w:lvl>
    <w:lvl w:ilvl="1">
      <w:lvlJc w:val="left"/>
      <w:lvlText w:val="%2"/>
      <w:numFmt w:val="lowerRoman"/>
      <w:start w:val="1"/>
    </w:lvl>
  </w:abstractNum>
  <w:abstractNum w:abstractNumId="262">
    <w:nsid w:val="340BF64D"/>
    <w:multiLevelType w:val="hybridMultilevel"/>
    <w:lvl w:ilvl="0">
      <w:lvlJc w:val="left"/>
      <w:lvlText w:val="(%1)"/>
      <w:numFmt w:val="lowerLetter"/>
      <w:start w:val="1"/>
    </w:lvl>
  </w:abstractNum>
  <w:abstractNum w:abstractNumId="263">
    <w:nsid w:val="69454021"/>
    <w:multiLevelType w:val="hybridMultilevel"/>
    <w:lvl w:ilvl="0">
      <w:lvlJc w:val="left"/>
      <w:lvlText w:val="(%1)"/>
      <w:numFmt w:val="lowerLetter"/>
      <w:start w:val="2"/>
    </w:lvl>
  </w:abstractNum>
  <w:abstractNum w:abstractNumId="264">
    <w:nsid w:val="49F15C6B"/>
    <w:multiLevelType w:val="hybridMultilevel"/>
    <w:lvl w:ilvl="0">
      <w:lvlJc w:val="left"/>
      <w:lvlText w:val="(%1)"/>
      <w:numFmt w:val="lowerLetter"/>
      <w:start w:val="4"/>
    </w:lvl>
  </w:abstractNum>
  <w:abstractNum w:abstractNumId="265">
    <w:nsid w:val="75F56228"/>
    <w:multiLevelType w:val="hybridMultilevel"/>
    <w:lvl w:ilvl="0">
      <w:lvlJc w:val="left"/>
      <w:lvlText w:val="(%1)"/>
      <w:numFmt w:val="lowerRoman"/>
      <w:start w:val="2"/>
    </w:lvl>
  </w:abstractNum>
  <w:abstractNum w:abstractNumId="266">
    <w:nsid w:val="1C618271"/>
    <w:multiLevelType w:val="hybridMultilevel"/>
    <w:lvl w:ilvl="0">
      <w:lvlJc w:val="left"/>
      <w:lvlText w:val="(%1)"/>
      <w:numFmt w:val="lowerRoman"/>
      <w:start w:val="9"/>
    </w:lvl>
  </w:abstractNum>
  <w:abstractNum w:abstractNumId="267">
    <w:nsid w:val="6505F02E"/>
    <w:multiLevelType w:val="hybridMultilevel"/>
    <w:lvl w:ilvl="0">
      <w:lvlJc w:val="left"/>
      <w:lvlText w:val="(%1)"/>
      <w:numFmt w:val="lowerLetter"/>
      <w:start w:val="1"/>
    </w:lvl>
  </w:abstractNum>
  <w:abstractNum w:abstractNumId="268">
    <w:nsid w:val="2FE5D025"/>
    <w:multiLevelType w:val="hybridMultilevel"/>
    <w:lvl w:ilvl="0">
      <w:lvlJc w:val="left"/>
      <w:lvlText w:val="(%1)"/>
      <w:numFmt w:val="lowerLetter"/>
      <w:start w:val="2"/>
    </w:lvl>
  </w:abstractNum>
  <w:abstractNum w:abstractNumId="269">
    <w:nsid w:val="30E1B1CF"/>
    <w:multiLevelType w:val="hybridMultilevel"/>
    <w:lvl w:ilvl="0">
      <w:lvlJc w:val="left"/>
      <w:lvlText w:val="(%1)"/>
      <w:numFmt w:val="lowerLetter"/>
      <w:start w:val="26"/>
    </w:lvl>
    <w:lvl w:ilvl="1">
      <w:lvlJc w:val="left"/>
      <w:lvlText w:val="(%2)"/>
      <w:numFmt w:val="lowerLetter"/>
      <w:start w:val="4"/>
    </w:lvl>
  </w:abstractNum>
  <w:abstractNum w:abstractNumId="270">
    <w:nsid w:val="C7A9237"/>
    <w:multiLevelType w:val="hybridMultilevel"/>
    <w:lvl w:ilvl="0">
      <w:lvlJc w:val="left"/>
      <w:lvlText w:val="(%1)"/>
      <w:numFmt w:val="lowerLetter"/>
      <w:start w:val="6"/>
    </w:lvl>
  </w:abstractNum>
  <w:abstractNum w:abstractNumId="271">
    <w:nsid w:val="676B3580"/>
    <w:multiLevelType w:val="hybridMultilevel"/>
    <w:lvl w:ilvl="0">
      <w:lvlJc w:val="left"/>
      <w:lvlText w:val="%1"/>
      <w:numFmt w:val="lowerLetter"/>
      <w:start w:val="1"/>
    </w:lvl>
    <w:lvl w:ilvl="1">
      <w:lvlJc w:val="left"/>
      <w:lvlText w:val="(%2)"/>
      <w:numFmt w:val="lowerLetter"/>
      <w:start w:val="1"/>
    </w:lvl>
  </w:abstractNum>
  <w:abstractNum w:abstractNumId="272">
    <w:nsid w:val="3193C8F9"/>
    <w:multiLevelType w:val="hybridMultilevel"/>
    <w:lvl w:ilvl="0">
      <w:lvlJc w:val="left"/>
      <w:lvlText w:val="(%1)"/>
      <w:numFmt w:val="lowerLetter"/>
      <w:start w:val="61"/>
    </w:lvl>
    <w:lvl w:ilvl="1">
      <w:lvlJc w:val="left"/>
      <w:lvlText w:val="(%2)"/>
      <w:numFmt w:val="lowerLetter"/>
      <w:start w:val="3"/>
    </w:lvl>
  </w:abstractNum>
  <w:abstractNum w:abstractNumId="273">
    <w:nsid w:val="5FA6C6DC"/>
    <w:multiLevelType w:val="hybridMultilevel"/>
    <w:lvl w:ilvl="0">
      <w:lvlJc w:val="left"/>
      <w:lvlText w:val="(%1)"/>
      <w:numFmt w:val="lowerRoman"/>
      <w:start w:val="2"/>
    </w:lvl>
  </w:abstractNum>
  <w:abstractNum w:abstractNumId="274">
    <w:nsid w:val="77933F62"/>
    <w:multiLevelType w:val="hybridMultilevel"/>
    <w:lvl w:ilvl="0">
      <w:lvlJc w:val="left"/>
      <w:lvlText w:val="%1."/>
      <w:numFmt w:val="decimal"/>
      <w:start w:val="1"/>
    </w:lvl>
    <w:lvl w:ilvl="1">
      <w:lvlJc w:val="left"/>
      <w:lvlText w:val="(%2)"/>
      <w:numFmt w:val="lowerRoman"/>
      <w:start w:val="1"/>
    </w:lvl>
  </w:abstractNum>
  <w:abstractNum w:abstractNumId="275">
    <w:nsid w:val="6CB4EE9C"/>
    <w:multiLevelType w:val="hybridMultilevel"/>
    <w:lvl w:ilvl="0">
      <w:lvlJc w:val="left"/>
      <w:lvlText w:val="%1."/>
      <w:numFmt w:val="decimal"/>
      <w:start w:val="3"/>
    </w:lvl>
  </w:abstractNum>
  <w:abstractNum w:abstractNumId="276">
    <w:nsid w:val="6A6D56D7"/>
    <w:multiLevelType w:val="hybridMultilevel"/>
    <w:lvl w:ilvl="0">
      <w:lvlJc w:val="left"/>
      <w:lvlText w:val="%1."/>
      <w:numFmt w:val="decimal"/>
      <w:start w:val="1"/>
    </w:lvl>
  </w:abstractNum>
  <w:abstractNum w:abstractNumId="277">
    <w:nsid w:val="5B727F19"/>
    <w:multiLevelType w:val="hybridMultilevel"/>
    <w:lvl w:ilvl="0">
      <w:lvlJc w:val="left"/>
      <w:lvlText w:val="%1."/>
      <w:numFmt w:val="decimal"/>
      <w:start w:val="2"/>
    </w:lvl>
  </w:abstractNum>
  <w:abstractNum w:abstractNumId="278">
    <w:nsid w:val="514E5CB0"/>
    <w:multiLevelType w:val="hybridMultilevel"/>
    <w:lvl w:ilvl="0">
      <w:lvlJc w:val="left"/>
      <w:lvlText w:val="%1."/>
      <w:numFmt w:val="decimal"/>
      <w:start w:val="3"/>
    </w:lvl>
  </w:abstractNum>
  <w:abstractNum w:abstractNumId="279">
    <w:nsid w:val="4210D41E"/>
    <w:multiLevelType w:val="hybridMultilevel"/>
    <w:lvl w:ilvl="0">
      <w:lvlJc w:val="left"/>
      <w:lvlText w:val="·"/>
      <w:numFmt w:val="bullet"/>
      <w:start w:val="1"/>
    </w:lvl>
  </w:abstractNum>
  <w:abstractNum w:abstractNumId="280">
    <w:nsid w:val="4FF4CC6D"/>
    <w:multiLevelType w:val="hybridMultilevel"/>
    <w:lvl w:ilvl="0">
      <w:lvlJc w:val="left"/>
      <w:lvlText w:val="·"/>
      <w:numFmt w:val="bullet"/>
      <w:start w:val="1"/>
    </w:lvl>
  </w:abstractNum>
  <w:abstractNum w:abstractNumId="281">
    <w:nsid w:val="404EAF4A"/>
    <w:multiLevelType w:val="hybridMultilevel"/>
    <w:lvl w:ilvl="0">
      <w:lvlJc w:val="left"/>
      <w:lvlText w:val="%1."/>
      <w:numFmt w:val="decimal"/>
      <w:start w:val="4"/>
    </w:lvl>
  </w:abstractNum>
  <w:abstractNum w:abstractNumId="282">
    <w:nsid w:val="4A16874F"/>
    <w:multiLevelType w:val="hybridMultilevel"/>
    <w:lvl w:ilvl="0">
      <w:lvlJc w:val="left"/>
      <w:lvlText w:val="·"/>
      <w:numFmt w:val="bullet"/>
      <w:start w:val="1"/>
    </w:lvl>
    <w:lvl w:ilvl="1">
      <w:lvlJc w:val="left"/>
      <w:lvlText w:val="(%2)"/>
      <w:numFmt w:val="lowerRoman"/>
      <w:start w:val="4"/>
    </w:lvl>
  </w:abstractNum>
  <w:abstractNum w:abstractNumId="283">
    <w:nsid w:val="55FEE0D1"/>
    <w:multiLevelType w:val="hybridMultilevel"/>
    <w:lvl w:ilvl="0">
      <w:lvlJc w:val="left"/>
      <w:lvlText w:val="·"/>
      <w:numFmt w:val="bullet"/>
      <w:start w:val="1"/>
    </w:lvl>
    <w:lvl w:ilvl="1">
      <w:lvlJc w:val="left"/>
      <w:lvlText w:val="(%2)"/>
      <w:numFmt w:val="lowerRoman"/>
      <w:start w:val="1"/>
    </w:lvl>
  </w:abstractNum>
  <w:abstractNum w:abstractNumId="284">
    <w:nsid w:val="3C5E07C"/>
    <w:multiLevelType w:val="hybridMultilevel"/>
    <w:lvl w:ilvl="0">
      <w:lvlJc w:val="left"/>
      <w:lvlText w:val="·"/>
      <w:numFmt w:val="bullet"/>
      <w:start w:val="1"/>
    </w:lvl>
  </w:abstractNum>
  <w:abstractNum w:abstractNumId="285">
    <w:nsid w:val="60C2D273"/>
    <w:multiLevelType w:val="hybridMultilevel"/>
    <w:lvl w:ilvl="0">
      <w:lvlJc w:val="left"/>
      <w:lvlText w:val="%1."/>
      <w:numFmt w:val="decimal"/>
      <w:start w:val="5"/>
    </w:lvl>
  </w:abstractNum>
  <w:abstractNum w:abstractNumId="286">
    <w:nsid w:val="4CC32F1F"/>
    <w:multiLevelType w:val="hybridMultilevel"/>
    <w:lvl w:ilvl="0">
      <w:lvlJc w:val="left"/>
      <w:lvlText w:val="%1."/>
      <w:numFmt w:val="decimal"/>
      <w:start w:val="6"/>
    </w:lvl>
  </w:abstractNum>
  <w:abstractNum w:abstractNumId="287">
    <w:nsid w:val="11CAC74A"/>
    <w:multiLevelType w:val="hybridMultilevel"/>
    <w:lvl w:ilvl="0">
      <w:lvlJc w:val="left"/>
      <w:lvlText w:val="·"/>
      <w:numFmt w:val="bullet"/>
      <w:start w:val="1"/>
    </w:lvl>
  </w:abstractNum>
  <w:abstractNum w:abstractNumId="288">
    <w:nsid w:val="126CADE9"/>
    <w:multiLevelType w:val="hybridMultilevel"/>
    <w:lvl w:ilvl="0">
      <w:lvlJc w:val="left"/>
      <w:lvlText w:val="·"/>
      <w:numFmt w:val="bullet"/>
      <w:start w:val="1"/>
    </w:lvl>
  </w:abstractNum>
  <w:abstractNum w:abstractNumId="289">
    <w:nsid w:val="19132E7B"/>
    <w:multiLevelType w:val="hybridMultilevel"/>
    <w:lvl w:ilvl="0">
      <w:lvlJc w:val="left"/>
      <w:lvlText w:val="%1."/>
      <w:numFmt w:val="decimal"/>
      <w:start w:val="7"/>
    </w:lvl>
  </w:abstractNum>
  <w:abstractNum w:abstractNumId="290">
    <w:nsid w:val="63822DC0"/>
    <w:multiLevelType w:val="hybridMultilevel"/>
    <w:lvl w:ilvl="0">
      <w:lvlJc w:val="left"/>
      <w:lvlText w:val="·"/>
      <w:numFmt w:val="bullet"/>
      <w:start w:val="1"/>
    </w:lvl>
  </w:abstractNum>
  <w:abstractNum w:abstractNumId="291">
    <w:nsid w:val="6C11685A"/>
    <w:multiLevelType w:val="hybridMultilevel"/>
    <w:lvl w:ilvl="0">
      <w:lvlJc w:val="left"/>
      <w:lvlText w:val="·"/>
      <w:numFmt w:val="bullet"/>
      <w:start w:val="1"/>
    </w:lvl>
  </w:abstractNum>
  <w:abstractNum w:abstractNumId="292">
    <w:nsid w:val="5E1EAE31"/>
    <w:multiLevelType w:val="hybridMultilevel"/>
    <w:lvl w:ilvl="0">
      <w:lvlJc w:val="left"/>
      <w:lvlText w:val="%1."/>
      <w:numFmt w:val="decimal"/>
      <w:start w:val="8"/>
    </w:lvl>
  </w:abstractNum>
  <w:abstractNum w:abstractNumId="293">
    <w:nsid w:val="178E240D"/>
    <w:multiLevelType w:val="hybridMultilevel"/>
    <w:lvl w:ilvl="0">
      <w:lvlJc w:val="left"/>
      <w:lvlText w:val="·"/>
      <w:numFmt w:val="bullet"/>
      <w:start w:val="1"/>
    </w:lvl>
  </w:abstractNum>
  <w:abstractNum w:abstractNumId="294">
    <w:nsid w:val="5556A87B"/>
    <w:multiLevelType w:val="hybridMultilevel"/>
    <w:lvl w:ilvl="0">
      <w:lvlJc w:val="left"/>
      <w:lvlText w:val="%1."/>
      <w:numFmt w:val="decimal"/>
      <w:start w:val="9"/>
    </w:lvl>
  </w:abstractNum>
  <w:abstractNum w:abstractNumId="295">
    <w:nsid w:val="28100A9C"/>
    <w:multiLevelType w:val="hybridMultilevel"/>
    <w:lvl w:ilvl="0">
      <w:lvlJc w:val="left"/>
      <w:lvlText w:val="·"/>
      <w:numFmt w:val="bullet"/>
      <w:start w:val="1"/>
    </w:lvl>
  </w:abstractNum>
  <w:abstractNum w:abstractNumId="296">
    <w:nsid w:val="D838636"/>
    <w:multiLevelType w:val="hybridMultilevel"/>
    <w:lvl w:ilvl="0">
      <w:lvlJc w:val="left"/>
      <w:lvlText w:val="·"/>
      <w:numFmt w:val="bullet"/>
      <w:start w:val="1"/>
    </w:lvl>
  </w:abstractNum>
  <w:abstractNum w:abstractNumId="297">
    <w:nsid w:val="71B82AED"/>
    <w:multiLevelType w:val="hybridMultilevel"/>
    <w:lvl w:ilvl="0">
      <w:lvlJc w:val="left"/>
      <w:lvlText w:val="·"/>
      <w:numFmt w:val="bullet"/>
      <w:start w:val="1"/>
    </w:lvl>
  </w:abstractNum>
  <w:abstractNum w:abstractNumId="298">
    <w:nsid w:val="D15FACA"/>
    <w:multiLevelType w:val="hybridMultilevel"/>
    <w:lvl w:ilvl="0">
      <w:lvlJc w:val="left"/>
      <w:lvlText w:val="%1."/>
      <w:numFmt w:val="decimal"/>
      <w:start w:val="10"/>
    </w:lvl>
  </w:abstractNum>
  <w:abstractNum w:abstractNumId="299">
    <w:nsid w:val="3D69565B"/>
    <w:multiLevelType w:val="hybridMultilevel"/>
    <w:lvl w:ilvl="0">
      <w:lvlJc w:val="left"/>
      <w:lvlText w:val="%1."/>
      <w:numFmt w:val="decimal"/>
      <w:start w:val="11"/>
    </w:lvl>
  </w:abstractNum>
  <w:abstractNum w:abstractNumId="300">
    <w:nsid w:val="2299DCBC"/>
    <w:multiLevelType w:val="hybridMultilevel"/>
    <w:lvl w:ilvl="0">
      <w:lvlJc w:val="left"/>
      <w:lvlText w:val="(%1)"/>
      <w:numFmt w:val="decimal"/>
      <w:start w:val="1"/>
    </w:lvl>
  </w:abstractNum>
  <w:abstractNum w:abstractNumId="301">
    <w:nsid w:val="19908D02"/>
    <w:multiLevelType w:val="hybridMultilevel"/>
    <w:lvl w:ilvl="0">
      <w:lvlJc w:val="left"/>
      <w:lvlText w:val="%1."/>
      <w:numFmt w:val="decimal"/>
      <w:start w:val="2"/>
    </w:lvl>
    <w:lvl w:ilvl="1">
      <w:lvlJc w:val="left"/>
      <w:lvlText w:val="%2."/>
      <w:numFmt w:val="lowerLetter"/>
      <w:start w:val="1"/>
    </w:lvl>
  </w:abstractNum>
  <w:abstractNum w:abstractNumId="302">
    <w:nsid w:val="24D48BDB"/>
    <w:multiLevelType w:val="hybridMultilevel"/>
    <w:lvl w:ilvl="0">
      <w:lvlJc w:val="left"/>
      <w:lvlText w:val="%1"/>
      <w:numFmt w:val="lowerLetter"/>
      <w:start w:val="1"/>
    </w:lvl>
    <w:lvl w:ilvl="1">
      <w:lvlJc w:val="left"/>
      <w:lvlText w:val="(%2)"/>
      <w:numFmt w:val="lowerLetter"/>
      <w:start w:val="1"/>
    </w:lvl>
  </w:abstractNum>
  <w:abstractNum w:abstractNumId="303">
    <w:nsid w:val="542DA5B5"/>
    <w:multiLevelType w:val="hybridMultilevel"/>
    <w:lvl w:ilvl="0">
      <w:lvlJc w:val="left"/>
      <w:lvlText w:val="(%1)"/>
      <w:numFmt w:val="lowerLetter"/>
      <w:start w:val="9"/>
    </w:lvl>
    <w:lvl w:ilvl="1">
      <w:lvlJc w:val="left"/>
      <w:lvlText w:val="%2"/>
      <w:numFmt w:val="lowerLetter"/>
      <w:start w:val="1"/>
    </w:lvl>
  </w:abstractNum>
  <w:abstractNum w:abstractNumId="304">
    <w:nsid w:val="793753DE"/>
    <w:multiLevelType w:val="hybridMultilevel"/>
    <w:lvl w:ilvl="0">
      <w:lvlJc w:val="left"/>
      <w:lvlText w:val="(%1)"/>
      <w:numFmt w:val="lowerLetter"/>
      <w:start w:val="2"/>
    </w:lvl>
  </w:abstractNum>
  <w:abstractNum w:abstractNumId="305">
    <w:nsid w:val="1C67CB3D"/>
    <w:multiLevelType w:val="hybridMultilevel"/>
    <w:lvl w:ilvl="0">
      <w:lvlJc w:val="left"/>
      <w:lvlText w:val="(%1)"/>
      <w:numFmt w:val="lowerLetter"/>
      <w:start w:val="1"/>
    </w:lvl>
  </w:abstractNum>
  <w:abstractNum w:abstractNumId="306">
    <w:nsid w:val="40E29452"/>
    <w:multiLevelType w:val="hybridMultilevel"/>
    <w:lvl w:ilvl="0">
      <w:lvlJc w:val="left"/>
      <w:lvlText w:val="(%1)"/>
      <w:numFmt w:val="lowerLetter"/>
      <w:start w:val="3"/>
    </w:lvl>
  </w:abstractNum>
  <w:abstractNum w:abstractNumId="307">
    <w:nsid w:val="63A4AAB6"/>
    <w:multiLevelType w:val="hybridMultilevel"/>
    <w:lvl w:ilvl="0">
      <w:lvlJc w:val="left"/>
      <w:lvlText w:val="(%1)"/>
      <w:numFmt w:val="lowerLetter"/>
      <w:start w:val="1"/>
    </w:lvl>
  </w:abstractNum>
  <w:abstractNum w:abstractNumId="308">
    <w:nsid w:val="77DA4A57"/>
    <w:multiLevelType w:val="hybridMultilevel"/>
    <w:lvl w:ilvl="0">
      <w:lvlJc w:val="left"/>
      <w:lvlText w:val="(%1)"/>
      <w:numFmt w:val="decimal"/>
      <w:start w:val="1"/>
    </w:lvl>
  </w:abstractNum>
  <w:abstractNum w:abstractNumId="309">
    <w:nsid w:val="1230F102"/>
    <w:multiLevelType w:val="hybridMultilevel"/>
    <w:lvl w:ilvl="0">
      <w:lvlJc w:val="left"/>
      <w:lvlText w:val="(%1)"/>
      <w:numFmt w:val="lowerLetter"/>
      <w:start w:val="1"/>
    </w:lvl>
  </w:abstractNum>
  <w:abstractNum w:abstractNumId="310">
    <w:nsid w:val="25B57ED4"/>
    <w:multiLevelType w:val="hybridMultilevel"/>
    <w:lvl w:ilvl="0">
      <w:lvlJc w:val="left"/>
      <w:lvlText w:val="o"/>
      <w:numFmt w:val="bullet"/>
      <w:start w:val="1"/>
    </w:lvl>
  </w:abstractNum>
  <w:abstractNum w:abstractNumId="311">
    <w:nsid w:val="47CF16C4"/>
    <w:multiLevelType w:val="hybridMultilevel"/>
    <w:lvl w:ilvl="0">
      <w:lvlJc w:val="left"/>
      <w:lvlText w:val="%1."/>
      <w:numFmt w:val="decimal"/>
      <w:start w:val="2"/>
    </w:lvl>
  </w:abstractNum>
  <w:abstractNum w:abstractNumId="312">
    <w:nsid w:val="527FA04C"/>
    <w:multiLevelType w:val="hybridMultilevel"/>
    <w:lvl w:ilvl="0">
      <w:lvlJc w:val="left"/>
      <w:lvlText w:val="%1."/>
      <w:numFmt w:val="decimal"/>
      <w:start w:val="3"/>
    </w:lvl>
  </w:abstractNum>
  <w:abstractNum w:abstractNumId="313">
    <w:nsid w:val="6FCC0624"/>
    <w:multiLevelType w:val="hybridMultilevel"/>
    <w:lvl w:ilvl="0">
      <w:lvlJc w:val="left"/>
      <w:lvlText w:val="X"/>
      <w:numFmt w:val="bullet"/>
      <w:start w:val="1"/>
    </w:lvl>
  </w:abstractNum>
  <w:abstractNum w:abstractNumId="314">
    <w:nsid w:val="1DCDF795"/>
    <w:multiLevelType w:val="hybridMultilevel"/>
    <w:lvl w:ilvl="0">
      <w:lvlJc w:val="left"/>
      <w:lvlText w:val="Y"/>
      <w:numFmt w:val="bullet"/>
      <w:start w:val="1"/>
    </w:lvl>
  </w:abstractNum>
  <w:abstractNum w:abstractNumId="315">
    <w:nsid w:val="564580C8"/>
    <w:multiLevelType w:val="hybridMultilevel"/>
    <w:lvl w:ilvl="0">
      <w:lvlJc w:val="left"/>
      <w:lvlText w:val="A"/>
      <w:numFmt w:val="bullet"/>
      <w:start w:val="1"/>
    </w:lvl>
  </w:abstractNum>
  <w:abstractNum w:abstractNumId="316">
    <w:nsid w:val="508ED897"/>
    <w:multiLevelType w:val="hybridMultilevel"/>
    <w:lvl w:ilvl="0">
      <w:lvlJc w:val="left"/>
      <w:lvlText w:val="%1"/>
      <w:numFmt w:val="lowerLetter"/>
      <w:start w:val="1"/>
    </w:lvl>
    <w:lvl w:ilvl="1">
      <w:lvlJc w:val="left"/>
      <w:lvlText w:val="(%2)"/>
      <w:numFmt w:val="lowerLetter"/>
      <w:start w:val="1"/>
    </w:lvl>
  </w:abstractNum>
  <w:abstractNum w:abstractNumId="317">
    <w:nsid w:val="6A9126B5"/>
    <w:multiLevelType w:val="hybridMultilevel"/>
    <w:lvl w:ilvl="0">
      <w:lvlJc w:val="left"/>
      <w:lvlText w:val="(%1)"/>
      <w:numFmt w:val="lowerLetter"/>
      <w:start w:val="9"/>
    </w:lvl>
    <w:lvl w:ilvl="1">
      <w:lvlJc w:val="left"/>
      <w:lvlText w:val="(%2)"/>
      <w:numFmt w:val="lowerLetter"/>
      <w:start w:val="2"/>
    </w:lvl>
  </w:abstractNum>
  <w:abstractNum w:abstractNumId="318">
    <w:nsid w:val="68104812"/>
    <w:multiLevelType w:val="hybridMultilevel"/>
    <w:lvl w:ilvl="0">
      <w:lvlJc w:val="left"/>
      <w:lvlText w:val="(%1)"/>
      <w:numFmt w:val="lowerLetter"/>
      <w:start w:val="1"/>
    </w:lvl>
  </w:abstractNum>
  <w:abstractNum w:abstractNumId="319">
    <w:nsid w:val="62FB8680"/>
    <w:multiLevelType w:val="hybridMultilevel"/>
    <w:lvl w:ilvl="0">
      <w:lvlJc w:val="left"/>
      <w:lvlText w:val="(%1)"/>
      <w:numFmt w:val="lowerLetter"/>
      <w:start w:val="1"/>
    </w:lvl>
  </w:abstractNum>
  <w:abstractNum w:abstractNumId="320">
    <w:nsid w:val="3A45530"/>
    <w:multiLevelType w:val="hybridMultilevel"/>
    <w:lvl w:ilvl="0">
      <w:lvlJc w:val="left"/>
      <w:lvlText w:val="(%1)"/>
      <w:numFmt w:val="decimal"/>
      <w:start w:val="1"/>
    </w:lvl>
  </w:abstractNum>
  <w:abstractNum w:abstractNumId="321">
    <w:nsid w:val="4B9275D2"/>
    <w:multiLevelType w:val="hybridMultilevel"/>
    <w:lvl w:ilvl="0">
      <w:lvlJc w:val="left"/>
      <w:lvlText w:val="(%1)"/>
      <w:numFmt w:val="decimal"/>
      <w:start w:val="3"/>
    </w:lvl>
  </w:abstractNum>
  <w:abstractNum w:abstractNumId="322">
    <w:nsid w:val="4F0CEEDB"/>
    <w:multiLevelType w:val="hybridMultilevel"/>
    <w:lvl w:ilvl="0">
      <w:lvlJc w:val="left"/>
      <w:lvlText w:val="(%1)"/>
      <w:numFmt w:val="lowerLetter"/>
      <w:start w:val="1"/>
    </w:lvl>
  </w:abstractNum>
  <w:abstractNum w:abstractNumId="323">
    <w:nsid w:val="61C30361"/>
    <w:multiLevelType w:val="hybridMultilevel"/>
    <w:lvl w:ilvl="0">
      <w:lvlJc w:val="left"/>
      <w:lvlText w:val="o"/>
      <w:numFmt w:val="bullet"/>
      <w:start w:val="1"/>
    </w:lvl>
  </w:abstractNum>
  <w:abstractNum w:abstractNumId="324">
    <w:nsid w:val="632099E0"/>
    <w:multiLevelType w:val="hybridMultilevel"/>
    <w:lvl w:ilvl="0">
      <w:lvlJc w:val="left"/>
      <w:lvlText w:val="%1."/>
      <w:numFmt w:val="decimal"/>
      <w:start w:val="2"/>
    </w:lvl>
  </w:abstractNum>
  <w:abstractNum w:abstractNumId="325">
    <w:nsid w:val="24639756"/>
    <w:multiLevelType w:val="hybridMultilevel"/>
    <w:lvl w:ilvl="0">
      <w:lvlJc w:val="left"/>
      <w:lvlText w:val="%1."/>
      <w:numFmt w:val="decimal"/>
      <w:start w:val="3"/>
    </w:lvl>
  </w:abstractNum>
  <w:abstractNum w:abstractNumId="326">
    <w:nsid w:val="9D30DFD"/>
    <w:multiLevelType w:val="hybridMultilevel"/>
    <w:lvl w:ilvl="0">
      <w:lvlJc w:val="left"/>
      <w:lvlText w:val="%1."/>
      <w:numFmt w:val="decimal"/>
      <w:start w:val="1"/>
    </w:lvl>
  </w:abstractNum>
  <w:abstractNum w:abstractNumId="327">
    <w:nsid w:val="70A42016"/>
    <w:multiLevelType w:val="hybridMultilevel"/>
    <w:lvl w:ilvl="0">
      <w:lvlJc w:val="left"/>
      <w:lvlText w:val="%1."/>
      <w:numFmt w:val="decimal"/>
      <w:start w:val="2"/>
    </w:lvl>
  </w:abstractNum>
  <w:abstractNum w:abstractNumId="328">
    <w:nsid w:val="161BC243"/>
    <w:multiLevelType w:val="hybridMultilevel"/>
    <w:lvl w:ilvl="0">
      <w:lvlJc w:val="left"/>
      <w:lvlText w:val="%1"/>
      <w:numFmt w:val="lowerLetter"/>
      <w:start w:val="1"/>
    </w:lvl>
    <w:lvl w:ilvl="1">
      <w:lvlJc w:val="left"/>
      <w:lvlText w:val="(%2)"/>
      <w:numFmt w:val="lowerLetter"/>
      <w:start w:val="1"/>
    </w:lvl>
  </w:abstractNum>
  <w:abstractNum w:abstractNumId="329">
    <w:nsid w:val="16E908C8"/>
    <w:multiLevelType w:val="hybridMultilevel"/>
    <w:lvl w:ilvl="0">
      <w:lvlJc w:val="left"/>
      <w:lvlText w:val="(%1)"/>
      <w:numFmt w:val="lowerLetter"/>
      <w:start w:val="22"/>
    </w:lvl>
    <w:lvl w:ilvl="1">
      <w:lvlJc w:val="left"/>
      <w:lvlText w:val="%2"/>
      <w:numFmt w:val="lowerLetter"/>
      <w:start w:val="1"/>
    </w:lvl>
  </w:abstractNum>
  <w:abstractNum w:abstractNumId="330">
    <w:nsid w:val="2E0D7671"/>
    <w:multiLevelType w:val="hybridMultilevel"/>
    <w:lvl w:ilvl="0">
      <w:lvlJc w:val="left"/>
      <w:lvlText w:val="(%1)"/>
      <w:numFmt w:val="lowerLetter"/>
      <w:start w:val="5"/>
    </w:lvl>
  </w:abstractNum>
  <w:abstractNum w:abstractNumId="331">
    <w:nsid w:val="38B59EFF"/>
    <w:multiLevelType w:val="hybridMultilevel"/>
    <w:lvl w:ilvl="0">
      <w:lvlJc w:val="left"/>
      <w:lvlText w:val="(%1)"/>
      <w:numFmt w:val="lowerLetter"/>
      <w:start w:val="12"/>
    </w:lvl>
  </w:abstractNum>
  <w:abstractNum w:abstractNumId="332">
    <w:nsid w:val="307995CA"/>
    <w:multiLevelType w:val="hybridMultilevel"/>
    <w:lvl w:ilvl="0">
      <w:lvlJc w:val="left"/>
      <w:lvlText w:val="(%1)"/>
      <w:numFmt w:val="lowerLetter"/>
      <w:start w:val="22"/>
    </w:lvl>
  </w:abstractNum>
  <w:abstractNum w:abstractNumId="333">
    <w:nsid w:val="52E2024D"/>
    <w:multiLevelType w:val="hybridMultilevel"/>
    <w:lvl w:ilvl="0">
      <w:lvlJc w:val="left"/>
      <w:lvlText w:val="(%1)"/>
      <w:numFmt w:val="lowerLetter"/>
      <w:start w:val="27"/>
    </w:lvl>
  </w:abstractNum>
  <w:abstractNum w:abstractNumId="334">
    <w:nsid w:val="CE344B5"/>
    <w:multiLevelType w:val="hybridMultilevel"/>
    <w:lvl w:ilvl="0">
      <w:lvlJc w:val="left"/>
      <w:lvlText w:val="(%1)"/>
      <w:numFmt w:val="lowerLetter"/>
      <w:start w:val="29"/>
    </w:lvl>
  </w:abstractNum>
  <w:abstractNum w:abstractNumId="335">
    <w:nsid w:val="29B0E9A8"/>
    <w:multiLevelType w:val="hybridMultilevel"/>
    <w:lvl w:ilvl="0">
      <w:lvlJc w:val="left"/>
      <w:lvlText w:val="(%1)"/>
      <w:numFmt w:val="lowerLetter"/>
      <w:start w:val="35"/>
    </w:lvl>
  </w:abstractNum>
  <w:abstractNum w:abstractNumId="336">
    <w:nsid w:val="6F49CD8A"/>
    <w:multiLevelType w:val="hybridMultilevel"/>
    <w:lvl w:ilvl="0">
      <w:lvlJc w:val="left"/>
      <w:lvlText w:val="%1"/>
      <w:numFmt w:val="decimal"/>
      <w:start w:val="1"/>
    </w:lvl>
    <w:lvl w:ilvl="1">
      <w:lvlJc w:val="left"/>
      <w:lvlText w:val="(%2)"/>
      <w:numFmt w:val="lowerLetter"/>
      <w:start w:val="42"/>
    </w:lvl>
    <w:lvl w:ilvl="2">
      <w:lvlJc w:val="left"/>
      <w:lvlText w:val="(%3)"/>
      <w:numFmt w:val="lowerRoman"/>
      <w:start w:val="1"/>
    </w:lvl>
  </w:abstractNum>
  <w:abstractNum w:abstractNumId="337">
    <w:nsid w:val="4DC5D907"/>
    <w:multiLevelType w:val="hybridMultilevel"/>
    <w:lvl w:ilvl="0">
      <w:lvlJc w:val="left"/>
      <w:lvlText w:val="(%1)"/>
      <w:numFmt w:val="decimal"/>
      <w:start w:val="10"/>
    </w:lvl>
    <w:lvl w:ilvl="1">
      <w:lvlJc w:val="left"/>
      <w:lvlText w:val="(%2)"/>
      <w:numFmt w:val="lowerLetter"/>
      <w:start w:val="43"/>
    </w:lvl>
    <w:lvl w:ilvl="2">
      <w:lvlJc w:val="left"/>
      <w:lvlText w:val="(%3)"/>
      <w:numFmt w:val="lowerRoman"/>
      <w:start w:val="3"/>
    </w:lvl>
  </w:abstractNum>
  <w:abstractNum w:abstractNumId="338">
    <w:nsid w:val="D55945E"/>
    <w:multiLevelType w:val="hybridMultilevel"/>
    <w:lvl w:ilvl="0">
      <w:lvlJc w:val="left"/>
      <w:lvlText w:val="(%1)"/>
      <w:numFmt w:val="lowerLetter"/>
      <w:start w:val="50"/>
    </w:lvl>
  </w:abstractNum>
  <w:abstractNum w:abstractNumId="339">
    <w:nsid w:val="672417E1"/>
    <w:multiLevelType w:val="hybridMultilevel"/>
    <w:lvl w:ilvl="0">
      <w:lvlJc w:val="left"/>
      <w:lvlText w:val="(%1)"/>
      <w:numFmt w:val="lowerLetter"/>
      <w:start w:val="53"/>
    </w:lvl>
  </w:abstractNum>
  <w:abstractNum w:abstractNumId="340">
    <w:nsid w:val="5FF6CA09"/>
    <w:multiLevelType w:val="hybridMultilevel"/>
    <w:lvl w:ilvl="0">
      <w:lvlJc w:val="left"/>
      <w:lvlText w:val="(%1)"/>
      <w:numFmt w:val="lowerLetter"/>
      <w:start w:val="59"/>
    </w:lvl>
  </w:abstractNum>
  <w:abstractNum w:abstractNumId="341">
    <w:nsid w:val="330B133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42">
    <w:nsid w:val="2EF32EA6"/>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2"/>
    </w:lvl>
  </w:abstractNum>
  <w:abstractNum w:abstractNumId="343">
    <w:nsid w:val="32766A5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44">
    <w:nsid w:val="22D71957"/>
    <w:multiLevelType w:val="hybridMultilevel"/>
    <w:lvl w:ilvl="0">
      <w:lvlJc w:val="left"/>
      <w:lvlText w:val="%1."/>
      <w:numFmt w:val="decimal"/>
      <w:start w:val="5"/>
    </w:lvl>
    <w:lvl w:ilvl="1">
      <w:lvlJc w:val="left"/>
      <w:lvlText w:val="(%2)"/>
      <w:numFmt w:val="lowerLetter"/>
      <w:start w:val="1"/>
    </w:lvl>
  </w:abstractNum>
  <w:abstractNum w:abstractNumId="345">
    <w:nsid w:val="4CC1263B"/>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9"/>
    </w:lvl>
  </w:abstractNum>
  <w:abstractNum w:abstractNumId="346">
    <w:nsid w:val="8BBEB1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47">
    <w:nsid w:val="7365F1E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48">
    <w:nsid w:val="37524CF0"/>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349">
    <w:nsid w:val="70CC332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50">
    <w:nsid w:val="5661786E"/>
    <w:multiLevelType w:val="hybridMultilevel"/>
    <w:lvl w:ilvl="0">
      <w:lvlJc w:val="left"/>
      <w:lvlText w:val="(%1)"/>
      <w:numFmt w:val="lowerLetter"/>
      <w:start w:val="1"/>
    </w:lvl>
  </w:abstractNum>
  <w:abstractNum w:abstractNumId="351">
    <w:nsid w:val="3AF6A220"/>
    <w:multiLevelType w:val="hybridMultilevel"/>
    <w:lvl w:ilvl="0">
      <w:lvlJc w:val="left"/>
      <w:lvlText w:val="%1"/>
      <w:numFmt w:val="decimal"/>
      <w:start w:val="1"/>
    </w:lvl>
    <w:lvl w:ilvl="1">
      <w:lvlJc w:val="left"/>
      <w:lvlText w:val="(%2)"/>
      <w:numFmt w:val="lowerLetter"/>
      <w:start w:val="2"/>
    </w:lvl>
  </w:abstractNum>
  <w:abstractNum w:abstractNumId="352">
    <w:nsid w:val="3C5EA902"/>
    <w:multiLevelType w:val="hybridMultilevel"/>
    <w:lvl w:ilvl="0">
      <w:lvlJc w:val="left"/>
      <w:lvlText w:val="%1."/>
      <w:numFmt w:val="decimal"/>
      <w:start w:val="7"/>
    </w:lvl>
    <w:lvl w:ilvl="1">
      <w:lvlJc w:val="left"/>
      <w:lvlText w:val="(%2)"/>
      <w:numFmt w:val="lowerLetter"/>
      <w:start w:val="1"/>
    </w:lvl>
  </w:abstractNum>
  <w:abstractNum w:abstractNumId="353">
    <w:nsid w:val="256E6749"/>
    <w:multiLevelType w:val="hybridMultilevel"/>
    <w:lvl w:ilvl="0">
      <w:lvlJc w:val="left"/>
      <w:lvlText w:val="%1"/>
      <w:numFmt w:val="decimal"/>
      <w:start w:val="1"/>
    </w:lvl>
    <w:lvl w:ilvl="1">
      <w:lvlJc w:val="left"/>
      <w:lvlText w:val="(%2)"/>
      <w:numFmt w:val="lowerLetter"/>
      <w:start w:val="3"/>
    </w:lvl>
  </w:abstractNum>
  <w:abstractNum w:abstractNumId="354">
    <w:nsid w:val="1CB9A581"/>
    <w:multiLevelType w:val="hybridMultilevel"/>
    <w:lvl w:ilvl="0">
      <w:lvlJc w:val="left"/>
      <w:lvlText w:val="%1."/>
      <w:numFmt w:val="decimal"/>
      <w:start w:val="8"/>
    </w:lvl>
    <w:lvl w:ilvl="1">
      <w:lvlJc w:val="left"/>
      <w:lvlText w:val="%2"/>
      <w:numFmt w:val="lowerLetter"/>
      <w:start w:val="1"/>
    </w:lvl>
  </w:abstractNum>
  <w:abstractNum w:abstractNumId="355">
    <w:nsid w:val="1F7F42E2"/>
    <w:multiLevelType w:val="hybridMultilevel"/>
    <w:lvl w:ilvl="0">
      <w:lvlJc w:val="left"/>
      <w:lvlText w:val="%1."/>
      <w:numFmt w:val="decimal"/>
      <w:start w:val="9"/>
    </w:lvl>
  </w:abstractNum>
  <w:abstractNum w:abstractNumId="356">
    <w:nsid w:val="49D1FEA0"/>
    <w:multiLevelType w:val="hybridMultilevel"/>
    <w:lvl w:ilvl="0">
      <w:lvlJc w:val="left"/>
      <w:lvlText w:val="%1."/>
      <w:numFmt w:val="decimal"/>
      <w:start w:val="10"/>
    </w:lvl>
    <w:lvl w:ilvl="1">
      <w:lvlJc w:val="left"/>
      <w:lvlText w:val="(%2)"/>
      <w:numFmt w:val="lowerLetter"/>
      <w:start w:val="1"/>
    </w:lvl>
  </w:abstractNum>
  <w:abstractNum w:abstractNumId="357">
    <w:nsid w:val="268CB37F"/>
    <w:multiLevelType w:val="hybridMultilevel"/>
    <w:lvl w:ilvl="0">
      <w:lvlJc w:val="left"/>
      <w:lvlText w:val="(%1)"/>
      <w:numFmt w:val="lowerLetter"/>
      <w:start w:val="2"/>
    </w:lvl>
    <w:lvl w:ilvl="1">
      <w:lvlJc w:val="left"/>
      <w:lvlText w:val="(%2)"/>
      <w:numFmt w:val="lowerRoman"/>
      <w:start w:val="1"/>
    </w:lvl>
  </w:abstractNum>
  <w:abstractNum w:abstractNumId="358">
    <w:nsid w:val="102362F8"/>
    <w:multiLevelType w:val="hybridMultilevel"/>
    <w:lvl w:ilvl="0">
      <w:lvlJc w:val="left"/>
      <w:lvlText w:val="(%1)"/>
      <w:numFmt w:val="lowerRoman"/>
      <w:start w:val="5"/>
    </w:lvl>
    <w:lvl w:ilvl="1">
      <w:lvlJc w:val="left"/>
      <w:lvlText w:val="(%2)"/>
      <w:numFmt w:val="decimal"/>
      <w:start w:val="1"/>
    </w:lvl>
  </w:abstractNum>
  <w:abstractNum w:abstractNumId="359">
    <w:nsid w:val="5FEDC0E3"/>
    <w:multiLevelType w:val="hybridMultilevel"/>
    <w:lvl w:ilvl="0">
      <w:lvlJc w:val="left"/>
      <w:lvlText w:val="(%1)"/>
      <w:numFmt w:val="lowerLetter"/>
      <w:start w:val="3"/>
    </w:lvl>
  </w:abstractNum>
  <w:abstractNum w:abstractNumId="360">
    <w:nsid w:val="3D75BC47"/>
    <w:multiLevelType w:val="hybridMultilevel"/>
    <w:lvl w:ilvl="0">
      <w:lvlJc w:val="left"/>
      <w:lvlText w:val="%1"/>
      <w:numFmt w:val="decimal"/>
      <w:start w:val="1"/>
    </w:lvl>
    <w:lvl w:ilvl="1">
      <w:lvlJc w:val="left"/>
      <w:lvlText w:val="(%2)"/>
      <w:numFmt w:val="lowerLetter"/>
      <w:start w:val="4"/>
    </w:lvl>
  </w:abstractNum>
  <w:abstractNum w:abstractNumId="361">
    <w:nsid w:val="3E30D969"/>
    <w:multiLevelType w:val="hybridMultilevel"/>
    <w:lvl w:ilvl="0">
      <w:lvlJc w:val="left"/>
      <w:lvlText w:val="%1."/>
      <w:numFmt w:val="decimal"/>
      <w:start w:val="11"/>
    </w:lvl>
    <w:lvl w:ilvl="1">
      <w:lvlJc w:val="left"/>
      <w:lvlText w:val="(%2)"/>
      <w:numFmt w:val="lowerLetter"/>
      <w:start w:val="1"/>
    </w:lvl>
  </w:abstractNum>
  <w:abstractNum w:abstractNumId="362">
    <w:nsid w:val="18A35FE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63">
    <w:nsid w:val="6DEF521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64">
    <w:nsid w:val="1112DBB6"/>
    <w:multiLevelType w:val="hybridMultilevel"/>
    <w:lvl w:ilvl="0">
      <w:lvlJc w:val="left"/>
      <w:lvlText w:val="(%1)"/>
      <w:numFmt w:val="lowerRoman"/>
      <w:start w:val="4"/>
    </w:lvl>
  </w:abstractNum>
  <w:abstractNum w:abstractNumId="365">
    <w:nsid w:val="2586A498"/>
    <w:multiLevelType w:val="hybridMultilevel"/>
    <w:lvl w:ilvl="0">
      <w:lvlJc w:val="left"/>
      <w:lvlText w:val="(%1)"/>
      <w:numFmt w:val="upperLetter"/>
      <w:start w:val="2"/>
    </w:lvl>
    <w:lvl w:ilvl="1">
      <w:lvlJc w:val="left"/>
      <w:lvlText w:val="(%2)"/>
      <w:numFmt w:val="lowerLetter"/>
      <w:start w:val="3"/>
    </w:lvl>
  </w:abstractNum>
  <w:abstractNum w:abstractNumId="366">
    <w:nsid w:val="17A03BB9"/>
    <w:multiLevelType w:val="hybridMultilevel"/>
    <w:lvl w:ilvl="0">
      <w:lvlJc w:val="left"/>
      <w:lvlText w:val="%1."/>
      <w:numFmt w:val="decimal"/>
      <w:start w:val="13"/>
    </w:lvl>
  </w:abstractNum>
  <w:abstractNum w:abstractNumId="367">
    <w:nsid w:val="5CA941"/>
    <w:multiLevelType w:val="hybridMultilevel"/>
    <w:lvl w:ilvl="0">
      <w:lvlJc w:val="left"/>
      <w:lvlText w:val="%1."/>
      <w:numFmt w:val="decimal"/>
      <w:start w:val="14"/>
    </w:lvl>
  </w:abstractNum>
  <w:abstractNum w:abstractNumId="368">
    <w:nsid w:val="734C7D9F"/>
    <w:multiLevelType w:val="hybridMultilevel"/>
    <w:lvl w:ilvl="0">
      <w:lvlJc w:val="left"/>
      <w:lvlText w:val="%1."/>
      <w:numFmt w:val="decimal"/>
      <w:start w:val="15"/>
    </w:lvl>
  </w:abstractNum>
  <w:abstractNum w:abstractNumId="369">
    <w:nsid w:val="24F5D018"/>
    <w:multiLevelType w:val="hybridMultilevel"/>
    <w:lvl w:ilvl="0">
      <w:lvlJc w:val="left"/>
      <w:lvlText w:val="%1."/>
      <w:numFmt w:val="decimal"/>
      <w:start w:val="16"/>
    </w:lvl>
  </w:abstractNum>
  <w:abstractNum w:abstractNumId="370">
    <w:nsid w:val="6780C122"/>
    <w:multiLevelType w:val="hybridMultilevel"/>
    <w:lvl w:ilvl="0">
      <w:lvlJc w:val="left"/>
      <w:lvlText w:val="%1."/>
      <w:numFmt w:val="decimal"/>
      <w:start w:val="17"/>
    </w:lvl>
  </w:abstractNum>
  <w:abstractNum w:abstractNumId="371">
    <w:nsid w:val="534347A8"/>
    <w:multiLevelType w:val="hybridMultilevel"/>
    <w:lvl w:ilvl="0">
      <w:lvlJc w:val="left"/>
      <w:lvlText w:val="%1"/>
      <w:numFmt w:val="lowerLetter"/>
      <w:start w:val="1"/>
    </w:lvl>
    <w:lvl w:ilvl="1">
      <w:lvlJc w:val="left"/>
      <w:lvlText w:val="%2."/>
      <w:numFmt w:val="decimal"/>
      <w:start w:val="18"/>
    </w:lvl>
  </w:abstractNum>
  <w:abstractNum w:abstractNumId="372">
    <w:nsid w:val="5800E34B"/>
    <w:multiLevelType w:val="hybridMultilevel"/>
    <w:lvl w:ilvl="0">
      <w:lvlJc w:val="left"/>
      <w:lvlText w:val="(%1)"/>
      <w:numFmt w:val="lowerLetter"/>
      <w:start w:val="1"/>
    </w:lvl>
    <w:lvl w:ilvl="1">
      <w:lvlJc w:val="left"/>
      <w:lvlText w:val="%2"/>
      <w:numFmt w:val="decimal"/>
      <w:start w:val="1"/>
    </w:lvl>
  </w:abstractNum>
  <w:abstractNum w:abstractNumId="373">
    <w:nsid w:val="1673EFC8"/>
    <w:multiLevelType w:val="hybridMultilevel"/>
    <w:lvl w:ilvl="0">
      <w:lvlJc w:val="left"/>
      <w:lvlText w:val="(%1)"/>
      <w:numFmt w:val="lowerLetter"/>
      <w:start w:val="3"/>
    </w:lvl>
    <w:lvl w:ilvl="1">
      <w:lvlJc w:val="left"/>
      <w:lvlText w:val="%2."/>
      <w:numFmt w:val="decimal"/>
      <w:start w:val="19"/>
    </w:lvl>
  </w:abstractNum>
  <w:abstractNum w:abstractNumId="374">
    <w:nsid w:val="5B9B1FD"/>
    <w:multiLevelType w:val="hybridMultilevel"/>
    <w:lvl w:ilvl="0">
      <w:lvlJc w:val="left"/>
      <w:lvlText w:val="%1."/>
      <w:numFmt w:val="decimal"/>
      <w:start w:val="20"/>
    </w:lvl>
  </w:abstractNum>
  <w:abstractNum w:abstractNumId="375">
    <w:nsid w:val="7AD7FCA2"/>
    <w:multiLevelType w:val="hybridMultilevel"/>
    <w:lvl w:ilvl="0">
      <w:lvlJc w:val="left"/>
      <w:lvlText w:val="%1"/>
      <w:numFmt w:val="lowerLetter"/>
      <w:start w:val="1"/>
    </w:lvl>
    <w:lvl w:ilvl="1">
      <w:lvlJc w:val="left"/>
      <w:lvlText w:val="%2."/>
      <w:numFmt w:val="decimal"/>
      <w:start w:val="21"/>
    </w:lvl>
    <w:lvl w:ilvl="2">
      <w:lvlJc w:val="left"/>
      <w:lvlText w:val="%3"/>
      <w:numFmt w:val="lowerLetter"/>
      <w:start w:val="1"/>
    </w:lvl>
  </w:abstractNum>
  <w:abstractNum w:abstractNumId="376">
    <w:nsid w:val="6335160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77">
    <w:nsid w:val="E759D1A"/>
    <w:multiLevelType w:val="hybridMultilevel"/>
    <w:lvl w:ilvl="0">
      <w:lvlJc w:val="left"/>
      <w:lvlText w:val="%1"/>
      <w:numFmt w:val="lowerLetter"/>
      <w:start w:val="1"/>
    </w:lvl>
    <w:lvl w:ilvl="1">
      <w:lvlJc w:val="left"/>
      <w:lvlText w:val="(%2)"/>
      <w:numFmt w:val="lowerRoman"/>
      <w:start w:val="2"/>
    </w:lvl>
  </w:abstractNum>
  <w:abstractNum w:abstractNumId="378">
    <w:nsid w:val="6E3DEE90"/>
    <w:multiLevelType w:val="hybridMultilevel"/>
    <w:lvl w:ilvl="0">
      <w:lvlJc w:val="left"/>
      <w:lvlText w:val="(%1)"/>
      <w:numFmt w:val="lowerLetter"/>
      <w:start w:val="2"/>
    </w:lvl>
    <w:lvl w:ilvl="1">
      <w:lvlJc w:val="left"/>
      <w:lvlText w:val="%2"/>
      <w:numFmt w:val="lowerRoman"/>
      <w:start w:val="1"/>
    </w:lvl>
  </w:abstractNum>
  <w:abstractNum w:abstractNumId="379">
    <w:nsid w:val="1A8762F4"/>
    <w:multiLevelType w:val="hybridMultilevel"/>
    <w:lvl w:ilvl="0">
      <w:lvlJc w:val="left"/>
      <w:lvlText w:val="(%1)"/>
      <w:numFmt w:val="lowerLetter"/>
      <w:start w:val="5"/>
    </w:lvl>
  </w:abstractNum>
  <w:abstractNum w:abstractNumId="380">
    <w:nsid w:val="7F41D049"/>
    <w:multiLevelType w:val="hybridMultilevel"/>
    <w:lvl w:ilvl="0">
      <w:lvlJc w:val="left"/>
      <w:lvlText w:val="(%1)"/>
      <w:numFmt w:val="lowerLetter"/>
      <w:start w:val="1"/>
    </w:lvl>
  </w:abstractNum>
  <w:abstractNum w:abstractNumId="381">
    <w:nsid w:val="449F66FE"/>
    <w:multiLevelType w:val="hybridMultilevel"/>
    <w:lvl w:ilvl="0">
      <w:lvlJc w:val="left"/>
      <w:lvlText w:val="(%1)"/>
      <w:numFmt w:val="lowerLetter"/>
      <w:start w:val="6"/>
    </w:lvl>
  </w:abstractNum>
  <w:abstractNum w:abstractNumId="382">
    <w:nsid w:val="557E0515"/>
    <w:multiLevelType w:val="hybridMultilevel"/>
    <w:lvl w:ilvl="0">
      <w:lvlJc w:val="left"/>
      <w:lvlText w:val="%1."/>
      <w:numFmt w:val="upperLetter"/>
      <w:start w:val="9"/>
    </w:lvl>
  </w:abstractNum>
  <w:abstractNum w:abstractNumId="383">
    <w:nsid w:val="3BA0794B"/>
    <w:multiLevelType w:val="hybridMultilevel"/>
    <w:lvl w:ilvl="0">
      <w:lvlJc w:val="left"/>
      <w:lvlText w:val="%1."/>
      <w:numFmt w:val="upperLetter"/>
      <w:start w:val="35"/>
    </w:lvl>
    <w:lvl w:ilvl="1">
      <w:lvlJc w:val="left"/>
      <w:lvlText w:val="%2."/>
      <w:numFmt w:val="decimal"/>
      <w:start w:val="1"/>
    </w:lvl>
  </w:abstractNum>
  <w:abstractNum w:abstractNumId="384">
    <w:nsid w:val="6A0DCE48"/>
    <w:multiLevelType w:val="hybridMultilevel"/>
    <w:lvl w:ilvl="0">
      <w:lvlJc w:val="left"/>
      <w:lvlText w:val="%1."/>
      <w:numFmt w:val="decimal"/>
      <w:start w:val="2"/>
    </w:lvl>
    <w:lvl w:ilvl="1">
      <w:lvlJc w:val="left"/>
      <w:lvlText w:val="(%2)"/>
      <w:numFmt w:val="lowerLetter"/>
      <w:start w:val="1"/>
    </w:lvl>
  </w:abstractNum>
  <w:abstractNum w:abstractNumId="385">
    <w:nsid w:val="7237AA96"/>
    <w:multiLevelType w:val="hybridMultilevel"/>
    <w:lvl w:ilvl="0">
      <w:lvlJc w:val="left"/>
      <w:lvlText w:val="%1."/>
      <w:numFmt w:val="decimal"/>
      <w:start w:val="3"/>
    </w:lvl>
  </w:abstractNum>
  <w:abstractNum w:abstractNumId="386">
    <w:nsid w:val="5B1FBC2D"/>
    <w:multiLevelType w:val="hybridMultilevel"/>
    <w:lvl w:ilvl="0">
      <w:lvlJc w:val="left"/>
      <w:lvlText w:val="%1."/>
      <w:numFmt w:val="decimal"/>
      <w:start w:val="9"/>
    </w:lvl>
    <w:lvl w:ilvl="1">
      <w:lvlJc w:val="left"/>
      <w:lvlText w:val="(%2)"/>
      <w:numFmt w:val="lowerLetter"/>
      <w:start w:val="1"/>
    </w:lvl>
  </w:abstractNum>
  <w:abstractNum w:abstractNumId="387">
    <w:nsid w:val="33DFCCE8"/>
    <w:multiLevelType w:val="hybridMultilevel"/>
    <w:lvl w:ilvl="0">
      <w:lvlJc w:val="left"/>
      <w:lvlText w:val="%1"/>
      <w:numFmt w:val="decimal"/>
      <w:start w:val="1"/>
    </w:lvl>
    <w:lvl w:ilvl="1">
      <w:lvlJc w:val="left"/>
      <w:lvlText w:val="(%2)"/>
      <w:numFmt w:val="lowerLetter"/>
      <w:start w:val="2"/>
    </w:lvl>
  </w:abstractNum>
  <w:abstractNum w:abstractNumId="388">
    <w:nsid w:val="18C45E15"/>
    <w:multiLevelType w:val="hybridMultilevel"/>
    <w:lvl w:ilvl="0">
      <w:lvlJc w:val="left"/>
      <w:lvlText w:val="%1."/>
      <w:numFmt w:val="decimal"/>
      <w:start w:val="11"/>
    </w:lvl>
    <w:lvl w:ilvl="1">
      <w:lvlJc w:val="left"/>
      <w:lvlText w:val="(%2)"/>
      <w:numFmt w:val="lowerLetter"/>
      <w:start w:val="1"/>
    </w:lvl>
  </w:abstractNum>
  <w:abstractNum w:abstractNumId="389">
    <w:nsid w:val="6B431F25"/>
    <w:multiLevelType w:val="hybridMultilevel"/>
    <w:lvl w:ilvl="0">
      <w:lvlJc w:val="left"/>
      <w:lvlText w:val="%1"/>
      <w:numFmt w:val="decimal"/>
      <w:start w:val="1"/>
    </w:lvl>
    <w:lvl w:ilvl="1">
      <w:lvlJc w:val="left"/>
      <w:lvlText w:val="(%2)"/>
      <w:numFmt w:val="lowerLetter"/>
      <w:start w:val="10"/>
    </w:lvl>
  </w:abstractNum>
  <w:abstractNum w:abstractNumId="390">
    <w:nsid w:val="13CD8DCB"/>
    <w:multiLevelType w:val="hybridMultilevel"/>
    <w:lvl w:ilvl="0">
      <w:lvlJc w:val="left"/>
      <w:lvlText w:val="%1."/>
      <w:numFmt w:val="decimal"/>
      <w:start w:val="12"/>
    </w:lvl>
    <w:lvl w:ilvl="1">
      <w:lvlJc w:val="left"/>
      <w:lvlText w:val="%2"/>
      <w:numFmt w:val="lowerLetter"/>
      <w:start w:val="1"/>
    </w:lvl>
  </w:abstractNum>
  <w:abstractNum w:abstractNumId="391">
    <w:nsid w:val="563A1A5C"/>
    <w:multiLevelType w:val="hybridMultilevel"/>
    <w:lvl w:ilvl="0">
      <w:lvlJc w:val="left"/>
      <w:lvlText w:val="(%1)"/>
      <w:numFmt w:val="lowerLetter"/>
      <w:start w:val="1"/>
    </w:lvl>
  </w:abstractNum>
  <w:abstractNum w:abstractNumId="392">
    <w:nsid w:val="2973F88F"/>
    <w:multiLevelType w:val="hybridMultilevel"/>
    <w:lvl w:ilvl="0">
      <w:lvlJc w:val="left"/>
      <w:lvlText w:val="(%1)"/>
      <w:numFmt w:val="lowerLetter"/>
      <w:start w:val="2"/>
    </w:lvl>
  </w:abstractNum>
  <w:abstractNum w:abstractNumId="393">
    <w:nsid w:val="2C70EDAE"/>
    <w:multiLevelType w:val="hybridMultilevel"/>
    <w:lvl w:ilvl="0">
      <w:lvlJc w:val="left"/>
      <w:lvlText w:val="(%1)"/>
      <w:numFmt w:val="lowerLetter"/>
      <w:start w:val="4"/>
    </w:lvl>
  </w:abstractNum>
  <w:abstractNum w:abstractNumId="394">
    <w:nsid w:val="44296C6D"/>
    <w:multiLevelType w:val="hybridMultilevel"/>
    <w:lvl w:ilvl="0">
      <w:lvlJc w:val="left"/>
      <w:lvlText w:val="%1."/>
      <w:numFmt w:val="decimal"/>
      <w:start w:val="14"/>
    </w:lvl>
  </w:abstractNum>
  <w:abstractNum w:abstractNumId="395">
    <w:nsid w:val="3A86D445"/>
    <w:multiLevelType w:val="hybridMultilevel"/>
    <w:lvl w:ilvl="0">
      <w:lvlJc w:val="left"/>
      <w:lvlText w:val="%1."/>
      <w:numFmt w:val="decimal"/>
      <w:start w:val="15"/>
    </w:lvl>
  </w:abstractNum>
  <w:abstractNum w:abstractNumId="396">
    <w:nsid w:val="51F79246"/>
    <w:multiLevelType w:val="hybridMultilevel"/>
    <w:lvl w:ilvl="0">
      <w:lvlJc w:val="left"/>
      <w:lvlText w:val="%1."/>
      <w:numFmt w:val="decimal"/>
      <w:start w:val="20"/>
    </w:lvl>
  </w:abstractNum>
  <w:abstractNum w:abstractNumId="397">
    <w:nsid w:val="5BC9A827"/>
    <w:multiLevelType w:val="hybridMultilevel"/>
    <w:lvl w:ilvl="0">
      <w:lvlJc w:val="left"/>
      <w:lvlText w:val="%1."/>
      <w:numFmt w:val="decimal"/>
      <w:start w:val="2"/>
    </w:lvl>
    <w:lvl w:ilvl="1">
      <w:lvlJc w:val="left"/>
      <w:lvlText w:val="(%2)"/>
      <w:numFmt w:val="lowerLetter"/>
      <w:start w:val="1"/>
    </w:lvl>
  </w:abstractNum>
  <w:abstractNum w:abstractNumId="398">
    <w:nsid w:val="3AE37D86"/>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99">
    <w:nsid w:val="45440FE5"/>
    <w:multiLevelType w:val="hybridMultilevel"/>
    <w:lvl w:ilvl="0">
      <w:lvlJc w:val="left"/>
      <w:lvlText w:val="(%1)"/>
      <w:numFmt w:val="lowerLetter"/>
      <w:start w:val="25"/>
    </w:lvl>
    <w:lvl w:ilvl="1">
      <w:lvlJc w:val="left"/>
      <w:lvlText w:val="%2."/>
      <w:numFmt w:val="decimal"/>
      <w:start w:val="7"/>
    </w:lvl>
    <w:lvl w:ilvl="2">
      <w:lvlJc w:val="left"/>
      <w:lvlText w:val="(%3)"/>
      <w:numFmt w:val="lowerLetter"/>
      <w:start w:val="1"/>
    </w:lvl>
  </w:abstractNum>
  <w:abstractNum w:abstractNumId="400">
    <w:nsid w:val="BF783F"/>
    <w:multiLevelType w:val="hybridMultilevel"/>
    <w:lvl w:ilvl="0">
      <w:lvlJc w:val="left"/>
      <w:lvlText w:val="%1"/>
      <w:numFmt w:val="decimal"/>
      <w:start w:val="1"/>
    </w:lvl>
    <w:lvl w:ilvl="1">
      <w:lvlJc w:val="left"/>
      <w:lvlText w:val="(%2)"/>
      <w:numFmt w:val="lowerLetter"/>
      <w:start w:val="2"/>
    </w:lvl>
  </w:abstractNum>
  <w:abstractNum w:abstractNumId="401">
    <w:nsid w:val="22643EA9"/>
    <w:multiLevelType w:val="hybridMultilevel"/>
    <w:lvl w:ilvl="0">
      <w:lvlJc w:val="left"/>
      <w:lvlText w:val="%1."/>
      <w:numFmt w:val="decimal"/>
      <w:start w:val="10"/>
    </w:lvl>
    <w:lvl w:ilvl="1">
      <w:lvlJc w:val="left"/>
      <w:lvlText w:val="%2"/>
      <w:numFmt w:val="lowerLetter"/>
      <w:start w:val="1"/>
    </w:lvl>
  </w:abstractNum>
  <w:abstractNum w:abstractNumId="402">
    <w:nsid w:val="1887578D"/>
    <w:multiLevelType w:val="hybridMultilevel"/>
    <w:lvl w:ilvl="0">
      <w:lvlJc w:val="left"/>
      <w:lvlText w:val="(%1)"/>
      <w:numFmt w:val="lowerLetter"/>
      <w:start w:val="1"/>
    </w:lvl>
  </w:abstractNum>
  <w:abstractNum w:abstractNumId="403">
    <w:nsid w:val="58C05B8A"/>
    <w:multiLevelType w:val="hybridMultilevel"/>
    <w:lvl w:ilvl="0">
      <w:lvlJc w:val="left"/>
      <w:lvlText w:val="(%1)"/>
      <w:numFmt w:val="lowerLetter"/>
      <w:start w:val="4"/>
    </w:lvl>
  </w:abstractNum>
  <w:abstractNum w:abstractNumId="404">
    <w:nsid w:val="38D82E71"/>
    <w:multiLevelType w:val="hybridMultilevel"/>
    <w:lvl w:ilvl="0">
      <w:lvlJc w:val="left"/>
      <w:lvlText w:val="(%1)"/>
      <w:numFmt w:val="decimal"/>
      <w:start w:val="1"/>
    </w:lvl>
  </w:abstractNum>
  <w:abstractNum w:abstractNumId="405">
    <w:nsid w:val="1E41098A"/>
    <w:multiLevelType w:val="hybridMultilevel"/>
    <w:lvl w:ilvl="0">
      <w:lvlJc w:val="left"/>
      <w:lvlText w:val="(%1)"/>
      <w:numFmt w:val="decimal"/>
      <w:start w:val="1"/>
    </w:lvl>
  </w:abstractNum>
  <w:abstractNum w:abstractNumId="406">
    <w:nsid w:val="5398582C"/>
    <w:multiLevelType w:val="hybridMultilevel"/>
    <w:lvl w:ilvl="0">
      <w:lvlJc w:val="left"/>
      <w:lvlText w:val="(%1)"/>
      <w:numFmt w:val="decimal"/>
      <w:start w:val="1"/>
    </w:lvl>
  </w:abstractNum>
  <w:abstractNum w:abstractNumId="407">
    <w:nsid w:val="1C0D4475"/>
    <w:multiLevelType w:val="hybridMultilevel"/>
    <w:lvl w:ilvl="0">
      <w:lvlJc w:val="left"/>
      <w:lvlText w:val="%1."/>
      <w:numFmt w:val="decimal"/>
      <w:start w:val="1"/>
    </w:lvl>
  </w:abstractNum>
  <w:abstractNum w:abstractNumId="408">
    <w:nsid w:val="2CB6A6A4"/>
    <w:multiLevelType w:val="hybridMultilevel"/>
    <w:lvl w:ilvl="0">
      <w:lvlJc w:val="left"/>
      <w:lvlText w:val="%1."/>
      <w:numFmt w:val="decimal"/>
      <w:start w:val="2"/>
    </w:lvl>
  </w:abstractNum>
  <w:abstractNum w:abstractNumId="409">
    <w:nsid w:val="41D646BC"/>
    <w:multiLevelType w:val="hybridMultilevel"/>
    <w:lvl w:ilvl="0">
      <w:lvlJc w:val="left"/>
      <w:lvlText w:val="%1."/>
      <w:numFmt w:val="decimal"/>
      <w:start w:val="3"/>
    </w:lvl>
  </w:abstractNum>
  <w:abstractNum w:abstractNumId="410">
    <w:nsid w:val="3694A76A"/>
    <w:multiLevelType w:val="hybridMultilevel"/>
    <w:lvl w:ilvl="0">
      <w:lvlJc w:val="left"/>
      <w:lvlText w:val="%1."/>
      <w:numFmt w:val="decimal"/>
      <w:start w:val="4"/>
    </w:lvl>
  </w:abstractNum>
  <w:abstractNum w:abstractNumId="411">
    <w:nsid w:val="2BF876EE"/>
    <w:multiLevelType w:val="hybridMultilevel"/>
    <w:lvl w:ilvl="0">
      <w:lvlJc w:val="left"/>
      <w:lvlText w:val="·"/>
      <w:numFmt w:val="bullet"/>
      <w:start w:val="1"/>
    </w:lvl>
  </w:abstractNum>
  <w:abstractNum w:abstractNumId="412">
    <w:nsid w:val="675ADBA"/>
    <w:multiLevelType w:val="hybridMultilevel"/>
    <w:lvl w:ilvl="0">
      <w:lvlJc w:val="left"/>
      <w:lvlText w:val="%1."/>
      <w:numFmt w:val="upperLetter"/>
      <w:start w:val="1"/>
    </w:lvl>
  </w:abstractNum>
  <w:abstractNum w:abstractNumId="413">
    <w:nsid w:val="C12AC7F"/>
    <w:multiLevelType w:val="hybridMultilevel"/>
    <w:lvl w:ilvl="0">
      <w:lvlJc w:val="left"/>
      <w:lvlText w:val="%1."/>
      <w:numFmt w:val="decimal"/>
      <w:start w:val="1"/>
    </w:lvl>
  </w:abstractNum>
  <w:abstractNum w:abstractNumId="414">
    <w:nsid w:val="6798F039"/>
    <w:multiLevelType w:val="hybridMultilevel"/>
    <w:lvl w:ilvl="0">
      <w:lvlJc w:val="left"/>
      <w:lvlText w:val="(%1)"/>
      <w:numFmt w:val="lowerLetter"/>
      <w:start w:val="1"/>
    </w:lvl>
    <w:lvl w:ilvl="1">
      <w:lvlJc w:val="left"/>
      <w:lvlText w:val="(%2)"/>
      <w:numFmt w:val="lowerRoman"/>
      <w:start w:val="1"/>
    </w:lvl>
  </w:abstractNum>
  <w:abstractNum w:abstractNumId="415">
    <w:nsid w:val="70837C02"/>
    <w:multiLevelType w:val="hybridMultilevel"/>
    <w:lvl w:ilvl="0">
      <w:lvlJc w:val="left"/>
      <w:lvlText w:val="%1."/>
      <w:numFmt w:val="decimal"/>
      <w:start w:val="2"/>
    </w:lvl>
  </w:abstractNum>
  <w:abstractNum w:abstractNumId="416">
    <w:nsid w:val="7E4A5715"/>
    <w:multiLevelType w:val="hybridMultilevel"/>
    <w:lvl w:ilvl="0">
      <w:lvlJc w:val="left"/>
      <w:lvlText w:val="%1."/>
      <w:numFmt w:val="decimal"/>
      <w:start w:val="3"/>
    </w:lvl>
  </w:abstractNum>
  <w:abstractNum w:abstractNumId="417">
    <w:nsid w:val="42B8AC67"/>
    <w:multiLevelType w:val="hybridMultilevel"/>
    <w:lvl w:ilvl="0">
      <w:lvlJc w:val="left"/>
      <w:lvlText w:val="(%1)"/>
      <w:numFmt w:val="lowerRoman"/>
      <w:start w:val="1"/>
    </w:lvl>
  </w:abstractNum>
  <w:abstractNum w:abstractNumId="418">
    <w:nsid w:val="246348EA"/>
    <w:multiLevelType w:val="hybridMultilevel"/>
    <w:lvl w:ilvl="0">
      <w:lvlJc w:val="left"/>
      <w:lvlText w:val="%1."/>
      <w:numFmt w:val="decimal"/>
      <w:start w:val="4"/>
    </w:lvl>
  </w:abstractNum>
  <w:abstractNum w:abstractNumId="419">
    <w:nsid w:val="170EB52B"/>
    <w:multiLevelType w:val="hybridMultilevel"/>
    <w:lvl w:ilvl="0">
      <w:lvlJc w:val="left"/>
      <w:lvlText w:val="(%1)"/>
      <w:numFmt w:val="lowerRoman"/>
      <w:start w:val="1"/>
    </w:lvl>
  </w:abstractNum>
  <w:abstractNum w:abstractNumId="420">
    <w:nsid w:val="2DFBCB8C"/>
    <w:multiLevelType w:val="hybridMultilevel"/>
    <w:lvl w:ilvl="0">
      <w:lvlJc w:val="left"/>
      <w:lvlText w:val="%1."/>
      <w:numFmt w:val="upperLetter"/>
      <w:start w:val="9"/>
    </w:lvl>
  </w:abstractNum>
  <w:abstractNum w:abstractNumId="421">
    <w:nsid w:val="3830D6B6"/>
    <w:multiLevelType w:val="hybridMultilevel"/>
    <w:lvl w:ilvl="0">
      <w:lvlJc w:val="left"/>
      <w:lvlText w:val="%1."/>
      <w:numFmt w:val="upperLetter"/>
      <w:start w:val="35"/>
    </w:lvl>
    <w:lvl w:ilvl="1">
      <w:lvlJc w:val="left"/>
      <w:lvlText w:val="%2."/>
      <w:numFmt w:val="decimal"/>
      <w:start w:val="1"/>
    </w:lvl>
  </w:abstractNum>
  <w:abstractNum w:abstractNumId="422">
    <w:nsid w:val="6D48CF87"/>
    <w:multiLevelType w:val="hybridMultilevel"/>
    <w:lvl w:ilvl="0">
      <w:lvlJc w:val="left"/>
      <w:lvlText w:val="%1."/>
      <w:numFmt w:val="decimal"/>
      <w:start w:val="2"/>
    </w:lvl>
    <w:lvl w:ilvl="1">
      <w:lvlJc w:val="left"/>
      <w:lvlText w:val="(%2)"/>
      <w:numFmt w:val="lowerLetter"/>
      <w:start w:val="1"/>
    </w:lvl>
  </w:abstractNum>
  <w:abstractNum w:abstractNumId="423">
    <w:nsid w:val="576FC41B"/>
    <w:multiLevelType w:val="hybridMultilevel"/>
    <w:lvl w:ilvl="0">
      <w:lvlJc w:val="left"/>
      <w:lvlText w:val="%1."/>
      <w:numFmt w:val="decimal"/>
      <w:start w:val="3"/>
    </w:lvl>
  </w:abstractNum>
  <w:abstractNum w:abstractNumId="424">
    <w:nsid w:val="64A1C464"/>
    <w:multiLevelType w:val="hybridMultilevel"/>
    <w:lvl w:ilvl="0">
      <w:lvlJc w:val="left"/>
      <w:lvlText w:val="%1."/>
      <w:numFmt w:val="decimal"/>
      <w:start w:val="7"/>
    </w:lvl>
    <w:lvl w:ilvl="1">
      <w:lvlJc w:val="left"/>
      <w:lvlText w:val="(%2)"/>
      <w:numFmt w:val="lowerLetter"/>
      <w:start w:val="1"/>
    </w:lvl>
  </w:abstractNum>
  <w:abstractNum w:abstractNumId="425">
    <w:nsid w:val="31723BF5"/>
    <w:multiLevelType w:val="hybridMultilevel"/>
    <w:lvl w:ilvl="0">
      <w:lvlJc w:val="left"/>
      <w:lvlText w:val="%1."/>
      <w:numFmt w:val="decimal"/>
      <w:start w:val="12"/>
    </w:lvl>
  </w:abstractNum>
  <w:abstractNum w:abstractNumId="426">
    <w:nsid w:val="11F69861"/>
    <w:multiLevelType w:val="hybridMultilevel"/>
    <w:lvl w:ilvl="0">
      <w:lvlJc w:val="left"/>
      <w:lvlText w:val="%1."/>
      <w:numFmt w:val="decimal"/>
      <w:start w:val="2"/>
    </w:lvl>
    <w:lvl w:ilvl="1">
      <w:lvlJc w:val="left"/>
      <w:lvlText w:val="(%2)"/>
      <w:numFmt w:val="lowerLetter"/>
      <w:start w:val="1"/>
    </w:lvl>
  </w:abstractNum>
  <w:abstractNum w:abstractNumId="427">
    <w:nsid w:val="369956AB"/>
    <w:multiLevelType w:val="hybridMultilevel"/>
    <w:lvl w:ilvl="0">
      <w:lvlJc w:val="left"/>
      <w:lvlText w:val="%1"/>
      <w:numFmt w:val="decimal"/>
      <w:start w:val="1"/>
    </w:lvl>
    <w:lvl w:ilvl="1">
      <w:lvlJc w:val="left"/>
      <w:lvlText w:val="(%2)"/>
      <w:numFmt w:val="lowerLetter"/>
      <w:start w:val="5"/>
    </w:lvl>
  </w:abstractNum>
  <w:abstractNum w:abstractNumId="428">
    <w:nsid w:val="D3BE41C"/>
    <w:multiLevelType w:val="hybridMultilevel"/>
    <w:lvl w:ilvl="0">
      <w:lvlJc w:val="left"/>
      <w:lvlText w:val="%1."/>
      <w:numFmt w:val="decimal"/>
      <w:start w:val="4"/>
    </w:lvl>
    <w:lvl w:ilvl="1">
      <w:lvlJc w:val="left"/>
      <w:lvlText w:val="(%2)"/>
      <w:numFmt w:val="lowerLetter"/>
      <w:start w:val="1"/>
    </w:lvl>
  </w:abstractNum>
  <w:abstractNum w:abstractNumId="429">
    <w:nsid w:val="4CDA15E7"/>
    <w:multiLevelType w:val="hybridMultilevel"/>
    <w:lvl w:ilvl="0">
      <w:lvlJc w:val="left"/>
      <w:lvlText w:val="%1"/>
      <w:numFmt w:val="decimal"/>
      <w:start w:val="1"/>
    </w:lvl>
    <w:lvl w:ilvl="1">
      <w:lvlJc w:val="left"/>
      <w:lvlText w:val="(%2)"/>
      <w:numFmt w:val="lowerLetter"/>
      <w:start w:val="2"/>
    </w:lvl>
  </w:abstractNum>
  <w:abstractNum w:abstractNumId="430">
    <w:nsid w:val="7BDD6690"/>
    <w:multiLevelType w:val="hybridMultilevel"/>
    <w:lvl w:ilvl="0">
      <w:lvlJc w:val="left"/>
      <w:lvlText w:val="%1."/>
      <w:numFmt w:val="decimal"/>
      <w:start w:val="10"/>
    </w:lvl>
    <w:lvl w:ilvl="1">
      <w:lvlJc w:val="left"/>
      <w:lvlText w:val="%2"/>
      <w:numFmt w:val="lowerLetter"/>
      <w:start w:val="1"/>
    </w:lvl>
  </w:abstractNum>
  <w:abstractNum w:abstractNumId="431">
    <w:nsid w:val="DFB5C5B"/>
    <w:multiLevelType w:val="hybridMultilevel"/>
    <w:lvl w:ilvl="0">
      <w:lvlJc w:val="left"/>
      <w:lvlText w:val="(%1)"/>
      <w:numFmt w:val="lowerLetter"/>
      <w:start w:val="1"/>
    </w:lvl>
  </w:abstractNum>
  <w:abstractNum w:abstractNumId="432">
    <w:nsid w:val="6F3E5490"/>
    <w:multiLevelType w:val="hybridMultilevel"/>
    <w:lvl w:ilvl="0">
      <w:lvlJc w:val="left"/>
      <w:lvlText w:val="(%1)"/>
      <w:numFmt w:val="lowerLetter"/>
      <w:start w:val="35"/>
    </w:lvl>
    <w:lvl w:ilvl="1">
      <w:lvlJc w:val="left"/>
      <w:lvlText w:val="(%2)"/>
      <w:numFmt w:val="lowerLetter"/>
      <w:start w:val="4"/>
    </w:lvl>
  </w:abstractNum>
  <w:abstractNum w:abstractNumId="433">
    <w:nsid w:val="1464BE1E"/>
    <w:multiLevelType w:val="hybridMultilevel"/>
    <w:lvl w:ilvl="0">
      <w:lvlJc w:val="left"/>
      <w:lvlText w:val="%1."/>
      <w:numFmt w:val="upperLetter"/>
      <w:start w:val="1"/>
    </w:lvl>
  </w:abstractNum>
  <w:abstractNum w:abstractNumId="434">
    <w:nsid w:val="66BBB7E5"/>
    <w:multiLevelType w:val="hybridMultilevel"/>
    <w:lvl w:ilvl="0">
      <w:lvlJc w:val="left"/>
      <w:lvlText w:val="%1."/>
      <w:numFmt w:val="upperLetter"/>
      <w:start w:val="2"/>
    </w:lvl>
  </w:abstractNum>
  <w:abstractNum w:abstractNumId="435">
    <w:nsid w:val="28168302"/>
    <w:multiLevelType w:val="hybridMultilevel"/>
    <w:lvl w:ilvl="0">
      <w:lvlJc w:val="left"/>
      <w:lvlText w:val="%1."/>
      <w:numFmt w:val="decimal"/>
      <w:start w:val="1"/>
    </w:lvl>
  </w:abstractNum>
  <w:abstractNum w:abstractNumId="436">
    <w:nsid w:val="32A5C7A8"/>
    <w:multiLevelType w:val="hybridMultilevel"/>
    <w:lvl w:ilvl="0">
      <w:lvlJc w:val="left"/>
      <w:lvlText w:val="%1."/>
      <w:numFmt w:val="decimal"/>
      <w:start w:val="3"/>
    </w:lvl>
  </w:abstractNum>
  <w:abstractNum w:abstractNumId="437">
    <w:nsid w:val="3A541011"/>
    <w:multiLevelType w:val="hybridMultilevel"/>
    <w:lvl w:ilvl="0">
      <w:lvlJc w:val="left"/>
      <w:lvlText w:val="%1."/>
      <w:numFmt w:val="decimal"/>
      <w:start w:val="6"/>
    </w:lvl>
  </w:abstractNum>
  <w:abstractNum w:abstractNumId="438">
    <w:nsid w:val="4423C777"/>
    <w:multiLevelType w:val="hybridMultilevel"/>
    <w:lvl w:ilvl="0">
      <w:lvlJc w:val="left"/>
      <w:lvlText w:val="%1."/>
      <w:numFmt w:val="decimal"/>
      <w:start w:val="10"/>
    </w:lvl>
  </w:abstractNum>
  <w:abstractNum w:abstractNumId="439">
    <w:nsid w:val="5F5C6E4D"/>
    <w:multiLevelType w:val="hybridMultilevel"/>
    <w:lvl w:ilvl="0">
      <w:lvlJc w:val="left"/>
      <w:lvlText w:val="%1."/>
      <w:numFmt w:val="decimal"/>
      <w:start w:val="1"/>
    </w:lvl>
  </w:abstractNum>
  <w:abstractNum w:abstractNumId="440">
    <w:nsid w:val="7C2A56CD"/>
    <w:multiLevelType w:val="hybridMultilevel"/>
    <w:lvl w:ilvl="0">
      <w:lvlJc w:val="left"/>
      <w:lvlText w:val="%1."/>
      <w:numFmt w:val="decimal"/>
      <w:start w:val="4"/>
    </w:lvl>
  </w:abstractNum>
  <w:abstractNum w:abstractNumId="441">
    <w:nsid w:val="7AB86EE1"/>
    <w:multiLevelType w:val="hybridMultilevel"/>
    <w:lvl w:ilvl="0">
      <w:lvlJc w:val="left"/>
      <w:lvlText w:val="%1."/>
      <w:numFmt w:val="upperLetter"/>
      <w:start w:val="9"/>
    </w:lvl>
  </w:abstractNum>
  <w:abstractNum w:abstractNumId="442">
    <w:nsid w:val="B54E53B"/>
    <w:multiLevelType w:val="hybridMultilevel"/>
    <w:lvl w:ilvl="0">
      <w:lvlJc w:val="left"/>
      <w:lvlText w:val="%1."/>
      <w:numFmt w:val="upperLetter"/>
      <w:start w:val="35"/>
    </w:lvl>
    <w:lvl w:ilvl="1">
      <w:lvlJc w:val="left"/>
      <w:lvlText w:val="%2."/>
      <w:numFmt w:val="decimal"/>
      <w:start w:val="1"/>
    </w:lvl>
  </w:abstractNum>
  <w:abstractNum w:abstractNumId="443">
    <w:nsid w:val="2A00487"/>
    <w:multiLevelType w:val="hybridMultilevel"/>
    <w:lvl w:ilvl="0">
      <w:lvlJc w:val="left"/>
      <w:lvlText w:val="%1"/>
      <w:numFmt w:val="upperLetter"/>
      <w:start w:val="1"/>
    </w:lvl>
    <w:lvl w:ilvl="1">
      <w:lvlJc w:val="left"/>
      <w:lvlText w:val="%2."/>
      <w:numFmt w:val="decimal"/>
      <w:start w:val="4"/>
    </w:lvl>
  </w:abstractNum>
  <w:abstractNum w:abstractNumId="444">
    <w:nsid w:val="6CB1B60"/>
    <w:multiLevelType w:val="hybridMultilevel"/>
    <w:lvl w:ilvl="0">
      <w:lvlJc w:val="left"/>
      <w:lvlText w:val="(%1)"/>
      <w:numFmt w:val="upperLetter"/>
      <w:start w:val="2"/>
    </w:lvl>
    <w:lvl w:ilvl="1">
      <w:lvlJc w:val="left"/>
      <w:lvlText w:val="%2"/>
      <w:numFmt w:val="decimal"/>
      <w:start w:val="1"/>
    </w:lvl>
  </w:abstractNum>
  <w:abstractNum w:abstractNumId="445">
    <w:nsid w:val="72EDD574"/>
    <w:multiLevelType w:val="hybridMultilevel"/>
    <w:lvl w:ilvl="0">
      <w:lvlJc w:val="left"/>
      <w:lvlText w:val="%1."/>
      <w:numFmt w:val="decimal"/>
      <w:start w:val="7"/>
    </w:lvl>
  </w:abstractNum>
  <w:abstractNum w:abstractNumId="446">
    <w:nsid w:val="7323808A"/>
    <w:multiLevelType w:val="hybridMultilevel"/>
    <w:lvl w:ilvl="0">
      <w:lvlJc w:val="left"/>
      <w:lvlText w:val="%1."/>
      <w:numFmt w:val="decimal"/>
      <w:start w:val="9"/>
    </w:lvl>
  </w:abstractNum>
  <w:abstractNum w:abstractNumId="447">
    <w:nsid w:val="5157276"/>
    <w:multiLevelType w:val="hybridMultilevel"/>
    <w:lvl w:ilvl="0">
      <w:lvlJc w:val="left"/>
      <w:lvlText w:val="%1."/>
      <w:numFmt w:val="decimal"/>
      <w:start w:val="14"/>
    </w:lvl>
  </w:abstractNum>
  <w:abstractNum w:abstractNumId="448">
    <w:nsid w:val="35A681DB"/>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449">
    <w:nsid w:val="1786C97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450">
    <w:nsid w:val="1C2427A1"/>
    <w:multiLevelType w:val="hybridMultilevel"/>
    <w:lvl w:ilvl="0">
      <w:lvlJc w:val="left"/>
      <w:lvlText w:val="(%1)"/>
      <w:numFmt w:val="lowerLetter"/>
      <w:start w:val="4"/>
    </w:lvl>
  </w:abstractNum>
  <w:abstractNum w:abstractNumId="451">
    <w:nsid w:val="63A24D68"/>
    <w:multiLevelType w:val="hybridMultilevel"/>
    <w:lvl w:ilvl="0">
      <w:lvlJc w:val="left"/>
      <w:lvlText w:val="%1"/>
      <w:numFmt w:val="decimal"/>
      <w:start w:val="1"/>
    </w:lvl>
    <w:lvl w:ilvl="1">
      <w:lvlJc w:val="left"/>
      <w:lvlText w:val="(%2)"/>
      <w:numFmt w:val="lowerLetter"/>
      <w:start w:val="7"/>
    </w:lvl>
  </w:abstractNum>
  <w:abstractNum w:abstractNumId="452">
    <w:nsid w:val="4FB7A02A"/>
    <w:multiLevelType w:val="hybridMultilevel"/>
    <w:lvl w:ilvl="0">
      <w:lvlJc w:val="left"/>
      <w:lvlText w:val="%1."/>
      <w:numFmt w:val="decimal"/>
      <w:start w:val="18"/>
    </w:lvl>
    <w:lvl w:ilvl="1">
      <w:lvlJc w:val="left"/>
      <w:lvlText w:val="(%2)"/>
      <w:numFmt w:val="lowerLetter"/>
      <w:start w:val="1"/>
    </w:lvl>
  </w:abstractNum>
  <w:abstractNum w:abstractNumId="453">
    <w:nsid w:val="96CF72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454">
    <w:nsid w:val="3B121183"/>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abstractNum w:abstractNumId="455">
    <w:nsid w:val="3459648F"/>
    <w:multiLevelType w:val="hybridMultilevel"/>
    <w:lvl w:ilvl="0">
      <w:lvlJc w:val="left"/>
      <w:lvlText w:val="(%1)"/>
      <w:numFmt w:val="lowerLetter"/>
      <w:start w:val="2"/>
    </w:lvl>
  </w:abstractNum>
  <w:abstractNum w:abstractNumId="456">
    <w:nsid w:val="3ADF331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57">
    <w:nsid w:val="4D08A9E4"/>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458">
    <w:nsid w:val="6AF2BB3A"/>
    <w:multiLevelType w:val="hybridMultilevel"/>
    <w:lvl w:ilvl="0">
      <w:lvlJc w:val="left"/>
      <w:lvlText w:val="%1"/>
      <w:numFmt w:val="decimal"/>
      <w:start w:val="1"/>
    </w:lvl>
    <w:lvl w:ilvl="1">
      <w:lvlJc w:val="left"/>
      <w:lvlText w:val="(%2)"/>
      <w:numFmt w:val="lowerLetter"/>
      <w:start w:val="2"/>
    </w:lvl>
  </w:abstractNum>
  <w:abstractNum w:abstractNumId="459">
    <w:nsid w:val="481B1739"/>
    <w:multiLevelType w:val="hybridMultilevel"/>
    <w:lvl w:ilvl="0">
      <w:lvlJc w:val="left"/>
      <w:lvlText w:val="%1."/>
      <w:numFmt w:val="decimal"/>
      <w:start w:val="21"/>
    </w:lvl>
    <w:lvl w:ilvl="1">
      <w:lvlJc w:val="left"/>
      <w:lvlText w:val="%2"/>
      <w:numFmt w:val="lowerLetter"/>
      <w:start w:val="1"/>
    </w:lvl>
  </w:abstractNum>
  <w:abstractNum w:abstractNumId="460">
    <w:nsid w:val="19E2BFCC"/>
    <w:multiLevelType w:val="hybridMultilevel"/>
    <w:lvl w:ilvl="0">
      <w:lvlJc w:val="left"/>
      <w:lvlText w:val="%1."/>
      <w:numFmt w:val="decimal"/>
      <w:start w:val="26"/>
    </w:lvl>
  </w:abstractNum>
  <w:abstractNum w:abstractNumId="461">
    <w:nsid w:val="66D021CA"/>
    <w:multiLevelType w:val="hybridMultilevel"/>
    <w:lvl w:ilvl="0">
      <w:lvlJc w:val="left"/>
      <w:lvlText w:val="%1."/>
      <w:numFmt w:val="decimal"/>
      <w:start w:val="32"/>
    </w:lvl>
  </w:abstractNum>
  <w:abstractNum w:abstractNumId="462">
    <w:nsid w:val="56167394"/>
    <w:multiLevelType w:val="hybridMultilevel"/>
    <w:lvl w:ilvl="0">
      <w:lvlJc w:val="left"/>
      <w:lvlText w:val="(%1)"/>
      <w:numFmt w:val="lowerLetter"/>
      <w:start w:val="1"/>
    </w:lvl>
  </w:abstractNum>
  <w:abstractNum w:abstractNumId="463">
    <w:nsid w:val="921145C"/>
    <w:multiLevelType w:val="hybridMultilevel"/>
    <w:lvl w:ilvl="0">
      <w:lvlJc w:val="left"/>
      <w:lvlText w:val="(%1)"/>
      <w:numFmt w:val="lowerLetter"/>
      <w:start w:val="61"/>
    </w:lvl>
    <w:lvl w:ilvl="1">
      <w:lvlJc w:val="left"/>
      <w:lvlText w:val="(%2)"/>
      <w:numFmt w:val="lowerLetter"/>
      <w:start w:val="4"/>
    </w:lvl>
  </w:abstractNum>
  <w:abstractNum w:abstractNumId="464">
    <w:nsid w:val="7B34DFE8"/>
    <w:multiLevelType w:val="hybridMultilevel"/>
    <w:lvl w:ilvl="0">
      <w:lvlJc w:val="left"/>
      <w:lvlText w:val="·"/>
      <w:numFmt w:val="bullet"/>
      <w:start w:val="1"/>
    </w:lvl>
  </w:abstractNum>
  <w:abstractNum w:abstractNumId="465">
    <w:nsid w:val="3CD22B79"/>
    <w:multiLevelType w:val="hybridMultilevel"/>
    <w:lvl w:ilvl="0">
      <w:lvlJc w:val="left"/>
      <w:lvlText w:val="(%1)"/>
      <w:numFmt w:val="lowerRoman"/>
      <w:start w:val="1"/>
    </w:lvl>
  </w:abstractNum>
  <w:abstractNum w:abstractNumId="466">
    <w:nsid w:val="3137975E"/>
    <w:multiLevelType w:val="hybridMultilevel"/>
    <w:lvl w:ilvl="0">
      <w:lvlJc w:val="left"/>
      <w:lvlText w:val="(%1)"/>
      <w:numFmt w:val="lowerRoman"/>
      <w:start w:val="6"/>
    </w:lvl>
  </w:abstractNum>
  <w:abstractNum w:abstractNumId="467">
    <w:nsid w:val="2DDAA791"/>
    <w:multiLevelType w:val="hybridMultilevel"/>
    <w:lvl w:ilvl="0">
      <w:lvlJc w:val="left"/>
      <w:lvlText w:val="(%1)"/>
      <w:numFmt w:val="decimal"/>
      <w:start w:val="1"/>
    </w:lvl>
  </w:abstractNum>
  <w:abstractNum w:abstractNumId="468">
    <w:nsid w:val="77263B8A"/>
    <w:multiLevelType w:val="hybridMultilevel"/>
    <w:lvl w:ilvl="0">
      <w:lvlJc w:val="left"/>
      <w:lvlText w:val="(%1)"/>
      <w:numFmt w:val="decimal"/>
      <w:start w:val="1"/>
    </w:lvl>
  </w:abstractNum>
  <w:abstractNum w:abstractNumId="469">
    <w:nsid w:val="755B5ED6"/>
    <w:multiLevelType w:val="hybridMultilevel"/>
    <w:lvl w:ilvl="0">
      <w:lvlJc w:val="left"/>
      <w:lvlText w:val="%1."/>
      <w:numFmt w:val="decimal"/>
      <w:start w:val="1"/>
    </w:lvl>
  </w:abstractNum>
  <w:abstractNum w:abstractNumId="470">
    <w:nsid w:val="D3715DE"/>
    <w:multiLevelType w:val="hybridMultilevel"/>
    <w:lvl w:ilvl="0">
      <w:lvlJc w:val="left"/>
      <w:lvlText w:val="%1."/>
      <w:numFmt w:val="decimal"/>
      <w:start w:val="2"/>
    </w:lvl>
  </w:abstractNum>
  <w:abstractNum w:abstractNumId="471">
    <w:nsid w:val="73509257"/>
    <w:multiLevelType w:val="hybridMultilevel"/>
    <w:lvl w:ilvl="0">
      <w:lvlJc w:val="left"/>
      <w:lvlText w:val="%1."/>
      <w:numFmt w:val="decimal"/>
      <w:start w:val="3"/>
    </w:lvl>
  </w:abstractNum>
  <w:abstractNum w:abstractNumId="472">
    <w:nsid w:val="7013CDB7"/>
    <w:multiLevelType w:val="hybridMultilevel"/>
    <w:lvl w:ilvl="0">
      <w:lvlJc w:val="left"/>
      <w:lvlText w:val="%1."/>
      <w:numFmt w:val="decimal"/>
      <w:start w:val="4"/>
    </w:lvl>
  </w:abstractNum>
  <w:abstractNum w:abstractNumId="473">
    <w:nsid w:val="188BFB19"/>
    <w:multiLevelType w:val="hybridMultilevel"/>
    <w:lvl w:ilvl="0">
      <w:lvlJc w:val="left"/>
      <w:lvlText w:val="·"/>
      <w:numFmt w:val="bullet"/>
      <w:start w:val="1"/>
    </w:lvl>
  </w:abstractNum>
  <w:abstractNum w:abstractNumId="474">
    <w:nsid w:val="75F096DF"/>
    <w:multiLevelType w:val="hybridMultilevel"/>
    <w:lvl w:ilvl="0">
      <w:lvlJc w:val="left"/>
      <w:lvlText w:val="%1."/>
      <w:numFmt w:val="upperLetter"/>
      <w:start w:val="1"/>
    </w:lvl>
  </w:abstractNum>
  <w:abstractNum w:abstractNumId="475">
    <w:nsid w:val="76DEE918"/>
    <w:multiLevelType w:val="hybridMultilevel"/>
    <w:lvl w:ilvl="0">
      <w:lvlJc w:val="left"/>
      <w:lvlText w:val="%1."/>
      <w:numFmt w:val="decimal"/>
      <w:start w:val="1"/>
    </w:lvl>
  </w:abstractNum>
  <w:abstractNum w:abstractNumId="476">
    <w:nsid w:val="B79D08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7">
    <w:nsid w:val="69141769"/>
    <w:multiLevelType w:val="hybridMultilevel"/>
    <w:lvl w:ilvl="0">
      <w:lvlJc w:val="left"/>
      <w:lvlText w:val="(%1)"/>
      <w:numFmt w:val="lowerLetter"/>
      <w:start w:val="4"/>
    </w:lvl>
  </w:abstractNum>
  <w:abstractNum w:abstractNumId="478">
    <w:nsid w:val="7BF45B8E"/>
    <w:multiLevelType w:val="hybridMultilevel"/>
    <w:lvl w:ilvl="0">
      <w:lvlJc w:val="left"/>
      <w:lvlText w:val="%1."/>
      <w:numFmt w:val="decimal"/>
      <w:start w:val="2"/>
    </w:lvl>
  </w:abstractNum>
  <w:abstractNum w:abstractNumId="479">
    <w:nsid w:val="41205269"/>
    <w:multiLevelType w:val="hybridMultilevel"/>
    <w:lvl w:ilvl="0">
      <w:lvlJc w:val="left"/>
      <w:lvlText w:val="%1."/>
      <w:numFmt w:val="decimal"/>
      <w:start w:val="3"/>
    </w:lvl>
  </w:abstractNum>
  <w:abstractNum w:abstractNumId="480">
    <w:nsid w:val="9AE0DD"/>
    <w:multiLevelType w:val="hybridMultilevel"/>
    <w:lvl w:ilvl="0">
      <w:lvlJc w:val="left"/>
      <w:lvlText w:val="(%1)"/>
      <w:numFmt w:val="lowerRoman"/>
      <w:start w:val="1"/>
    </w:lvl>
  </w:abstractNum>
  <w:abstractNum w:abstractNumId="481">
    <w:nsid w:val="1818832F"/>
    <w:multiLevelType w:val="hybridMultilevel"/>
    <w:lvl w:ilvl="0">
      <w:lvlJc w:val="left"/>
      <w:lvlText w:val="%1."/>
      <w:numFmt w:val="decimal"/>
      <w:start w:val="4"/>
    </w:lvl>
  </w:abstractNum>
  <w:abstractNum w:abstractNumId="482">
    <w:nsid w:val="24C29FD1"/>
    <w:multiLevelType w:val="hybridMultilevel"/>
    <w:lvl w:ilvl="0">
      <w:lvlJc w:val="left"/>
      <w:lvlText w:val="(%1)"/>
      <w:numFmt w:val="lowerRoman"/>
      <w:start w:val="1"/>
    </w:lvl>
  </w:abstractNum>
  <w:abstractNum w:abstractNumId="483">
    <w:nsid w:val="50528108"/>
    <w:multiLevelType w:val="hybridMultilevel"/>
    <w:lvl w:ilvl="0">
      <w:lvlJc w:val="left"/>
      <w:lvlText w:val="·"/>
      <w:numFmt w:val="bullet"/>
      <w:start w:val="1"/>
    </w:lvl>
  </w:abstractNum>
  <w:abstractNum w:abstractNumId="484">
    <w:nsid w:val="21857A57"/>
    <w:multiLevelType w:val="hybridMultilevel"/>
    <w:lvl w:ilvl="0">
      <w:lvlJc w:val="left"/>
      <w:lvlText w:val="%1."/>
      <w:numFmt w:val="decimal"/>
      <w:start w:val="1"/>
    </w:lvl>
  </w:abstractNum>
  <w:abstractNum w:abstractNumId="485">
    <w:nsid w:val="5FD4B154"/>
    <w:multiLevelType w:val="hybridMultilevel"/>
    <w:lvl w:ilvl="0">
      <w:lvlJc w:val="left"/>
      <w:lvlText w:val="%1."/>
      <w:numFmt w:val="decimal"/>
      <w:start w:val="2"/>
    </w:lvl>
  </w:abstractNum>
  <w:abstractNum w:abstractNumId="486">
    <w:nsid w:val="4ABE597"/>
    <w:multiLevelType w:val="hybridMultilevel"/>
    <w:lvl w:ilvl="0">
      <w:lvlJc w:val="left"/>
      <w:lvlText w:val="%1."/>
      <w:numFmt w:val="decimal"/>
      <w:start w:val="3"/>
    </w:lvl>
  </w:abstractNum>
  <w:abstractNum w:abstractNumId="487">
    <w:nsid w:val="5C64AD75"/>
    <w:multiLevelType w:val="hybridMultilevel"/>
    <w:lvl w:ilvl="0">
      <w:lvlJc w:val="left"/>
      <w:lvlText w:val="%1."/>
      <w:numFmt w:val="decimal"/>
      <w:start w:val="4"/>
    </w:lvl>
  </w:abstractNum>
  <w:abstractNum w:abstractNumId="488">
    <w:nsid w:val="2CDD5B39"/>
    <w:multiLevelType w:val="hybridMultilevel"/>
    <w:lvl w:ilvl="0">
      <w:lvlJc w:val="left"/>
      <w:lvlText w:val="A"/>
      <w:numFmt w:val="bullet"/>
      <w:start w:val="1"/>
    </w:lvl>
  </w:abstractNum>
  <w:abstractNum w:abstractNumId="489">
    <w:nsid w:val="6F9EA0D1"/>
    <w:multiLevelType w:val="hybridMultilevel"/>
    <w:lvl w:ilvl="0">
      <w:lvlJc w:val="left"/>
      <w:lvlText w:val="E"/>
      <w:numFmt w:val="bullet"/>
      <w:start w:val="1"/>
    </w:lvl>
  </w:abstractNum>
  <w:abstractNum w:abstractNumId="490">
    <w:nsid w:val="247FC4AE"/>
    <w:multiLevelType w:val="hybridMultilevel"/>
    <w:lvl w:ilvl="0">
      <w:lvlJc w:val="left"/>
      <w:lvlText w:val="F"/>
      <w:numFmt w:val="bullet"/>
      <w:start w:val="1"/>
    </w:lvl>
  </w:abstractNum>
  <w:abstractNum w:abstractNumId="491">
    <w:nsid w:val="46C01B05"/>
    <w:multiLevelType w:val="hybridMultilevel"/>
    <w:lvl w:ilvl="0">
      <w:lvlJc w:val="left"/>
      <w:lvlText w:val="%1."/>
      <w:numFmt w:val="decimal"/>
      <w:start w:val="2"/>
    </w:lvl>
  </w:abstractNum>
  <w:abstractNum w:abstractNumId="492">
    <w:nsid w:val="566EC29B"/>
    <w:multiLevelType w:val="hybridMultilevel"/>
    <w:lvl w:ilvl="0">
      <w:lvlJc w:val="left"/>
      <w:lvlText w:val="%1."/>
      <w:numFmt w:val="decimal"/>
      <w:start w:val="3"/>
    </w:lvl>
  </w:abstractNum>
  <w:abstractNum w:abstractNumId="493">
    <w:nsid w:val="7A963843"/>
    <w:multiLevelType w:val="hybridMultilevel"/>
    <w:lvl w:ilvl="0">
      <w:lvlJc w:val="left"/>
      <w:lvlText w:val="%1."/>
      <w:numFmt w:val="decimal"/>
      <w:start w:val="5"/>
    </w:lvl>
  </w:abstractNum>
  <w:abstractNum w:abstractNumId="494">
    <w:nsid w:val="4FE12F61"/>
    <w:multiLevelType w:val="hybridMultilevel"/>
    <w:lvl w:ilvl="0">
      <w:lvlJc w:val="left"/>
      <w:lvlText w:val="%1."/>
      <w:numFmt w:val="decimal"/>
      <w:start w:val="11"/>
    </w:lvl>
  </w:abstractNum>
  <w:abstractNum w:abstractNumId="495">
    <w:nsid w:val="51A3A284"/>
    <w:multiLevelType w:val="hybridMultilevel"/>
    <w:lvl w:ilvl="0">
      <w:lvlJc w:val="left"/>
      <w:lvlText w:val="(%1)"/>
      <w:numFmt w:val="decimal"/>
      <w:start w:val="12"/>
    </w:lvl>
  </w:abstractNum>
  <w:abstractNum w:abstractNumId="496">
    <w:nsid w:val="376863BC"/>
    <w:multiLevelType w:val="hybridMultilevel"/>
    <w:lvl w:ilvl="0">
      <w:lvlJc w:val="left"/>
      <w:lvlText w:val="(%1)"/>
      <w:numFmt w:val="lowerRoman"/>
      <w:start w:val="4"/>
    </w:lvl>
    <w:lvl w:ilvl="1">
      <w:lvlJc w:val="left"/>
      <w:lvlText w:val="%2"/>
      <w:numFmt w:val="lowerLetter"/>
      <w:start w:val="1"/>
    </w:lvl>
  </w:abstractNum>
  <w:abstractNum w:abstractNumId="497">
    <w:nsid w:val="118C6C0"/>
    <w:multiLevelType w:val="hybridMultilevel"/>
    <w:lvl w:ilvl="0">
      <w:lvlJc w:val="left"/>
      <w:lvlText w:val="(%1)"/>
      <w:numFmt w:val="lowerRoman"/>
      <w:start w:val="8"/>
    </w:lvl>
    <w:lvl w:ilvl="1">
      <w:lvlJc w:val="left"/>
      <w:lvlText w:val="(%2)"/>
      <w:numFmt w:val="lowerLetter"/>
      <w:start w:val="1"/>
    </w:lvl>
  </w:abstractNum>
  <w:abstractNum w:abstractNumId="498">
    <w:nsid w:val="7F7E4A15"/>
    <w:multiLevelType w:val="hybridMultilevel"/>
    <w:lvl w:ilvl="0">
      <w:lvlJc w:val="left"/>
      <w:lvlText w:val="(%1)"/>
      <w:numFmt w:val="lowerLetter"/>
      <w:start w:val="7"/>
    </w:lvl>
  </w:abstractNum>
  <w:abstractNum w:abstractNumId="499">
    <w:nsid w:val="2E8E9F47"/>
    <w:multiLevelType w:val="hybridMultilevel"/>
    <w:lvl w:ilvl="0">
      <w:lvlJc w:val="left"/>
      <w:lvlText w:val="(%1)"/>
      <w:numFmt w:val="lowerLetter"/>
      <w:start w:val="13"/>
    </w:lvl>
  </w:abstractNum>
  <w:abstractNum w:abstractNumId="500">
    <w:nsid w:val="76742596"/>
    <w:multiLevelType w:val="hybridMultilevel"/>
    <w:lvl w:ilvl="0">
      <w:lvlJc w:val="left"/>
      <w:lvlText w:val="(%1)"/>
      <w:numFmt w:val="lowerLetter"/>
      <w:start w:val="20"/>
    </w:lvl>
  </w:abstractNum>
  <w:abstractNum w:abstractNumId="501">
    <w:nsid w:val="CB55FF3"/>
    <w:multiLevelType w:val="hybridMultilevel"/>
    <w:lvl w:ilvl="0">
      <w:lvlJc w:val="left"/>
      <w:lvlText w:val="(%1)"/>
      <w:numFmt w:val="decimal"/>
      <w:start w:val="10"/>
    </w:lvl>
  </w:abstractNum>
  <w:abstractNum w:abstractNumId="502">
    <w:nsid w:val="21DF319E"/>
    <w:multiLevelType w:val="hybridMultilevel"/>
    <w:lvl w:ilvl="0">
      <w:lvlJc w:val="left"/>
      <w:lvlText w:val="(%1)"/>
      <w:numFmt w:val="upperLetter"/>
      <w:start w:val="1"/>
    </w:lvl>
  </w:abstractNum>
  <w:abstractNum w:abstractNumId="503">
    <w:nsid w:val="6687F34D"/>
    <w:multiLevelType w:val="hybridMultilevel"/>
    <w:lvl w:ilvl="0">
      <w:lvlJc w:val="left"/>
      <w:lvlText w:val="(%1)"/>
      <w:numFmt w:val="lowerRoman"/>
      <w:start w:val="1"/>
    </w:lvl>
  </w:abstractNum>
  <w:abstractNum w:abstractNumId="504">
    <w:nsid w:val="25415B0C"/>
    <w:multiLevelType w:val="hybridMultilevel"/>
    <w:lvl w:ilvl="0">
      <w:lvlJc w:val="left"/>
      <w:lvlText w:val="(%1)"/>
      <w:numFmt w:val="decimal"/>
      <w:start w:val="60"/>
    </w:lvl>
  </w:abstractNum>
  <w:abstractNum w:abstractNumId="505">
    <w:nsid w:val="17CFC87D"/>
    <w:multiLevelType w:val="hybridMultilevel"/>
    <w:lvl w:ilvl="0">
      <w:lvlJc w:val="left"/>
      <w:lvlText w:val="(%1)"/>
      <w:numFmt w:val="lowerRoman"/>
      <w:start w:val="4"/>
    </w:lvl>
  </w:abstractNum>
  <w:abstractNum w:abstractNumId="506">
    <w:nsid w:val="5D66DC65"/>
    <w:multiLevelType w:val="hybridMultilevel"/>
    <w:lvl w:ilvl="0">
      <w:lvlJc w:val="left"/>
      <w:lvlText w:val="(%1)"/>
      <w:numFmt w:val="lowerRoman"/>
      <w:start w:val="1"/>
    </w:lvl>
  </w:abstractNum>
  <w:abstractNum w:abstractNumId="507">
    <w:nsid w:val="30BB2B99"/>
    <w:multiLevelType w:val="hybridMultilevel"/>
    <w:lvl w:ilvl="0">
      <w:lvlJc w:val="left"/>
      <w:lvlText w:val="(%1)"/>
      <w:numFmt w:val="lowerRoman"/>
      <w:start w:val="2"/>
    </w:lvl>
  </w:abstractNum>
  <w:abstractNum w:abstractNumId="508">
    <w:nsid w:val="E3DFE6"/>
    <w:multiLevelType w:val="hybridMultilevel"/>
    <w:lvl w:ilvl="0">
      <w:lvlJc w:val="left"/>
      <w:lvlText w:val="(%1)"/>
      <w:numFmt w:val="lowerRoman"/>
      <w:start w:val="1"/>
    </w:lvl>
  </w:abstractNum>
  <w:abstractNum w:abstractNumId="509">
    <w:nsid w:val="595B37F3"/>
    <w:multiLevelType w:val="hybridMultilevel"/>
    <w:lvl w:ilvl="0">
      <w:lvlJc w:val="left"/>
      <w:lvlText w:val="(%1)"/>
      <w:numFmt w:val="lowerRoman"/>
      <w:start w:val="2"/>
    </w:lvl>
  </w:abstractNum>
  <w:abstractNum w:abstractNumId="510">
    <w:nsid w:val="71DB7E02"/>
    <w:multiLevelType w:val="hybridMultilevel"/>
    <w:lvl w:ilvl="0">
      <w:lvlJc w:val="left"/>
      <w:lvlText w:val="(%1)"/>
      <w:numFmt w:val="lowerLetter"/>
      <w:start w:val="10"/>
    </w:lvl>
  </w:abstractNum>
  <w:abstractNum w:abstractNumId="511">
    <w:nsid w:val="17EC0C4"/>
    <w:multiLevelType w:val="hybridMultilevel"/>
    <w:lvl w:ilvl="0">
      <w:lvlJc w:val="left"/>
      <w:lvlText w:val="%1."/>
      <w:numFmt w:val="decimal"/>
      <w:start w:val="4"/>
    </w:lvl>
  </w:abstractNum>
  <w:abstractNum w:abstractNumId="512">
    <w:nsid w:val="7173BB22"/>
    <w:multiLevelType w:val="hybridMultilevel"/>
    <w:lvl w:ilvl="0">
      <w:lvlJc w:val="left"/>
      <w:lvlText w:val="%1."/>
      <w:numFmt w:val="decimal"/>
      <w:start w:val="6"/>
    </w:lvl>
  </w:abstractNum>
  <w:abstractNum w:abstractNumId="513">
    <w:nsid w:val="169E1DD3"/>
    <w:multiLevelType w:val="hybridMultilevel"/>
    <w:lvl w:ilvl="0">
      <w:lvlJc w:val="left"/>
      <w:lvlText w:val="%1."/>
      <w:numFmt w:val="decimal"/>
      <w:start w:val="1"/>
    </w:lvl>
  </w:abstractNum>
  <w:abstractNum w:abstractNumId="514">
    <w:nsid w:val="51D141CC"/>
    <w:multiLevelType w:val="hybridMultilevel"/>
    <w:lvl w:ilvl="0">
      <w:lvlJc w:val="left"/>
      <w:lvlText w:val="%1."/>
      <w:numFmt w:val="decimal"/>
      <w:start w:val="9"/>
    </w:lvl>
  </w:abstractNum>
  <w:abstractNum w:abstractNumId="515">
    <w:nsid w:val="12F9357A"/>
    <w:multiLevelType w:val="hybridMultilevel"/>
    <w:lvl w:ilvl="0">
      <w:lvlJc w:val="left"/>
      <w:lvlText w:val="%1."/>
      <w:numFmt w:val="decimal"/>
      <w:start w:val="23"/>
    </w:lvl>
  </w:abstractNum>
  <w:abstractNum w:abstractNumId="516">
    <w:nsid w:val="7672CF28"/>
    <w:multiLevelType w:val="hybridMultilevel"/>
    <w:lvl w:ilvl="0">
      <w:lvlJc w:val="left"/>
      <w:lvlText w:val="%1."/>
      <w:numFmt w:val="decimal"/>
      <w:start w:val="1"/>
    </w:lvl>
  </w:abstractNum>
  <w:abstractNum w:abstractNumId="517">
    <w:nsid w:val="567D2763"/>
    <w:multiLevelType w:val="hybridMultilevel"/>
    <w:lvl w:ilvl="0">
      <w:lvlJc w:val="left"/>
      <w:lvlText w:val="%1."/>
      <w:numFmt w:val="decimal"/>
      <w:start w:val="4"/>
    </w:lvl>
  </w:abstractNum>
  <w:abstractNum w:abstractNumId="518">
    <w:nsid w:val="6F5DE2EF"/>
    <w:multiLevelType w:val="hybridMultilevel"/>
    <w:lvl w:ilvl="0">
      <w:lvlJc w:val="left"/>
      <w:lvlText w:val="%1."/>
      <w:numFmt w:val="decimal"/>
      <w:start w:val="8"/>
    </w:lvl>
  </w:abstractNum>
  <w:abstractNum w:abstractNumId="519">
    <w:nsid w:val="23502A61"/>
    <w:multiLevelType w:val="hybridMultilevel"/>
    <w:lvl w:ilvl="0">
      <w:lvlJc w:val="left"/>
      <w:lvlText w:val="%1."/>
      <w:numFmt w:val="decimal"/>
      <w:start w:val="1"/>
    </w:lvl>
  </w:abstractNum>
  <w:abstractNum w:abstractNumId="520">
    <w:nsid w:val="461BC834"/>
    <w:multiLevelType w:val="hybridMultilevel"/>
    <w:lvl w:ilvl="0">
      <w:lvlJc w:val="left"/>
      <w:lvlText w:val="%1."/>
      <w:numFmt w:val="upperLetter"/>
      <w:start w:val="1"/>
    </w:lvl>
  </w:abstractNum>
  <w:abstractNum w:abstractNumId="521">
    <w:nsid w:val="13DDA79D"/>
    <w:multiLevelType w:val="hybridMultilevel"/>
    <w:lvl w:ilvl="0">
      <w:lvlJc w:val="left"/>
      <w:lvlText w:val="%1."/>
      <w:numFmt w:val="upperLetter"/>
      <w:start w:val="3"/>
    </w:lvl>
  </w:abstractNum>
  <w:abstractNum w:abstractNumId="522">
    <w:nsid w:val="6A104566"/>
    <w:multiLevelType w:val="hybridMultilevel"/>
    <w:lvl w:ilvl="0">
      <w:lvlJc w:val="left"/>
      <w:lvlText w:val="%1"/>
      <w:numFmt w:val="lowerRoman"/>
      <w:start w:val="1"/>
    </w:lvl>
    <w:lvl w:ilvl="1">
      <w:lvlJc w:val="left"/>
      <w:lvlText w:val="%2."/>
      <w:numFmt w:val="decimal"/>
      <w:start w:val="1"/>
    </w:lvl>
  </w:abstractNum>
  <w:abstractNum w:abstractNumId="523">
    <w:nsid w:val="1C8A8ACF"/>
    <w:multiLevelType w:val="hybridMultilevel"/>
    <w:lvl w:ilvl="0">
      <w:lvlJc w:val="left"/>
      <w:lvlText w:val="(%1)"/>
      <w:numFmt w:val="lowerRoman"/>
      <w:start w:val="1"/>
    </w:lvl>
    <w:lvl w:ilvl="1">
      <w:lvlJc w:val="left"/>
      <w:lvlText w:val="%2"/>
      <w:numFmt w:val="decimal"/>
      <w:start w:val="1"/>
    </w:lvl>
  </w:abstractNum>
  <w:abstractNum w:abstractNumId="524">
    <w:nsid w:val="E73DFE0"/>
    <w:multiLevelType w:val="hybridMultilevel"/>
    <w:lvl w:ilvl="0">
      <w:lvlJc w:val="left"/>
      <w:lvlText w:val="(%1)"/>
      <w:numFmt w:val="lowerRoman"/>
      <w:start w:val="10"/>
    </w:lvl>
    <w:lvl w:ilvl="1">
      <w:lvlJc w:val="left"/>
      <w:lvlText w:val="%2."/>
      <w:numFmt w:val="decimal"/>
      <w:start w:val="2"/>
    </w:lvl>
  </w:abstractNum>
  <w:abstractNum w:abstractNumId="525">
    <w:nsid w:val="39F174C7"/>
    <w:multiLevelType w:val="hybridMultilevel"/>
    <w:lvl w:ilvl="0">
      <w:lvlJc w:val="left"/>
      <w:lvlText w:val="%1."/>
      <w:numFmt w:val="decimal"/>
      <w:start w:val="4"/>
    </w:lvl>
  </w:abstractNum>
  <w:abstractNum w:abstractNumId="526">
    <w:nsid w:val="6E2E2D53"/>
    <w:multiLevelType w:val="hybridMultilevel"/>
    <w:lvl w:ilvl="0">
      <w:lvlJc w:val="left"/>
      <w:lvlText w:val="%1."/>
      <w:numFmt w:val="decimal"/>
      <w:start w:val="5"/>
    </w:lvl>
  </w:abstractNum>
  <w:abstractNum w:abstractNumId="527">
    <w:nsid w:val="45DC439D"/>
    <w:multiLevelType w:val="hybridMultilevel"/>
    <w:lvl w:ilvl="0">
      <w:lvlJc w:val="left"/>
      <w:lvlText w:val="%1."/>
      <w:numFmt w:val="decimal"/>
      <w:start w:val="6"/>
    </w:lvl>
  </w:abstractNum>
  <w:abstractNum w:abstractNumId="528">
    <w:nsid w:val="3B0A3B87"/>
    <w:multiLevelType w:val="hybridMultilevel"/>
    <w:lvl w:ilvl="0">
      <w:lvlJc w:val="left"/>
      <w:lvlText w:val="%1."/>
      <w:numFmt w:val="decimal"/>
      <w:start w:val="9"/>
    </w:lvl>
  </w:abstractNum>
  <w:abstractNum w:abstractNumId="529">
    <w:nsid w:val="6DAC7768"/>
    <w:multiLevelType w:val="hybridMultilevel"/>
    <w:lvl w:ilvl="0">
      <w:lvlJc w:val="left"/>
      <w:lvlText w:val="%1."/>
      <w:numFmt w:val="decimal"/>
      <w:start w:val="14"/>
    </w:lvl>
  </w:abstractNum>
  <w:abstractNum w:abstractNumId="530">
    <w:nsid w:val="746AE2E4"/>
    <w:multiLevelType w:val="hybridMultilevel"/>
    <w:lvl w:ilvl="0">
      <w:lvlJc w:val="left"/>
      <w:lvlText w:val="(%1)"/>
      <w:numFmt w:val="lowerRoman"/>
      <w:start w:val="1"/>
    </w:lvl>
  </w:abstractNum>
  <w:abstractNum w:abstractNumId="531">
    <w:nsid w:val="317E611D"/>
    <w:multiLevelType w:val="hybridMultilevel"/>
    <w:lvl w:ilvl="0">
      <w:lvlJc w:val="left"/>
      <w:lvlText w:val="(%1)"/>
      <w:numFmt w:val="lowerLetter"/>
      <w:start w:val="2"/>
    </w:lvl>
  </w:abstractNum>
  <w:abstractNum w:abstractNumId="532">
    <w:nsid w:val="7A61D75B"/>
    <w:multiLevelType w:val="hybridMultilevel"/>
    <w:lvl w:ilvl="0">
      <w:lvlJc w:val="left"/>
      <w:lvlText w:val="%1"/>
      <w:numFmt w:val="upperLetter"/>
      <w:start w:val="1"/>
    </w:lvl>
    <w:lvl w:ilvl="1">
      <w:lvlJc w:val="left"/>
      <w:lvlText w:val="(%2)"/>
      <w:numFmt w:val="upperLetter"/>
      <w:start w:val="1"/>
    </w:lvl>
  </w:abstractNum>
  <w:abstractNum w:abstractNumId="533">
    <w:nsid w:val="164A1482"/>
    <w:multiLevelType w:val="hybridMultilevel"/>
    <w:lvl w:ilvl="0">
      <w:lvlJc w:val="left"/>
      <w:lvlText w:val="(%1)"/>
      <w:numFmt w:val="upperLetter"/>
      <w:start w:val="3"/>
    </w:lvl>
    <w:lvl w:ilvl="1">
      <w:lvlJc w:val="left"/>
      <w:lvlText w:val="%2"/>
      <w:numFmt w:val="upperLetter"/>
      <w:start w:val="1"/>
    </w:lvl>
  </w:abstractNum>
  <w:abstractNum w:abstractNumId="534">
    <w:nsid w:val="1806546B"/>
    <w:multiLevelType w:val="hybridMultilevel"/>
    <w:lvl w:ilvl="0">
      <w:lvlJc w:val="left"/>
      <w:lvlText w:val="(%1)"/>
      <w:numFmt w:val="upperLetter"/>
      <w:start w:val="1"/>
    </w:lvl>
  </w:abstractNum>
  <w:abstractNum w:abstractNumId="535">
    <w:nsid w:val="1FA33267"/>
    <w:multiLevelType w:val="hybridMultilevel"/>
    <w:lvl w:ilvl="0">
      <w:lvlJc w:val="left"/>
      <w:lvlText w:val="(%1)"/>
      <w:numFmt w:val="upperLetter"/>
      <w:start w:val="2"/>
    </w:lvl>
  </w:abstractNum>
  <w:abstractNum w:abstractNumId="536">
    <w:nsid w:val="2E19DD00"/>
    <w:multiLevelType w:val="hybridMultilevel"/>
    <w:lvl w:ilvl="0">
      <w:lvlJc w:val="left"/>
      <w:lvlText w:val="(%1)"/>
      <w:numFmt w:val="upperLetter"/>
      <w:start w:val="5"/>
    </w:lvl>
  </w:abstractNum>
  <w:abstractNum w:abstractNumId="537">
    <w:nsid w:val="756D30D0"/>
    <w:multiLevelType w:val="hybridMultilevel"/>
    <w:lvl w:ilvl="0">
      <w:lvlJc w:val="left"/>
      <w:lvlText w:val="(%1)"/>
      <w:numFmt w:val="lowerRoman"/>
      <w:start w:val="2"/>
    </w:lvl>
  </w:abstractNum>
  <w:abstractNum w:abstractNumId="538">
    <w:nsid w:val="505E5E01"/>
    <w:multiLevelType w:val="hybridMultilevel"/>
    <w:lvl w:ilvl="0">
      <w:lvlJc w:val="left"/>
      <w:lvlText w:val="(%1)"/>
      <w:numFmt w:val="lowerRoman"/>
      <w:start w:val="4"/>
    </w:lvl>
    <w:lvl w:ilvl="1">
      <w:lvlJc w:val="left"/>
      <w:lvlText w:val="%2."/>
      <w:numFmt w:val="decimal"/>
      <w:start w:val="1"/>
    </w:lvl>
  </w:abstractNum>
  <w:abstractNum w:abstractNumId="539">
    <w:nsid w:val="2EFDBCE6"/>
    <w:multiLevelType w:val="hybridMultilevel"/>
    <w:lvl w:ilvl="0">
      <w:lvlJc w:val="left"/>
      <w:lvlText w:val="%1."/>
      <w:numFmt w:val="decimal"/>
      <w:start w:val="3"/>
    </w:lvl>
  </w:abstractNum>
  <w:abstractNum w:abstractNumId="540">
    <w:nsid w:val="4EC868C4"/>
    <w:multiLevelType w:val="hybridMultilevel"/>
    <w:lvl w:ilvl="0">
      <w:lvlJc w:val="left"/>
      <w:lvlText w:val="A"/>
      <w:numFmt w:val="bullet"/>
      <w:start w:val="1"/>
    </w:lvl>
  </w:abstractNum>
  <w:abstractNum w:abstractNumId="541">
    <w:nsid w:val="4239DC03"/>
    <w:multiLevelType w:val="hybridMultilevel"/>
    <w:lvl w:ilvl="0">
      <w:lvlJc w:val="left"/>
      <w:lvlText w:val="B"/>
      <w:numFmt w:val="bullet"/>
      <w:start w:val="1"/>
    </w:lvl>
  </w:abstractNum>
  <w:abstractNum w:abstractNumId="542">
    <w:nsid w:val="307C7DAA"/>
    <w:multiLevelType w:val="hybridMultilevel"/>
    <w:lvl w:ilvl="0">
      <w:lvlJc w:val="left"/>
      <w:lvlText w:val="C"/>
      <w:numFmt w:val="bullet"/>
      <w:start w:val="1"/>
    </w:lvl>
  </w:abstractNum>
  <w:abstractNum w:abstractNumId="543">
    <w:nsid w:val="403C23E6"/>
    <w:multiLevelType w:val="hybridMultilevel"/>
    <w:lvl w:ilvl="0">
      <w:lvlJc w:val="left"/>
      <w:lvlText w:val="D"/>
      <w:numFmt w:val="bullet"/>
      <w:start w:val="1"/>
    </w:lvl>
  </w:abstractNum>
  <w:abstractNum w:abstractNumId="544">
    <w:nsid w:val="58D7F9D7"/>
    <w:multiLevelType w:val="hybridMultilevel"/>
    <w:lvl w:ilvl="0">
      <w:lvlJc w:val="left"/>
      <w:lvlText w:val="E"/>
      <w:numFmt w:val="bullet"/>
      <w:start w:val="1"/>
    </w:lvl>
  </w:abstractNum>
  <w:abstractNum w:abstractNumId="545">
    <w:nsid w:val="24DBF76"/>
    <w:multiLevelType w:val="hybridMultilevel"/>
    <w:lvl w:ilvl="0">
      <w:lvlJc w:val="left"/>
      <w:lvlText w:val="%1."/>
      <w:numFmt w:val="decimal"/>
      <w:start w:val="2"/>
    </w:lvl>
  </w:abstractNum>
  <w:abstractNum w:abstractNumId="546">
    <w:nsid w:val="53355960"/>
    <w:multiLevelType w:val="hybridMultilevel"/>
    <w:lvl w:ilvl="0">
      <w:lvlJc w:val="left"/>
      <w:lvlText w:val="%1."/>
      <w:numFmt w:val="decimal"/>
      <w:start w:val="3"/>
    </w:lvl>
  </w:abstractNum>
  <w:abstractNum w:abstractNumId="547">
    <w:nsid w:val="4F4AC8FF"/>
    <w:multiLevelType w:val="hybridMultilevel"/>
    <w:lvl w:ilvl="0">
      <w:lvlJc w:val="left"/>
      <w:lvlText w:val="%1."/>
      <w:numFmt w:val="decimal"/>
      <w:start w:val="5"/>
    </w:lvl>
  </w:abstractNum>
  <w:abstractNum w:abstractNumId="548">
    <w:nsid w:val="58CAE6D9"/>
    <w:multiLevelType w:val="hybridMultilevel"/>
    <w:lvl w:ilvl="0">
      <w:lvlJc w:val="left"/>
      <w:lvlText w:val="%1."/>
      <w:numFmt w:val="decimal"/>
      <w:start w:val="13"/>
    </w:lvl>
  </w:abstractNum>
  <w:abstractNum w:abstractNumId="549">
    <w:nsid w:val="42933C4F"/>
    <w:multiLevelType w:val="hybridMultilevel"/>
    <w:lvl w:ilvl="0">
      <w:lvlJc w:val="left"/>
      <w:lvlText w:val="(%1)"/>
      <w:numFmt w:val="lowerLetter"/>
      <w:start w:val="2"/>
    </w:lvl>
  </w:abstractNum>
  <w:abstractNum w:abstractNumId="550">
    <w:nsid w:val="729AF360"/>
    <w:multiLevelType w:val="hybridMultilevel"/>
    <w:lvl w:ilvl="0">
      <w:lvlJc w:val="left"/>
      <w:lvlText w:val="(%1)"/>
      <w:numFmt w:val="lowerRoman"/>
      <w:start w:val="3"/>
    </w:lvl>
  </w:abstractNum>
  <w:abstractNum w:abstractNumId="551">
    <w:nsid w:val="1EE6AF0D"/>
    <w:multiLevelType w:val="hybridMultilevel"/>
    <w:lvl w:ilvl="0">
      <w:lvlJc w:val="left"/>
      <w:lvlText w:val="(%1)"/>
      <w:numFmt w:val="upperLetter"/>
      <w:start w:val="2"/>
    </w:lvl>
  </w:abstractNum>
  <w:abstractNum w:abstractNumId="552">
    <w:nsid w:val="5670E3ED"/>
    <w:multiLevelType w:val="hybridMultilevel"/>
    <w:lvl w:ilvl="0">
      <w:lvlJc w:val="left"/>
      <w:lvlText w:val="(%1)"/>
      <w:numFmt w:val="decimal"/>
      <w:start w:val="12"/>
    </w:lvl>
  </w:abstractNum>
  <w:abstractNum w:abstractNumId="553">
    <w:nsid w:val="5CAB38C6"/>
    <w:multiLevelType w:val="hybridMultilevel"/>
    <w:lvl w:ilvl="0">
      <w:lvlJc w:val="left"/>
      <w:lvlText w:val="(%1)"/>
      <w:numFmt w:val="lowerRoman"/>
      <w:start w:val="12"/>
    </w:lvl>
    <w:lvl w:ilvl="1">
      <w:lvlJc w:val="left"/>
      <w:lvlText w:val="(%2)"/>
      <w:numFmt w:val="lowerLetter"/>
      <w:start w:val="1"/>
    </w:lvl>
  </w:abstractNum>
  <w:abstractNum w:abstractNumId="554">
    <w:nsid w:val="3B7139DD"/>
    <w:multiLevelType w:val="hybridMultilevel"/>
    <w:lvl w:ilvl="0">
      <w:lvlJc w:val="left"/>
      <w:lvlText w:val="(%1)"/>
      <w:numFmt w:val="lowerLetter"/>
      <w:start w:val="4"/>
    </w:lvl>
  </w:abstractNum>
  <w:abstractNum w:abstractNumId="555">
    <w:nsid w:val="64E4C3CD"/>
    <w:multiLevelType w:val="hybridMultilevel"/>
    <w:lvl w:ilvl="0">
      <w:lvlJc w:val="left"/>
      <w:lvlText w:val="(%1)"/>
      <w:numFmt w:val="lowerLetter"/>
      <w:start w:val="13"/>
    </w:lvl>
  </w:abstractNum>
  <w:abstractNum w:abstractNumId="556">
    <w:nsid w:val="169CAD8D"/>
    <w:multiLevelType w:val="hybridMultilevel"/>
    <w:lvl w:ilvl="0">
      <w:lvlJc w:val="left"/>
      <w:lvlText w:val="(%1)"/>
      <w:numFmt w:val="lowerLetter"/>
      <w:start w:val="15"/>
    </w:lvl>
  </w:abstractNum>
  <w:abstractNum w:abstractNumId="557">
    <w:nsid w:val="299F6730"/>
    <w:multiLevelType w:val="hybridMultilevel"/>
    <w:lvl w:ilvl="0">
      <w:lvlJc w:val="left"/>
      <w:lvlText w:val="(%1)"/>
      <w:numFmt w:val="lowerRoman"/>
      <w:start w:val="3"/>
    </w:lvl>
  </w:abstractNum>
  <w:abstractNum w:abstractNumId="558">
    <w:nsid w:val="2AC1076A"/>
    <w:multiLevelType w:val="hybridMultilevel"/>
    <w:lvl w:ilvl="0">
      <w:lvlJc w:val="left"/>
      <w:lvlText w:val="(%1)"/>
      <w:numFmt w:val="lowerRoman"/>
      <w:start w:val="4"/>
    </w:lvl>
  </w:abstractNum>
  <w:abstractNum w:abstractNumId="559">
    <w:nsid w:val="51A6E915"/>
    <w:multiLevelType w:val="hybridMultilevel"/>
    <w:lvl w:ilvl="0">
      <w:lvlJc w:val="left"/>
      <w:lvlText w:val="(%1)"/>
      <w:numFmt w:val="lowerRoman"/>
      <w:start w:val="2"/>
    </w:lvl>
  </w:abstractNum>
  <w:abstractNum w:abstractNumId="560">
    <w:nsid w:val="174BDE99"/>
    <w:multiLevelType w:val="hybridMultilevel"/>
    <w:lvl w:ilvl="0">
      <w:lvlJc w:val="left"/>
      <w:lvlText w:val="(%1)"/>
      <w:numFmt w:val="lowerRoman"/>
      <w:start w:val="4"/>
    </w:lvl>
  </w:abstractNum>
  <w:abstractNum w:abstractNumId="561">
    <w:nsid w:val="1F2BEA4E"/>
    <w:multiLevelType w:val="hybridMultilevel"/>
    <w:lvl w:ilvl="0">
      <w:lvlJc w:val="left"/>
      <w:lvlText w:val="(%1)"/>
      <w:numFmt w:val="lowerRoman"/>
      <w:start w:val="2"/>
    </w:lvl>
  </w:abstractNum>
  <w:abstractNum w:abstractNumId="562">
    <w:nsid w:val="3254A32"/>
    <w:multiLevelType w:val="hybridMultilevel"/>
    <w:lvl w:ilvl="0">
      <w:lvlJc w:val="left"/>
      <w:lvlText w:val="(%1)"/>
      <w:numFmt w:val="lowerRoman"/>
      <w:start w:val="1"/>
    </w:lvl>
  </w:abstractNum>
  <w:abstractNum w:abstractNumId="563">
    <w:nsid w:val="11ADB5F4"/>
    <w:multiLevelType w:val="hybridMultilevel"/>
    <w:lvl w:ilvl="0">
      <w:lvlJc w:val="left"/>
      <w:lvlText w:val="(%1)"/>
      <w:numFmt w:val="lowerRoman"/>
      <w:start w:val="4"/>
    </w:lvl>
  </w:abstractNum>
  <w:abstractNum w:abstractNumId="564">
    <w:nsid w:val="3575FED1"/>
    <w:multiLevelType w:val="hybridMultilevel"/>
    <w:lvl w:ilvl="0">
      <w:lvlJc w:val="left"/>
      <w:lvlText w:val="%1."/>
      <w:numFmt w:val="decimal"/>
      <w:start w:val="3"/>
    </w:lvl>
  </w:abstractNum>
  <w:abstractNum w:abstractNumId="565">
    <w:nsid w:val="1B2B9E9D"/>
    <w:multiLevelType w:val="hybridMultilevel"/>
    <w:lvl w:ilvl="0">
      <w:lvlJc w:val="left"/>
      <w:lvlText w:val="%1."/>
      <w:numFmt w:val="decimal"/>
      <w:start w:val="1"/>
    </w:lvl>
  </w:abstractNum>
  <w:abstractNum w:abstractNumId="566">
    <w:nsid w:val="3150E85C"/>
    <w:multiLevelType w:val="hybridMultilevel"/>
    <w:lvl w:ilvl="0">
      <w:lvlJc w:val="left"/>
      <w:lvlText w:val="%1."/>
      <w:numFmt w:val="decimal"/>
      <w:start w:val="4"/>
    </w:lvl>
  </w:abstractNum>
  <w:abstractNum w:abstractNumId="567">
    <w:nsid w:val="638FDBD1"/>
    <w:multiLevelType w:val="hybridMultilevel"/>
    <w:lvl w:ilvl="0">
      <w:lvlJc w:val="left"/>
      <w:lvlText w:val="%1."/>
      <w:numFmt w:val="decimal"/>
      <w:start w:val="7"/>
    </w:lvl>
  </w:abstractNum>
  <w:abstractNum w:abstractNumId="568">
    <w:nsid w:val="1098CF6E"/>
    <w:multiLevelType w:val="hybridMultilevel"/>
    <w:lvl w:ilvl="0">
      <w:lvlJc w:val="left"/>
      <w:lvlText w:val="%1."/>
      <w:numFmt w:val="decimal"/>
      <w:start w:val="18"/>
    </w:lvl>
  </w:abstractNum>
  <w:abstractNum w:abstractNumId="569">
    <w:nsid w:val="1AF465D"/>
    <w:multiLevelType w:val="hybridMultilevel"/>
    <w:lvl w:ilvl="0">
      <w:lvlJc w:val="left"/>
      <w:lvlText w:val="%1."/>
      <w:numFmt w:val="decimal"/>
      <w:start w:val="28"/>
    </w:lvl>
  </w:abstractNum>
  <w:abstractNum w:abstractNumId="570">
    <w:nsid w:val="128D98B7"/>
    <w:multiLevelType w:val="hybridMultilevel"/>
    <w:lvl w:ilvl="0">
      <w:lvlJc w:val="left"/>
      <w:lvlText w:val="%1."/>
      <w:numFmt w:val="decimal"/>
    </w:lvl>
    <w:lvl w:ilvl="1">
      <w:lvlJc w:val="left"/>
      <w:lvlText w:val=","/>
      <w:numFmt w:val="bullet"/>
      <w:start w:val="1"/>
    </w:lvl>
  </w:abstractNum>
  <w:abstractNum w:abstractNumId="571">
    <w:nsid w:val="5F613832"/>
    <w:multiLevelType w:val="hybridMultilevel"/>
    <w:lvl w:ilvl="0">
      <w:lvlJc w:val="left"/>
      <w:lvlText w:val="%1."/>
      <w:numFmt w:val="decimal"/>
      <w:start w:val="4"/>
    </w:lvl>
  </w:abstractNum>
  <w:abstractNum w:abstractNumId="572">
    <w:nsid w:val="43E92260"/>
    <w:multiLevelType w:val="hybridMultilevel"/>
    <w:lvl w:ilvl="0">
      <w:lvlJc w:val="left"/>
      <w:lvlText w:val="%1."/>
      <w:numFmt w:val="decimal"/>
      <w:start w:val="8"/>
    </w:lvl>
  </w:abstractNum>
  <w:abstractNum w:abstractNumId="573">
    <w:nsid w:val="430A1662"/>
    <w:multiLevelType w:val="hybridMultilevel"/>
    <w:lvl w:ilvl="0">
      <w:lvlJc w:val="left"/>
      <w:lvlText w:val="%1."/>
      <w:numFmt w:val="decimal"/>
      <w:start w:val="13"/>
    </w:lvl>
  </w:abstractNum>
  <w:abstractNum w:abstractNumId="574">
    <w:nsid w:val="1F9D5C18"/>
    <w:multiLevelType w:val="hybridMultilevel"/>
    <w:lvl w:ilvl="0">
      <w:lvlJc w:val="left"/>
      <w:lvlText w:val="%1"/>
      <w:numFmt w:val="lowerLetter"/>
      <w:start w:val="1"/>
    </w:lvl>
    <w:lvl w:ilvl="1">
      <w:lvlJc w:val="left"/>
      <w:lvlText w:val="%2."/>
      <w:numFmt w:val="decimal"/>
      <w:start w:val="1"/>
    </w:lvl>
  </w:abstractNum>
  <w:abstractNum w:abstractNumId="575">
    <w:nsid w:val="1CC11C37"/>
    <w:multiLevelType w:val="hybridMultilevel"/>
    <w:lvl w:ilvl="0">
      <w:lvlJc w:val="left"/>
      <w:lvlText w:val="(%1)"/>
      <w:numFmt w:val="lowerLetter"/>
      <w:start w:val="1"/>
    </w:lvl>
    <w:lvl w:ilvl="1">
      <w:lvlJc w:val="left"/>
      <w:lvlText w:val="%2."/>
      <w:numFmt w:val="decimal"/>
      <w:start w:val="2"/>
    </w:lvl>
  </w:abstractNum>
  <w:abstractNum w:abstractNumId="576">
    <w:nsid w:val="4557D5D8"/>
    <w:multiLevelType w:val="hybridMultilevel"/>
    <w:lvl w:ilvl="0">
      <w:lvlJc w:val="left"/>
      <w:lvlText w:val="(%1)"/>
      <w:numFmt w:val="lowerLetter"/>
      <w:start w:val="1"/>
    </w:lvl>
  </w:abstractNum>
  <w:abstractNum w:abstractNumId="577">
    <w:nsid w:val="72D2B579"/>
    <w:multiLevelType w:val="hybridMultilevel"/>
    <w:lvl w:ilvl="0">
      <w:lvlJc w:val="left"/>
      <w:lvlText w:val="%1"/>
      <w:numFmt w:val="decimal"/>
      <w:start w:val="1"/>
    </w:lvl>
    <w:lvl w:ilvl="1">
      <w:lvlJc w:val="left"/>
      <w:lvlText w:val="(%2)"/>
      <w:numFmt w:val="lowerLetter"/>
      <w:start w:val="4"/>
    </w:lvl>
  </w:abstractNum>
  <w:abstractNum w:abstractNumId="578">
    <w:nsid w:val="6C0BE536"/>
    <w:multiLevelType w:val="hybridMultilevel"/>
    <w:lvl w:ilvl="0">
      <w:lvlJc w:val="left"/>
      <w:lvlText w:val="%1."/>
      <w:numFmt w:val="decimal"/>
      <w:start w:val="3"/>
    </w:lvl>
    <w:lvl w:ilvl="1">
      <w:lvlJc w:val="left"/>
      <w:lvlText w:val="%2"/>
      <w:numFmt w:val="lowerLetter"/>
      <w:start w:val="1"/>
    </w:lvl>
  </w:abstractNum>
  <w:abstractNum w:abstractNumId="579">
    <w:nsid w:val="1E22BCB2"/>
    <w:multiLevelType w:val="hybridMultilevel"/>
    <w:lvl w:ilvl="0">
      <w:lvlJc w:val="left"/>
      <w:lvlText w:val="%1"/>
      <w:numFmt w:val="lowerLetter"/>
      <w:start w:val="1"/>
    </w:lvl>
    <w:lvl w:ilvl="1">
      <w:lvlJc w:val="left"/>
      <w:lvlText w:val="(%2)"/>
      <w:numFmt w:val="lowerLetter"/>
      <w:start w:val="1"/>
    </w:lvl>
  </w:abstractNum>
  <w:abstractNum w:abstractNumId="580">
    <w:nsid w:val="3565F1C8"/>
    <w:multiLevelType w:val="hybridMultilevel"/>
    <w:lvl w:ilvl="0">
      <w:lvlJc w:val="left"/>
      <w:lvlText w:val="(%1)"/>
      <w:numFmt w:val="lowerLetter"/>
      <w:start w:val="35"/>
    </w:lvl>
    <w:lvl w:ilvl="1">
      <w:lvlJc w:val="left"/>
      <w:lvlText w:val="%2"/>
      <w:numFmt w:val="lowerLetter"/>
      <w:start w:val="1"/>
    </w:lvl>
  </w:abstractNum>
  <w:abstractNum w:abstractNumId="581">
    <w:nsid w:val="5EA6D896"/>
    <w:multiLevelType w:val="hybridMultilevel"/>
    <w:lvl w:ilvl="0">
      <w:lvlJc w:val="left"/>
      <w:lvlText w:val="%1"/>
      <w:numFmt w:val="decimal"/>
      <w:start w:val="1"/>
    </w:lvl>
    <w:lvl w:ilvl="1">
      <w:lvlJc w:val="left"/>
      <w:lvlText w:val="(%2)"/>
      <w:numFmt w:val="lowerLetter"/>
      <w:start w:val="3"/>
    </w:lvl>
  </w:abstractNum>
  <w:abstractNum w:abstractNumId="582">
    <w:nsid w:val="3D096BBF"/>
    <w:multiLevelType w:val="hybridMultilevel"/>
    <w:lvl w:ilvl="0">
      <w:lvlJc w:val="left"/>
      <w:lvlText w:val="%1."/>
      <w:numFmt w:val="decimal"/>
      <w:start w:val="5"/>
    </w:lvl>
    <w:lvl w:ilvl="1">
      <w:lvlJc w:val="left"/>
      <w:lvlText w:val="(%2)"/>
      <w:numFmt w:val="lowerLetter"/>
      <w:start w:val="1"/>
    </w:lvl>
  </w:abstractNum>
  <w:abstractNum w:abstractNumId="583">
    <w:nsid w:val="BD6D5B5"/>
    <w:multiLevelType w:val="hybridMultilevel"/>
    <w:lvl w:ilvl="0">
      <w:lvlJc w:val="left"/>
      <w:lvlText w:val="%1."/>
      <w:numFmt w:val="decimal"/>
      <w:start w:val="7"/>
    </w:lvl>
  </w:abstractNum>
  <w:abstractNum w:abstractNumId="584">
    <w:nsid w:val="3B52115C"/>
    <w:multiLevelType w:val="hybridMultilevel"/>
    <w:lvl w:ilvl="0">
      <w:lvlJc w:val="left"/>
      <w:lvlText w:val="%1."/>
      <w:numFmt w:val="decimal"/>
      <w:start w:val="8"/>
    </w:lvl>
  </w:abstractNum>
  <w:abstractNum w:abstractNumId="585">
    <w:nsid w:val="787AA59C"/>
    <w:multiLevelType w:val="hybridMultilevel"/>
    <w:lvl w:ilvl="0">
      <w:lvlJc w:val="left"/>
      <w:lvlText w:val="(%1)"/>
      <w:numFmt w:val="lowerLetter"/>
      <w:start w:val="1"/>
    </w:lvl>
  </w:abstractNum>
  <w:abstractNum w:abstractNumId="586">
    <w:nsid w:val="70BB9983"/>
    <w:multiLevelType w:val="hybridMultilevel"/>
    <w:lvl w:ilvl="0">
      <w:lvlJc w:val="left"/>
      <w:lvlText w:val="%1."/>
      <w:numFmt w:val="decimal"/>
      <w:start w:val="9"/>
    </w:lvl>
  </w:abstractNum>
  <w:abstractNum w:abstractNumId="587">
    <w:nsid w:val="51EEBEEA"/>
    <w:multiLevelType w:val="hybridMultilevel"/>
    <w:lvl w:ilvl="0">
      <w:lvlJc w:val="left"/>
      <w:lvlText w:val="%1."/>
      <w:numFmt w:val="decimal"/>
      <w:start w:val="10"/>
    </w:lvl>
  </w:abstractNum>
  <w:abstractNum w:abstractNumId="588">
    <w:nsid w:val="221A0CCD"/>
    <w:multiLevelType w:val="hybridMultilevel"/>
    <w:lvl w:ilvl="0">
      <w:lvlJc w:val="left"/>
      <w:lvlText w:val="%1."/>
      <w:numFmt w:val="decimal"/>
      <w:start w:val="11"/>
    </w:lvl>
  </w:abstractNum>
  <w:abstractNum w:abstractNumId="589">
    <w:nsid w:val="1B7CA0ED"/>
    <w:multiLevelType w:val="hybridMultilevel"/>
    <w:lvl w:ilvl="0">
      <w:lvlJc w:val="left"/>
      <w:lvlText w:val="%1."/>
      <w:numFmt w:val="decimal"/>
      <w:start w:val="12"/>
    </w:lvl>
  </w:abstractNum>
  <w:abstractNum w:abstractNumId="590">
    <w:nsid w:val="2395A7FF"/>
    <w:multiLevelType w:val="hybridMultilevel"/>
    <w:lvl w:ilvl="0">
      <w:lvlJc w:val="left"/>
      <w:lvlText w:val="%1"/>
      <w:numFmt w:val="lowerLetter"/>
      <w:start w:val="1"/>
    </w:lvl>
    <w:lvl w:ilvl="1">
      <w:lvlJc w:val="left"/>
      <w:lvlText w:val="%2."/>
      <w:numFmt w:val="decimal"/>
      <w:start w:val="13"/>
    </w:lvl>
  </w:abstractNum>
  <w:abstractNum w:abstractNumId="591">
    <w:nsid w:val="3965EB66"/>
    <w:multiLevelType w:val="hybridMultilevel"/>
    <w:lvl w:ilvl="0">
      <w:lvlJc w:val="left"/>
      <w:lvlText w:val="(%1)"/>
      <w:numFmt w:val="lowerLetter"/>
      <w:start w:val="1"/>
    </w:lvl>
    <w:lvl w:ilvl="1">
      <w:lvlJc w:val="left"/>
      <w:lvlText w:val="%2"/>
      <w:numFmt w:val="decimal"/>
      <w:start w:val="1"/>
    </w:lvl>
  </w:abstractNum>
  <w:abstractNum w:abstractNumId="592">
    <w:nsid w:val="3AA88B3C"/>
    <w:multiLevelType w:val="hybridMultilevel"/>
    <w:lvl w:ilvl="0">
      <w:lvlJc w:val="left"/>
      <w:lvlText w:val="%1."/>
      <w:numFmt w:val="decimal"/>
      <w:start w:val="14"/>
    </w:lvl>
  </w:abstractNum>
  <w:abstractNum w:abstractNumId="593">
    <w:nsid w:val="26BAF231"/>
    <w:multiLevelType w:val="hybridMultilevel"/>
    <w:lvl w:ilvl="0">
      <w:lvlJc w:val="left"/>
      <w:lvlText w:val="%1."/>
      <w:numFmt w:val="decimal"/>
      <w:start w:val="15"/>
    </w:lvl>
  </w:abstractNum>
  <w:abstractNum w:abstractNumId="594">
    <w:nsid w:val="4B13A15A"/>
    <w:multiLevelType w:val="hybridMultilevel"/>
    <w:lvl w:ilvl="0">
      <w:lvlJc w:val="left"/>
      <w:lvlText w:val="(%1)"/>
      <w:numFmt w:val="lowerLetter"/>
      <w:start w:val="1"/>
    </w:lvl>
  </w:abstractNum>
  <w:abstractNum w:abstractNumId="595">
    <w:nsid w:val="701E8A0D"/>
    <w:multiLevelType w:val="hybridMultilevel"/>
    <w:lvl w:ilvl="0">
      <w:lvlJc w:val="left"/>
      <w:lvlText w:val="%1."/>
      <w:numFmt w:val="decimal"/>
      <w:start w:val="16"/>
    </w:lvl>
  </w:abstractNum>
  <w:abstractNum w:abstractNumId="596">
    <w:nsid w:val="41E690CF"/>
    <w:multiLevelType w:val="hybridMultilevel"/>
    <w:lvl w:ilvl="0">
      <w:lvlJc w:val="left"/>
      <w:lvlText w:val="%1."/>
      <w:numFmt w:val="decimal"/>
      <w:start w:val="17"/>
    </w:lvl>
  </w:abstractNum>
  <w:abstractNum w:abstractNumId="597">
    <w:nsid w:val="7C6489B6"/>
    <w:multiLevelType w:val="hybridMultilevel"/>
    <w:lvl w:ilvl="0">
      <w:lvlJc w:val="left"/>
      <w:lvlText w:val="%1."/>
      <w:numFmt w:val="decimal"/>
      <w:start w:val="18"/>
    </w:lvl>
  </w:abstractNum>
  <w:abstractNum w:abstractNumId="598">
    <w:nsid w:val="53AE65DE"/>
    <w:multiLevelType w:val="hybridMultilevel"/>
    <w:lvl w:ilvl="0">
      <w:lvlJc w:val="left"/>
      <w:lvlText w:val="%1."/>
      <w:numFmt w:val="decimal"/>
      <w:start w:val="19"/>
    </w:lvl>
  </w:abstractNum>
  <w:abstractNum w:abstractNumId="599">
    <w:nsid w:val="527F603D"/>
    <w:multiLevelType w:val="hybridMultilevel"/>
    <w:lvl w:ilvl="0">
      <w:lvlJc w:val="left"/>
      <w:lvlText w:val="%1."/>
      <w:numFmt w:val="decimal"/>
      <w:start w:val="21"/>
    </w:lvl>
    <w:lvl w:ilvl="1">
      <w:lvlJc w:val="left"/>
      <w:lvlText w:val="%2."/>
      <w:numFmt w:val="decimal"/>
      <w:start w:val="24"/>
    </w:lvl>
  </w:abstractNum>
  <w:abstractNum w:abstractNumId="600">
    <w:nsid w:val="7E13D013"/>
    <w:multiLevelType w:val="hybridMultilevel"/>
    <w:lvl w:ilvl="0">
      <w:lvlJc w:val="left"/>
      <w:lvlText w:val="%1."/>
      <w:numFmt w:val="decimal"/>
      <w:start w:val="25"/>
    </w:lvl>
  </w:abstractNum>
  <w:abstractNum w:abstractNumId="601">
    <w:nsid w:val="663BFE95"/>
    <w:multiLevelType w:val="hybridMultilevel"/>
    <w:lvl w:ilvl="0">
      <w:lvlJc w:val="left"/>
      <w:lvlText w:val="%1."/>
      <w:numFmt w:val="decimal"/>
      <w:start w:val="26"/>
    </w:lvl>
  </w:abstractNum>
  <w:abstractNum w:abstractNumId="602">
    <w:nsid w:val="31E0986F"/>
    <w:multiLevelType w:val="hybridMultilevel"/>
    <w:lvl w:ilvl="0">
      <w:lvlJc w:val="left"/>
      <w:lvlText w:val="%1."/>
      <w:numFmt w:val="decimal"/>
      <w:start w:val="27"/>
    </w:lvl>
  </w:abstractNum>
  <w:abstractNum w:abstractNumId="603">
    <w:nsid w:val="41FCF274"/>
    <w:multiLevelType w:val="hybridMultilevel"/>
    <w:lvl w:ilvl="0">
      <w:lvlJc w:val="left"/>
      <w:lvlText w:val="%1."/>
      <w:numFmt w:val="decimal"/>
      <w:start w:val="28"/>
    </w:lvl>
  </w:abstractNum>
  <w:abstractNum w:abstractNumId="604">
    <w:nsid w:val="294614F7"/>
    <w:multiLevelType w:val="hybridMultilevel"/>
    <w:lvl w:ilvl="0">
      <w:lvlJc w:val="left"/>
      <w:lvlText w:val="%1."/>
      <w:numFmt w:val="decimal"/>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jpe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jpeg"/><Relationship Id="rId868" Type="http://schemas.openxmlformats.org/officeDocument/2006/relationships/image" Target="media/image861.png"/><Relationship Id="rId869" Type="http://schemas.openxmlformats.org/officeDocument/2006/relationships/image" Target="media/image862.jpe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2020-03-14T19:43:16Z</dcterms:created>
  <dcterms:modified xsi:type="dcterms:W3CDTF">2020-03-14T19:43:16Z</dcterms:modified>
</cp:coreProperties>
</file>