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426720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73025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89535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1" w:lineRule="exact"/>
        <w:rPr>
          <w:sz w:val="24"/>
          <w:szCs w:val="24"/>
          <w:color w:val="auto"/>
        </w:rPr>
      </w:pPr>
    </w:p>
    <w:p>
      <w:pPr>
        <w:ind w:left="740" w:hanging="462"/>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31, 2019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740" w:hanging="462"/>
        <w:spacing w:after="0"/>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transition period from to</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85725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CROWDSTRIKE HOLDINGS,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73025</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71"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2740" w:type="dxa"/>
            <w:vAlign w:val="bottom"/>
            <w:gridSpan w:val="2"/>
          </w:tcPr>
          <w:p>
            <w:pPr>
              <w:jc w:val="center"/>
              <w:ind w:right="599"/>
              <w:spacing w:after="0"/>
              <w:rPr>
                <w:sz w:val="20"/>
                <w:szCs w:val="20"/>
                <w:color w:val="auto"/>
              </w:rPr>
            </w:pPr>
            <w:r>
              <w:rPr>
                <w:rFonts w:ascii="Arial" w:cs="Arial" w:eastAsia="Arial" w:hAnsi="Arial"/>
                <w:sz w:val="16"/>
                <w:szCs w:val="16"/>
                <w:b w:val="1"/>
                <w:bCs w:val="1"/>
                <w:color w:val="auto"/>
                <w:w w:val="93"/>
              </w:rPr>
              <w:t>Delaware</w:t>
            </w: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gridSpan w:val="3"/>
          </w:tcPr>
          <w:p>
            <w:pPr>
              <w:jc w:val="center"/>
              <w:ind w:left="399"/>
              <w:spacing w:after="0"/>
              <w:rPr>
                <w:sz w:val="20"/>
                <w:szCs w:val="20"/>
                <w:color w:val="auto"/>
              </w:rPr>
            </w:pPr>
            <w:r>
              <w:rPr>
                <w:rFonts w:ascii="Arial" w:cs="Arial" w:eastAsia="Arial" w:hAnsi="Arial"/>
                <w:sz w:val="16"/>
                <w:szCs w:val="16"/>
                <w:b w:val="1"/>
                <w:bCs w:val="1"/>
                <w:color w:val="auto"/>
                <w:w w:val="91"/>
              </w:rPr>
              <w:t>45-3788918</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740" w:type="dxa"/>
            <w:vAlign w:val="bottom"/>
            <w:gridSpan w:val="2"/>
          </w:tcPr>
          <w:p>
            <w:pPr>
              <w:jc w:val="center"/>
              <w:ind w:right="619"/>
              <w:spacing w:after="0"/>
              <w:rPr>
                <w:sz w:val="20"/>
                <w:szCs w:val="20"/>
                <w:color w:val="auto"/>
              </w:rPr>
            </w:pPr>
            <w:r>
              <w:rPr>
                <w:rFonts w:ascii="Arial" w:cs="Arial" w:eastAsia="Arial" w:hAnsi="Arial"/>
                <w:sz w:val="16"/>
                <w:szCs w:val="16"/>
                <w:color w:val="auto"/>
                <w:w w:val="93"/>
              </w:rPr>
              <w:t>(State or other jurisdiction of</w:t>
            </w: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40" w:type="dxa"/>
            <w:vAlign w:val="bottom"/>
            <w:gridSpan w:val="3"/>
          </w:tcPr>
          <w:p>
            <w:pPr>
              <w:jc w:val="center"/>
              <w:ind w:right="320"/>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2740" w:type="dxa"/>
            <w:vAlign w:val="bottom"/>
            <w:gridSpan w:val="2"/>
          </w:tcPr>
          <w:p>
            <w:pPr>
              <w:jc w:val="center"/>
              <w:ind w:right="619"/>
              <w:spacing w:after="0"/>
              <w:rPr>
                <w:sz w:val="20"/>
                <w:szCs w:val="20"/>
                <w:color w:val="auto"/>
              </w:rPr>
            </w:pPr>
            <w:r>
              <w:rPr>
                <w:rFonts w:ascii="Arial" w:cs="Arial" w:eastAsia="Arial" w:hAnsi="Arial"/>
                <w:sz w:val="16"/>
                <w:szCs w:val="16"/>
                <w:color w:val="auto"/>
                <w:w w:val="94"/>
              </w:rPr>
              <w:t>incorporation or organization)</w:t>
            </w:r>
          </w:p>
        </w:tc>
        <w:tc>
          <w:tcPr>
            <w:tcW w:w="3740" w:type="dxa"/>
            <w:vAlign w:val="bottom"/>
            <w:gridSpan w:val="4"/>
            <w:vMerge w:val="restart"/>
          </w:tcPr>
          <w:p>
            <w:pPr>
              <w:jc w:val="center"/>
              <w:ind w:right="20"/>
              <w:spacing w:after="0"/>
              <w:rPr>
                <w:sz w:val="20"/>
                <w:szCs w:val="20"/>
                <w:color w:val="auto"/>
              </w:rPr>
            </w:pPr>
            <w:r>
              <w:rPr>
                <w:rFonts w:ascii="Arial" w:cs="Arial" w:eastAsia="Arial" w:hAnsi="Arial"/>
                <w:sz w:val="16"/>
                <w:szCs w:val="16"/>
                <w:b w:val="1"/>
                <w:bCs w:val="1"/>
                <w:color w:val="auto"/>
                <w:w w:val="92"/>
              </w:rPr>
              <w:t>150 Mathilda Place, Suite 300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40" w:type="dxa"/>
            <w:vAlign w:val="bottom"/>
            <w:gridSpan w:val="3"/>
          </w:tcPr>
          <w:p>
            <w:pPr>
              <w:jc w:val="center"/>
              <w:ind w:right="320"/>
              <w:spacing w:after="0"/>
              <w:rPr>
                <w:sz w:val="20"/>
                <w:szCs w:val="20"/>
                <w:color w:val="auto"/>
              </w:rPr>
            </w:pPr>
            <w:r>
              <w:rPr>
                <w:rFonts w:ascii="Arial" w:cs="Arial" w:eastAsia="Arial" w:hAnsi="Arial"/>
                <w:sz w:val="16"/>
                <w:szCs w:val="16"/>
                <w:color w:val="auto"/>
                <w:w w:val="95"/>
              </w:rPr>
              <w:t>Identification Number)</w:t>
            </w:r>
          </w:p>
        </w:tc>
        <w:tc>
          <w:tcPr>
            <w:tcW w:w="0" w:type="dxa"/>
            <w:vAlign w:val="bottom"/>
          </w:tcPr>
          <w:p>
            <w:pPr>
              <w:spacing w:after="0"/>
              <w:rPr>
                <w:sz w:val="1"/>
                <w:szCs w:val="1"/>
                <w:color w:val="auto"/>
              </w:rPr>
            </w:pPr>
          </w:p>
        </w:tc>
      </w:tr>
      <w:tr>
        <w:trPr>
          <w:trHeight w:val="195"/>
        </w:trPr>
        <w:tc>
          <w:tcPr>
            <w:tcW w:w="7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74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2"/>
              </w:rPr>
              <w:t>Sunnyvale, California 94086</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40" w:type="dxa"/>
            <w:vAlign w:val="bottom"/>
            <w:gridSpan w:val="4"/>
          </w:tcPr>
          <w:p>
            <w:pPr>
              <w:jc w:val="center"/>
              <w:ind w:right="20"/>
              <w:spacing w:after="0"/>
              <w:rPr>
                <w:sz w:val="20"/>
                <w:szCs w:val="20"/>
                <w:color w:val="auto"/>
              </w:rPr>
            </w:pPr>
            <w:r>
              <w:rPr>
                <w:rFonts w:ascii="Arial" w:cs="Arial" w:eastAsia="Arial" w:hAnsi="Arial"/>
                <w:sz w:val="16"/>
                <w:szCs w:val="16"/>
                <w:color w:val="auto"/>
                <w:w w:val="93"/>
              </w:rPr>
              <w:t>(Address of principal executive offices)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480" w:type="dxa"/>
            <w:vAlign w:val="bottom"/>
            <w:gridSpan w:val="5"/>
          </w:tcPr>
          <w:p>
            <w:pPr>
              <w:jc w:val="center"/>
              <w:ind w:left="339"/>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740" w:type="dxa"/>
            <w:vAlign w:val="bottom"/>
            <w:tcBorders>
              <w:left w:val="single" w:sz="8" w:color="auto"/>
            </w:tcBorders>
          </w:tcPr>
          <w:p>
            <w:pPr>
              <w:spacing w:after="0"/>
              <w:rPr>
                <w:sz w:val="13"/>
                <w:szCs w:val="13"/>
                <w:color w:val="auto"/>
              </w:rPr>
            </w:pPr>
          </w:p>
        </w:tc>
        <w:tc>
          <w:tcPr>
            <w:tcW w:w="2000" w:type="dxa"/>
            <w:vAlign w:val="bottom"/>
          </w:tcPr>
          <w:p>
            <w:pPr>
              <w:jc w:val="center"/>
              <w:spacing w:after="0" w:line="155" w:lineRule="exact"/>
              <w:rPr>
                <w:sz w:val="20"/>
                <w:szCs w:val="20"/>
                <w:color w:val="auto"/>
              </w:rPr>
            </w:pPr>
            <w:r>
              <w:rPr>
                <w:rFonts w:ascii="Arial" w:cs="Arial" w:eastAsia="Arial" w:hAnsi="Arial"/>
                <w:sz w:val="16"/>
                <w:szCs w:val="16"/>
                <w:color w:val="auto"/>
                <w:w w:val="91"/>
              </w:rPr>
              <w:t>Title of each class of securities</w:t>
            </w:r>
          </w:p>
        </w:tc>
        <w:tc>
          <w:tcPr>
            <w:tcW w:w="74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1200" w:type="dxa"/>
            <w:vAlign w:val="bottom"/>
          </w:tcPr>
          <w:p>
            <w:pPr>
              <w:jc w:val="center"/>
              <w:spacing w:after="0" w:line="155" w:lineRule="exact"/>
              <w:rPr>
                <w:sz w:val="20"/>
                <w:szCs w:val="20"/>
                <w:color w:val="auto"/>
              </w:rPr>
            </w:pPr>
            <w:r>
              <w:rPr>
                <w:rFonts w:ascii="Arial" w:cs="Arial" w:eastAsia="Arial" w:hAnsi="Arial"/>
                <w:sz w:val="16"/>
                <w:szCs w:val="16"/>
                <w:color w:val="auto"/>
                <w:w w:val="93"/>
              </w:rPr>
              <w:t>Trading symbol(s)</w:t>
            </w:r>
          </w:p>
        </w:tc>
        <w:tc>
          <w:tcPr>
            <w:tcW w:w="11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40" w:type="dxa"/>
            <w:vAlign w:val="bottom"/>
            <w:tcBorders>
              <w:right w:val="single" w:sz="8" w:color="auto"/>
            </w:tcBorders>
            <w:gridSpan w:val="3"/>
          </w:tcPr>
          <w:p>
            <w:pPr>
              <w:jc w:val="center"/>
              <w:ind w:right="560"/>
              <w:spacing w:after="0" w:line="155" w:lineRule="exact"/>
              <w:rPr>
                <w:sz w:val="20"/>
                <w:szCs w:val="20"/>
                <w:color w:val="auto"/>
              </w:rPr>
            </w:pPr>
            <w:r>
              <w:rPr>
                <w:rFonts w:ascii="Arial" w:cs="Arial" w:eastAsia="Arial" w:hAnsi="Arial"/>
                <w:sz w:val="16"/>
                <w:szCs w:val="16"/>
                <w:color w:val="auto"/>
                <w:w w:val="89"/>
              </w:rPr>
              <w:t>Name of each national exchange and</w:t>
            </w:r>
          </w:p>
        </w:tc>
        <w:tc>
          <w:tcPr>
            <w:tcW w:w="0" w:type="dxa"/>
            <w:vAlign w:val="bottom"/>
          </w:tcPr>
          <w:p>
            <w:pPr>
              <w:spacing w:after="0"/>
              <w:rPr>
                <w:sz w:val="1"/>
                <w:szCs w:val="1"/>
                <w:color w:val="auto"/>
              </w:rPr>
            </w:pPr>
          </w:p>
        </w:tc>
      </w:tr>
      <w:tr>
        <w:trPr>
          <w:trHeight w:val="20"/>
        </w:trPr>
        <w:tc>
          <w:tcPr>
            <w:tcW w:w="740" w:type="dxa"/>
            <w:vAlign w:val="bottom"/>
            <w:tcBorders>
              <w:left w:val="single" w:sz="8" w:color="auto"/>
            </w:tcBorders>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0" w:type="dxa"/>
            <w:vAlign w:val="bottom"/>
            <w:tcBorders>
              <w:left w:val="single" w:sz="8" w:color="auto"/>
            </w:tcBorders>
          </w:tcPr>
          <w:p>
            <w:pPr>
              <w:spacing w:after="0"/>
              <w:rPr>
                <w:sz w:val="15"/>
                <w:szCs w:val="15"/>
                <w:color w:val="auto"/>
              </w:rPr>
            </w:pPr>
          </w:p>
        </w:tc>
        <w:tc>
          <w:tcPr>
            <w:tcW w:w="200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180" w:type="dxa"/>
            <w:vAlign w:val="bottom"/>
            <w:tcBorders>
              <w:right w:val="single" w:sz="8" w:color="auto"/>
            </w:tcBorders>
            <w:gridSpan w:val="5"/>
          </w:tcPr>
          <w:p>
            <w:pPr>
              <w:jc w:val="center"/>
              <w:ind w:right="320"/>
              <w:spacing w:after="0" w:line="183" w:lineRule="exact"/>
              <w:rPr>
                <w:sz w:val="20"/>
                <w:szCs w:val="20"/>
                <w:color w:val="auto"/>
              </w:rPr>
            </w:pPr>
            <w:r>
              <w:rPr>
                <w:rFonts w:ascii="Arial" w:cs="Arial" w:eastAsia="Arial" w:hAnsi="Arial"/>
                <w:sz w:val="16"/>
                <w:szCs w:val="16"/>
                <w:color w:val="auto"/>
                <w:w w:val="92"/>
              </w:rPr>
              <w:t>principal U.S. market for the securities</w:t>
            </w:r>
          </w:p>
        </w:tc>
        <w:tc>
          <w:tcPr>
            <w:tcW w:w="0" w:type="dxa"/>
            <w:vAlign w:val="bottom"/>
          </w:tcPr>
          <w:p>
            <w:pPr>
              <w:spacing w:after="0"/>
              <w:rPr>
                <w:sz w:val="1"/>
                <w:szCs w:val="1"/>
                <w:color w:val="auto"/>
              </w:rPr>
            </w:pPr>
          </w:p>
        </w:tc>
      </w:tr>
      <w:tr>
        <w:trPr>
          <w:trHeight w:val="21"/>
        </w:trPr>
        <w:tc>
          <w:tcPr>
            <w:tcW w:w="740" w:type="dxa"/>
            <w:vAlign w:val="bottom"/>
            <w:tcBorders>
              <w:left w:val="single" w:sz="8" w:color="auto"/>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4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0"/>
              </w:rPr>
              <w:t>Class A common stock, par value $0.0005 per share</w:t>
            </w:r>
          </w:p>
        </w:tc>
        <w:tc>
          <w:tcPr>
            <w:tcW w:w="1120" w:type="dxa"/>
            <w:vAlign w:val="bottom"/>
          </w:tcPr>
          <w:p>
            <w:pPr>
              <w:spacing w:after="0"/>
              <w:rPr>
                <w:sz w:val="16"/>
                <w:szCs w:val="16"/>
                <w:color w:val="auto"/>
              </w:rPr>
            </w:pPr>
          </w:p>
        </w:tc>
        <w:tc>
          <w:tcPr>
            <w:tcW w:w="2340" w:type="dxa"/>
            <w:vAlign w:val="bottom"/>
            <w:tcBorders>
              <w:right w:val="single" w:sz="8" w:color="auto"/>
            </w:tcBorders>
            <w:gridSpan w:val="2"/>
          </w:tcPr>
          <w:p>
            <w:pPr>
              <w:jc w:val="center"/>
              <w:ind w:right="1140"/>
              <w:spacing w:after="0"/>
              <w:rPr>
                <w:sz w:val="20"/>
                <w:szCs w:val="20"/>
                <w:color w:val="auto"/>
              </w:rPr>
            </w:pPr>
            <w:r>
              <w:rPr>
                <w:rFonts w:ascii="Arial" w:cs="Arial" w:eastAsia="Arial" w:hAnsi="Arial"/>
                <w:sz w:val="16"/>
                <w:szCs w:val="16"/>
                <w:color w:val="auto"/>
                <w:w w:val="96"/>
              </w:rPr>
              <w:t>CRWD</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tcBorders>
              <w:right w:val="single" w:sz="8" w:color="auto"/>
            </w:tcBorders>
            <w:gridSpan w:val="3"/>
          </w:tcPr>
          <w:p>
            <w:pPr>
              <w:jc w:val="center"/>
              <w:ind w:right="560"/>
              <w:spacing w:after="0"/>
              <w:rPr>
                <w:sz w:val="20"/>
                <w:szCs w:val="20"/>
                <w:color w:val="auto"/>
              </w:rPr>
            </w:pPr>
            <w:r>
              <w:rPr>
                <w:rFonts w:ascii="Arial" w:cs="Arial" w:eastAsia="Arial" w:hAnsi="Arial"/>
                <w:sz w:val="16"/>
                <w:szCs w:val="16"/>
                <w:color w:val="auto"/>
                <w:w w:val="94"/>
              </w:rPr>
              <w:t>The Nasdaq Stock Market LLC</w:t>
            </w:r>
          </w:p>
        </w:tc>
        <w:tc>
          <w:tcPr>
            <w:tcW w:w="0" w:type="dxa"/>
            <w:vAlign w:val="bottom"/>
          </w:tcPr>
          <w:p>
            <w:pPr>
              <w:spacing w:after="0"/>
              <w:rPr>
                <w:sz w:val="1"/>
                <w:szCs w:val="1"/>
                <w:color w:val="auto"/>
              </w:rPr>
            </w:pPr>
          </w:p>
        </w:tc>
      </w:tr>
      <w:tr>
        <w:trPr>
          <w:trHeight w:val="209"/>
        </w:trPr>
        <w:tc>
          <w:tcPr>
            <w:tcW w:w="740" w:type="dxa"/>
            <w:vAlign w:val="bottom"/>
            <w:tcBorders>
              <w:left w:val="single" w:sz="8" w:color="auto"/>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gridSpan w:val="3"/>
          </w:tcPr>
          <w:p>
            <w:pPr>
              <w:jc w:val="center"/>
              <w:ind w:right="560"/>
              <w:spacing w:after="0"/>
              <w:rPr>
                <w:sz w:val="20"/>
                <w:szCs w:val="20"/>
                <w:color w:val="auto"/>
              </w:rPr>
            </w:pPr>
            <w:r>
              <w:rPr>
                <w:rFonts w:ascii="Arial" w:cs="Arial" w:eastAsia="Arial" w:hAnsi="Arial"/>
                <w:sz w:val="16"/>
                <w:szCs w:val="16"/>
                <w:color w:val="auto"/>
                <w:w w:val="92"/>
              </w:rPr>
              <w:t>(Nasdaq Global Select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120015</wp:posOffset>
            </wp:positionV>
            <wp:extent cx="16554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(888) 512-8906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85725</wp:posOffset>
            </wp:positionV>
            <wp:extent cx="16554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14" w:lineRule="exact"/>
        <w:rPr>
          <w:sz w:val="24"/>
          <w:szCs w:val="24"/>
          <w:color w:val="auto"/>
        </w:rPr>
      </w:pPr>
    </w:p>
    <w:p>
      <w:pPr>
        <w:ind w:right="160" w:firstLine="363"/>
        <w:spacing w:after="0" w:line="21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59" w:lineRule="exact"/>
        <w:rPr>
          <w:sz w:val="24"/>
          <w:szCs w:val="24"/>
          <w:color w:val="auto"/>
        </w:rPr>
      </w:pPr>
    </w:p>
    <w:p>
      <w:pPr>
        <w:jc w:val="both"/>
        <w:ind w:right="200" w:firstLine="363"/>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60" w:lineRule="exact"/>
        <w:rPr>
          <w:sz w:val="24"/>
          <w:szCs w:val="24"/>
          <w:color w:val="auto"/>
        </w:rPr>
      </w:pPr>
    </w:p>
    <w:p>
      <w:pPr>
        <w:ind w:right="60" w:firstLine="363"/>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580" w:type="dxa"/>
        <w:tblCellMar>
          <w:top w:w="0" w:type="dxa"/>
          <w:left w:w="0" w:type="dxa"/>
          <w:bottom w:w="0" w:type="dxa"/>
          <w:right w:w="0" w:type="dxa"/>
        </w:tblCellMar>
      </w:tblPr>
      <w:tr>
        <w:trPr>
          <w:trHeight w:val="214"/>
        </w:trPr>
        <w:tc>
          <w:tcPr>
            <w:tcW w:w="3440" w:type="dxa"/>
            <w:vAlign w:val="bottom"/>
          </w:tcPr>
          <w:p>
            <w:pPr>
              <w:jc w:val="center"/>
              <w:ind w:right="339"/>
              <w:spacing w:after="0"/>
              <w:rPr>
                <w:sz w:val="20"/>
                <w:szCs w:val="20"/>
                <w:color w:val="auto"/>
              </w:rPr>
            </w:pPr>
            <w:r>
              <w:rPr>
                <w:rFonts w:ascii="Arial" w:cs="Arial" w:eastAsia="Arial" w:hAnsi="Arial"/>
                <w:sz w:val="16"/>
                <w:szCs w:val="16"/>
                <w:color w:val="auto"/>
                <w:w w:val="93"/>
              </w:rPr>
              <w:t>Large Accelerated Filer</w:t>
            </w:r>
          </w:p>
        </w:tc>
        <w:tc>
          <w:tcPr>
            <w:tcW w:w="1520" w:type="dxa"/>
            <w:vAlign w:val="bottom"/>
          </w:tcPr>
          <w:p>
            <w:pPr>
              <w:jc w:val="center"/>
              <w:ind w:right="459"/>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560" w:type="dxa"/>
            <w:vAlign w:val="bottom"/>
          </w:tcPr>
          <w:p>
            <w:pPr>
              <w:jc w:val="center"/>
              <w:spacing w:after="0"/>
              <w:rPr>
                <w:sz w:val="20"/>
                <w:szCs w:val="20"/>
                <w:color w:val="auto"/>
              </w:rPr>
            </w:pPr>
            <w:r>
              <w:rPr>
                <w:rFonts w:ascii="Arial" w:cs="Arial" w:eastAsia="Arial" w:hAnsi="Arial"/>
                <w:sz w:val="16"/>
                <w:szCs w:val="16"/>
                <w:color w:val="auto"/>
                <w:w w:val="93"/>
              </w:rPr>
              <w:t>Accelerated Filer</w:t>
            </w:r>
          </w:p>
        </w:tc>
        <w:tc>
          <w:tcPr>
            <w:tcW w:w="1020" w:type="dxa"/>
            <w:vAlign w:val="bottom"/>
          </w:tcPr>
          <w:p>
            <w:pPr>
              <w:ind w:left="86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16"/>
        </w:trPr>
        <w:tc>
          <w:tcPr>
            <w:tcW w:w="3440" w:type="dxa"/>
            <w:vAlign w:val="bottom"/>
          </w:tcPr>
          <w:p>
            <w:pPr>
              <w:jc w:val="center"/>
              <w:ind w:right="319"/>
              <w:spacing w:after="0"/>
              <w:rPr>
                <w:sz w:val="20"/>
                <w:szCs w:val="20"/>
                <w:color w:val="auto"/>
              </w:rPr>
            </w:pPr>
            <w:r>
              <w:rPr>
                <w:rFonts w:ascii="Arial" w:cs="Arial" w:eastAsia="Arial" w:hAnsi="Arial"/>
                <w:sz w:val="16"/>
                <w:szCs w:val="16"/>
                <w:color w:val="auto"/>
                <w:w w:val="91"/>
              </w:rPr>
              <w:t>Non-accelerated Filer</w:t>
            </w:r>
          </w:p>
        </w:tc>
        <w:tc>
          <w:tcPr>
            <w:tcW w:w="1520" w:type="dxa"/>
            <w:vAlign w:val="bottom"/>
          </w:tcPr>
          <w:p>
            <w:pPr>
              <w:jc w:val="center"/>
              <w:ind w:right="439"/>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560" w:type="dxa"/>
            <w:vAlign w:val="bottom"/>
          </w:tcPr>
          <w:p>
            <w:pPr>
              <w:jc w:val="center"/>
              <w:spacing w:after="0"/>
              <w:rPr>
                <w:sz w:val="20"/>
                <w:szCs w:val="20"/>
                <w:color w:val="auto"/>
              </w:rPr>
            </w:pPr>
            <w:r>
              <w:rPr>
                <w:rFonts w:ascii="Arial" w:cs="Arial" w:eastAsia="Arial" w:hAnsi="Arial"/>
                <w:sz w:val="16"/>
                <w:szCs w:val="16"/>
                <w:color w:val="auto"/>
                <w:w w:val="92"/>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440" w:type="dxa"/>
            <w:vAlign w:val="bottom"/>
          </w:tcPr>
          <w:p>
            <w:pPr>
              <w:jc w:val="center"/>
              <w:ind w:right="339"/>
              <w:spacing w:after="0"/>
              <w:rPr>
                <w:sz w:val="20"/>
                <w:szCs w:val="20"/>
                <w:color w:val="auto"/>
              </w:rPr>
            </w:pPr>
            <w:r>
              <w:rPr>
                <w:rFonts w:ascii="Arial" w:cs="Arial" w:eastAsia="Arial" w:hAnsi="Arial"/>
                <w:sz w:val="16"/>
                <w:szCs w:val="16"/>
                <w:color w:val="auto"/>
                <w:w w:val="93"/>
              </w:rPr>
              <w:t>(Do not check if a smaller reporting company)</w:t>
            </w:r>
          </w:p>
        </w:tc>
        <w:tc>
          <w:tcPr>
            <w:tcW w:w="152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w w:val="92"/>
              </w:rPr>
              <w:t>Emerging growth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6" w:lineRule="exact"/>
        <w:rPr>
          <w:sz w:val="24"/>
          <w:szCs w:val="24"/>
          <w:color w:val="auto"/>
        </w:rPr>
      </w:pPr>
    </w:p>
    <w:p>
      <w:pPr>
        <w:ind w:right="40" w:firstLine="363"/>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left="360"/>
        <w:spacing w:after="0" w:line="215" w:lineRule="exact"/>
        <w:tabs>
          <w:tab w:leader="none" w:pos="81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Arial Unicode MS" w:cs="Arial Unicode MS" w:eastAsia="Arial Unicode MS" w:hAnsi="Arial Unicode MS"/>
          <w:sz w:val="16"/>
          <w:szCs w:val="16"/>
          <w:color w:val="auto"/>
        </w:rPr>
        <w:t xml:space="preserve">☐ </w:t>
      </w:r>
      <w:r>
        <w:rPr>
          <w:rFonts w:ascii="Arial" w:cs="Arial" w:eastAsia="Arial" w:hAnsi="Arial"/>
          <w:sz w:val="16"/>
          <w:szCs w:val="16"/>
          <w:color w:val="auto"/>
        </w:rPr>
        <w:t>No</w:t>
      </w:r>
      <w:r>
        <w:rPr>
          <w:rFonts w:ascii="Arial Unicode MS" w:cs="Arial Unicode MS" w:eastAsia="Arial Unicode MS" w:hAnsi="Arial Unicode MS"/>
          <w:sz w:val="16"/>
          <w:szCs w:val="16"/>
          <w:color w:val="auto"/>
        </w:rPr>
        <w:t xml:space="preserve">  ⌧</w:t>
      </w:r>
    </w:p>
    <w:p>
      <w:pPr>
        <w:spacing w:after="0" w:line="99" w:lineRule="exact"/>
        <w:rPr>
          <w:sz w:val="24"/>
          <w:szCs w:val="24"/>
          <w:color w:val="auto"/>
        </w:rPr>
      </w:pPr>
    </w:p>
    <w:p>
      <w:pPr>
        <w:ind w:right="420" w:firstLine="363"/>
        <w:spacing w:after="0" w:line="293" w:lineRule="auto"/>
        <w:rPr>
          <w:sz w:val="20"/>
          <w:szCs w:val="20"/>
          <w:color w:val="auto"/>
        </w:rPr>
      </w:pPr>
      <w:r>
        <w:rPr>
          <w:rFonts w:ascii="Arial" w:cs="Arial" w:eastAsia="Arial" w:hAnsi="Arial"/>
          <w:sz w:val="16"/>
          <w:szCs w:val="16"/>
          <w:color w:val="auto"/>
        </w:rPr>
        <w:t>As of August 31, 2019, the number of shares of the registrant’s Class A common stock outstanding was 20,700,000, and the number of shares of the registrant’s Class B common stock outstanding was 205,245,332.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424180</wp:posOffset>
            </wp:positionV>
            <wp:extent cx="6595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-20955</wp:posOffset>
            </wp:positionV>
            <wp:extent cx="65951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20955</wp:posOffset>
            </wp:positionV>
            <wp:extent cx="659511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380"/>
          </w:cols>
          <w:pgMar w:left="760" w:top="665" w:right="7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20" w:type="dxa"/>
            <w:vAlign w:val="bottom"/>
            <w:gridSpan w:val="17"/>
            <w:vMerge w:val="restart"/>
          </w:tcPr>
          <w:p>
            <w:pPr>
              <w:jc w:val="center"/>
              <w:ind w:right="2140"/>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PART I. FINANCIAL INFORMATION</w:t>
              </w:r>
            </w:hyperlink>
          </w:p>
        </w:tc>
        <w:tc>
          <w:tcPr>
            <w:tcW w:w="980" w:type="dxa"/>
            <w:vAlign w:val="bottom"/>
          </w:tcPr>
          <w:p>
            <w:pPr>
              <w:ind w:left="220"/>
              <w:spacing w:after="0"/>
              <w:rPr>
                <w:sz w:val="20"/>
                <w:szCs w:val="20"/>
                <w:color w:val="auto"/>
              </w:rPr>
            </w:pPr>
            <w:r>
              <w:rPr>
                <w:rFonts w:ascii="Arial" w:cs="Arial" w:eastAsia="Arial" w:hAnsi="Arial"/>
                <w:sz w:val="14"/>
                <w:szCs w:val="14"/>
                <w:color w:val="auto"/>
              </w:rPr>
              <w:t>Page No.</w:t>
            </w:r>
          </w:p>
        </w:tc>
        <w:tc>
          <w:tcPr>
            <w:tcW w:w="0" w:type="dxa"/>
            <w:vAlign w:val="bottom"/>
          </w:tcPr>
          <w:p>
            <w:pPr>
              <w:spacing w:after="0"/>
              <w:rPr>
                <w:sz w:val="1"/>
                <w:szCs w:val="1"/>
                <w:color w:val="auto"/>
              </w:rPr>
            </w:pPr>
          </w:p>
        </w:tc>
      </w:tr>
      <w:tr>
        <w:trPr>
          <w:trHeight w:val="174"/>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20" w:type="dxa"/>
            <w:vAlign w:val="bottom"/>
            <w:gridSpan w:val="17"/>
            <w:vMerge w:val="continue"/>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118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40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238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4760" w:type="dxa"/>
            <w:vAlign w:val="bottom"/>
            <w:tcBorders>
              <w:bottom w:val="single" w:sz="8" w:color="CCEEFF"/>
            </w:tcBorders>
            <w:gridSpan w:val="14"/>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140" w:type="dxa"/>
            <w:vAlign w:val="bottom"/>
            <w:gridSpan w:val="2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July 31, 2019 and January 31, 2019</w:t>
              </w:r>
            </w:hyperlink>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34"/>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7140" w:type="dxa"/>
            <w:vAlign w:val="bottom"/>
            <w:gridSpan w:val="27"/>
            <w:shd w:val="clear" w:color="auto" w:fill="CCEEFF"/>
          </w:tcPr>
          <w:p>
            <w:pPr>
              <w:spacing w:after="0" w:line="17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Operations for the Three and Six Months Ended July 31,</w:t>
              </w:r>
            </w:hyperlink>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60" w:type="dxa"/>
            <w:vAlign w:val="bottom"/>
            <w:tcBorders>
              <w:top w:val="single" w:sz="8" w:color="0000EE"/>
              <w:bottom w:val="single" w:sz="8" w:color="0000EE"/>
            </w:tcBorders>
            <w:gridSpan w:val="8"/>
            <w:shd w:val="clear" w:color="auto" w:fill="CCEEFF"/>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2019 and July 31, 2018</w:t>
              </w:r>
            </w:hyperlink>
          </w:p>
        </w:tc>
        <w:tc>
          <w:tcPr>
            <w:tcW w:w="5260" w:type="dxa"/>
            <w:vAlign w:val="bottom"/>
            <w:tcBorders>
              <w:top w:val="single" w:sz="8" w:color="0000EE"/>
              <w:bottom w:val="single" w:sz="8" w:color="CCEEFF"/>
            </w:tcBorders>
            <w:gridSpan w:val="17"/>
            <w:shd w:val="clear" w:color="auto" w:fill="CCEEFF"/>
          </w:tcPr>
          <w:p>
            <w:pPr>
              <w:spacing w:after="0"/>
              <w:rPr>
                <w:sz w:val="20"/>
                <w:szCs w:val="20"/>
                <w:color w:val="auto"/>
              </w:rPr>
            </w:pPr>
          </w:p>
        </w:tc>
        <w:tc>
          <w:tcPr>
            <w:tcW w:w="2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140" w:type="dxa"/>
            <w:vAlign w:val="bottom"/>
            <w:gridSpan w:val="27"/>
          </w:tcPr>
          <w:p>
            <w:pPr>
              <w:spacing w:after="0" w:line="17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Statements of Comprehensive Income for the Three and Six Months</w:t>
              </w:r>
            </w:hyperlink>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Ended July 31, 2019 and July 31, 2018</w:t>
              </w:r>
            </w:hyperlink>
          </w:p>
        </w:tc>
        <w:tc>
          <w:tcPr>
            <w:tcW w:w="400" w:type="dxa"/>
            <w:vAlign w:val="bottom"/>
            <w:gridSpan w:val="4"/>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34"/>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7140" w:type="dxa"/>
            <w:vAlign w:val="bottom"/>
            <w:gridSpan w:val="27"/>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Redeemable Convertible Preferred Stock and</w:t>
              </w:r>
            </w:hyperlink>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40" w:type="dxa"/>
            <w:vAlign w:val="bottom"/>
            <w:gridSpan w:val="2"/>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right w:val="single" w:sz="8" w:color="CCEEFF"/>
            </w:tcBorders>
            <w:shd w:val="clear" w:color="auto" w:fill="CCEEFF"/>
          </w:tcPr>
          <w:p>
            <w:pPr>
              <w:spacing w:after="0"/>
              <w:rPr>
                <w:sz w:val="17"/>
                <w:szCs w:val="17"/>
                <w:color w:val="auto"/>
              </w:rPr>
            </w:pPr>
          </w:p>
        </w:tc>
        <w:tc>
          <w:tcPr>
            <w:tcW w:w="6800" w:type="dxa"/>
            <w:vAlign w:val="bottom"/>
            <w:tcBorders>
              <w:bottom w:val="single" w:sz="8" w:color="0000EE"/>
            </w:tcBorders>
            <w:gridSpan w:val="24"/>
            <w:shd w:val="clear" w:color="auto" w:fill="CCEEFF"/>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Stockholders’ Equity (Deficit) for the Three and Six Months Ended July 31, 2019 and July 31,</w:t>
              </w:r>
            </w:hyperlink>
          </w:p>
        </w:tc>
        <w:tc>
          <w:tcPr>
            <w:tcW w:w="340" w:type="dxa"/>
            <w:vAlign w:val="bottom"/>
            <w:tcBorders>
              <w:bottom w:val="single" w:sz="8" w:color="CCEEFF"/>
            </w:tcBorders>
            <w:gridSpan w:val="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line="196"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2018</w:t>
              </w:r>
            </w:hyperlink>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34"/>
        </w:trPr>
        <w:tc>
          <w:tcPr>
            <w:tcW w:w="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940" w:type="dxa"/>
            <w:vAlign w:val="bottom"/>
            <w:tcBorders>
              <w:bottom w:val="single" w:sz="8" w:color="0000EE"/>
            </w:tcBorders>
            <w:gridSpan w:val="26"/>
          </w:tcPr>
          <w:p>
            <w:pPr>
              <w:spacing w:after="0" w:line="17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Condensed Consolidated Statements of Cash Flows for the Six Months Ended July 31, 2019 and</w:t>
              </w:r>
            </w:hyperlink>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40" w:type="dxa"/>
            <w:vAlign w:val="bottom"/>
            <w:gridSpan w:val="2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July 31, 2018</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34"/>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7140" w:type="dxa"/>
            <w:vAlign w:val="bottom"/>
            <w:gridSpan w:val="27"/>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34"/>
        </w:trPr>
        <w:tc>
          <w:tcPr>
            <w:tcW w:w="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gridSpan w:val="3"/>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2.</w:t>
              </w:r>
            </w:hyperlink>
          </w:p>
        </w:tc>
        <w:tc>
          <w:tcPr>
            <w:tcW w:w="7140" w:type="dxa"/>
            <w:vAlign w:val="bottom"/>
            <w:gridSpan w:val="27"/>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34"/>
        </w:trPr>
        <w:tc>
          <w:tcPr>
            <w:tcW w:w="5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3.</w:t>
              </w:r>
            </w:hyperlink>
          </w:p>
        </w:tc>
        <w:tc>
          <w:tcPr>
            <w:tcW w:w="400" w:type="dxa"/>
            <w:vAlign w:val="bottom"/>
            <w:tcBorders>
              <w:right w:val="single" w:sz="8" w:color="CCEEFF"/>
            </w:tcBorders>
            <w:gridSpan w:val="2"/>
            <w:shd w:val="clear" w:color="auto" w:fill="CCEEFF"/>
          </w:tcPr>
          <w:p>
            <w:pPr>
              <w:spacing w:after="0"/>
              <w:rPr>
                <w:sz w:val="18"/>
                <w:szCs w:val="18"/>
                <w:color w:val="auto"/>
              </w:rPr>
            </w:pPr>
          </w:p>
        </w:tc>
        <w:tc>
          <w:tcPr>
            <w:tcW w:w="7140" w:type="dxa"/>
            <w:vAlign w:val="bottom"/>
            <w:gridSpan w:val="27"/>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Quantitative and Qualitative Disclosures about Market Risk</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76"/>
        </w:trPr>
        <w:tc>
          <w:tcPr>
            <w:tcW w:w="520" w:type="dxa"/>
            <w:vAlign w:val="bottom"/>
            <w:tcBorders>
              <w:top w:val="single" w:sz="8" w:color="0000EE"/>
            </w:tcBorders>
          </w:tcPr>
          <w:p>
            <w:pPr>
              <w:spacing w:after="0" w:line="17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4.</w:t>
              </w:r>
            </w:hyperlink>
          </w:p>
        </w:tc>
        <w:tc>
          <w:tcPr>
            <w:tcW w:w="400" w:type="dxa"/>
            <w:vAlign w:val="bottom"/>
            <w:tcBorders>
              <w:top w:val="single" w:sz="8" w:color="CCEEFF"/>
            </w:tcBorders>
            <w:gridSpan w:val="2"/>
          </w:tcPr>
          <w:p>
            <w:pPr>
              <w:spacing w:after="0"/>
              <w:rPr>
                <w:sz w:val="15"/>
                <w:szCs w:val="15"/>
                <w:color w:val="auto"/>
              </w:rPr>
            </w:pPr>
          </w:p>
        </w:tc>
        <w:tc>
          <w:tcPr>
            <w:tcW w:w="430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2840" w:type="dxa"/>
            <w:vAlign w:val="bottom"/>
            <w:tcBorders>
              <w:top w:val="single" w:sz="8" w:color="CCEEFF"/>
            </w:tcBorders>
            <w:gridSpan w:val="11"/>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4"/>
        </w:trPr>
        <w:tc>
          <w:tcPr>
            <w:tcW w:w="5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20" w:type="dxa"/>
            <w:vAlign w:val="bottom"/>
            <w:gridSpan w:val="17"/>
          </w:tcPr>
          <w:p>
            <w:pPr>
              <w:jc w:val="center"/>
              <w:ind w:right="2140"/>
              <w:spacing w:after="0" w:line="176" w:lineRule="exact"/>
              <w:rPr>
                <w:rFonts w:ascii="Arial" w:cs="Arial" w:eastAsia="Arial" w:hAnsi="Arial"/>
                <w:sz w:val="18"/>
                <w:szCs w:val="18"/>
                <w:color w:val="0000EE"/>
                <w:w w:val="95"/>
              </w:rPr>
            </w:pPr>
            <w:hyperlink w:anchor="page67">
              <w:r>
                <w:rPr>
                  <w:rFonts w:ascii="Arial" w:cs="Arial" w:eastAsia="Arial" w:hAnsi="Arial"/>
                  <w:sz w:val="18"/>
                  <w:szCs w:val="18"/>
                  <w:color w:val="0000EE"/>
                  <w:w w:val="95"/>
                </w:rPr>
                <w:t>PART II. OTHER INFORMATION</w:t>
              </w:r>
            </w:hyperlink>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20" w:type="dxa"/>
            <w:vAlign w:val="bottom"/>
            <w:gridSpan w:val="3"/>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1.</w:t>
              </w:r>
            </w:hyperlink>
          </w:p>
        </w:tc>
        <w:tc>
          <w:tcPr>
            <w:tcW w:w="7140" w:type="dxa"/>
            <w:vAlign w:val="bottom"/>
            <w:gridSpan w:val="27"/>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Legal Proceedings</w:t>
              </w:r>
            </w:hyperlink>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34"/>
        </w:trPr>
        <w:tc>
          <w:tcPr>
            <w:tcW w:w="5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Borders>
              <w:right w:val="single" w:sz="8" w:color="CCEEFF"/>
            </w:tcBorders>
            <w:gridSpan w:val="3"/>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1A.</w:t>
              </w:r>
            </w:hyperlink>
          </w:p>
        </w:tc>
        <w:tc>
          <w:tcPr>
            <w:tcW w:w="7140" w:type="dxa"/>
            <w:vAlign w:val="bottom"/>
            <w:gridSpan w:val="27"/>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Risk Factors</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34"/>
        </w:trPr>
        <w:tc>
          <w:tcPr>
            <w:tcW w:w="5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40" w:type="dxa"/>
            <w:vAlign w:val="bottom"/>
            <w:gridSpan w:val="2"/>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Item 2.</w:t>
              </w:r>
            </w:hyperlink>
          </w:p>
        </w:tc>
        <w:tc>
          <w:tcPr>
            <w:tcW w:w="280" w:type="dxa"/>
            <w:vAlign w:val="bottom"/>
          </w:tcPr>
          <w:p>
            <w:pPr>
              <w:spacing w:after="0"/>
              <w:rPr>
                <w:sz w:val="15"/>
                <w:szCs w:val="15"/>
                <w:color w:val="auto"/>
              </w:rPr>
            </w:pPr>
          </w:p>
        </w:tc>
        <w:tc>
          <w:tcPr>
            <w:tcW w:w="7140" w:type="dxa"/>
            <w:vAlign w:val="bottom"/>
            <w:gridSpan w:val="27"/>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Unregistered Shares of Equity Securities and Use of Proceeds</w:t>
              </w:r>
            </w:hyperlink>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34"/>
        </w:trPr>
        <w:tc>
          <w:tcPr>
            <w:tcW w:w="5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Item 3.</w:t>
              </w:r>
            </w:hyperlink>
          </w:p>
        </w:tc>
        <w:tc>
          <w:tcPr>
            <w:tcW w:w="40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23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Defaults Upon Senior Securities</w:t>
              </w:r>
            </w:hyperlink>
          </w:p>
        </w:tc>
        <w:tc>
          <w:tcPr>
            <w:tcW w:w="4820" w:type="dxa"/>
            <w:vAlign w:val="bottom"/>
            <w:tcBorders>
              <w:bottom w:val="single" w:sz="8" w:color="CCEEFF"/>
            </w:tcBorders>
            <w:gridSpan w:val="15"/>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101</w:t>
            </w:r>
          </w:p>
        </w:tc>
        <w:tc>
          <w:tcPr>
            <w:tcW w:w="0" w:type="dxa"/>
            <w:vAlign w:val="bottom"/>
          </w:tcPr>
          <w:p>
            <w:pPr>
              <w:spacing w:after="0"/>
              <w:rPr>
                <w:sz w:val="1"/>
                <w:szCs w:val="1"/>
                <w:color w:val="auto"/>
              </w:rPr>
            </w:pPr>
          </w:p>
        </w:tc>
      </w:tr>
      <w:tr>
        <w:trPr>
          <w:trHeight w:val="176"/>
        </w:trPr>
        <w:tc>
          <w:tcPr>
            <w:tcW w:w="920" w:type="dxa"/>
            <w:vAlign w:val="bottom"/>
            <w:gridSpan w:val="3"/>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Item 4.</w:t>
              </w:r>
            </w:hyperlink>
          </w:p>
        </w:tc>
        <w:tc>
          <w:tcPr>
            <w:tcW w:w="7140" w:type="dxa"/>
            <w:vAlign w:val="bottom"/>
            <w:gridSpan w:val="27"/>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Mine Safety Disclosures</w:t>
              </w:r>
            </w:hyperlink>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93"/>
              </w:rPr>
              <w:t>101</w:t>
            </w:r>
          </w:p>
        </w:tc>
        <w:tc>
          <w:tcPr>
            <w:tcW w:w="0" w:type="dxa"/>
            <w:vAlign w:val="bottom"/>
          </w:tcPr>
          <w:p>
            <w:pPr>
              <w:spacing w:after="0"/>
              <w:rPr>
                <w:sz w:val="1"/>
                <w:szCs w:val="1"/>
                <w:color w:val="auto"/>
              </w:rPr>
            </w:pPr>
          </w:p>
        </w:tc>
      </w:tr>
      <w:tr>
        <w:trPr>
          <w:trHeight w:val="34"/>
        </w:trPr>
        <w:tc>
          <w:tcPr>
            <w:tcW w:w="5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Item 5.</w:t>
              </w:r>
            </w:hyperlink>
          </w:p>
        </w:tc>
        <w:tc>
          <w:tcPr>
            <w:tcW w:w="400" w:type="dxa"/>
            <w:vAlign w:val="bottom"/>
            <w:tcBorders>
              <w:right w:val="single" w:sz="8" w:color="CCEEFF"/>
            </w:tcBorders>
            <w:gridSpan w:val="2"/>
            <w:shd w:val="clear" w:color="auto" w:fill="CCEEFF"/>
          </w:tcPr>
          <w:p>
            <w:pPr>
              <w:spacing w:after="0"/>
              <w:rPr>
                <w:sz w:val="18"/>
                <w:szCs w:val="18"/>
                <w:color w:val="auto"/>
              </w:rPr>
            </w:pPr>
          </w:p>
        </w:tc>
        <w:tc>
          <w:tcPr>
            <w:tcW w:w="7140" w:type="dxa"/>
            <w:vAlign w:val="bottom"/>
            <w:gridSpan w:val="27"/>
            <w:shd w:val="clear" w:color="auto" w:fill="CCEEFF"/>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Other Information</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101</w:t>
            </w:r>
          </w:p>
        </w:tc>
        <w:tc>
          <w:tcPr>
            <w:tcW w:w="0" w:type="dxa"/>
            <w:vAlign w:val="bottom"/>
          </w:tcPr>
          <w:p>
            <w:pPr>
              <w:spacing w:after="0"/>
              <w:rPr>
                <w:sz w:val="1"/>
                <w:szCs w:val="1"/>
                <w:color w:val="auto"/>
              </w:rPr>
            </w:pPr>
          </w:p>
        </w:tc>
      </w:tr>
      <w:tr>
        <w:trPr>
          <w:trHeight w:val="176"/>
        </w:trPr>
        <w:tc>
          <w:tcPr>
            <w:tcW w:w="520" w:type="dxa"/>
            <w:vAlign w:val="bottom"/>
            <w:tcBorders>
              <w:top w:val="single" w:sz="8" w:color="0000EE"/>
            </w:tcBorders>
          </w:tcPr>
          <w:p>
            <w:pPr>
              <w:spacing w:after="0" w:line="17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Item 6.</w:t>
              </w:r>
            </w:hyperlink>
          </w:p>
        </w:tc>
        <w:tc>
          <w:tcPr>
            <w:tcW w:w="400" w:type="dxa"/>
            <w:vAlign w:val="bottom"/>
            <w:tcBorders>
              <w:top w:val="single" w:sz="8" w:color="CCEEFF"/>
            </w:tcBorders>
            <w:gridSpan w:val="2"/>
          </w:tcPr>
          <w:p>
            <w:pPr>
              <w:spacing w:after="0"/>
              <w:rPr>
                <w:sz w:val="15"/>
                <w:szCs w:val="15"/>
                <w:color w:val="auto"/>
              </w:rPr>
            </w:pPr>
          </w:p>
        </w:tc>
        <w:tc>
          <w:tcPr>
            <w:tcW w:w="130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Exhibits</w:t>
              </w:r>
            </w:hyperlink>
          </w:p>
        </w:tc>
        <w:tc>
          <w:tcPr>
            <w:tcW w:w="5840" w:type="dxa"/>
            <w:vAlign w:val="bottom"/>
            <w:tcBorders>
              <w:top w:val="single" w:sz="8" w:color="CCEEFF"/>
            </w:tcBorders>
            <w:gridSpan w:val="21"/>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102</w:t>
            </w:r>
          </w:p>
        </w:tc>
        <w:tc>
          <w:tcPr>
            <w:tcW w:w="0" w:type="dxa"/>
            <w:vAlign w:val="bottom"/>
          </w:tcPr>
          <w:p>
            <w:pPr>
              <w:spacing w:after="0"/>
              <w:rPr>
                <w:sz w:val="1"/>
                <w:szCs w:val="1"/>
                <w:color w:val="auto"/>
              </w:rPr>
            </w:pPr>
          </w:p>
        </w:tc>
      </w:tr>
      <w:tr>
        <w:trPr>
          <w:trHeight w:val="34"/>
        </w:trPr>
        <w:tc>
          <w:tcPr>
            <w:tcW w:w="5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7140" w:type="dxa"/>
            <w:vAlign w:val="bottom"/>
            <w:gridSpan w:val="27"/>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Signatures</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103</w:t>
            </w:r>
          </w:p>
        </w:tc>
        <w:tc>
          <w:tcPr>
            <w:tcW w:w="0" w:type="dxa"/>
            <w:vAlign w:val="bottom"/>
          </w:tcPr>
          <w:p>
            <w:pPr>
              <w:spacing w:after="0"/>
              <w:rPr>
                <w:sz w:val="1"/>
                <w:szCs w:val="1"/>
                <w:color w:val="auto"/>
              </w:rPr>
            </w:pPr>
          </w:p>
        </w:tc>
      </w:tr>
      <w:tr>
        <w:trPr>
          <w:trHeight w:val="34"/>
        </w:trPr>
        <w:tc>
          <w:tcPr>
            <w:tcW w:w="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19" w:firstLine="648"/>
        <w:spacing w:after="0" w:line="293"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225" w:lineRule="exact"/>
        <w:rPr>
          <w:sz w:val="20"/>
          <w:szCs w:val="20"/>
          <w:color w:val="auto"/>
        </w:rPr>
      </w:pPr>
    </w:p>
    <w:p>
      <w:pPr>
        <w:ind w:left="1340" w:right="79" w:hanging="331"/>
        <w:spacing w:after="0" w:line="253" w:lineRule="auto"/>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90"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market acceptance of our cloud platform;</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ability to maintain the security and availability of our cloud platform;</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ability to maintain and expand our customer base, including by attracting new customers;</w:t>
      </w:r>
    </w:p>
    <w:p>
      <w:pPr>
        <w:spacing w:after="0" w:line="209" w:lineRule="exact"/>
        <w:rPr>
          <w:rFonts w:ascii="Courier New" w:cs="Courier New" w:eastAsia="Courier New" w:hAnsi="Courier New"/>
          <w:sz w:val="18"/>
          <w:szCs w:val="18"/>
          <w:color w:val="auto"/>
        </w:rPr>
      </w:pPr>
    </w:p>
    <w:p>
      <w:pPr>
        <w:ind w:left="1340" w:right="119" w:hanging="331"/>
        <w:spacing w:after="0" w:line="259" w:lineRule="auto"/>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ability to develop new solutions, or enhancements to our existing solutions, and bring them to market in a timely manner;</w:t>
      </w:r>
    </w:p>
    <w:p>
      <w:pPr>
        <w:spacing w:after="0" w:line="184"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6"/>
          <w:szCs w:val="16"/>
          <w:color w:val="auto"/>
        </w:rPr>
      </w:pPr>
      <w:r>
        <w:rPr>
          <w:rFonts w:ascii="Arial" w:cs="Arial" w:eastAsia="Arial" w:hAnsi="Arial"/>
          <w:sz w:val="16"/>
          <w:szCs w:val="16"/>
          <w:color w:val="auto"/>
        </w:rPr>
        <w:t>anticipated trends, growth rates and challenges in our business and in the markets in which we operate;</w:t>
      </w:r>
    </w:p>
    <w:p>
      <w:pPr>
        <w:spacing w:after="0" w:line="234" w:lineRule="exact"/>
        <w:rPr>
          <w:rFonts w:ascii="Courier New" w:cs="Courier New" w:eastAsia="Courier New" w:hAnsi="Courier New"/>
          <w:sz w:val="16"/>
          <w:szCs w:val="16"/>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business plan and our ability to effectively manage our growth and associated investments;</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beliefs and objectives for future operations;</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relationships with third parties, including channel partners and technology alliance partners;</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ability to maintain, protect and enhance our intellectual property rights;</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ability to successfully defend litigation brought against us;</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sufficiency of cash to meet cash needs for at least the next 12 months;</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ability to expand internationally;</w:t>
      </w:r>
    </w:p>
    <w:p>
      <w:pPr>
        <w:spacing w:after="0" w:line="209" w:lineRule="exact"/>
        <w:rPr>
          <w:rFonts w:ascii="Courier New" w:cs="Courier New" w:eastAsia="Courier New" w:hAnsi="Courier New"/>
          <w:sz w:val="18"/>
          <w:szCs w:val="18"/>
          <w:color w:val="auto"/>
        </w:rPr>
      </w:pPr>
    </w:p>
    <w:p>
      <w:pPr>
        <w:ind w:left="1340" w:right="139" w:hanging="331"/>
        <w:spacing w:after="0" w:line="259" w:lineRule="auto"/>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ability to comply with laws and regulations that currently apply or become applicable to our business both in the United States and internationally;</w:t>
      </w:r>
    </w:p>
    <w:p>
      <w:pPr>
        <w:spacing w:after="0" w:line="184"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ability to implement, maintain, and improve our internal control over financial reporting;</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the attraction and retention of qualified employees and key personnel; and</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260" w:hanging="331"/>
        <w:spacing w:after="0" w:line="259" w:lineRule="auto"/>
        <w:tabs>
          <w:tab w:leader="none" w:pos="134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the expected date of the expiration of the lock-up agreements entered into in connection with our initial public offering.</w:t>
      </w:r>
    </w:p>
    <w:p>
      <w:pPr>
        <w:spacing w:after="0" w:line="1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occurs,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CrowdStrike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data)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July 31,</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3"/>
              </w:rPr>
              <w:t>January 31,</w:t>
            </w:r>
          </w:p>
        </w:tc>
      </w:tr>
      <w:tr>
        <w:trPr>
          <w:trHeight w:val="142"/>
        </w:trPr>
        <w:tc>
          <w:tcPr>
            <w:tcW w:w="20" w:type="dxa"/>
            <w:vAlign w:val="bottom"/>
          </w:tcPr>
          <w:p>
            <w:pPr>
              <w:spacing w:after="0"/>
              <w:rPr>
                <w:sz w:val="12"/>
                <w:szCs w:val="12"/>
                <w:color w:val="auto"/>
              </w:rPr>
            </w:pPr>
          </w:p>
        </w:tc>
        <w:tc>
          <w:tcPr>
            <w:tcW w:w="67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20" w:type="dxa"/>
            <w:vAlign w:val="bottom"/>
          </w:tcPr>
          <w:p>
            <w:pPr>
              <w:spacing w:after="0"/>
              <w:rPr>
                <w:sz w:val="12"/>
                <w:szCs w:val="12"/>
                <w:color w:val="auto"/>
              </w:rPr>
            </w:pPr>
          </w:p>
        </w:tc>
        <w:tc>
          <w:tcPr>
            <w:tcW w:w="67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w:t>
            </w:r>
          </w:p>
        </w:tc>
        <w:tc>
          <w:tcPr>
            <w:tcW w:w="3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732,808</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88,408</w:t>
            </w:r>
          </w:p>
        </w:tc>
      </w:tr>
      <w:tr>
        <w:trPr>
          <w:trHeight w:val="149"/>
        </w:trPr>
        <w:tc>
          <w:tcPr>
            <w:tcW w:w="20" w:type="dxa"/>
            <w:vAlign w:val="bottom"/>
          </w:tcPr>
          <w:p>
            <w:pPr>
              <w:spacing w:after="0"/>
              <w:rPr>
                <w:sz w:val="12"/>
                <w:szCs w:val="12"/>
                <w:color w:val="auto"/>
              </w:rPr>
            </w:pPr>
          </w:p>
        </w:tc>
        <w:tc>
          <w:tcPr>
            <w:tcW w:w="6780" w:type="dxa"/>
            <w:vAlign w:val="bottom"/>
          </w:tcPr>
          <w:p>
            <w:pPr>
              <w:ind w:left="100"/>
              <w:spacing w:after="0" w:line="149" w:lineRule="exact"/>
              <w:rPr>
                <w:sz w:val="20"/>
                <w:szCs w:val="20"/>
                <w:color w:val="auto"/>
              </w:rPr>
            </w:pPr>
            <w:r>
              <w:rPr>
                <w:rFonts w:ascii="Arial" w:cs="Arial" w:eastAsia="Arial" w:hAnsi="Arial"/>
                <w:sz w:val="14"/>
                <w:szCs w:val="14"/>
                <w:color w:val="auto"/>
              </w:rPr>
              <w:t>Marketable securities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94,003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103,247</w:t>
            </w:r>
          </w:p>
        </w:tc>
      </w:tr>
      <w:tr>
        <w:trPr>
          <w:trHeight w:val="130"/>
        </w:trPr>
        <w:tc>
          <w:tcPr>
            <w:tcW w:w="20" w:type="dxa"/>
            <w:vAlign w:val="bottom"/>
          </w:tcPr>
          <w:p>
            <w:pPr>
              <w:spacing w:after="0"/>
              <w:rPr>
                <w:sz w:val="11"/>
                <w:szCs w:val="11"/>
                <w:color w:val="auto"/>
              </w:rPr>
            </w:pPr>
          </w:p>
        </w:tc>
        <w:tc>
          <w:tcPr>
            <w:tcW w:w="67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Accounts receivable, net of allowance for doubtful accounts of $1.0 million as of July 31, 2019 and</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January 31, 2019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115,256</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92,476</w:t>
            </w:r>
          </w:p>
        </w:tc>
      </w:tr>
      <w:tr>
        <w:trPr>
          <w:trHeight w:val="149"/>
        </w:trPr>
        <w:tc>
          <w:tcPr>
            <w:tcW w:w="20" w:type="dxa"/>
            <w:vAlign w:val="bottom"/>
          </w:tcPr>
          <w:p>
            <w:pPr>
              <w:spacing w:after="0"/>
              <w:rPr>
                <w:sz w:val="12"/>
                <w:szCs w:val="12"/>
                <w:color w:val="auto"/>
              </w:rPr>
            </w:pPr>
          </w:p>
        </w:tc>
        <w:tc>
          <w:tcPr>
            <w:tcW w:w="6780" w:type="dxa"/>
            <w:vAlign w:val="bottom"/>
          </w:tcPr>
          <w:p>
            <w:pPr>
              <w:ind w:left="100"/>
              <w:spacing w:after="0" w:line="149" w:lineRule="exact"/>
              <w:rPr>
                <w:sz w:val="20"/>
                <w:szCs w:val="20"/>
                <w:color w:val="auto"/>
              </w:rPr>
            </w:pPr>
            <w:r>
              <w:rPr>
                <w:rFonts w:ascii="Arial" w:cs="Arial" w:eastAsia="Arial" w:hAnsi="Arial"/>
                <w:sz w:val="14"/>
                <w:szCs w:val="14"/>
                <w:color w:val="auto"/>
              </w:rPr>
              <w:t>Deferred contract acquisition costs, current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34,017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28,847</w:t>
            </w: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29,348</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18,410</w:t>
            </w:r>
          </w:p>
        </w:tc>
      </w:tr>
      <w:tr>
        <w:trPr>
          <w:trHeight w:val="142"/>
        </w:trPr>
        <w:tc>
          <w:tcPr>
            <w:tcW w:w="20" w:type="dxa"/>
            <w:vAlign w:val="bottom"/>
          </w:tcPr>
          <w:p>
            <w:pPr>
              <w:spacing w:after="0"/>
              <w:rPr>
                <w:sz w:val="12"/>
                <w:szCs w:val="12"/>
                <w:color w:val="auto"/>
              </w:rPr>
            </w:pPr>
          </w:p>
        </w:tc>
        <w:tc>
          <w:tcPr>
            <w:tcW w:w="6780" w:type="dxa"/>
            <w:vAlign w:val="bottom"/>
          </w:tcPr>
          <w:p>
            <w:pPr>
              <w:ind w:left="200"/>
              <w:spacing w:after="0" w:line="142" w:lineRule="exact"/>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1,005,432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331,388</w:t>
            </w: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107,989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73,735</w:t>
            </w: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Deferred contract acquisition costs, noncurrent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41,766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9,918</w:t>
            </w: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7,947</w:t>
            </w: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738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1,048</w:t>
            </w: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7,881</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9,183</w:t>
            </w:r>
          </w:p>
        </w:tc>
      </w:tr>
      <w:tr>
        <w:trPr>
          <w:trHeight w:val="182"/>
        </w:trPr>
        <w:tc>
          <w:tcPr>
            <w:tcW w:w="20" w:type="dxa"/>
            <w:vAlign w:val="bottom"/>
          </w:tcPr>
          <w:p>
            <w:pPr>
              <w:spacing w:after="0"/>
              <w:rPr>
                <w:sz w:val="15"/>
                <w:szCs w:val="15"/>
                <w:color w:val="auto"/>
              </w:rPr>
            </w:pPr>
          </w:p>
        </w:tc>
        <w:tc>
          <w:tcPr>
            <w:tcW w:w="678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1,171,586</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433,219</w:t>
            </w:r>
          </w:p>
        </w:tc>
      </w:tr>
      <w:tr>
        <w:trPr>
          <w:trHeight w:val="129"/>
        </w:trPr>
        <w:tc>
          <w:tcPr>
            <w:tcW w:w="20" w:type="dxa"/>
            <w:vAlign w:val="bottom"/>
          </w:tcPr>
          <w:p>
            <w:pPr>
              <w:spacing w:after="0"/>
              <w:rPr>
                <w:sz w:val="11"/>
                <w:szCs w:val="11"/>
                <w:color w:val="auto"/>
              </w:rPr>
            </w:pPr>
          </w:p>
        </w:tc>
        <w:tc>
          <w:tcPr>
            <w:tcW w:w="67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Liabilities, Redeemable Convertible Preferred Stock, and Stockholders’ Equity (Deficit)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3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1,126</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6,855</w:t>
            </w:r>
          </w:p>
        </w:tc>
      </w:tr>
      <w:tr>
        <w:trPr>
          <w:trHeight w:val="149"/>
        </w:trPr>
        <w:tc>
          <w:tcPr>
            <w:tcW w:w="20" w:type="dxa"/>
            <w:vAlign w:val="bottom"/>
          </w:tcPr>
          <w:p>
            <w:pPr>
              <w:spacing w:after="0"/>
              <w:rPr>
                <w:sz w:val="12"/>
                <w:szCs w:val="12"/>
                <w:color w:val="auto"/>
              </w:rPr>
            </w:pPr>
          </w:p>
        </w:tc>
        <w:tc>
          <w:tcPr>
            <w:tcW w:w="6780" w:type="dxa"/>
            <w:vAlign w:val="bottom"/>
          </w:tcPr>
          <w:p>
            <w:pPr>
              <w:ind w:left="100"/>
              <w:spacing w:after="0" w:line="149" w:lineRule="exact"/>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32,568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32,541</w:t>
            </w: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Accrued payroll and benefits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20,057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19,284</w:t>
            </w:r>
          </w:p>
        </w:tc>
      </w:tr>
      <w:tr>
        <w:trPr>
          <w:trHeight w:val="149"/>
        </w:trPr>
        <w:tc>
          <w:tcPr>
            <w:tcW w:w="20" w:type="dxa"/>
            <w:vAlign w:val="bottom"/>
          </w:tcPr>
          <w:p>
            <w:pPr>
              <w:spacing w:after="0"/>
              <w:rPr>
                <w:sz w:val="12"/>
                <w:szCs w:val="12"/>
                <w:color w:val="auto"/>
              </w:rPr>
            </w:pPr>
          </w:p>
        </w:tc>
        <w:tc>
          <w:tcPr>
            <w:tcW w:w="6780" w:type="dxa"/>
            <w:vAlign w:val="bottom"/>
          </w:tcPr>
          <w:p>
            <w:pPr>
              <w:ind w:left="10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279,951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218,700</w:t>
            </w: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current liabilities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8,079</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4,040</w:t>
            </w:r>
          </w:p>
        </w:tc>
      </w:tr>
      <w:tr>
        <w:trPr>
          <w:trHeight w:val="142"/>
        </w:trPr>
        <w:tc>
          <w:tcPr>
            <w:tcW w:w="20" w:type="dxa"/>
            <w:vAlign w:val="bottom"/>
          </w:tcPr>
          <w:p>
            <w:pPr>
              <w:spacing w:after="0"/>
              <w:rPr>
                <w:sz w:val="12"/>
                <w:szCs w:val="12"/>
                <w:color w:val="auto"/>
              </w:rPr>
            </w:pPr>
          </w:p>
        </w:tc>
        <w:tc>
          <w:tcPr>
            <w:tcW w:w="6780" w:type="dxa"/>
            <w:vAlign w:val="bottom"/>
          </w:tcPr>
          <w:p>
            <w:pPr>
              <w:ind w:left="200"/>
              <w:spacing w:after="0" w:line="142" w:lineRule="exact"/>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341,781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281,420</w:t>
            </w: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revenue, noncurrent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89,811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71,367</w:t>
            </w:r>
          </w:p>
        </w:tc>
      </w:tr>
      <w:tr>
        <w:trPr>
          <w:trHeight w:val="149"/>
        </w:trPr>
        <w:tc>
          <w:tcPr>
            <w:tcW w:w="20" w:type="dxa"/>
            <w:vAlign w:val="bottom"/>
          </w:tcPr>
          <w:p>
            <w:pPr>
              <w:spacing w:after="0"/>
              <w:rPr>
                <w:sz w:val="12"/>
                <w:szCs w:val="12"/>
                <w:color w:val="auto"/>
              </w:rPr>
            </w:pPr>
          </w:p>
        </w:tc>
        <w:tc>
          <w:tcPr>
            <w:tcW w:w="67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liabilities, noncurrent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11,897</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10,313</w:t>
            </w:r>
          </w:p>
        </w:tc>
      </w:tr>
      <w:tr>
        <w:trPr>
          <w:trHeight w:val="142"/>
        </w:trPr>
        <w:tc>
          <w:tcPr>
            <w:tcW w:w="20" w:type="dxa"/>
            <w:vAlign w:val="bottom"/>
          </w:tcPr>
          <w:p>
            <w:pPr>
              <w:spacing w:after="0"/>
              <w:rPr>
                <w:sz w:val="12"/>
                <w:szCs w:val="12"/>
                <w:color w:val="auto"/>
              </w:rPr>
            </w:pPr>
          </w:p>
        </w:tc>
        <w:tc>
          <w:tcPr>
            <w:tcW w:w="678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443,489</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363,100</w:t>
            </w:r>
          </w:p>
        </w:tc>
      </w:tr>
      <w:tr>
        <w:trPr>
          <w:trHeight w:val="142"/>
        </w:trPr>
        <w:tc>
          <w:tcPr>
            <w:tcW w:w="20" w:type="dxa"/>
            <w:vAlign w:val="bottom"/>
          </w:tcPr>
          <w:p>
            <w:pPr>
              <w:spacing w:after="0"/>
              <w:rPr>
                <w:sz w:val="12"/>
                <w:szCs w:val="12"/>
                <w:color w:val="auto"/>
              </w:rPr>
            </w:pPr>
          </w:p>
        </w:tc>
        <w:tc>
          <w:tcPr>
            <w:tcW w:w="6780" w:type="dxa"/>
            <w:vAlign w:val="bottom"/>
          </w:tcPr>
          <w:p>
            <w:pPr>
              <w:spacing w:after="0" w:line="142"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4"/>
                <w:szCs w:val="14"/>
                <w:i w:val="1"/>
                <w:iCs w:val="1"/>
                <w:color w:val="auto"/>
              </w:rPr>
              <w:t>(Note 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Redeemable Convertible Preferred Stock</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6780" w:type="dxa"/>
            <w:vAlign w:val="bottom"/>
          </w:tcPr>
          <w:p>
            <w:pPr>
              <w:ind w:left="100"/>
              <w:spacing w:after="0" w:line="130" w:lineRule="exact"/>
              <w:rPr>
                <w:sz w:val="20"/>
                <w:szCs w:val="20"/>
                <w:color w:val="auto"/>
              </w:rPr>
            </w:pPr>
            <w:r>
              <w:rPr>
                <w:rFonts w:ascii="Arial" w:cs="Arial" w:eastAsia="Arial" w:hAnsi="Arial"/>
                <w:sz w:val="14"/>
                <w:szCs w:val="14"/>
                <w:color w:val="auto"/>
                <w:w w:val="99"/>
              </w:rPr>
              <w:t>Redeemable convertible preferred stock, $0.0005 par value; no shares and 137,419 shares authorized as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100"/>
              <w:spacing w:after="0" w:line="149" w:lineRule="exact"/>
              <w:rPr>
                <w:sz w:val="20"/>
                <w:szCs w:val="20"/>
                <w:color w:val="auto"/>
              </w:rPr>
            </w:pPr>
            <w:r>
              <w:rPr>
                <w:rFonts w:ascii="Arial" w:cs="Arial" w:eastAsia="Arial" w:hAnsi="Arial"/>
                <w:sz w:val="14"/>
                <w:szCs w:val="14"/>
                <w:color w:val="auto"/>
                <w:w w:val="97"/>
              </w:rPr>
              <w:t>July 31, 2019 and January 31, 2019, respectively; no shares and 131,268 shares issued and outstanding as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100"/>
              <w:spacing w:after="0" w:line="149" w:lineRule="exact"/>
              <w:rPr>
                <w:sz w:val="20"/>
                <w:szCs w:val="20"/>
                <w:color w:val="auto"/>
              </w:rPr>
            </w:pPr>
            <w:r>
              <w:rPr>
                <w:rFonts w:ascii="Arial" w:cs="Arial" w:eastAsia="Arial" w:hAnsi="Arial"/>
                <w:sz w:val="14"/>
                <w:szCs w:val="14"/>
                <w:color w:val="auto"/>
                <w:w w:val="94"/>
              </w:rPr>
              <w:t>July 31, 2019 and January 31, 2019, respectively; liquidation preference $0 and $545,000 as of July 31, 2019 and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6780" w:type="dxa"/>
            <w:vAlign w:val="bottom"/>
          </w:tcPr>
          <w:p>
            <w:pPr>
              <w:ind w:left="100"/>
              <w:spacing w:after="0"/>
              <w:rPr>
                <w:sz w:val="20"/>
                <w:szCs w:val="20"/>
                <w:color w:val="auto"/>
              </w:rPr>
            </w:pPr>
            <w:r>
              <w:rPr>
                <w:rFonts w:ascii="Arial" w:cs="Arial" w:eastAsia="Arial" w:hAnsi="Arial"/>
                <w:sz w:val="14"/>
                <w:szCs w:val="14"/>
                <w:color w:val="auto"/>
              </w:rPr>
              <w:t>January 31, 2019, respectively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557,912</w:t>
            </w: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Stockholders’ Equity (Deficit)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6780" w:type="dxa"/>
            <w:vAlign w:val="bottom"/>
          </w:tcPr>
          <w:p>
            <w:pPr>
              <w:ind w:left="100"/>
              <w:spacing w:after="0" w:line="130" w:lineRule="exact"/>
              <w:rPr>
                <w:sz w:val="20"/>
                <w:szCs w:val="20"/>
                <w:color w:val="auto"/>
              </w:rPr>
            </w:pPr>
            <w:r>
              <w:rPr>
                <w:rFonts w:ascii="Arial" w:cs="Arial" w:eastAsia="Arial" w:hAnsi="Arial"/>
                <w:sz w:val="14"/>
                <w:szCs w:val="14"/>
                <w:color w:val="auto"/>
              </w:rPr>
              <w:t>Preferred stock, $0.0005 par value; 100,000 shares and no shares authorized as of July 31, 2019 and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100"/>
              <w:spacing w:after="0" w:line="149" w:lineRule="exact"/>
              <w:rPr>
                <w:sz w:val="20"/>
                <w:szCs w:val="20"/>
                <w:color w:val="auto"/>
              </w:rPr>
            </w:pPr>
            <w:r>
              <w:rPr>
                <w:rFonts w:ascii="Arial" w:cs="Arial" w:eastAsia="Arial" w:hAnsi="Arial"/>
                <w:sz w:val="14"/>
                <w:szCs w:val="14"/>
                <w:color w:val="auto"/>
                <w:w w:val="99"/>
              </w:rPr>
              <w:t>January 31, 2019, respectively; no shares issued and outstanding as of July 31, 2019 and January 31, 2019,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6780" w:type="dxa"/>
            <w:vAlign w:val="bottom"/>
          </w:tcPr>
          <w:p>
            <w:pPr>
              <w:ind w:left="100"/>
              <w:spacing w:after="0"/>
              <w:rPr>
                <w:sz w:val="20"/>
                <w:szCs w:val="20"/>
                <w:color w:val="auto"/>
              </w:rPr>
            </w:pPr>
            <w:r>
              <w:rPr>
                <w:rFonts w:ascii="Arial" w:cs="Arial" w:eastAsia="Arial" w:hAnsi="Arial"/>
                <w:sz w:val="14"/>
                <w:szCs w:val="14"/>
                <w:color w:val="auto"/>
              </w:rPr>
              <w:t>respectively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67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Common stock, $0.0005 par value, no share authorized issued, or outstanding as of July 31, 2019; 220,000 shares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authorized and 47,421 issued and outstanding as of January 31, 2019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30"/>
        </w:trPr>
        <w:tc>
          <w:tcPr>
            <w:tcW w:w="20" w:type="dxa"/>
            <w:vAlign w:val="bottom"/>
          </w:tcPr>
          <w:p>
            <w:pPr>
              <w:spacing w:after="0"/>
              <w:rPr>
                <w:sz w:val="11"/>
                <w:szCs w:val="11"/>
                <w:color w:val="auto"/>
              </w:rPr>
            </w:pPr>
          </w:p>
        </w:tc>
        <w:tc>
          <w:tcPr>
            <w:tcW w:w="6780" w:type="dxa"/>
            <w:vAlign w:val="bottom"/>
          </w:tcPr>
          <w:p>
            <w:pPr>
              <w:ind w:left="100"/>
              <w:spacing w:after="0" w:line="130" w:lineRule="exact"/>
              <w:rPr>
                <w:sz w:val="20"/>
                <w:szCs w:val="20"/>
                <w:color w:val="auto"/>
              </w:rPr>
            </w:pPr>
            <w:r>
              <w:rPr>
                <w:rFonts w:ascii="Arial" w:cs="Arial" w:eastAsia="Arial" w:hAnsi="Arial"/>
                <w:sz w:val="14"/>
                <w:szCs w:val="14"/>
                <w:color w:val="auto"/>
                <w:w w:val="96"/>
              </w:rPr>
              <w:t>Class A common stock, $0.0005 par value; 2,000,000 shares and no shares authorized as of July 31, 2019 and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100"/>
              <w:spacing w:after="0" w:line="149" w:lineRule="exact"/>
              <w:rPr>
                <w:sz w:val="20"/>
                <w:szCs w:val="20"/>
                <w:color w:val="auto"/>
              </w:rPr>
            </w:pPr>
            <w:r>
              <w:rPr>
                <w:rFonts w:ascii="Arial" w:cs="Arial" w:eastAsia="Arial" w:hAnsi="Arial"/>
                <w:sz w:val="14"/>
                <w:szCs w:val="14"/>
                <w:color w:val="auto"/>
                <w:w w:val="98"/>
              </w:rPr>
              <w:t>January 31, 2019, respectively; 20,700 shares, and no shares issued and outstanding as of July 31, 2019 and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100"/>
              <w:spacing w:after="0" w:line="149" w:lineRule="exact"/>
              <w:rPr>
                <w:sz w:val="20"/>
                <w:szCs w:val="20"/>
                <w:color w:val="auto"/>
              </w:rPr>
            </w:pPr>
            <w:r>
              <w:rPr>
                <w:rFonts w:ascii="Arial" w:cs="Arial" w:eastAsia="Arial" w:hAnsi="Arial"/>
                <w:sz w:val="14"/>
                <w:szCs w:val="14"/>
                <w:color w:val="auto"/>
              </w:rPr>
              <w:t>January 31, 2019, respectively; Class B common stock, $0.0005 par value; 300,000 shares and no 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100"/>
              <w:spacing w:after="0" w:line="149" w:lineRule="exact"/>
              <w:rPr>
                <w:sz w:val="20"/>
                <w:szCs w:val="20"/>
                <w:color w:val="auto"/>
              </w:rPr>
            </w:pPr>
            <w:r>
              <w:rPr>
                <w:rFonts w:ascii="Arial" w:cs="Arial" w:eastAsia="Arial" w:hAnsi="Arial"/>
                <w:sz w:val="14"/>
                <w:szCs w:val="14"/>
                <w:color w:val="auto"/>
                <w:w w:val="97"/>
              </w:rPr>
              <w:t>authorized as of July 31, 2019 and January 31, 2019, respectively; 205,193 shares, and no shares issued and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6780" w:type="dxa"/>
            <w:vAlign w:val="bottom"/>
          </w:tcPr>
          <w:p>
            <w:pPr>
              <w:ind w:left="100"/>
              <w:spacing w:after="0"/>
              <w:rPr>
                <w:sz w:val="20"/>
                <w:szCs w:val="20"/>
                <w:color w:val="auto"/>
              </w:rPr>
            </w:pPr>
            <w:r>
              <w:rPr>
                <w:rFonts w:ascii="Arial" w:cs="Arial" w:eastAsia="Arial" w:hAnsi="Arial"/>
                <w:sz w:val="14"/>
                <w:szCs w:val="14"/>
                <w:color w:val="auto"/>
              </w:rPr>
              <w:t>outstanding as of July 31, 2019 and January 31, 2019, respectively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1,302,098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31,211</w:t>
            </w:r>
          </w:p>
        </w:tc>
      </w:tr>
      <w:tr>
        <w:trPr>
          <w:trHeight w:val="149"/>
        </w:trPr>
        <w:tc>
          <w:tcPr>
            <w:tcW w:w="20" w:type="dxa"/>
            <w:vAlign w:val="bottom"/>
          </w:tcPr>
          <w:p>
            <w:pPr>
              <w:spacing w:after="0"/>
              <w:rPr>
                <w:sz w:val="12"/>
                <w:szCs w:val="12"/>
                <w:color w:val="auto"/>
              </w:rPr>
            </w:pPr>
          </w:p>
        </w:tc>
        <w:tc>
          <w:tcPr>
            <w:tcW w:w="6780" w:type="dxa"/>
            <w:vAlign w:val="bottom"/>
          </w:tcPr>
          <w:p>
            <w:pPr>
              <w:ind w:left="100"/>
              <w:spacing w:after="0" w:line="149" w:lineRule="exact"/>
              <w:rPr>
                <w:sz w:val="20"/>
                <w:szCs w:val="20"/>
                <w:color w:val="auto"/>
              </w:rPr>
            </w:pPr>
            <w:r>
              <w:rPr>
                <w:rFonts w:ascii="Arial" w:cs="Arial" w:eastAsia="Arial" w:hAnsi="Arial"/>
                <w:sz w:val="14"/>
                <w:szCs w:val="14"/>
                <w:color w:val="auto"/>
              </w:rPr>
              <w:t>Accumulated deficit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(573,574)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(519,126)</w:t>
            </w: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(530)</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r>
      <w:tr>
        <w:trPr>
          <w:trHeight w:val="142"/>
        </w:trPr>
        <w:tc>
          <w:tcPr>
            <w:tcW w:w="20" w:type="dxa"/>
            <w:vAlign w:val="bottom"/>
          </w:tcPr>
          <w:p>
            <w:pPr>
              <w:spacing w:after="0"/>
              <w:rPr>
                <w:sz w:val="12"/>
                <w:szCs w:val="12"/>
                <w:color w:val="auto"/>
              </w:rPr>
            </w:pPr>
          </w:p>
        </w:tc>
        <w:tc>
          <w:tcPr>
            <w:tcW w:w="678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stockholders’ equity (deficit)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728,097</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(487,793)</w:t>
            </w:r>
          </w:p>
        </w:tc>
      </w:tr>
      <w:tr>
        <w:trPr>
          <w:trHeight w:val="142"/>
        </w:trPr>
        <w:tc>
          <w:tcPr>
            <w:tcW w:w="20" w:type="dxa"/>
            <w:vAlign w:val="bottom"/>
          </w:tcPr>
          <w:p>
            <w:pPr>
              <w:spacing w:after="0"/>
              <w:rPr>
                <w:sz w:val="12"/>
                <w:szCs w:val="12"/>
                <w:color w:val="auto"/>
              </w:rPr>
            </w:pPr>
          </w:p>
        </w:tc>
        <w:tc>
          <w:tcPr>
            <w:tcW w:w="6780" w:type="dxa"/>
            <w:vAlign w:val="bottom"/>
            <w:tcBorders>
              <w:bottom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liabilities, redeemable convertible preferred stock, and stockholders’ equity (deficit)</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1,171,586</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433,219</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 w:name="page6"/>
    <w:bookmarkEnd w:id="5"/>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July 31,</w:t>
            </w:r>
          </w:p>
        </w:tc>
        <w:tc>
          <w:tcPr>
            <w:tcW w:w="1800" w:type="dxa"/>
            <w:vAlign w:val="bottom"/>
            <w:gridSpan w:val="6"/>
          </w:tcPr>
          <w:p>
            <w:pPr>
              <w:ind w:left="60"/>
              <w:spacing w:after="0"/>
              <w:rPr>
                <w:sz w:val="20"/>
                <w:szCs w:val="20"/>
                <w:color w:val="auto"/>
              </w:rPr>
            </w:pPr>
            <w:r>
              <w:rPr>
                <w:rFonts w:ascii="Arial" w:cs="Arial" w:eastAsia="Arial" w:hAnsi="Arial"/>
                <w:sz w:val="14"/>
                <w:szCs w:val="14"/>
                <w:b w:val="1"/>
                <w:bCs w:val="1"/>
                <w:color w:val="auto"/>
                <w:w w:val="97"/>
              </w:rPr>
              <w:t>Six Months Ended July 31,</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Subscription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97,575</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49,161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183,566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Professional services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108,108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204,185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102,990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Subscription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Professional services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cost of revenue</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60,856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143,329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65,274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40,113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122,117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127,165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67,553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219,744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128,562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(50,639)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(30,427)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(76,415)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(63,541)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(51,254)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(32,515)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(76,636)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(32,877)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(77,866)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(66,494)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loss per share attributable to Class A and Class B common</w:t>
            </w: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(0.40)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(0.75)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basic and diluted</w:t>
            </w:r>
          </w:p>
        </w:tc>
        <w:tc>
          <w:tcPr>
            <w:tcW w:w="14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Weighted-average shares used in computing net loss per share</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attributable to Class A and Class B common stockholders, basic and</w:t>
            </w:r>
          </w:p>
        </w:tc>
        <w:tc>
          <w:tcPr>
            <w:tcW w:w="14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130,091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89,335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Three Months Ended July 31,</w:t>
            </w:r>
          </w:p>
        </w:tc>
        <w:tc>
          <w:tcPr>
            <w:tcW w:w="160" w:type="dxa"/>
            <w:vAlign w:val="bottom"/>
          </w:tcPr>
          <w:p>
            <w:pPr>
              <w:spacing w:after="0"/>
              <w:rPr>
                <w:sz w:val="14"/>
                <w:szCs w:val="14"/>
                <w:color w:val="auto"/>
              </w:rPr>
            </w:pPr>
          </w:p>
        </w:tc>
        <w:tc>
          <w:tcPr>
            <w:tcW w:w="17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5"/>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(51,889)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(32,877)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(77,866)</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Foreign currency translation adjustments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Unrealized loss on available-for-sale securities, net of tax</w:t>
            </w: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loss</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0"/>
        </w:trPr>
        <w:tc>
          <w:tcPr>
            <w:tcW w:w="476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5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(52,233)</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(33,237)</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(78,494)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(67,186)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jc w:val="center"/>
        <w:spacing w:after="0" w:line="223" w:lineRule="auto"/>
        <w:rPr>
          <w:sz w:val="20"/>
          <w:szCs w:val="20"/>
          <w:color w:val="auto"/>
        </w:rPr>
      </w:pPr>
      <w:r>
        <w:rPr>
          <w:rFonts w:ascii="Arial" w:cs="Arial" w:eastAsia="Arial" w:hAnsi="Arial"/>
          <w:sz w:val="14"/>
          <w:szCs w:val="14"/>
          <w:b w:val="1"/>
          <w:bCs w:val="1"/>
          <w:color w:val="auto"/>
        </w:rPr>
        <w:t>Condensed Consolidated Statements of Redeemable Convertible Preferred Stock and Stockholders’ Equity (Deficit)</w:t>
      </w:r>
    </w:p>
    <w:p>
      <w:pPr>
        <w:jc w:val="center"/>
        <w:spacing w:after="0" w:line="222" w:lineRule="auto"/>
        <w:rPr>
          <w:sz w:val="20"/>
          <w:szCs w:val="20"/>
          <w:color w:val="auto"/>
        </w:rPr>
      </w:pPr>
      <w:r>
        <w:rPr>
          <w:rFonts w:ascii="Arial" w:cs="Arial" w:eastAsia="Arial" w:hAnsi="Arial"/>
          <w:sz w:val="14"/>
          <w:szCs w:val="14"/>
          <w:b w:val="1"/>
          <w:bCs w:val="1"/>
          <w:color w:val="auto"/>
        </w:rPr>
        <w:t>Three Months Ended July 31, 2019 and 2018</w:t>
      </w:r>
    </w:p>
    <w:p>
      <w:pPr>
        <w:jc w:val="center"/>
        <w:spacing w:after="0" w:line="221" w:lineRule="auto"/>
        <w:rPr>
          <w:sz w:val="20"/>
          <w:szCs w:val="20"/>
          <w:color w:val="auto"/>
        </w:rPr>
      </w:pPr>
      <w:r>
        <w:rPr>
          <w:rFonts w:ascii="Arial" w:cs="Arial" w:eastAsia="Arial" w:hAnsi="Arial"/>
          <w:sz w:val="14"/>
          <w:szCs w:val="14"/>
          <w:i w:val="1"/>
          <w:iCs w:val="1"/>
          <w:color w:val="auto"/>
        </w:rPr>
        <w:t>(in thousands)</w:t>
      </w: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1340" w:type="dxa"/>
            <w:vAlign w:val="bottom"/>
            <w:gridSpan w:val="7"/>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Redeemable</w:t>
            </w:r>
          </w:p>
        </w:tc>
        <w:tc>
          <w:tcPr>
            <w:tcW w:w="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340" w:type="dxa"/>
            <w:vAlign w:val="bottom"/>
            <w:gridSpan w:val="7"/>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7"/>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7"/>
            <w:vMerge w:val="restart"/>
          </w:tcPr>
          <w:p>
            <w:pPr>
              <w:jc w:val="right"/>
              <w:ind w:right="320"/>
              <w:spacing w:after="0"/>
              <w:rPr>
                <w:sz w:val="20"/>
                <w:szCs w:val="20"/>
                <w:color w:val="auto"/>
              </w:rPr>
            </w:pPr>
            <w:r>
              <w:rPr>
                <w:rFonts w:ascii="Arial" w:cs="Arial" w:eastAsia="Arial" w:hAnsi="Arial"/>
                <w:sz w:val="14"/>
                <w:szCs w:val="14"/>
                <w:b w:val="1"/>
                <w:bCs w:val="1"/>
                <w:color w:val="auto"/>
                <w:w w:val="97"/>
              </w:rPr>
              <w:t>Common Stock</w:t>
            </w:r>
          </w:p>
        </w:tc>
        <w:tc>
          <w:tcPr>
            <w:tcW w:w="4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2"/>
              </w:rPr>
              <w:t>Preferred Stock</w:t>
            </w:r>
          </w:p>
        </w:tc>
        <w:tc>
          <w:tcPr>
            <w:tcW w:w="2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960" w:type="dxa"/>
            <w:vAlign w:val="bottom"/>
            <w:gridSpan w:val="5"/>
            <w:vMerge w:val="continue"/>
          </w:tcPr>
          <w:p>
            <w:pPr>
              <w:spacing w:after="0"/>
              <w:rPr>
                <w:sz w:val="14"/>
                <w:szCs w:val="14"/>
                <w:color w:val="auto"/>
              </w:rPr>
            </w:pPr>
          </w:p>
        </w:tc>
        <w:tc>
          <w:tcPr>
            <w:tcW w:w="11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2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Shares</w:t>
            </w: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3"/>
              </w:rPr>
              <w:t>Deficit</w:t>
            </w:r>
          </w:p>
        </w:tc>
        <w:tc>
          <w:tcPr>
            <w:tcW w:w="40" w:type="dxa"/>
            <w:vAlign w:val="bottom"/>
          </w:tcPr>
          <w:p>
            <w:pPr>
              <w:spacing w:after="0"/>
              <w:rPr>
                <w:sz w:val="12"/>
                <w:szCs w:val="12"/>
                <w:color w:val="auto"/>
              </w:rPr>
            </w:pPr>
          </w:p>
        </w:tc>
        <w:tc>
          <w:tcPr>
            <w:tcW w:w="1080" w:type="dxa"/>
            <w:vAlign w:val="bottom"/>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96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5"/>
              </w:rPr>
              <w:t>Equity (Deficit)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at April 30, 2019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131,268</w:t>
            </w:r>
          </w:p>
        </w:tc>
        <w:tc>
          <w:tcPr>
            <w:tcW w:w="14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$ 557,912</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52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48,127</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36,670</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(521,685)</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(485,177)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tcPr>
          <w:p>
            <w:pPr>
              <w:spacing w:after="0" w:line="130" w:lineRule="exact"/>
              <w:rPr>
                <w:sz w:val="20"/>
                <w:szCs w:val="20"/>
                <w:color w:val="auto"/>
              </w:rPr>
            </w:pPr>
            <w:r>
              <w:rPr>
                <w:rFonts w:ascii="Arial" w:cs="Arial" w:eastAsia="Arial" w:hAnsi="Arial"/>
                <w:sz w:val="14"/>
                <w:szCs w:val="14"/>
                <w:color w:val="auto"/>
              </w:rPr>
              <w:t>Issuance of common stock upon initial</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rPr>
              <w:t>public offering, net of underwriting</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gridSpan w:val="2"/>
          </w:tcPr>
          <w:p>
            <w:pPr>
              <w:spacing w:after="0"/>
              <w:rPr>
                <w:sz w:val="20"/>
                <w:szCs w:val="20"/>
                <w:color w:val="auto"/>
              </w:rPr>
            </w:pPr>
            <w:r>
              <w:rPr>
                <w:rFonts w:ascii="Arial" w:cs="Arial" w:eastAsia="Arial" w:hAnsi="Arial"/>
                <w:sz w:val="14"/>
                <w:szCs w:val="14"/>
                <w:color w:val="auto"/>
              </w:rPr>
              <w:t>discounts and issuance costs</w:t>
            </w:r>
          </w:p>
        </w:tc>
        <w:tc>
          <w:tcPr>
            <w:tcW w:w="14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20,700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4"/>
                <w:szCs w:val="14"/>
                <w:color w:val="auto"/>
              </w:rPr>
            </w:pP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659,207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659,218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redeemable convertible</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to common stock upon</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initial public offering</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3"/>
              </w:rPr>
              <w:t>(131,268)</w:t>
            </w:r>
          </w:p>
        </w:tc>
        <w:tc>
          <w:tcPr>
            <w:tcW w:w="14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(557,912)</w:t>
            </w:r>
          </w:p>
        </w:tc>
        <w:tc>
          <w:tcPr>
            <w:tcW w:w="8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20" w:type="dxa"/>
            <w:vAlign w:val="bottom"/>
            <w:tcBorders>
              <w:left w:val="single" w:sz="8" w:color="CCEEFF"/>
              <w:right w:val="single" w:sz="8" w:color="CCEEFF"/>
            </w:tcBorders>
            <w:shd w:val="clear" w:color="auto" w:fill="CCEEFF"/>
          </w:tcPr>
          <w:p>
            <w:pPr>
              <w:spacing w:after="0"/>
              <w:rPr>
                <w:sz w:val="14"/>
                <w:szCs w:val="14"/>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0"/>
              </w:rPr>
              <w:t>131,268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557,846</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557,912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tcPr>
          <w:p>
            <w:pPr>
              <w:spacing w:after="0" w:line="130" w:lineRule="exact"/>
              <w:rPr>
                <w:sz w:val="20"/>
                <w:szCs w:val="20"/>
                <w:color w:val="auto"/>
              </w:rPr>
            </w:pPr>
            <w:r>
              <w:rPr>
                <w:rFonts w:ascii="Arial" w:cs="Arial" w:eastAsia="Arial" w:hAnsi="Arial"/>
                <w:sz w:val="14"/>
                <w:szCs w:val="14"/>
                <w:color w:val="auto"/>
                <w:w w:val="99"/>
              </w:rPr>
              <w:t>Reclassification of redeemable convertible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rPr>
              <w:t>preferred stock warrant liability to</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rPr>
              <w:t>additional paid-in capital upon initial</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gridSpan w:val="2"/>
          </w:tcPr>
          <w:p>
            <w:pPr>
              <w:spacing w:after="0"/>
              <w:rPr>
                <w:sz w:val="20"/>
                <w:szCs w:val="20"/>
                <w:color w:val="auto"/>
              </w:rPr>
            </w:pPr>
            <w:r>
              <w:rPr>
                <w:rFonts w:ascii="Arial" w:cs="Arial" w:eastAsia="Arial" w:hAnsi="Arial"/>
                <w:sz w:val="14"/>
                <w:szCs w:val="14"/>
                <w:color w:val="auto"/>
              </w:rPr>
              <w:t>public offering</w:t>
            </w:r>
          </w:p>
        </w:tc>
        <w:tc>
          <w:tcPr>
            <w:tcW w:w="14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10,559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exercise of common stock warrants</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52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tcPr>
          <w:p>
            <w:pPr>
              <w:spacing w:after="0" w:line="130" w:lineRule="exact"/>
              <w:rPr>
                <w:sz w:val="20"/>
                <w:szCs w:val="20"/>
                <w:color w:val="auto"/>
              </w:rPr>
            </w:pPr>
            <w:r>
              <w:rPr>
                <w:rFonts w:ascii="Arial" w:cs="Arial" w:eastAsia="Arial" w:hAnsi="Arial"/>
                <w:sz w:val="14"/>
                <w:szCs w:val="14"/>
                <w:color w:val="auto"/>
              </w:rPr>
              <w:t>Issuance of common stock upon exercise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60" w:type="dxa"/>
            <w:vAlign w:val="bottom"/>
            <w:gridSpan w:val="2"/>
          </w:tcPr>
          <w:p>
            <w:pPr>
              <w:spacing w:after="0"/>
              <w:rPr>
                <w:sz w:val="20"/>
                <w:szCs w:val="20"/>
                <w:color w:val="auto"/>
              </w:rPr>
            </w:pPr>
            <w:r>
              <w:rPr>
                <w:rFonts w:ascii="Arial" w:cs="Arial" w:eastAsia="Arial" w:hAnsi="Arial"/>
                <w:sz w:val="14"/>
                <w:szCs w:val="14"/>
                <w:color w:val="auto"/>
              </w:rPr>
              <w:t>of options</w:t>
            </w:r>
          </w:p>
        </w:tc>
        <w:tc>
          <w:tcPr>
            <w:tcW w:w="14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3,739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7,055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Issuance of common stock related to early</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exercised options</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20" w:type="dxa"/>
            <w:vAlign w:val="bottom"/>
            <w:tcBorders>
              <w:left w:val="single" w:sz="8" w:color="CCEEFF"/>
              <w:right w:val="single" w:sz="8" w:color="CCEEFF"/>
            </w:tcBorders>
            <w:shd w:val="clear" w:color="auto" w:fill="CCEEFF"/>
          </w:tcPr>
          <w:p>
            <w:pPr>
              <w:spacing w:after="0"/>
              <w:rPr>
                <w:sz w:val="14"/>
                <w:szCs w:val="14"/>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Vesting of early exercised options</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710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29,859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Capitalized stock-based compensation</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(51,889)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July 31, 2019</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120" w:type="dxa"/>
            <w:vAlign w:val="bottom"/>
            <w:tcBorders>
              <w:top w:val="single" w:sz="8" w:color="CCEEFF"/>
              <w:left w:val="single" w:sz="8" w:color="CCEEFF"/>
              <w:bottom w:val="single" w:sz="8" w:color="CCEEFF"/>
              <w:right w:val="single" w:sz="8" w:color="CCEEFF"/>
            </w:tcBorders>
            <w:shd w:val="clear" w:color="auto" w:fill="CCEEFF"/>
          </w:tcPr>
          <w:p>
            <w:pPr>
              <w:spacing w:after="0"/>
              <w:rPr>
                <w:sz w:val="12"/>
                <w:szCs w:val="12"/>
                <w:color w:val="auto"/>
              </w:rPr>
            </w:pPr>
          </w:p>
        </w:tc>
        <w:tc>
          <w:tcPr>
            <w:tcW w:w="520" w:type="dxa"/>
            <w:vAlign w:val="bottom"/>
            <w:tcBorders>
              <w:top w:val="single" w:sz="8" w:color="auto"/>
              <w:left w:val="single" w:sz="8" w:color="CCEEFF"/>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0"/>
              </w:rPr>
              <w:t>205,193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1,302,098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(573,574)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(530)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728,097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9"/>
            <w:vMerge w:val="restart"/>
          </w:tcPr>
          <w:p>
            <w:pPr>
              <w:jc w:val="center"/>
              <w:ind w:right="100"/>
              <w:spacing w:after="0"/>
              <w:rPr>
                <w:sz w:val="20"/>
                <w:szCs w:val="20"/>
                <w:color w:val="auto"/>
              </w:rPr>
            </w:pPr>
            <w:r>
              <w:rPr>
                <w:rFonts w:ascii="Arial" w:cs="Arial" w:eastAsia="Arial" w:hAnsi="Arial"/>
                <w:sz w:val="14"/>
                <w:szCs w:val="14"/>
                <w:b w:val="1"/>
                <w:bCs w:val="1"/>
                <w:color w:val="auto"/>
                <w:w w:val="89"/>
              </w:rPr>
              <w:t>Redeemable</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9"/>
            <w:vMerge w:val="continue"/>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9"/>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80" w:type="dxa"/>
            <w:vAlign w:val="bottom"/>
            <w:tcBorders>
              <w:left w:val="single" w:sz="8" w:color="auto"/>
            </w:tcBorders>
          </w:tcPr>
          <w:p>
            <w:pPr>
              <w:spacing w:after="0"/>
              <w:rPr>
                <w:sz w:val="12"/>
                <w:szCs w:val="12"/>
                <w:color w:val="auto"/>
              </w:rPr>
            </w:pPr>
          </w:p>
        </w:tc>
        <w:tc>
          <w:tcPr>
            <w:tcW w:w="1340" w:type="dxa"/>
            <w:vAlign w:val="bottom"/>
            <w:gridSpan w:val="7"/>
            <w:vMerge w:val="restart"/>
          </w:tcPr>
          <w:p>
            <w:pPr>
              <w:jc w:val="right"/>
              <w:ind w:right="18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3"/>
              </w:rPr>
              <w:t>Preferred Stock</w:t>
            </w:r>
          </w:p>
        </w:tc>
        <w:tc>
          <w:tcPr>
            <w:tcW w:w="80" w:type="dxa"/>
            <w:vAlign w:val="bottom"/>
            <w:tcBorders>
              <w:left w:val="single" w:sz="8" w:color="auto"/>
            </w:tcBorders>
          </w:tcPr>
          <w:p>
            <w:pPr>
              <w:spacing w:after="0"/>
              <w:rPr>
                <w:sz w:val="14"/>
                <w:szCs w:val="14"/>
                <w:color w:val="auto"/>
              </w:rPr>
            </w:pPr>
          </w:p>
        </w:tc>
        <w:tc>
          <w:tcPr>
            <w:tcW w:w="1340" w:type="dxa"/>
            <w:vAlign w:val="bottom"/>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5"/>
          </w:tcPr>
          <w:p>
            <w:pPr>
              <w:jc w:val="center"/>
              <w:ind w:left="13"/>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0"/>
              </w:rPr>
              <w:t>Amount</w:t>
            </w: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April 30, 2018</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118,693</w:t>
            </w:r>
          </w:p>
        </w:tc>
        <w:tc>
          <w:tcPr>
            <w:tcW w:w="2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351,016</w:t>
            </w: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660" w:type="dxa"/>
            <w:vAlign w:val="bottom"/>
            <w:tcBorders>
              <w:left w:val="single" w:sz="8" w:color="auto"/>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44,774</w:t>
            </w:r>
          </w:p>
        </w:tc>
        <w:tc>
          <w:tcPr>
            <w:tcW w:w="2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22</w:t>
            </w:r>
          </w:p>
        </w:tc>
        <w:tc>
          <w:tcPr>
            <w:tcW w:w="26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11,067</w:t>
            </w:r>
          </w:p>
        </w:tc>
        <w:tc>
          <w:tcPr>
            <w:tcW w:w="2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(412,666)</w:t>
            </w:r>
          </w:p>
        </w:tc>
        <w:tc>
          <w:tcPr>
            <w:tcW w:w="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638</w:t>
            </w:r>
          </w:p>
        </w:tc>
        <w:tc>
          <w:tcPr>
            <w:tcW w:w="20" w:type="dxa"/>
            <w:vAlign w:val="bottom"/>
            <w:shd w:val="clear" w:color="auto" w:fill="CCEEFF"/>
          </w:tcPr>
          <w:p>
            <w:pPr>
              <w:spacing w:after="0"/>
              <w:rPr>
                <w:sz w:val="12"/>
                <w:szCs w:val="12"/>
                <w:color w:val="auto"/>
              </w:rPr>
            </w:pPr>
          </w:p>
        </w:tc>
        <w:tc>
          <w:tcPr>
            <w:tcW w:w="26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(400,939)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tcPr>
          <w:p>
            <w:pPr>
              <w:spacing w:after="0" w:line="130" w:lineRule="exact"/>
              <w:rPr>
                <w:sz w:val="20"/>
                <w:szCs w:val="20"/>
                <w:color w:val="auto"/>
              </w:rPr>
            </w:pPr>
            <w:r>
              <w:rPr>
                <w:rFonts w:ascii="Arial" w:cs="Arial" w:eastAsia="Arial" w:hAnsi="Arial"/>
                <w:sz w:val="14"/>
                <w:szCs w:val="14"/>
                <w:color w:val="auto"/>
                <w:w w:val="94"/>
              </w:rPr>
              <w:t>Issuance of Series E redeemable convertible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60" w:type="dxa"/>
            <w:vAlign w:val="bottom"/>
            <w:gridSpan w:val="2"/>
          </w:tcPr>
          <w:p>
            <w:pPr>
              <w:spacing w:after="0"/>
              <w:rPr>
                <w:sz w:val="20"/>
                <w:szCs w:val="20"/>
                <w:color w:val="auto"/>
              </w:rPr>
            </w:pPr>
            <w:r>
              <w:rPr>
                <w:rFonts w:ascii="Arial" w:cs="Arial" w:eastAsia="Arial" w:hAnsi="Arial"/>
                <w:sz w:val="14"/>
                <w:szCs w:val="14"/>
                <w:color w:val="auto"/>
                <w:w w:val="93"/>
              </w:rPr>
              <w:t>preferred stock, net of issuance costs of $104</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12,150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4"/>
                <w:szCs w:val="14"/>
                <w:color w:val="auto"/>
              </w:rPr>
              <w:t>199,896</w:t>
            </w:r>
          </w:p>
        </w:tc>
        <w:tc>
          <w:tcPr>
            <w:tcW w:w="12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Issuance of common stock upon exercise of</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options</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Borders>
              <w:left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699</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awards</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left w:val="single" w:sz="8" w:color="auto"/>
            </w:tcBorders>
            <w:gridSpan w:val="3"/>
          </w:tcPr>
          <w:p>
            <w:pPr>
              <w:jc w:val="right"/>
              <w:ind w:right="60"/>
              <w:spacing w:after="0" w:line="149" w:lineRule="exact"/>
              <w:rPr>
                <w:sz w:val="20"/>
                <w:szCs w:val="20"/>
                <w:color w:val="auto"/>
              </w:rPr>
            </w:pPr>
            <w:r>
              <w:rPr>
                <w:rFonts w:ascii="Arial" w:cs="Arial" w:eastAsia="Arial" w:hAnsi="Arial"/>
                <w:sz w:val="14"/>
                <w:szCs w:val="14"/>
                <w:color w:val="auto"/>
              </w:rPr>
              <w:t>136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early exercised options</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2,224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stock options</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(2,330)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(32,877)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(32,877)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42"/>
        </w:trPr>
        <w:tc>
          <w:tcPr>
            <w:tcW w:w="2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July 31, 2018</w:t>
            </w:r>
          </w:p>
        </w:tc>
        <w:tc>
          <w:tcPr>
            <w:tcW w:w="14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130,843</w:t>
            </w:r>
          </w:p>
        </w:tc>
        <w:tc>
          <w:tcPr>
            <w:tcW w:w="160" w:type="dxa"/>
            <w:vAlign w:val="bottom"/>
            <w:gridSpan w:val="2"/>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550,912</w:t>
            </w:r>
          </w:p>
        </w:tc>
        <w:tc>
          <w:tcPr>
            <w:tcW w:w="12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45,609</w:t>
            </w:r>
          </w:p>
        </w:tc>
        <w:tc>
          <w:tcPr>
            <w:tcW w:w="140" w:type="dxa"/>
            <w:vAlign w:val="bottom"/>
            <w:gridSpan w:val="2"/>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22</w:t>
            </w: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11,814</w:t>
            </w:r>
          </w:p>
        </w:tc>
        <w:tc>
          <w:tcPr>
            <w:tcW w:w="160" w:type="dxa"/>
            <w:vAlign w:val="bottom"/>
            <w:gridSpan w:val="2"/>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(445,543)</w:t>
            </w:r>
          </w:p>
        </w:tc>
        <w:tc>
          <w:tcPr>
            <w:tcW w:w="160" w:type="dxa"/>
            <w:vAlign w:val="bottom"/>
            <w:gridSpan w:val="2"/>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278</w:t>
            </w: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(433,429)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608012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517" w:right="1159" w:bottom="1440" w:gutter="0" w:footer="0" w:header="0"/>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jc w:val="center"/>
        <w:spacing w:after="0" w:line="223" w:lineRule="auto"/>
        <w:rPr>
          <w:sz w:val="20"/>
          <w:szCs w:val="20"/>
          <w:color w:val="auto"/>
        </w:rPr>
      </w:pPr>
      <w:r>
        <w:rPr>
          <w:rFonts w:ascii="Arial" w:cs="Arial" w:eastAsia="Arial" w:hAnsi="Arial"/>
          <w:sz w:val="14"/>
          <w:szCs w:val="14"/>
          <w:b w:val="1"/>
          <w:bCs w:val="1"/>
          <w:color w:val="auto"/>
        </w:rPr>
        <w:t>Condensed Consolidated Statements of Redeemable Convertible Preferred Stock and Stockholders’ Equity (Deficit)</w:t>
      </w:r>
    </w:p>
    <w:p>
      <w:pPr>
        <w:jc w:val="center"/>
        <w:spacing w:after="0" w:line="222" w:lineRule="auto"/>
        <w:rPr>
          <w:sz w:val="20"/>
          <w:szCs w:val="20"/>
          <w:color w:val="auto"/>
        </w:rPr>
      </w:pPr>
      <w:r>
        <w:rPr>
          <w:rFonts w:ascii="Arial" w:cs="Arial" w:eastAsia="Arial" w:hAnsi="Arial"/>
          <w:sz w:val="14"/>
          <w:szCs w:val="14"/>
          <w:b w:val="1"/>
          <w:bCs w:val="1"/>
          <w:color w:val="auto"/>
        </w:rPr>
        <w:t>Six Months Ended July 31, 2019</w:t>
      </w:r>
    </w:p>
    <w:p>
      <w:pPr>
        <w:jc w:val="center"/>
        <w:spacing w:after="0" w:line="221" w:lineRule="auto"/>
        <w:rPr>
          <w:sz w:val="20"/>
          <w:szCs w:val="20"/>
          <w:color w:val="auto"/>
        </w:rPr>
      </w:pPr>
      <w:r>
        <w:rPr>
          <w:rFonts w:ascii="Arial" w:cs="Arial" w:eastAsia="Arial" w:hAnsi="Arial"/>
          <w:sz w:val="14"/>
          <w:szCs w:val="14"/>
          <w:i w:val="1"/>
          <w:iCs w:val="1"/>
          <w:color w:val="auto"/>
        </w:rPr>
        <w:t>(in thousands)</w:t>
      </w: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right w:val="single" w:sz="8" w:color="auto"/>
            </w:tcBorders>
            <w:gridSpan w:val="9"/>
          </w:tcPr>
          <w:p>
            <w:pPr>
              <w:ind w:left="340"/>
              <w:spacing w:after="0"/>
              <w:rPr>
                <w:sz w:val="20"/>
                <w:szCs w:val="20"/>
                <w:color w:val="auto"/>
              </w:rPr>
            </w:pPr>
            <w:r>
              <w:rPr>
                <w:rFonts w:ascii="Arial" w:cs="Arial" w:eastAsia="Arial" w:hAnsi="Arial"/>
                <w:sz w:val="14"/>
                <w:szCs w:val="14"/>
                <w:b w:val="1"/>
                <w:bCs w:val="1"/>
                <w:color w:val="auto"/>
              </w:rPr>
              <w:t>Redeemable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Borders>
              <w:right w:val="single" w:sz="8" w:color="auto"/>
            </w:tcBorders>
            <w:gridSpan w:val="9"/>
          </w:tcPr>
          <w:p>
            <w:pPr>
              <w:ind w:left="340"/>
              <w:spacing w:after="0" w:line="149" w:lineRule="exact"/>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right w:val="single" w:sz="8" w:color="auto"/>
            </w:tcBorders>
            <w:gridSpan w:val="9"/>
          </w:tcPr>
          <w:p>
            <w:pPr>
              <w:ind w:left="22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7"/>
          </w:tcPr>
          <w:p>
            <w:pPr>
              <w:ind w:left="2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900" w:type="dxa"/>
            <w:vAlign w:val="bottom"/>
            <w:gridSpan w:val="5"/>
          </w:tcPr>
          <w:p>
            <w:pPr>
              <w:ind w:left="40"/>
              <w:spacing w:after="0"/>
              <w:rPr>
                <w:sz w:val="20"/>
                <w:szCs w:val="20"/>
                <w:color w:val="auto"/>
              </w:rPr>
            </w:pPr>
            <w:r>
              <w:rPr>
                <w:rFonts w:ascii="Arial" w:cs="Arial" w:eastAsia="Arial" w:hAnsi="Arial"/>
                <w:sz w:val="14"/>
                <w:szCs w:val="14"/>
                <w:b w:val="1"/>
                <w:bCs w:val="1"/>
                <w:color w:val="auto"/>
                <w:w w:val="95"/>
              </w:rPr>
              <w:t>Accumulated</w:t>
            </w:r>
          </w:p>
        </w:tc>
        <w:tc>
          <w:tcPr>
            <w:tcW w:w="10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3"/>
              </w:rPr>
              <w:t>Comprehensive</w:t>
            </w:r>
          </w:p>
        </w:tc>
        <w:tc>
          <w:tcPr>
            <w:tcW w:w="2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at January 31, 2019</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131,268</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557,912</w:t>
            </w: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47,421</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w:t>
            </w:r>
          </w:p>
        </w:tc>
        <w:tc>
          <w:tcPr>
            <w:tcW w:w="40" w:type="dxa"/>
            <w:vAlign w:val="bottom"/>
            <w:shd w:val="clear" w:color="auto" w:fill="CCEEFF"/>
          </w:tcPr>
          <w:p>
            <w:pPr>
              <w:spacing w:after="0"/>
              <w:rPr>
                <w:sz w:val="12"/>
                <w:szCs w:val="12"/>
                <w:color w:val="auto"/>
              </w:rPr>
            </w:pPr>
          </w:p>
        </w:tc>
        <w:tc>
          <w:tcPr>
            <w:tcW w:w="2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31,211</w:t>
            </w:r>
          </w:p>
        </w:tc>
        <w:tc>
          <w:tcPr>
            <w:tcW w:w="40" w:type="dxa"/>
            <w:vAlign w:val="bottom"/>
            <w:shd w:val="clear" w:color="auto" w:fill="CCEEFF"/>
          </w:tcPr>
          <w:p>
            <w:pPr>
              <w:spacing w:after="0"/>
              <w:rPr>
                <w:sz w:val="12"/>
                <w:szCs w:val="12"/>
                <w:color w:val="auto"/>
              </w:rPr>
            </w:pPr>
          </w:p>
        </w:tc>
        <w:tc>
          <w:tcPr>
            <w:tcW w:w="2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(519,126)</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7"/>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(487,793)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Cumulative effect of accounting change</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23,418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23,418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upon initial public</w:t>
            </w: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5"/>
              </w:rPr>
              <w:t>offering, net of underwriting discounts and issuance</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costs</w:t>
            </w:r>
          </w:p>
        </w:tc>
        <w:tc>
          <w:tcPr>
            <w:tcW w:w="5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tcBorders>
              <w:right w:val="single" w:sz="8" w:color="auto"/>
            </w:tcBorders>
            <w:gridSpan w:val="4"/>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20,700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659,207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659,218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gridSpan w:val="3"/>
          </w:tcPr>
          <w:p>
            <w:pPr>
              <w:spacing w:after="0" w:line="138" w:lineRule="exact"/>
              <w:rPr>
                <w:sz w:val="20"/>
                <w:szCs w:val="20"/>
                <w:color w:val="auto"/>
              </w:rPr>
            </w:pPr>
            <w:r>
              <w:rPr>
                <w:rFonts w:ascii="Arial" w:cs="Arial" w:eastAsia="Arial" w:hAnsi="Arial"/>
                <w:sz w:val="14"/>
                <w:szCs w:val="14"/>
                <w:color w:val="auto"/>
                <w:w w:val="91"/>
              </w:rPr>
              <w:t>Conversion of redeemable convertible preferred stock</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00" w:type="dxa"/>
            <w:vAlign w:val="bottom"/>
            <w:gridSpan w:val="4"/>
          </w:tcPr>
          <w:p>
            <w:pPr>
              <w:spacing w:after="0" w:line="159" w:lineRule="exact"/>
              <w:rPr>
                <w:sz w:val="20"/>
                <w:szCs w:val="20"/>
                <w:color w:val="auto"/>
              </w:rPr>
            </w:pPr>
            <w:r>
              <w:rPr>
                <w:rFonts w:ascii="Arial" w:cs="Arial" w:eastAsia="Arial" w:hAnsi="Arial"/>
                <w:sz w:val="14"/>
                <w:szCs w:val="14"/>
                <w:color w:val="auto"/>
              </w:rPr>
              <w:t>to common stock upon initial public offering</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3"/>
              </w:rPr>
              <w:t>(131,268)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6"/>
              </w:rPr>
              <w:t>(557,912)</w:t>
            </w: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131,268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66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557,846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557,912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4"/>
              </w:rPr>
              <w:t>Reclassification of redeemable convertible preferred</w:t>
            </w: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stock warrant liability to additional paid-in capital</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upon initial public offering</w:t>
            </w:r>
          </w:p>
        </w:tc>
        <w:tc>
          <w:tcPr>
            <w:tcW w:w="5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tcBorders>
              <w:right w:val="single" w:sz="8" w:color="auto"/>
            </w:tcBorders>
            <w:gridSpan w:val="4"/>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10,559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10,559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Net exercise of common stock warrants</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5"/>
              </w:rPr>
              <w:t>Issuance of common stock upon exercise of options</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gridSpan w:val="3"/>
          </w:tcPr>
          <w:p>
            <w:pPr>
              <w:spacing w:after="0" w:line="138" w:lineRule="exact"/>
              <w:rPr>
                <w:sz w:val="20"/>
                <w:szCs w:val="20"/>
                <w:color w:val="auto"/>
              </w:rPr>
            </w:pPr>
            <w:r>
              <w:rPr>
                <w:rFonts w:ascii="Arial" w:cs="Arial" w:eastAsia="Arial" w:hAnsi="Arial"/>
                <w:sz w:val="14"/>
                <w:szCs w:val="14"/>
                <w:color w:val="auto"/>
                <w:w w:val="93"/>
              </w:rPr>
              <w:t>Issuance of common stock related to early exercised</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00" w:type="dxa"/>
            <w:vAlign w:val="bottom"/>
            <w:gridSpan w:val="4"/>
          </w:tcPr>
          <w:p>
            <w:pPr>
              <w:spacing w:after="0" w:line="159" w:lineRule="exact"/>
              <w:rPr>
                <w:sz w:val="20"/>
                <w:szCs w:val="20"/>
                <w:color w:val="auto"/>
              </w:rPr>
            </w:pPr>
            <w:r>
              <w:rPr>
                <w:rFonts w:ascii="Arial" w:cs="Arial" w:eastAsia="Arial" w:hAnsi="Arial"/>
                <w:sz w:val="14"/>
                <w:szCs w:val="14"/>
                <w:color w:val="auto"/>
              </w:rPr>
              <w:t>options</w:t>
            </w:r>
          </w:p>
        </w:tc>
        <w:tc>
          <w:tcPr>
            <w:tcW w:w="5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right w:val="single" w:sz="8" w:color="auto"/>
            </w:tcBorders>
            <w:gridSpan w:val="4"/>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1,037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Vesting of early exercised options</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33,611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33,611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Capitalized stock-based compensation</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Net loss</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(77,866)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(77,866)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42"/>
        </w:trPr>
        <w:tc>
          <w:tcPr>
            <w:tcW w:w="31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Balances at July 31, 2019</w:t>
            </w:r>
          </w:p>
        </w:tc>
        <w:tc>
          <w:tcPr>
            <w:tcW w:w="5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205,193</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103</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1"/>
              </w:rPr>
              <w:t>$ 1,302,098</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(573,574)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(530)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728,097</w:t>
            </w:r>
          </w:p>
        </w:tc>
        <w:tc>
          <w:tcPr>
            <w:tcW w:w="4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87"/>
              </w:rPr>
              <w:t>Redeemable</w:t>
            </w:r>
          </w:p>
        </w:tc>
        <w:tc>
          <w:tcPr>
            <w:tcW w:w="20" w:type="dxa"/>
            <w:vAlign w:val="bottom"/>
          </w:tcPr>
          <w:p>
            <w:pPr>
              <w:spacing w:after="0"/>
              <w:rPr>
                <w:sz w:val="24"/>
                <w:szCs w:val="24"/>
                <w:color w:val="auto"/>
              </w:rPr>
            </w:pPr>
          </w:p>
        </w:tc>
        <w:tc>
          <w:tcPr>
            <w:tcW w:w="80" w:type="dxa"/>
            <w:vAlign w:val="bottom"/>
            <w:gridSpan w:val="3"/>
            <w:vMerge w:val="restart"/>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7"/>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7"/>
          </w:tcPr>
          <w:p>
            <w:pPr>
              <w:ind w:left="320"/>
              <w:spacing w:after="0" w:line="149" w:lineRule="exact"/>
              <w:rPr>
                <w:sz w:val="20"/>
                <w:szCs w:val="20"/>
                <w:color w:val="auto"/>
              </w:rPr>
            </w:pPr>
            <w:r>
              <w:rPr>
                <w:rFonts w:ascii="Arial" w:cs="Arial" w:eastAsia="Arial" w:hAnsi="Arial"/>
                <w:sz w:val="14"/>
                <w:szCs w:val="14"/>
                <w:b w:val="1"/>
                <w:bCs w:val="1"/>
                <w:color w:val="auto"/>
              </w:rPr>
              <w:t>Convertible</w:t>
            </w:r>
          </w:p>
        </w:tc>
        <w:tc>
          <w:tcPr>
            <w:tcW w:w="20" w:type="dxa"/>
            <w:vAlign w:val="bottom"/>
            <w:shd w:val="clear" w:color="auto" w:fill="000000"/>
          </w:tcPr>
          <w:p>
            <w:pPr>
              <w:spacing w:after="0"/>
              <w:rPr>
                <w:sz w:val="12"/>
                <w:szCs w:val="12"/>
                <w:color w:val="auto"/>
              </w:rPr>
            </w:pPr>
          </w:p>
        </w:tc>
        <w:tc>
          <w:tcPr>
            <w:tcW w:w="80" w:type="dxa"/>
            <w:vAlign w:val="bottom"/>
            <w:gridSpan w:val="3"/>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20" w:type="dxa"/>
            <w:vAlign w:val="bottom"/>
            <w:shd w:val="clear" w:color="auto" w:fill="000000"/>
          </w:tcPr>
          <w:p>
            <w:pPr>
              <w:spacing w:after="0"/>
              <w:rPr>
                <w:sz w:val="14"/>
                <w:szCs w:val="14"/>
                <w:color w:val="auto"/>
              </w:rPr>
            </w:pPr>
          </w:p>
        </w:tc>
        <w:tc>
          <w:tcPr>
            <w:tcW w:w="80" w:type="dxa"/>
            <w:vAlign w:val="bottom"/>
            <w:gridSpan w:val="3"/>
          </w:tcPr>
          <w:p>
            <w:pPr>
              <w:spacing w:after="0"/>
              <w:rPr>
                <w:sz w:val="14"/>
                <w:szCs w:val="14"/>
                <w:color w:val="auto"/>
              </w:rPr>
            </w:pPr>
          </w:p>
        </w:tc>
        <w:tc>
          <w:tcPr>
            <w:tcW w:w="1380" w:type="dxa"/>
            <w:vAlign w:val="bottom"/>
            <w:gridSpan w:val="7"/>
          </w:tcPr>
          <w:p>
            <w:pPr>
              <w:ind w:left="2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3"/>
              </w:rPr>
              <w:t>Comprehensive</w:t>
            </w:r>
          </w:p>
        </w:tc>
        <w:tc>
          <w:tcPr>
            <w:tcW w:w="820" w:type="dxa"/>
            <w:vAlign w:val="bottom"/>
            <w:gridSpan w:val="5"/>
          </w:tcPr>
          <w:p>
            <w:pPr>
              <w:spacing w:after="0"/>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6"/>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Deficit</w:t>
            </w:r>
          </w:p>
        </w:tc>
        <w:tc>
          <w:tcPr>
            <w:tcW w:w="1020" w:type="dxa"/>
            <w:vAlign w:val="bottom"/>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84"/>
              </w:rPr>
              <w:t>Income (Loss)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January 31, 2018</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118,693</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351,016</w:t>
            </w: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44,231</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4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8,482</w:t>
            </w:r>
          </w:p>
        </w:tc>
        <w:tc>
          <w:tcPr>
            <w:tcW w:w="40" w:type="dxa"/>
            <w:vAlign w:val="bottom"/>
            <w:shd w:val="clear" w:color="auto" w:fill="CCEEFF"/>
          </w:tcPr>
          <w:p>
            <w:pPr>
              <w:spacing w:after="0"/>
              <w:rPr>
                <w:sz w:val="12"/>
                <w:szCs w:val="12"/>
                <w:color w:val="auto"/>
              </w:rPr>
            </w:pPr>
          </w:p>
        </w:tc>
        <w:tc>
          <w:tcPr>
            <w:tcW w:w="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(378,948)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57"/>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970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(369,474)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Cumulative effect of accounting change</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gridSpan w:val="3"/>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Issuance of Series E redeemable convertible</w:t>
            </w: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preferred stock, net of issuance costs of $104</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12,150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8"/>
              </w:rPr>
              <w:t>199,896</w:t>
            </w:r>
          </w:p>
        </w:tc>
        <w:tc>
          <w:tcPr>
            <w:tcW w:w="10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w w:val="94"/>
              </w:rPr>
              <w:t>Issuance of common stock upon exercise of options</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gridSpan w:val="3"/>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1,198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1,514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5"/>
              </w:rPr>
              <w:t>Issuance of common stock related to early exercise</w:t>
            </w: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options</w:t>
            </w:r>
          </w:p>
        </w:tc>
        <w:tc>
          <w:tcPr>
            <w:tcW w:w="5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3"/>
                <w:szCs w:val="13"/>
                <w:color w:val="auto"/>
              </w:rPr>
            </w:pPr>
          </w:p>
        </w:tc>
        <w:tc>
          <w:tcPr>
            <w:tcW w:w="80" w:type="dxa"/>
            <w:vAlign w:val="bottom"/>
            <w:gridSpan w:val="3"/>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Issuance of restricted stock awards</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gridSpan w:val="3"/>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Vesting of early exercised options</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gridSpan w:val="3"/>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gridSpan w:val="3"/>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3,943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Repurchase of stock options</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gridSpan w:val="3"/>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(2,330)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Net loss</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gridSpan w:val="3"/>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(66,494)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(66,494)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July 31, 2018</w:t>
            </w: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130,843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8"/>
              </w:rPr>
              <w:t>550,912</w:t>
            </w: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45,609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11,814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(445,543)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gridSpan w:val="2"/>
          </w:tcPr>
          <w:p>
            <w:pPr>
              <w:jc w:val="right"/>
              <w:ind w:right="57"/>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278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(433,429)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358140</wp:posOffset>
            </wp:positionV>
            <wp:extent cx="608012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660"/>
          </w:cols>
          <w:pgMar w:left="1120" w:top="517" w:right="11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jc w:val="center"/>
        <w:spacing w:after="0" w:line="226" w:lineRule="auto"/>
        <w:rPr>
          <w:sz w:val="20"/>
          <w:szCs w:val="20"/>
          <w:color w:val="auto"/>
        </w:rPr>
      </w:pPr>
      <w:r>
        <w:rPr>
          <w:rFonts w:ascii="Arial" w:cs="Arial" w:eastAsia="Arial" w:hAnsi="Arial"/>
          <w:sz w:val="14"/>
          <w:szCs w:val="14"/>
          <w:b w:val="1"/>
          <w:bCs w:val="1"/>
          <w:color w:val="auto"/>
        </w:rPr>
        <w:t>Condensed Consolidated Statements of Cash Flows</w:t>
      </w:r>
    </w:p>
    <w:p>
      <w:pPr>
        <w:jc w:val="center"/>
        <w:spacing w:after="0" w:line="222" w:lineRule="auto"/>
        <w:rPr>
          <w:sz w:val="20"/>
          <w:szCs w:val="20"/>
          <w:color w:val="auto"/>
        </w:rPr>
      </w:pPr>
      <w:r>
        <w:rPr>
          <w:rFonts w:ascii="Arial" w:cs="Arial" w:eastAsia="Arial" w:hAnsi="Arial"/>
          <w:sz w:val="14"/>
          <w:szCs w:val="14"/>
          <w:i w:val="1"/>
          <w:iCs w:val="1"/>
          <w:color w:val="auto"/>
        </w:rPr>
        <w:t>(in thousands)</w:t>
      </w:r>
    </w:p>
    <w:p>
      <w:pPr>
        <w:jc w:val="center"/>
        <w:spacing w:after="0"/>
        <w:rPr>
          <w:sz w:val="20"/>
          <w:szCs w:val="20"/>
          <w:color w:val="auto"/>
        </w:rPr>
      </w:pPr>
      <w:r>
        <w:rPr>
          <w:rFonts w:ascii="Arial" w:cs="Arial" w:eastAsia="Arial" w:hAnsi="Arial"/>
          <w:sz w:val="14"/>
          <w:szCs w:val="14"/>
          <w:i w:val="1"/>
          <w:iCs w:val="1"/>
          <w:color w:val="auto"/>
        </w:rPr>
        <w:t>(unaudited)</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right"/>
              <w:ind w:right="232"/>
              <w:spacing w:after="0" w:line="157" w:lineRule="exact"/>
              <w:rPr>
                <w:sz w:val="20"/>
                <w:szCs w:val="20"/>
                <w:color w:val="auto"/>
              </w:rPr>
            </w:pPr>
            <w:r>
              <w:rPr>
                <w:rFonts w:ascii="Arial" w:cs="Arial" w:eastAsia="Arial" w:hAnsi="Arial"/>
                <w:sz w:val="14"/>
                <w:szCs w:val="14"/>
                <w:b w:val="1"/>
                <w:bCs w:val="1"/>
                <w:color w:val="auto"/>
                <w:w w:val="91"/>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4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(77,866)</w:t>
            </w:r>
          </w:p>
        </w:tc>
        <w:tc>
          <w:tcPr>
            <w:tcW w:w="40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(66,494)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10,193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6,424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intangible assets</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100"/>
              <w:spacing w:after="0" w:line="149" w:lineRule="exact"/>
              <w:rPr>
                <w:sz w:val="20"/>
                <w:szCs w:val="20"/>
                <w:color w:val="auto"/>
              </w:rPr>
            </w:pPr>
            <w:r>
              <w:rPr>
                <w:rFonts w:ascii="Arial" w:cs="Arial" w:eastAsia="Arial" w:hAnsi="Arial"/>
                <w:sz w:val="14"/>
                <w:szCs w:val="14"/>
                <w:color w:val="auto"/>
              </w:rPr>
              <w:t>Amortization of deferred contract acquisition costs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15,076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11,991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 in fair value of redeemable convertible preferred stock warrant liability</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100"/>
              <w:spacing w:after="0" w:line="149" w:lineRule="exact"/>
              <w:rPr>
                <w:sz w:val="20"/>
                <w:szCs w:val="20"/>
                <w:color w:val="auto"/>
              </w:rPr>
            </w:pPr>
            <w:r>
              <w:rPr>
                <w:rFonts w:ascii="Arial" w:cs="Arial" w:eastAsia="Arial" w:hAnsi="Arial"/>
                <w:sz w:val="14"/>
                <w:szCs w:val="14"/>
                <w:color w:val="auto"/>
              </w:rPr>
              <w:t>Allowance for doubtful accounts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 expense</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33,611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100"/>
              <w:spacing w:after="0" w:line="149" w:lineRule="exact"/>
              <w:rPr>
                <w:sz w:val="20"/>
                <w:szCs w:val="20"/>
                <w:color w:val="auto"/>
              </w:rPr>
            </w:pPr>
            <w:r>
              <w:rPr>
                <w:rFonts w:ascii="Arial" w:cs="Arial" w:eastAsia="Arial" w:hAnsi="Arial"/>
                <w:sz w:val="14"/>
                <w:szCs w:val="14"/>
                <w:color w:val="auto"/>
              </w:rPr>
              <w:t>Accretion of marketable securities purchased at a discount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(960)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Non-cash interest expense</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1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(22,802)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200"/>
              <w:spacing w:after="0" w:line="149" w:lineRule="exact"/>
              <w:rPr>
                <w:sz w:val="20"/>
                <w:szCs w:val="20"/>
                <w:color w:val="auto"/>
              </w:rPr>
            </w:pPr>
            <w:r>
              <w:rPr>
                <w:rFonts w:ascii="Arial" w:cs="Arial" w:eastAsia="Arial" w:hAnsi="Arial"/>
                <w:sz w:val="14"/>
                <w:szCs w:val="14"/>
                <w:color w:val="auto"/>
              </w:rPr>
              <w:t>Deferred contract acquisition costs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(27,788)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 assets</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(5,897)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(7,703)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200"/>
              <w:spacing w:after="0" w:line="149" w:lineRule="exact"/>
              <w:rPr>
                <w:sz w:val="20"/>
                <w:szCs w:val="20"/>
                <w:color w:val="auto"/>
              </w:rPr>
            </w:pPr>
            <w:r>
              <w:rPr>
                <w:rFonts w:ascii="Arial" w:cs="Arial" w:eastAsia="Arial" w:hAnsi="Arial"/>
                <w:sz w:val="14"/>
                <w:szCs w:val="14"/>
                <w:color w:val="auto"/>
              </w:rPr>
              <w:t>Accrued payroll and benefits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773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revenue</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79,362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Other liabilities, noncurrent</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Net cash used in operating activities</w:t>
            </w:r>
          </w:p>
        </w:tc>
        <w:tc>
          <w:tcPr>
            <w:tcW w:w="2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(4,799)</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(35,137)</w:t>
            </w:r>
          </w:p>
        </w:tc>
        <w:tc>
          <w:tcPr>
            <w:tcW w:w="0" w:type="dxa"/>
            <w:vAlign w:val="bottom"/>
          </w:tcPr>
          <w:p>
            <w:pPr>
              <w:spacing w:after="0"/>
              <w:rPr>
                <w:sz w:val="1"/>
                <w:szCs w:val="1"/>
                <w:color w:val="auto"/>
              </w:rPr>
            </w:pPr>
          </w:p>
        </w:tc>
      </w:tr>
      <w:tr>
        <w:trPr>
          <w:trHeight w:val="142"/>
        </w:trPr>
        <w:tc>
          <w:tcPr>
            <w:tcW w:w="6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Investing activities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(37,159)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Capitalized internal-use software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(3,310)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marketable securities</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(117,572)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Proceeds from sales of marketable securities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4,473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Maturities of marketable securities</w:t>
            </w:r>
          </w:p>
        </w:tc>
        <w:tc>
          <w:tcPr>
            <w:tcW w:w="2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123,314</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Net cash used in investing activities</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(30,254)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(94,873)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Financing activities</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Proceeds from the issuance of common stock upon initial public offering, net of underwriting discounts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665,092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the issuance of redeemable convertible preferred stock, net of issuance costs</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Repayment of loan payable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revolving line of credit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Repayment of revolving line of credit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notes receivable from related parties</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Payments of indemnity holdback</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stock options</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Payments of deferred offering costs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(4,080)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common stock upon exercise of stock options</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Proceeds from the issuance of common stock upon exercise of early exercisable stock options</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10,264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2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679,802</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182,620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foreign exchange rates on cash and cash equivalents</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Net increase in cash and cash equivalents</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644,400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52,355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2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88,408</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63,179</w:t>
            </w:r>
          </w:p>
        </w:tc>
        <w:tc>
          <w:tcPr>
            <w:tcW w:w="0" w:type="dxa"/>
            <w:vAlign w:val="bottom"/>
          </w:tcPr>
          <w:p>
            <w:pPr>
              <w:spacing w:after="0"/>
              <w:rPr>
                <w:sz w:val="1"/>
                <w:szCs w:val="1"/>
                <w:color w:val="auto"/>
              </w:rPr>
            </w:pPr>
          </w:p>
        </w:tc>
      </w:tr>
      <w:tr>
        <w:trPr>
          <w:trHeight w:val="182"/>
        </w:trPr>
        <w:tc>
          <w:tcPr>
            <w:tcW w:w="668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280" w:type="dxa"/>
            <w:vAlign w:val="bottom"/>
          </w:tcPr>
          <w:p>
            <w:pPr>
              <w:spacing w:after="0"/>
              <w:rPr>
                <w:sz w:val="15"/>
                <w:szCs w:val="15"/>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732,808</w:t>
            </w:r>
          </w:p>
        </w:tc>
        <w:tc>
          <w:tcPr>
            <w:tcW w:w="200" w:type="dxa"/>
            <w:vAlign w:val="bottom"/>
          </w:tcPr>
          <w:p>
            <w:pPr>
              <w:spacing w:after="0"/>
              <w:rPr>
                <w:sz w:val="15"/>
                <w:szCs w:val="15"/>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115,534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6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Interest paid</w:t>
            </w:r>
          </w:p>
        </w:tc>
        <w:tc>
          <w:tcPr>
            <w:tcW w:w="4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0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320"/>
              <w:spacing w:after="0" w:line="149" w:lineRule="exact"/>
              <w:rPr>
                <w:sz w:val="20"/>
                <w:szCs w:val="20"/>
                <w:color w:val="auto"/>
              </w:rPr>
            </w:pPr>
            <w:r>
              <w:rPr>
                <w:rFonts w:ascii="Arial" w:cs="Arial" w:eastAsia="Arial" w:hAnsi="Arial"/>
                <w:sz w:val="14"/>
                <w:szCs w:val="14"/>
                <w:color w:val="auto"/>
              </w:rPr>
              <w:t>Income taxes paid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Indemnity holdback consideration associated with business combinations</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320"/>
              <w:spacing w:after="0" w:line="149" w:lineRule="exact"/>
              <w:rPr>
                <w:sz w:val="20"/>
                <w:szCs w:val="20"/>
                <w:color w:val="auto"/>
              </w:rPr>
            </w:pPr>
            <w:r>
              <w:rPr>
                <w:rFonts w:ascii="Arial" w:cs="Arial" w:eastAsia="Arial" w:hAnsi="Arial"/>
                <w:sz w:val="14"/>
                <w:szCs w:val="14"/>
                <w:color w:val="auto"/>
              </w:rPr>
              <w:t>Contingent consideration associated with business combinations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Conversion of redeemable convertible preferred stock to common stock</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659,207</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320"/>
              <w:spacing w:after="0" w:line="149" w:lineRule="exact"/>
              <w:rPr>
                <w:sz w:val="20"/>
                <w:szCs w:val="20"/>
                <w:color w:val="auto"/>
              </w:rPr>
            </w:pPr>
            <w:r>
              <w:rPr>
                <w:rFonts w:ascii="Arial" w:cs="Arial" w:eastAsia="Arial" w:hAnsi="Arial"/>
                <w:sz w:val="14"/>
                <w:szCs w:val="14"/>
                <w:color w:val="auto"/>
                <w:w w:val="92"/>
              </w:rPr>
              <w:t>Conversion of redeemable convertible preferred stock warrant liabilities reclassified to additional paid-in capital</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10,559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decrease in deferred offering costs, accrued but not paid</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60" w:type="dxa"/>
            <w:vAlign w:val="bottom"/>
          </w:tcPr>
          <w:p>
            <w:pPr>
              <w:ind w:left="320"/>
              <w:spacing w:after="0"/>
              <w:rPr>
                <w:sz w:val="20"/>
                <w:szCs w:val="20"/>
                <w:color w:val="auto"/>
              </w:rPr>
            </w:pPr>
            <w:r>
              <w:rPr>
                <w:rFonts w:ascii="Arial" w:cs="Arial" w:eastAsia="Arial" w:hAnsi="Arial"/>
                <w:sz w:val="14"/>
                <w:szCs w:val="14"/>
                <w:color w:val="auto"/>
              </w:rPr>
              <w:t>Net increase in property and equipment included in accounts payable and accrued expenses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3,820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Description of Business and Basis of Presentation</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CrowdStrike Holdings, Inc. (the “Company”) was formed on November 7, 2011. The Company provides a leading cloud-delivered solution for next-generation endpoint protection that offers 10 cloud modules on its Falcon platform via a SaaS subscription-based model that spans multiple large security markets, including endpoint security, security and IT operations (including vulnerability management), and threat intelligence. The Company is headquartered in Sunnyvale, California. The Company conducts its business in the United States, as well as locations internationally, including in Australia, Germany, India, Romania, and the United Kingdom.</w:t>
      </w:r>
    </w:p>
    <w:p>
      <w:pPr>
        <w:spacing w:after="0" w:line="193"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On June 14, 2019, the Company closed its initial public offering ("IPO"), in which it sold 20,700,000 shares of Class A common stock. The shares were sold at a public offering price of $34.00 per share for net proceeds of $659.2 million, after deducting underwriters’ discounts and commissions and offering expenses of $44.8 million. Immediately prior to the closing of the IPO, all outstanding shares of redeemable convertible preferred stock automatically converted</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into 131,267,586 shares of Class B common stock on a one-to-one basis. Additionally, in connection with the IPO all of the Company’s outstanding common stock was reclassified into shares of Class B common stock on a one-for-one basis. Redeemable convertible preferred stock warrants also converted into 336,386 warrants to purchase Class B common stock on a one-to-one basis.</w:t>
      </w:r>
    </w:p>
    <w:p>
      <w:pPr>
        <w:spacing w:after="0" w:line="190" w:lineRule="exact"/>
        <w:rPr>
          <w:sz w:val="20"/>
          <w:szCs w:val="20"/>
          <w:color w:val="auto"/>
        </w:rPr>
      </w:pPr>
    </w:p>
    <w:p>
      <w:pPr>
        <w:ind w:left="660" w:right="5520" w:hanging="651"/>
        <w:spacing w:after="0" w:line="501" w:lineRule="auto"/>
        <w:tabs>
          <w:tab w:leader="none" w:pos="237"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Basis of Presentation</w:t>
      </w:r>
    </w:p>
    <w:p>
      <w:pPr>
        <w:ind w:right="160" w:firstLine="648"/>
        <w:spacing w:after="0" w:line="269" w:lineRule="auto"/>
        <w:rPr>
          <w:sz w:val="20"/>
          <w:szCs w:val="20"/>
          <w:color w:val="auto"/>
        </w:rPr>
      </w:pPr>
      <w:r>
        <w:rPr>
          <w:rFonts w:ascii="Arial" w:cs="Arial" w:eastAsia="Arial" w:hAnsi="Arial"/>
          <w:sz w:val="17"/>
          <w:szCs w:val="17"/>
          <w:color w:val="auto"/>
        </w:rPr>
        <w:t>The accompanying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2019,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adjustments (consisting only of normal recurring adjustments) that are necessary for the fair statement of the Company’s condensed consolidated financial information. The results of operations for the three and six months ended July 31, 2019 are not necessarily indicative of the results to be expected for the year ending January 31, 2020 or for any other interim period or for any other future year.</w:t>
      </w:r>
    </w:p>
    <w:p>
      <w:pPr>
        <w:spacing w:after="0" w:line="18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accompanying interim unaudited condensed consolidated financial statements and related financial information should be read in conjunction with the audited consolidated financial statements and the related notes thereto for the year ended January 31, 2019 included in the Company’s prospectus dated June 11, 2019 filed with the SEC pursuant to Rule 424(b) under the Securities Act of 1933, as amended.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The condensed consolidated financial statements include the accounts of the Company and its wholly owned subsidiaries. All intercompany balances and transactions have been eliminated in consolidation.</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U.S. GAAP have been condensed or omitted pursuant to the applicable required disclosures and regulations of the SEC. Therefore, these unaudited condensed consolidated financial statements should be read in conjunction with the audited consolidated financial statements and the related notes thereto as of and for the year ended January 31, 2019, included in the Company’s prospectus dated June 11, 2019.</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("JOBS Act"). An EGC may take advantage of specified reduced reporting requirements that are otherwise applicable generally to public companies, including, but not limited to, delayed adoption of new or revised accounting pronouncements applicable to public companies until such pronouncements are made applicable to private companies, not being required to comply with the auditor attestation requirements of Section 404 of the Sarbanes-Oxley Act of 2002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7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Company may take advantage of these exemptions until it is no longer an EGC. The Company would cease to be an EGC upon the earliest to occur of: (i) the first fiscal year following the fifth anniversary of its initial public offering;</w:t>
      </w:r>
    </w:p>
    <w:p>
      <w:pPr>
        <w:ind w:right="20" w:firstLine="9"/>
        <w:spacing w:after="0" w:line="252"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first fiscal year after annual gross revenue is $1.0 billion or more; (iii) the date on which the Company has, during the previous three-year period, issued more than $1.07 billion in non-convertible debt securities; or (iv) the date on which the Company qualifies as a "large accelerated filer," as defined in Rule 12b-2 under the Exchange Act, which would occur at the end of any fiscal year in which the market value of the Company’s common stock held by non-affiliates exceeded $700.0 million as of the end of the second quarter of that fiscal year, and as of the end of such fiscal year the Company has been a reporting company for at least 12 months.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 could be material to the Company’s condensed consolidated financial statements.</w:t>
      </w:r>
    </w:p>
    <w:p>
      <w:pPr>
        <w:spacing w:after="0" w:line="15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Significant estimates and assumptions used by management affect revenue recognition, the allowance for doubtful accounts, the carrying value of long-lived assets, the useful lives of long-lived assets, the fair value of financial instruments, the period of benefit for deferred contract acquisition costs, the recognition and disclosure of contingent liabilities, the provision for income taxes and related deferred taxes, stock-based compensation, and the fair value of the Company’s common stock and redeemable convertible preferred stock warrants.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Geographic Information</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 Due to the nature of the Company’s services and the terms and conditions of the Company’s contracts with its channel partners, the Company’s business could be affected unfavorably if it is not able to continue its relationships with them.</w:t>
      </w:r>
    </w:p>
    <w:p>
      <w:pPr>
        <w:spacing w:after="0" w:line="17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cash equivalents and accounts receivable. The Company’s cash is placed with high-credit-quality financial institutions and issuers, and at times exceed federally insured limits. The Company limits its concentration of risk in cash equivalents and marketable securities by diversifying its investments among a variety of industries and issuers. The Company has not experienced any credit loss relating to its cash equivalents and marketable securities. The Company performs periodic credit evaluations of its customers and generally does not require collateral.</w:t>
      </w:r>
    </w:p>
    <w:p>
      <w:pPr>
        <w:spacing w:after="0" w:line="17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No channel partner or direct customer accounted for 10% or more of the Company’s consolidated accounts receivable as of July 31, 2019. There are no channel partners who accounted for 10% or more of the Company’s consolidated accounts receivable as of January 31, 2019. Outstanding accounts receivable from two of the Company’s direct customers accounted for 10% and 19% of its consolidated accounts receivable as of January 31, 2019.</w:t>
      </w:r>
    </w:p>
    <w:p>
      <w:pPr>
        <w:sectPr>
          <w:pgSz w:w="11900" w:h="16838" w:orient="portrait"/>
          <w:cols w:equalWidth="0" w:num="1">
            <w:col w:w="9040"/>
          </w:cols>
          <w:pgMar w:left="1420" w:top="517" w:right="14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Revenue from sales to one of the Company’s channel partners accounted for 11% and 15% of its consolidated revenue for the three months ended July 31, 2019 and July 31, 2018, respectively, and 11% and 16% for the six months ended July 31, 2019 and July 31, 2018, respectively.</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were no direct customers who represented 10% or more of the Company’s total revenue during the three and six months ended July 31, 2019 and July 31,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Equivalents and Marketable Securities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Company considers all highly liquid investments with original maturities of three months or less at date of purchase to be cash equivalents. Cash equivalents as of July 31, 2019 and January 31, 2019 consisted of corporate debt securities and money market funds stated at fair value. The Company classifies investments in marketable securities as available-for-sale securities at the time of purchase, since it is the Company’s intent that these investments are available to support current operations. Marketable securities are classified as current or long-term based on the nature of the investments and their availability for use in current operations. Available-for-sale securities are carried at fair value with unrealized gains and losses, if any, included in accumulated other comprehensive income (loss). Unrealized losses are recorded in other income (expense), net, for declines in fair value below the cost of an individual investment that is deemed to be other-than-temporary. The Company did not identify any marketable securities as other-than-temporarily impaired as of July 31, 2019 and January 31, 2019. The Company determines realized gains or losses on the sale of marketable securities on a specific identification method and records such gains or losses in Other expense, net. Marketable securities as of July 31, 2019 and January 31, 2019 consisted of corporate debt securities and U.S. treasury securities.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July 2019, the Company agreed to commit up to $10.0 million to a newly formed entity, CrowdStrike Falcon Fund LLC (“Falcon Fund”) in exchange for 50% of the sharing percentage of any distribution by Falcon Fund. Entities associated with Accel, a holder of more than 5% of the Company’s capital stock, also agreed to commit up to $10.0 million to Falcon Fund, and collectively own the remaining 50% of the sharing percentage of Falcon Fund. Falcon Fund is in the business of purchasing, selling, investing and trading in minority equity and convertible debt securities of privately-held companies that develop applications that have potential for substantial contribution to CrowdStrike and its platform. The Company is the manager of the Falcon Fund and controls the investment decisions and day-to-day operations. Falcon Fund has a duration of ten years and may be extended for three additional years. At dissolution, Falcon Fund will be liquidated and the remaining assets will be distributed to the investors based on their respective sharing percentage. As of July 31, 2019, the Company had not made a contribution to Falcon Fund. The Company has elected the measurement alternative, defined as cost, less any impairment, plus or minus changes resulting from observable price changes in orderly transactions for the identical or a similar investment of the same issuer. The Company’s investment in Falcon Fund will be valued using significant unobservable inputs or data in inactive markets which require judgment due to the absence of market prices and inherent lack of liquidity. As a result, there could be volatility in the Company’s consolidated statements of operations in future periods due to the valuation and timing of identical or similar investments of the same issuer.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The Company’s financial instruments consist of cash equivalents, marketable securities, accounts receivable, accounts payable, accrued expenses, and redeemable convertible preferred stock warrant liability. The carrying values of cash equivalents, accounts receivable, accounts payable, and accrued expenses approximate fair value due to their short-term nature. Refer to Note 3, </w:t>
      </w:r>
      <w:r>
        <w:rPr>
          <w:rFonts w:ascii="Arial" w:cs="Arial" w:eastAsia="Arial" w:hAnsi="Arial"/>
          <w:sz w:val="18"/>
          <w:szCs w:val="18"/>
          <w:i w:val="1"/>
          <w:iCs w:val="1"/>
          <w:color w:val="auto"/>
        </w:rPr>
        <w:t>Fair Value Measurements and Marketable Securities</w:t>
      </w:r>
      <w:r>
        <w:rPr>
          <w:rFonts w:ascii="Arial" w:cs="Arial" w:eastAsia="Arial" w:hAnsi="Arial"/>
          <w:sz w:val="18"/>
          <w:szCs w:val="18"/>
          <w:color w:val="auto"/>
        </w:rPr>
        <w:t xml:space="preserve"> regarding the fair value of the Company’s marketable securities.</w:t>
      </w:r>
    </w:p>
    <w:p>
      <w:pPr>
        <w:spacing w:after="0" w:line="188" w:lineRule="exact"/>
        <w:rPr>
          <w:sz w:val="20"/>
          <w:szCs w:val="20"/>
          <w:color w:val="auto"/>
        </w:rPr>
      </w:pPr>
    </w:p>
    <w:p>
      <w:pPr>
        <w:jc w:val="both"/>
        <w:ind w:right="300" w:firstLine="648"/>
        <w:spacing w:after="0" w:line="302" w:lineRule="auto"/>
        <w:rPr>
          <w:sz w:val="20"/>
          <w:szCs w:val="20"/>
          <w:color w:val="auto"/>
        </w:rPr>
      </w:pPr>
      <w:r>
        <w:rPr>
          <w:rFonts w:ascii="Arial" w:cs="Arial" w:eastAsia="Arial" w:hAnsi="Arial"/>
          <w:sz w:val="16"/>
          <w:szCs w:val="16"/>
          <w:color w:val="auto"/>
        </w:rPr>
        <w:t xml:space="preserve">The Company reports the redeemable convertible preferred stock warrant liability at fair value (see Note 3, </w:t>
      </w:r>
      <w:r>
        <w:rPr>
          <w:rFonts w:ascii="Arial" w:cs="Arial" w:eastAsia="Arial" w:hAnsi="Arial"/>
          <w:sz w:val="16"/>
          <w:szCs w:val="16"/>
          <w:i w:val="1"/>
          <w:iCs w:val="1"/>
          <w:color w:val="auto"/>
        </w:rPr>
        <w:t>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Measurements</w:t>
      </w:r>
      <w:r>
        <w:rPr>
          <w:rFonts w:ascii="Arial" w:cs="Arial" w:eastAsia="Arial" w:hAnsi="Arial"/>
          <w:sz w:val="16"/>
          <w:szCs w:val="16"/>
          <w:color w:val="auto"/>
        </w:rPr>
        <w:t>). The warrants issued by the Company for redeemable convertible preferred stock in January 2015,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December 2016, and March 2017 (see Note 7, </w:t>
      </w:r>
      <w:r>
        <w:rPr>
          <w:rFonts w:ascii="Arial" w:cs="Arial" w:eastAsia="Arial" w:hAnsi="Arial"/>
          <w:sz w:val="16"/>
          <w:szCs w:val="16"/>
          <w:i w:val="1"/>
          <w:iCs w:val="1"/>
          <w:color w:val="auto"/>
        </w:rPr>
        <w:t>Redeemable Convertible Preferred Stock</w:t>
      </w:r>
      <w:r>
        <w:rPr>
          <w:rFonts w:ascii="Arial" w:cs="Arial" w:eastAsia="Arial" w:hAnsi="Arial"/>
          <w:sz w:val="16"/>
          <w:szCs w:val="16"/>
          <w:color w:val="auto"/>
        </w:rPr>
        <w:t>) have been recorded as a liability based on “Level 3” inputs, which consist of unobservable inputs and reflect management’s estimates of</w:t>
      </w:r>
    </w:p>
    <w:p>
      <w:pPr>
        <w:sectPr>
          <w:pgSz w:w="11900" w:h="16838" w:orient="portrait"/>
          <w:cols w:equalWidth="0" w:num="1">
            <w:col w:w="9040"/>
          </w:cols>
          <w:pgMar w:left="1420" w:top="517" w:right="14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assumptions that market participants would use in pricing the liability. The fair value of the warrants was determined using the Black-Scholes option-pricing model, which is affected by changes in inputs to that model including the Company’s stock price, expected stock price volatility, risk-free rate, and contractual term.</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Accounts receivable are recorded at the invoiced amount and are non-interest bearing. Accounts receivable are stated at their net realizable value, net of an allowance for doubtful accounts. The Company has a well-established collections history from its customers. Credit is extended to customers based on an evaluation of their financial condition and other factors. The Company generally does not require collateral from its customers; however, the Company may require payment prior to commencing service in certain instances to limit credit risk. The Company records an allowance for doubtful accounts based on management’s assessment of the collectability of accounts. Management regularly reviews the adequacy of the allowance for doubtful accounts by considering the age of each outstanding invoice, each customer’s expected ability to pay, and the collection history with each customer, when applicable, to determine whether the allowance is appropriate. Amounts deemed uncollectible are written off against the allowance for doubtful accounts. As of July 31, 2019 and January 31, 2019, the allowance for doubtful accounts was $1.0 million.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ind w:firstLine="363"/>
        <w:spacing w:after="0" w:line="255" w:lineRule="auto"/>
        <w:rPr>
          <w:sz w:val="20"/>
          <w:szCs w:val="20"/>
          <w:color w:val="auto"/>
        </w:rPr>
      </w:pPr>
      <w:r>
        <w:rPr>
          <w:rFonts w:ascii="Arial" w:cs="Arial" w:eastAsia="Arial" w:hAnsi="Arial"/>
          <w:sz w:val="18"/>
          <w:szCs w:val="18"/>
          <w:color w:val="auto"/>
        </w:rPr>
        <w:t>Deferred offering costs of $2.9 million have been recorded as other assets on the condensed consolidated balance sheet as of January 31, 2019, and consist of expenses incurred in connection with the Company’s IPO, including legal, accounting, printing, and other IPO-related costs. Subsequent to January 31, 2019, the Company capitalized an additional $3.0 million of offering costs. Upon the close of the IPO on June 14, 2019, all of these deferred offering costs were reclassified to stockholders’ equity and recorded against the proceeds from the offering. As of July 31, 2019, the Company had paid $4.1 million of these deferred offering costs.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Property and equipment, net, is stated at historical cost less accumulated depreciation and amortization. Depreciation and amortization are calculated using the straight-line method over the estimated useful lives of the assets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Data center and other computer equipment</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526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Capitalized internal-use software</w:t>
            </w:r>
          </w:p>
        </w:tc>
        <w:tc>
          <w:tcPr>
            <w:tcW w:w="526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Estimated useful life or term of the lease, whichever is shorter</w:t>
            </w:r>
          </w:p>
        </w:tc>
      </w:tr>
    </w:tbl>
    <w:p>
      <w:pPr>
        <w:spacing w:after="0" w:line="20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Expenditures for routine maintenance and repairs are charged to operating expense as incurred. Major renewals and improvements are capitalized and depreciated over their estimated useful lives. Upon retirement or other disposition of property and equipment, the cost and accumulated depreciation are removed from the accounts, and any gain or loss is recorded in operating expenses in the condensed consolidated statements of operations.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Capitalized Internal-Use Software</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Company capitalizes certain development costs incurred in connection with its internal-use software. These capitalized costs are primarily related to the Company’s cloud-delivered solution for next-generation endpoint protection. Costs incurred in the preliminary stages of development are expensed as incurred. Once an application has reached the development stage, internal and external costs, if direct, are capitalized until the software is substantially complete and ready for its intended use. Capitalization ceases upon completion of all substantial testing. The Company also capitalizes costs related to specific upgrades and enhancements when it is probable the expenditures will result in additional functionality. Capitalized costs are recorded as property and equipment, net. Maintenance and training costs are expensed as incurred. Internal-use software is amortized to cost of revenue on a straight-line basis over its estimated useful life of three years. Management evaluates the useful lives of these assets on an annual basis and tests for</w:t>
      </w:r>
    </w:p>
    <w:p>
      <w:pPr>
        <w:sectPr>
          <w:pgSz w:w="11900" w:h="16838" w:orient="portrait"/>
          <w:cols w:equalWidth="0" w:num="1">
            <w:col w:w="9060"/>
          </w:cols>
          <w:pgMar w:left="1420" w:top="517" w:right="14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impairment whenever events or changes in circumstances occur that could impact the recoverability of these assets. There were no impairments of internal-use software during the three months ended July 31, 2019 and July 31, 2018. The Company capitalized $1.5 million in internal-use software during the three months ended July 31, 2019 and July 31, 2018, and $3.5 million and $3.2 million during the six months ended July 31, 2019 and July 31, 2018, respectively. Amortization expense associated with internal-use software totaled $1.6 million and $1.2 million during the three months ended July 31, 2019 and July 31, 2018, respectively, and $3.0 million and $2.3 million during the six months ended July 31, 2019 and July 31, 2018, respectively. The net book value of capitalized internal-use software was $12.0 million and $11.5 million as of July 31, 2019 and January 31, 2019, respectively.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Intangible assets, net, consisting of developed technology, customer relationships, and non-compete agreements, are stated at cost less accumulated amortization. All intangible assets have been determined to have definite lives and are amortized on a straight-line basis over their estimated economic lives of three to five years. Amortization expense related to developed technology is included in cost of revenue, amortization expense related to customer relationships is included in sales and marketing expenses, and amortization expense related to non-compete agreements is included in research and development expenses.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Contract Acquisition Costs</w:t>
      </w:r>
    </w:p>
    <w:p>
      <w:pPr>
        <w:spacing w:after="0" w:line="22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Company capitalizes contract acquisition costs that are incremental to the acquisition of customer contracts. Contract acquisition costs are accrued and capitalized upon execution of the sales contract by the customer. 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channel partners, paid upon the initial acquisition of a contract or subsequent upsell are amortized over an estimated period of benefit of four years while commissions paid for renewal contracts are amortized over the contractual term of the renewals. Sales commissions associated with professional service contract are amortized ratably over an estimated period of benefit of six months. Amortization of deferred contract acquisition costs is recognized on a straight-line basis commensurate with the pattern of revenue recognition and included in sales and marketing expense in the condensed consolidated statements of operations. The Company capitalized contract acquisition costs of $19.3 million, which is under ASC606, and $9.3 million, which is under ASC 605, during the three months ended July 31, 2019 and July 31, 2018, respectively, and $27.8 million, which is under ASC 606, and $14.3 million, which is under ASC 605, during the six months ended July 31, 2019 and July 31, 2018, respectively. Contract acquisition cost amortization expense was $7.7 million, which is under ASC 606, and $6.4 million, which was under ASC 605, during the three months ended July 31, 2019 and July 31, 2018, respectively, and $15.1 million, which is under ASC 606, and $12.0 million, which was under ASC 605, during the six months ended July 31, 2019 and July 31, 2018,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reviews for impairment of long-lived assets whenever events or changes in circumstances indicate that the carrying amount of the asset (or asset group) may not be recoverable. Events and changes in circumstances considered by the Company in determining whether the carrying value of long-lived assets may not be recoverable, include, but are not limited to: significant changes in performance relative to expected operating results, significant changes in the use of the assets, significant negative industry or economic trends, and changes in the Company’s business strategy. Impairment testing is performed at an asset level that represents the lowest level for which identifiable cash flows are largely independent of the cash flows of other assets and liabilities (an “asset group”). An impairment loss would be recognized when estimated future cash flows expected to result from the use of the asset (or asset group) and its eventual disposition is less than its carrying amount. No impairment indicators were identified by the Company and no impairment losses were recorded by the Company during the three and six months ended July 31, 2019 and July 31, 2018.</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deferred revenue balance consists of subscription and professional services which have been invoiced upfront and are recognized as revenue only when the revenue recognition criteria are met. The Company typically invoices its customers at the beginning of the term, or in some instances, such as in multi-year arrangements, in installments. Professional services are either invoiced upfront, invoiced in installments, or invoiced as the services are performed. Accordingly, the Company’s deferred revenue balance does not include revenues for future years of multi-year non-cancellable contracts that have not yet been billed.</w:t>
      </w:r>
    </w:p>
    <w:p>
      <w:pPr>
        <w:spacing w:after="0" w:line="193" w:lineRule="exact"/>
        <w:rPr>
          <w:sz w:val="20"/>
          <w:szCs w:val="20"/>
          <w:color w:val="auto"/>
        </w:rPr>
      </w:pPr>
    </w:p>
    <w:p>
      <w:pPr>
        <w:ind w:right="20" w:firstLine="648"/>
        <w:spacing w:after="0" w:line="320" w:lineRule="auto"/>
        <w:rPr>
          <w:sz w:val="20"/>
          <w:szCs w:val="20"/>
          <w:color w:val="auto"/>
        </w:rPr>
      </w:pPr>
      <w:r>
        <w:rPr>
          <w:rFonts w:ascii="Arial" w:cs="Arial" w:eastAsia="Arial" w:hAnsi="Arial"/>
          <w:sz w:val="15"/>
          <w:szCs w:val="15"/>
          <w:color w:val="auto"/>
        </w:rPr>
        <w:t>The Company recognizes subscription revenue ratably over the contract term beginning on the commencement date of each contract, the date that services are made available to customers. Once services are available to customers, the Company records amounts due in accounts receivable and in deferred revenue. To the extent the Company bills customers in advance of the contract commencement date, the accounts receivable and corresponding deferred revenue amounts are netted to zero on the condensed consolidated balance sheets, unless such amounts have been paid as of the balance sheet date.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Warrants related to the Company’s redeemable convertible preferred stock are classified as liabilities on the Company’s consolidated balance sheet. The warrants are subject to reassessment at each balance sheet date, and any change in fair value is recognized as a component of Other expense, net, in the condensed consolidated statements of operations. The Company will continue to adjust the liability for changes in fair value until the earlier of the expiration or exercise of the warrants, or upon their automatic conversion into warrants to purchase common stock in connection with a qualified initial public offering (as defined in Note 7, </w:t>
      </w:r>
      <w:r>
        <w:rPr>
          <w:rFonts w:ascii="Arial" w:cs="Arial" w:eastAsia="Arial" w:hAnsi="Arial"/>
          <w:sz w:val="17"/>
          <w:szCs w:val="17"/>
          <w:i w:val="1"/>
          <w:iCs w:val="1"/>
          <w:color w:val="auto"/>
        </w:rPr>
        <w:t>Redeemable Convertible Preferred Stock</w:t>
      </w:r>
      <w:r>
        <w:rPr>
          <w:rFonts w:ascii="Arial" w:cs="Arial" w:eastAsia="Arial" w:hAnsi="Arial"/>
          <w:sz w:val="17"/>
          <w:szCs w:val="17"/>
          <w:color w:val="auto"/>
        </w:rPr>
        <w:t>) such that they qualify for equity classification and no further remeasurement is required.</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Immediately prior to the closing of the IPO on June 14, 2019, the redeemable convertible preferred stock warrants also converted into 336,386 warrants to purchase Class B common stock on a one-to-one basis. The redeemable convertible preferred stock warrant liability was reclassified to additional paid-in capital. Within the same month, the Company received notice from the holders of 336,386 shares as to their intentions to convert the warrants into shares of common stock of the Company. Such shares were settled via net settlement method, which was elected by the holders to reduce the number of shares issued upon exercise to reflect net settlement of the exercise price, resulting in the issuance of 322,278 shares of the Company’s common stock.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 – ASC 606</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adopted ASC 606 on February 1, 2019, using the modified retrospective transition method. Under this method, results for reporting periods beginning on February 1, 2019 are presented under Topic 606, while prior period amounts are not adjusted and continue to be reported in accordance with prior accounting under Topic 605. The Company has shown the effect of applying ASC 606 for the three months ended July 31, 2019 and the six months ended July 31, 2019 in the disclosures below.</w:t>
      </w:r>
    </w:p>
    <w:p>
      <w:pPr>
        <w:spacing w:after="0" w:line="188"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Company recorded a cumulative effect adjustment to opening accumulated deficit of $23.4 million, net of tax, as of the date of adoption. The change resulted from a net decrease of $23.7 million in the amortization of deferred contract acquisition costs, which represented a $6.4 million decrease in short-term and $30.1 million increase in long-term deferred contract acquisition cost. This change was offset by a $0.3 million reduction in revenue.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following tables summarize the effect of the adoption of Topic 606 on the Company’s select line items included in the condensed consolidated financial statements as of and for the three months ended July 31, 2019 and the six months ended July 31, 2019, as if the previous accounting was in effect:</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ind w:right="1100"/>
        <w:spacing w:after="0" w:line="323" w:lineRule="auto"/>
        <w:rPr>
          <w:sz w:val="20"/>
          <w:szCs w:val="20"/>
          <w:color w:val="auto"/>
        </w:rPr>
      </w:pPr>
      <w:r>
        <w:rPr>
          <w:rFonts w:ascii="Arial" w:cs="Arial" w:eastAsia="Arial" w:hAnsi="Arial"/>
          <w:sz w:val="16"/>
          <w:szCs w:val="16"/>
          <w:color w:val="auto"/>
        </w:rPr>
        <w:t>Deferred contract acquisition costs, current Deferred contract acquisition costs, noncurrent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current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noncurrent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Sales and marketing</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July 31,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138"/>
              <w:spacing w:after="0" w:line="119" w:lineRule="exact"/>
              <w:rPr>
                <w:sz w:val="20"/>
                <w:szCs w:val="20"/>
                <w:color w:val="auto"/>
              </w:rPr>
            </w:pPr>
            <w:r>
              <w:rPr>
                <w:rFonts w:ascii="Arial" w:cs="Arial" w:eastAsia="Arial" w:hAnsi="Arial"/>
                <w:sz w:val="13"/>
                <w:szCs w:val="13"/>
                <w:b w:val="1"/>
                <w:bCs w:val="1"/>
                <w:color w:val="auto"/>
                <w:w w:val="98"/>
              </w:rPr>
              <w:t>As Reported</w:t>
            </w:r>
          </w:p>
        </w:tc>
        <w:tc>
          <w:tcPr>
            <w:tcW w:w="2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Impact of</w:t>
            </w:r>
          </w:p>
        </w:tc>
        <w:tc>
          <w:tcPr>
            <w:tcW w:w="1240" w:type="dxa"/>
            <w:vAlign w:val="bottom"/>
            <w:tcBorders>
              <w:top w:val="single" w:sz="8" w:color="auto"/>
            </w:tcBorders>
            <w:gridSpan w:val="2"/>
          </w:tcPr>
          <w:p>
            <w:pPr>
              <w:jc w:val="center"/>
              <w:ind w:left="2"/>
              <w:spacing w:after="0" w:line="119" w:lineRule="exact"/>
              <w:rPr>
                <w:sz w:val="20"/>
                <w:szCs w:val="20"/>
                <w:color w:val="auto"/>
              </w:rPr>
            </w:pPr>
            <w:r>
              <w:rPr>
                <w:rFonts w:ascii="Arial" w:cs="Arial" w:eastAsia="Arial" w:hAnsi="Arial"/>
                <w:sz w:val="13"/>
                <w:szCs w:val="13"/>
                <w:b w:val="1"/>
                <w:bCs w:val="1"/>
                <w:color w:val="auto"/>
              </w:rPr>
              <w:t>Without Adoption</w:t>
            </w:r>
          </w:p>
        </w:tc>
        <w:tc>
          <w:tcPr>
            <w:tcW w:w="200" w:type="dxa"/>
            <w:vAlign w:val="bottom"/>
          </w:tcPr>
          <w:p>
            <w:pPr>
              <w:spacing w:after="0"/>
              <w:rPr>
                <w:sz w:val="10"/>
                <w:szCs w:val="10"/>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(ASC 606)</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Adoption</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6"/>
              </w:rPr>
              <w:t>(ASC 605)</w:t>
            </w:r>
          </w:p>
        </w:tc>
      </w:tr>
      <w:tr>
        <w:trPr>
          <w:trHeight w:val="180"/>
        </w:trPr>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ind w:left="80"/>
              <w:spacing w:after="0"/>
              <w:rPr>
                <w:sz w:val="20"/>
                <w:szCs w:val="20"/>
                <w:color w:val="auto"/>
              </w:rPr>
            </w:pPr>
            <w:r>
              <w:rPr>
                <w:rFonts w:ascii="Arial" w:cs="Arial" w:eastAsia="Arial" w:hAnsi="Arial"/>
                <w:sz w:val="14"/>
                <w:szCs w:val="14"/>
                <w:b w:val="1"/>
                <w:bCs w:val="1"/>
                <w:color w:val="auto"/>
                <w:w w:val="95"/>
              </w:rPr>
              <w:t>(in thousands)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812"/>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34,017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381</w:t>
            </w:r>
          </w:p>
        </w:tc>
        <w:tc>
          <w:tcPr>
            <w:tcW w:w="2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34,398</w:t>
            </w:r>
          </w:p>
        </w:tc>
        <w:tc>
          <w:tcPr>
            <w:tcW w:w="20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41,766</w:t>
            </w:r>
          </w:p>
        </w:tc>
        <w:tc>
          <w:tcPr>
            <w:tcW w:w="260" w:type="dxa"/>
            <w:vAlign w:val="bottom"/>
          </w:tcPr>
          <w:p>
            <w:pPr>
              <w:spacing w:after="0"/>
              <w:rPr>
                <w:sz w:val="20"/>
                <w:szCs w:val="20"/>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(33,523)</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8,243</w:t>
            </w:r>
          </w:p>
        </w:tc>
        <w:tc>
          <w:tcPr>
            <w:tcW w:w="200" w:type="dxa"/>
            <w:vAlign w:val="bottom"/>
          </w:tcPr>
          <w:p>
            <w:pPr>
              <w:spacing w:after="0"/>
              <w:rPr>
                <w:sz w:val="20"/>
                <w:szCs w:val="20"/>
                <w:color w:val="auto"/>
              </w:rPr>
            </w:pPr>
          </w:p>
        </w:tc>
      </w:tr>
      <w:tr>
        <w:trPr>
          <w:trHeight w:val="634"/>
        </w:trPr>
        <w:tc>
          <w:tcPr>
            <w:tcW w:w="120" w:type="dxa"/>
            <w:vAlign w:val="bottom"/>
          </w:tcPr>
          <w:p>
            <w:pPr>
              <w:spacing w:after="0"/>
              <w:rPr>
                <w:sz w:val="24"/>
                <w:szCs w:val="24"/>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32,568</w:t>
            </w:r>
          </w:p>
        </w:tc>
        <w:tc>
          <w:tcPr>
            <w:tcW w:w="260" w:type="dxa"/>
            <w:vAlign w:val="bottom"/>
          </w:tcPr>
          <w:p>
            <w:pPr>
              <w:spacing w:after="0"/>
              <w:rPr>
                <w:sz w:val="24"/>
                <w:szCs w:val="24"/>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(555)</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32,013</w:t>
            </w:r>
          </w:p>
        </w:tc>
        <w:tc>
          <w:tcPr>
            <w:tcW w:w="2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279,951</w:t>
            </w:r>
          </w:p>
        </w:tc>
        <w:tc>
          <w:tcPr>
            <w:tcW w:w="260" w:type="dxa"/>
            <w:vAlign w:val="bottom"/>
          </w:tcPr>
          <w:p>
            <w:pPr>
              <w:spacing w:after="0"/>
              <w:rPr>
                <w:sz w:val="18"/>
                <w:szCs w:val="18"/>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279,783</w:t>
            </w:r>
          </w:p>
        </w:tc>
        <w:tc>
          <w:tcPr>
            <w:tcW w:w="20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89,811</w:t>
            </w:r>
          </w:p>
        </w:tc>
        <w:tc>
          <w:tcPr>
            <w:tcW w:w="260" w:type="dxa"/>
            <w:vAlign w:val="bottom"/>
          </w:tcPr>
          <w:p>
            <w:pPr>
              <w:spacing w:after="0"/>
              <w:rPr>
                <w:sz w:val="20"/>
                <w:szCs w:val="20"/>
                <w:color w:val="auto"/>
              </w:rPr>
            </w:pP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89,811</w:t>
            </w:r>
          </w:p>
        </w:tc>
        <w:tc>
          <w:tcPr>
            <w:tcW w:w="200" w:type="dxa"/>
            <w:vAlign w:val="bottom"/>
          </w:tcPr>
          <w:p>
            <w:pPr>
              <w:spacing w:after="0"/>
              <w:rPr>
                <w:sz w:val="20"/>
                <w:szCs w:val="20"/>
                <w:color w:val="auto"/>
              </w:rPr>
            </w:pPr>
          </w:p>
        </w:tc>
      </w:tr>
      <w:tr>
        <w:trPr>
          <w:trHeight w:val="648"/>
        </w:trPr>
        <w:tc>
          <w:tcPr>
            <w:tcW w:w="120" w:type="dxa"/>
            <w:vAlign w:val="bottom"/>
          </w:tcPr>
          <w:p>
            <w:pPr>
              <w:spacing w:after="0"/>
              <w:rPr>
                <w:sz w:val="24"/>
                <w:szCs w:val="24"/>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(573,574)</w:t>
            </w:r>
          </w:p>
        </w:tc>
        <w:tc>
          <w:tcPr>
            <w:tcW w:w="260" w:type="dxa"/>
            <w:vAlign w:val="bottom"/>
          </w:tcPr>
          <w:p>
            <w:pPr>
              <w:spacing w:after="0"/>
              <w:rPr>
                <w:sz w:val="24"/>
                <w:szCs w:val="24"/>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(32,419)</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(605,993)</w:t>
            </w:r>
          </w:p>
        </w:tc>
        <w:tc>
          <w:tcPr>
            <w:tcW w:w="200" w:type="dxa"/>
            <w:vAlign w:val="bottom"/>
          </w:tcPr>
          <w:p>
            <w:pPr>
              <w:spacing w:after="0"/>
              <w:rPr>
                <w:sz w:val="24"/>
                <w:szCs w:val="24"/>
                <w:color w:val="auto"/>
              </w:rPr>
            </w:pPr>
          </w:p>
        </w:tc>
      </w:tr>
      <w:tr>
        <w:trPr>
          <w:trHeight w:val="378"/>
        </w:trPr>
        <w:tc>
          <w:tcPr>
            <w:tcW w:w="120" w:type="dxa"/>
            <w:vAlign w:val="bottom"/>
          </w:tcPr>
          <w:p>
            <w:pPr>
              <w:spacing w:after="0"/>
              <w:rPr>
                <w:sz w:val="24"/>
                <w:szCs w:val="24"/>
                <w:color w:val="auto"/>
              </w:rPr>
            </w:pPr>
          </w:p>
        </w:tc>
        <w:tc>
          <w:tcPr>
            <w:tcW w:w="374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 July 31, 2019</w:t>
            </w:r>
          </w:p>
        </w:tc>
      </w:tr>
      <w:tr>
        <w:trPr>
          <w:trHeight w:val="119"/>
        </w:trPr>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138"/>
              <w:spacing w:after="0" w:line="119" w:lineRule="exact"/>
              <w:rPr>
                <w:sz w:val="20"/>
                <w:szCs w:val="20"/>
                <w:color w:val="auto"/>
              </w:rPr>
            </w:pPr>
            <w:r>
              <w:rPr>
                <w:rFonts w:ascii="Arial" w:cs="Arial" w:eastAsia="Arial" w:hAnsi="Arial"/>
                <w:sz w:val="13"/>
                <w:szCs w:val="13"/>
                <w:b w:val="1"/>
                <w:bCs w:val="1"/>
                <w:color w:val="auto"/>
                <w:w w:val="98"/>
              </w:rPr>
              <w:t>As Reported</w:t>
            </w:r>
          </w:p>
        </w:tc>
        <w:tc>
          <w:tcPr>
            <w:tcW w:w="2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Impact of</w:t>
            </w:r>
          </w:p>
        </w:tc>
        <w:tc>
          <w:tcPr>
            <w:tcW w:w="1240" w:type="dxa"/>
            <w:vAlign w:val="bottom"/>
            <w:tcBorders>
              <w:top w:val="single" w:sz="8" w:color="auto"/>
            </w:tcBorders>
            <w:gridSpan w:val="2"/>
          </w:tcPr>
          <w:p>
            <w:pPr>
              <w:jc w:val="center"/>
              <w:ind w:left="2"/>
              <w:spacing w:after="0" w:line="119" w:lineRule="exact"/>
              <w:rPr>
                <w:sz w:val="20"/>
                <w:szCs w:val="20"/>
                <w:color w:val="auto"/>
              </w:rPr>
            </w:pPr>
            <w:r>
              <w:rPr>
                <w:rFonts w:ascii="Arial" w:cs="Arial" w:eastAsia="Arial" w:hAnsi="Arial"/>
                <w:sz w:val="13"/>
                <w:szCs w:val="13"/>
                <w:b w:val="1"/>
                <w:bCs w:val="1"/>
                <w:color w:val="auto"/>
              </w:rPr>
              <w:t>Without Adoption</w:t>
            </w:r>
          </w:p>
        </w:tc>
        <w:tc>
          <w:tcPr>
            <w:tcW w:w="200" w:type="dxa"/>
            <w:vAlign w:val="bottom"/>
          </w:tcPr>
          <w:p>
            <w:pPr>
              <w:spacing w:after="0"/>
              <w:rPr>
                <w:sz w:val="10"/>
                <w:szCs w:val="10"/>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(ASC 606)</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Adoption</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6"/>
              </w:rPr>
              <w:t>(ASC 605)</w:t>
            </w:r>
          </w:p>
        </w:tc>
      </w:tr>
      <w:tr>
        <w:trPr>
          <w:trHeight w:val="180"/>
        </w:trPr>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ind w:left="80"/>
              <w:spacing w:after="0"/>
              <w:rPr>
                <w:sz w:val="20"/>
                <w:szCs w:val="20"/>
                <w:color w:val="auto"/>
              </w:rPr>
            </w:pPr>
            <w:r>
              <w:rPr>
                <w:rFonts w:ascii="Arial" w:cs="Arial" w:eastAsia="Arial" w:hAnsi="Arial"/>
                <w:sz w:val="14"/>
                <w:szCs w:val="14"/>
                <w:b w:val="1"/>
                <w:bCs w:val="1"/>
                <w:color w:val="auto"/>
                <w:w w:val="95"/>
              </w:rPr>
              <w:t>(in thousands)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611"/>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108,108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(83)</w:t>
            </w:r>
          </w:p>
        </w:tc>
        <w:tc>
          <w:tcPr>
            <w:tcW w:w="2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108,025</w:t>
            </w:r>
          </w:p>
        </w:tc>
        <w:tc>
          <w:tcPr>
            <w:tcW w:w="20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65,274</w:t>
            </w:r>
          </w:p>
        </w:tc>
        <w:tc>
          <w:tcPr>
            <w:tcW w:w="260" w:type="dxa"/>
            <w:vAlign w:val="bottom"/>
          </w:tcPr>
          <w:p>
            <w:pPr>
              <w:spacing w:after="0"/>
              <w:rPr>
                <w:sz w:val="24"/>
                <w:szCs w:val="24"/>
                <w:color w:val="auto"/>
              </w:rPr>
            </w:pP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4,621</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69,895</w:t>
            </w: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-3290570</wp:posOffset>
            </wp:positionH>
            <wp:positionV relativeFrom="paragraph">
              <wp:posOffset>-3009265</wp:posOffset>
            </wp:positionV>
            <wp:extent cx="574611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-2734945</wp:posOffset>
            </wp:positionV>
            <wp:extent cx="574611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-2460625</wp:posOffset>
            </wp:positionV>
            <wp:extent cx="574611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-2186305</wp:posOffset>
            </wp:positionV>
            <wp:extent cx="574611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-1911985</wp:posOffset>
            </wp:positionV>
            <wp:extent cx="574611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-1637030</wp:posOffset>
            </wp:positionV>
            <wp:extent cx="574611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-1362710</wp:posOffset>
            </wp:positionV>
            <wp:extent cx="574611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-685165</wp:posOffset>
            </wp:positionV>
            <wp:extent cx="574611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-410845</wp:posOffset>
            </wp:positionV>
            <wp:extent cx="574611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-136525</wp:posOffset>
            </wp:positionV>
            <wp:extent cx="574611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4611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3860"/>
          </w:cols>
          <w:pgMar w:left="1420" w:top="517" w:right="141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(51,889)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(56,592)</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gridSpan w:val="9"/>
          </w:tcPr>
          <w:p>
            <w:pPr>
              <w:ind w:left="720"/>
              <w:spacing w:after="0"/>
              <w:rPr>
                <w:sz w:val="20"/>
                <w:szCs w:val="20"/>
                <w:color w:val="auto"/>
              </w:rPr>
            </w:pPr>
            <w:r>
              <w:rPr>
                <w:rFonts w:ascii="Arial" w:cs="Arial" w:eastAsia="Arial" w:hAnsi="Arial"/>
                <w:sz w:val="14"/>
                <w:szCs w:val="14"/>
                <w:b w:val="1"/>
                <w:bCs w:val="1"/>
                <w:color w:val="auto"/>
              </w:rPr>
              <w:t>Six Months Ended July 31,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w w:val="98"/>
              </w:rPr>
              <w:t>As Reported</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Impact of</w:t>
            </w: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Without Adoption</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(ASC 606)</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Adoption</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6"/>
              </w:rPr>
              <w:t>(ASC 605)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Statement of Operations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204,185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(77,866)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(86,868)</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adoption of Topic 606 had no impact on net cash provided by or used in operating, investing, or financing activities in the Company’s condensed consolidated statement of cash flows for the three or six months ended July 31, 2019.</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In accordance with ASC 606, revenue is recognized when a customer obtains control of promised services. The amount of revenue recognized reflects the consideration that the Company expects to be entitled to receive in exchange for these services. To achieve the core principle of this standard, the Company applies the following five steps: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 Identify the contract with a customer</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considers the terms and conditions of contracts with customers and its customary business practices in identifying contracts under ASC 606. The Company determines it has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78"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Identify the performance obligations in the contract</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the Company or from third parties, and are distinct in the context of the contract, whereby the transfer of the services is separately identifiable from other promises in the contract. The Company’s performance obligations consist of (i) subscriptions and (ii) professional services.</w:t>
      </w:r>
    </w:p>
    <w:p>
      <w:pPr>
        <w:spacing w:after="0" w:line="173"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Determine the transaction price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transaction price is determined based on the consideration which the Company is expected to be entitled to in exchange for transferring services to the customer. Variable consideration is included in the transaction price if it is probable that a significant future reversal of cumulative revenue under the contract will not occur. None of the Company’s contracts contain a significant financing component.</w:t>
      </w:r>
    </w:p>
    <w:p>
      <w:pPr>
        <w:spacing w:after="0" w:line="187"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Allocate the transaction price to performance obligations in the contract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spacing w:after="0" w:line="181"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Recognize revenue when or as performance obligations are satisfied</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Revenue is recognized at the time the related performance obligation is satisfied by transferring the promised service to the customer. Revenue is recognized when control of the services is transferred to the customer, in an amount that reflects the consideration expected to be received in exchange for those services. The Company generates all its revenue from contracts with customers.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Subscription Revenue</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Company’s Falcon Platform technology solutions are subscription, software as a service (“SaaS”) offerings designed to continuously monitor, share, and mitigate risks from determined attackers. Customers do not have the right to take possession of the cloud-based software platform. Fees are based on several factors, including the solutions subscribed for by the customer and the number of endpoints purchased by the customer. The subscription fees are typically payable within 30 to 60 days after the execution of the arrangement, and thereafter upon renewal or subsequent installment. The Company initially records the subscription fees as deferred revenue and recognizes revenue on a straight-line basis over the term of the agreement.</w:t>
      </w:r>
    </w:p>
    <w:p>
      <w:pPr>
        <w:spacing w:after="0" w:line="189"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typical subscription term is one to three years. Most of the Company’s contracts are non-cancelable over the contractual term. Customers typically have the right to terminate their contracts for cause if the Company fails to</w:t>
      </w:r>
    </w:p>
    <w:p>
      <w:pPr>
        <w:sectPr>
          <w:pgSz w:w="11900" w:h="16838" w:orient="portrait"/>
          <w:cols w:equalWidth="0" w:num="1">
            <w:col w:w="9040"/>
          </w:cols>
          <w:pgMar w:left="1420" w:top="517" w:right="143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perform in accordance with the contractual terms. Some customers have the option to purchase additional subscription at a stated price. These options generally do not provide a material right as they are priced at our SSP.</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Professional Services Revenue</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offers several types of professional services including incident response and forensic services, surge forensic and malware analysis, and attribution analysis, which are focused on responding to imminent and direct threats, assessing vulnerabilities, and recommending solutions. These services are distinct from subscription services. Professional services do not result in significant customization of the subscription service. The professional services are available through hourly rate and fixed fee contracts, one-time and ongoing engagements, and retainer-based agreements. Revenue for time and materials arrangements is recognized as services are performed and revenue for fixed fees is recognized on a proportional performance basis as the services are performed.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Contracts with Multiple Performance Obligations</w:t>
      </w:r>
    </w:p>
    <w:p>
      <w:pPr>
        <w:spacing w:after="0" w:line="225" w:lineRule="exact"/>
        <w:rPr>
          <w:sz w:val="20"/>
          <w:szCs w:val="20"/>
          <w:color w:val="auto"/>
        </w:rPr>
      </w:pPr>
    </w:p>
    <w:p>
      <w:pPr>
        <w:ind w:right="420" w:firstLine="648"/>
        <w:spacing w:after="0" w:line="273" w:lineRule="auto"/>
        <w:rPr>
          <w:sz w:val="20"/>
          <w:szCs w:val="20"/>
          <w:color w:val="auto"/>
        </w:rPr>
      </w:pPr>
      <w:r>
        <w:rPr>
          <w:rFonts w:ascii="Arial" w:cs="Arial" w:eastAsia="Arial" w:hAnsi="Arial"/>
          <w:sz w:val="17"/>
          <w:szCs w:val="17"/>
          <w:color w:val="auto"/>
        </w:rPr>
        <w:t>Some contracts with customers contain multiple promised services consisting of subscription and professional services that are distinct and accounted for separately. The transaction price is allocated to the separate performance obligations on a relative SSP basis. The SSP is the price at which the Company would sell promised subscription or professional services separately to a customer. Judgment is required to determine the SSP for each distinct performance obligation. The Company determines SSP based on its overall pricing objectives, taking into consideration the type of subscription or professional service and the number of endpoints.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Variable Consideration</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Revenue from sales is recorded at the net sales price, which is the transaction price, and includes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If subscriptions do not meet certain service level commitments, the Company’s customers are entitled to receive service credits, and in certain cases, refunds, each representing a form of variable consideration. The Company has historically not experienced any significant incidents affecting the defined levels of reliability and performance as required by its subscription contracts. Accordingly, any estimated refunds related to these agreements in the condensed consolidated financial statements is not material during the periods presented.</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provides rebates and other credits within its contracts with certain resellers, which are estimated based on the most likely amounts expected to be earned or claimed on the related sales transaction. Overall, the transaction price is reduced to reflect the Company’s estimate of the amount of consideration to which it is entitled based on the terms of the contract. Estimated rebates and other credits were not material during the periods presented.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 – ASC 605</w:t>
      </w:r>
    </w:p>
    <w:p>
      <w:pPr>
        <w:spacing w:after="0" w:line="225"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Prior to adopting ASC 606 on February 1, 2019, the Company recognized subscription and professional services when: (1) persuasive evidence of the contract exists in the form of a written contract, amendments to that contract, or purchase orders from a third party; (2) delivery has occurred, or services have been rendered; (3) the price is fixed or determinable; and (4) collectability is reasonably assured based on customer creditworthiness and history of collection.</w:t>
      </w:r>
    </w:p>
    <w:p>
      <w:pPr>
        <w:spacing w:after="0" w:line="154"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timing and the amount the Company recognized as revenue was determined based on the facts and circumstances of each customer’s arrangements. Evidence of an arrangement consisted of a signed customer agreement. The Company considered that the delivery of its solution had commenced once it provided the customer with log-in information and the term of the contract had started. Fees were fixed based on stated rates specified in the customer agreement. The Company assessed collectability based on several factors, including the credit worthiness of the</w:t>
      </w:r>
    </w:p>
    <w:p>
      <w:pPr>
        <w:sectPr>
          <w:pgSz w:w="11900" w:h="16838" w:orient="portrait"/>
          <w:cols w:equalWidth="0" w:num="1">
            <w:col w:w="9040"/>
          </w:cols>
          <w:pgMar w:left="1420" w:top="517" w:right="14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customer and transaction history. If collectability was not reasonably assured, revenue was deferred until the fees were collected.</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For arrangements that involve the contemporaneous sale of subscription and professional services, the Company applied the multiple-element arrangement guidance to allocate the arrangement consideration to all deliverables based on their relative selling price. The Company determined that the cloud-based platform subscription has standalone value, because once access is given to the customer, the solutions are fully functional and do not require any additional development, modification, or customization. Professional services have standalone value because they are regularly sold by the Company in separate transactions. Additionally, the performance of these professional services generally does not require highly specialized or technologically skilled individuals and the professional services are not essential to the functionality of the solutions.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used a hierarchy to determine the selling price to be used for allocating revenue to deliverables:</w:t>
      </w:r>
    </w:p>
    <w:p>
      <w:pPr>
        <w:spacing w:after="0" w:line="35" w:lineRule="exact"/>
        <w:rPr>
          <w:sz w:val="20"/>
          <w:szCs w:val="20"/>
          <w:color w:val="auto"/>
        </w:rPr>
      </w:pPr>
    </w:p>
    <w:p>
      <w:pPr>
        <w:ind w:left="220" w:hanging="211"/>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vendor-specific objective evidence of fair value (‘‘VSOE’’); (ii) third-party evidence of selling price (‘‘TPE’’); and</w:t>
      </w:r>
    </w:p>
    <w:p>
      <w:pPr>
        <w:spacing w:after="0" w:line="9" w:lineRule="exact"/>
        <w:rPr>
          <w:rFonts w:ascii="Arial" w:cs="Arial" w:eastAsia="Arial" w:hAnsi="Arial"/>
          <w:sz w:val="18"/>
          <w:szCs w:val="18"/>
          <w:color w:val="auto"/>
        </w:rPr>
      </w:pPr>
    </w:p>
    <w:p>
      <w:pPr>
        <w:ind w:right="160" w:firstLine="9"/>
        <w:spacing w:after="0" w:line="253"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best estimate of selling price (‘‘BESP’’). BESP reflected the Company’s best estimates of what the selling prices of elements would be if they were sold regularly on a stand-alone basis. The Company’s process for determining BESP involved management’s judgment and considered numerous factors including the nature of the deliverables themselves and historical discounting practices. The Company updated its estimates of BESP on an ongoing basis as events and circumstances required.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Research and development costs are expensed when incurred, except for certain internal-use software development costs, which may be capitalized as noted above. Research and development expenses consist primarily of personnel and related headcount costs, costs of professional services associated with the ongoing development of the Company’s technology, and allocated overhead.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All advertising costs are expensed as incurred and are included in sales and marketing expense in the condensed consolidated statements of operations. The Company incurred $2.2 million and $0.6 million of advertising costs during the three months ended July 31, 2019 and July 31, 2018, respectively, and $3.3 million and $1.1 million during the six months ended July 31, 2019 and July 31, 2018,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accounts for stock-based awards granted to employees and directors based on the awards’ estimated grant date fair value. The Company estimates the fair value of its stock options using the Black-Scholes option-pricing model. The resulting fair value is recognized on a straight-line basis over the period during which the employee or director is required to provide service in exchange for the award, usually the vesting period, which is generally four years. The Company accounts for forfeitures as they occur.</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Prior to the Company’s adoption of ASU 2018-07, stock-based awards issued to non-employees were accounted for at fair value determined by using the Black-Scholes option-pricing model. The Company believes that the fair value of the stock options is more reliably measured than the fair value of the services received. The fair value of each non-employee stock-based award is remeasured each period until a commitment date is reached, which is generally the vesting date. The Company early adopted ASU 2018-07 on February 1, 2019 and began accounting for stock-based awards issued to non-employees the same as it accounts for stock-based awards issued to employees. The effect on the Company’s condensed consolidated financial statements for the three and six months ended July 31, 2019 was not material.</w:t>
      </w:r>
    </w:p>
    <w:p>
      <w:pPr>
        <w:spacing w:after="0" w:line="16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Restricted stock units ("RSUs") granted under the 2011 Plan are subject to a service-based vesting condition and a performance-based vesting condition. The service-based vesting condition is generally satisfied based on one of three vesting schedules: (i) vesting of one-fourth of the RSUs on the first "Company vest date" (defined as March 20,</w:t>
      </w:r>
    </w:p>
    <w:p>
      <w:pPr>
        <w:sectPr>
          <w:pgSz w:w="11900" w:h="16838" w:orient="portrait"/>
          <w:cols w:equalWidth="0" w:num="1">
            <w:col w:w="9040"/>
          </w:cols>
          <w:pgMar w:left="1420" w:top="517" w:right="14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June 20, September 20, or December 20) on or following the one-year anniversary of the vesting commencement date with the remainder of the RSUs vesting in twelve equal quarterly installments thereafter, subject to continued service, (ii) vesting in sixteen equal quarterly installments beginning on December 20, 2018, subject to continued service, or (iii) vesting in eight equal quarterly installments beginning on December 20, 2022, subject to continued service. The performance-based vesting condition is satisfied on the earlier of (i) a change in control, in which the consideration paid to holders of shares is either cash, publicly traded securities, or a combination thereof, or (ii) the first Company vest date to occur following the expiration of the lock-up period upon an IPO, subject to continued service through such change in control or lock-up expiration, as applicable. None of the RSUs vest unless the performance-based vesting condition is satisfied. Upon the completion of the IPO, the performance-based vesting condition was met and the Company recognized $17.3 million of deferred expense related to RSUs as of that date in its condensed consolidated statement of operations.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Company allocates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users, acquired technology,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the Company may record adjustments to the assets acquired and liabilities assumed, with the corresponding offset to goodwill. Upon the conclusion of the measurement period, any subsequent adjustments are recorded in the condensed consolidated statement of operations.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Company evaluates and tests the recoverability of goodwill for impairment at least annually, on January 31, or more frequently if circumstances indicate that goodwill may not be recoverable. The Company performs the impairment testing by first assessing qualitative factors to determine whether the existence of events or circumstances leads to a determination that it is more likely than not that the fair value of its reporting unit is less than its carrying amount. The Company has one reporting unit. If, after assessing the totality of events or circumstances, the Company determines it is more likely than not that the fair value of a reporting unit is less than its carrying amount, the Company performs the first step of a two-step analysis by comparing the book value of net assets to the fair value of the reporting unit. To calculate any potential impairment, the Company compares the fair value of a reporting unit with its carrying amount, including goodwill. Any excess of the carrying amount of the reporting unit’s goodwill over its fair value is recognized as an impairment loss, and the carrying value of goodwill is written down. In assessing the qualitative factors, the Company considers the impact of certain key factors including macroeconomic conditions, industry and market considerations, management turnover, changes in regulation, litigation matters, changes in enterprise value, and overall financial performance. No impairment was recorded during the three and six months ended July 31, 2019 or July 31, 2018. The change in goodwill balance during the three and six months ended July 31, 2019 and July 31, 2018 was due to changes in foreign currency exchange rates.</w:t>
      </w:r>
    </w:p>
    <w:p>
      <w:pPr>
        <w:spacing w:after="0" w:line="172"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Acquired intangible assets consisting of identifiable intangible assets, were comprised of developed technology, customer relationships, and non-compete agreements resulting from acquisitions. Acquired intangible assets are recorded at fair value on the date of acquisition and amortized over their estimated economic lives following the pattern in which the economic benefits of the assets will be consumed which is on a straight-line basis. Acquired intangible assets are presented net of accumulated amortization on the condensed consolidated balance sheets. The Company reviews the carrying amounts of intangible assets for impairment whenever events or changes in circumstances indicate that the carrying amount of the assets may not be recoverable. The Company measures the recoverability of intangible assets by comparing the carrying amount of each asset to the future undiscounted cash flows it expects the asset to generate. If the Company considers any of these assets to be impaired, the impairment to be recognized equals the amount by which the carrying value of the asset exceeds its fair value. In addition, the Company periodically evaluates the estimated</w:t>
      </w:r>
    </w:p>
    <w:p>
      <w:pPr>
        <w:sectPr>
          <w:pgSz w:w="11900" w:h="16838" w:orient="portrait"/>
          <w:cols w:equalWidth="0" w:num="1">
            <w:col w:w="9040"/>
          </w:cols>
          <w:pgMar w:left="1420" w:top="517" w:right="14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remaining useful lives of long-lived assets to determine whether events or changes in circumstances warrant a revision to the remaining period of depreciation or amortization.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leases its office space under various noncancelable operating lease agreements and recognizes related rent expense on a straight-line basis over the term of the lease. Certain lease agreements contain rent holidays, scheduled rent increases, lease incentives, and renewal options. Rent holidays and scheduled rent increases are included in the determination of rent expense to be recorded over the lease term. Lease incentives are recognized as a reduction of rent expense on a straight-line basis over the term of the lease. Renewals are not assumed in the determination of the lease term unless they are deemed to be reasonably assured at the inception of the lease. The Company begins to recognize rent expense on the date that the Company obtains the legal right to use and control the leased space.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The functional currencies of the Company’s foreign subsidiaries are each country’s local currency. Assets and liabilities of the subsidiaries are translated into U.S. Dollars at exchange rates in effect at the reporting date. Amounts classified in stockholders’ deficit are translated at historical exchange rates. Revenue and expenses are translated at the average exchange rates during the period. The resulting translation adjustments are recorded in accumulated other comprehensive income (loss). Foreign currency transaction gains or losses, whether realized or unrealized, are reflected in the condensed consolidated statements of operations within Other expense, net, and have not been material for all periods presented.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spacing w:after="0" w:line="18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Company accounts for unrecognized tax benefits using a more-likely-than-not threshold for financial statement recognition and measurement of tax positions taken or expected to be taken in a tax return. The Company establishes a liability for tax-related uncertainties based on estimates of whether, and the extent to which, additional taxes will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liability is adjusted considering changing facts and circumstances, such as the outcome of a tax audit. The provision for income taxes includes the impact of liability provisions and changes to the liability that are considered appropriate. As the Company maintained a full valuation allowance against its deferred tax assets, the changes resulted in no additional tax expense during the three and six months ended July 31, 2019 or July 31, 2018. As of July 31, 2019, the Company does not expect that changes in the liability for unrecognized tax benefits for the next twelve months will have a material impact on its condensed consolidated financial statements.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Taxes</w:t>
      </w:r>
    </w:p>
    <w:p>
      <w:pPr>
        <w:spacing w:after="0" w:line="225"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When sales and other taxes are billed, such amounts are recorded as accounts receivable with a corresponding increase to other current liabilities, respectively. The balances are then removed from the condensed consolidated balance sheet as cash is collected from the customer and as remitted to the respective tax authority.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22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Company’s chief operating decision maker (“CODM”) is its chief executive officer. The CODM reviews financial information presented on a consolidated basis for the purposes of allocating resources and evaluating financial</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performance. Accordingly, management has determined that the Company operates as one operating and reportable segment. The Company presents financial information about its geographic areas in Note 12 to the condensed consolidated financial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Company computes basic and diluted net loss per share attributable to common stockholders for Class A and Class B common stock using the two-class method required for participating securities. The Company considers all series of its redeemable convertible preferred stock to be participating securities. Net loss is attributed to Class A and Class B common stock based on their participation rights. Under the two-class method, basic net loss per share attributable to common stockholders is computed by dividing the net loss attributable to common stockholders by the weighted-average number of shares of common stock outstanding during the period.</w:t>
      </w:r>
    </w:p>
    <w:p>
      <w:pPr>
        <w:spacing w:after="0" w:line="17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including redeemable convertible preferred stock, stock options, and warrants, are antidilutive and accordingly, basic net loss per share equals diluted net loss per share.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provides guidance for revenue recognition. Under the new guidance, revenue is recognized when a customer obtains control of promised goods or services and is recognized in an amount that reflects the consideration that the entity expects to receive in exchange for those goods or services. In addition, the guidance requires disclosure of the nature, amount, timing, and uncertainty of revenue and cash flows arising from contracts with customers. Subsequently, the FASB has issued the following guidance to amend ASU 2014-09: ASU No.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t>
      </w:r>
      <w:r>
        <w:rPr>
          <w:rFonts w:ascii="Arial" w:cs="Arial" w:eastAsia="Arial" w:hAnsi="Arial"/>
          <w:sz w:val="16"/>
          <w:szCs w:val="16"/>
          <w:i w:val="1"/>
          <w:iCs w:val="1"/>
          <w:color w:val="auto"/>
        </w:rPr>
        <w:t>Deferral of the Effective Date</w:t>
      </w:r>
      <w:r>
        <w:rPr>
          <w:rFonts w:ascii="Arial" w:cs="Arial" w:eastAsia="Arial" w:hAnsi="Arial"/>
          <w:sz w:val="16"/>
          <w:szCs w:val="16"/>
          <w:color w:val="auto"/>
        </w:rPr>
        <w:t>; ASU No. 2016-08,</w:t>
      </w:r>
      <w:r>
        <w:rPr>
          <w:rFonts w:ascii="Arial" w:cs="Arial" w:eastAsia="Arial" w:hAnsi="Arial"/>
          <w:sz w:val="16"/>
          <w:szCs w:val="16"/>
          <w:i w:val="1"/>
          <w:iCs w:val="1"/>
          <w:color w:val="auto"/>
        </w:rPr>
        <w:t xml:space="preserve"> Revenue from Contracts with Customers (Topic 606): Principal versus Agent Considerations (Reporting Revenue Gross versus Net)</w:t>
      </w:r>
      <w:r>
        <w:rPr>
          <w:rFonts w:ascii="Arial" w:cs="Arial" w:eastAsia="Arial" w:hAnsi="Arial"/>
          <w:sz w:val="16"/>
          <w:szCs w:val="16"/>
          <w:color w:val="auto"/>
        </w:rPr>
        <w:t>; ASU No. 2016-10,</w:t>
      </w:r>
      <w:r>
        <w:rPr>
          <w:rFonts w:ascii="Arial" w:cs="Arial" w:eastAsia="Arial" w:hAnsi="Arial"/>
          <w:sz w:val="16"/>
          <w:szCs w:val="16"/>
          <w:i w:val="1"/>
          <w:iCs w:val="1"/>
          <w:color w:val="auto"/>
        </w:rPr>
        <w:t xml:space="preserve"> Revenue from Contracts with Customers (Topic 606): Identifying Performance Obligations and Licensing</w:t>
      </w:r>
      <w:r>
        <w:rPr>
          <w:rFonts w:ascii="Arial" w:cs="Arial" w:eastAsia="Arial" w:hAnsi="Arial"/>
          <w:sz w:val="16"/>
          <w:szCs w:val="16"/>
          <w:color w:val="auto"/>
        </w:rPr>
        <w:t>;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 ASU No. 2016-20,</w:t>
      </w:r>
      <w:r>
        <w:rPr>
          <w:rFonts w:ascii="Arial" w:cs="Arial" w:eastAsia="Arial" w:hAnsi="Arial"/>
          <w:sz w:val="16"/>
          <w:szCs w:val="16"/>
          <w:i w:val="1"/>
          <w:iCs w:val="1"/>
          <w:color w:val="auto"/>
        </w:rPr>
        <w:t xml:space="preserve"> Technical Corrections and Improvements to Topic 606</w:t>
      </w:r>
      <w:r>
        <w:rPr>
          <w:rFonts w:ascii="Arial" w:cs="Arial" w:eastAsia="Arial" w:hAnsi="Arial"/>
          <w:sz w:val="16"/>
          <w:szCs w:val="16"/>
          <w:color w:val="auto"/>
        </w:rPr>
        <w:t>, which clarifies narrow aspects of Topic 606 or corrects unintended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guidance. The Company must adopt ASU No. 2015-14, ASU No. 2016-08, ASU No. 2016-10, ASU No. 2016-12, and ASU No. 2016-20 with ASU No. 2014-09, which are referred to collectively as the “new revenue guidance.” On February 1, 2019, the company adopted ASU No. 2014-09 using the modified retrospective transition method. Under this method, results for reporting periods beginning on February 1, 2019 are presented under Topic 606, while prior period amounts are not adjusted and continue to be reported in accordance with our historical accounting under Topic 605. The Company recorded a cumulative effect adjustment to opening accumulated deficit of $23.4 million, net of tax, as of the date of adoption. The change resulted from a $23.7 million reduction in commissions expense that we capitalized under Topic 606, but would have been recognized during the period as commissions expense under our historical accounting practices under Topic 605 and a $0.3 million reduction in revenue that would have been recognized during the period under Topic 605.</w:t>
      </w:r>
    </w:p>
    <w:p>
      <w:pPr>
        <w:spacing w:after="0" w:line="16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w:t>
      </w:r>
      <w:r>
        <w:rPr>
          <w:rFonts w:ascii="Arial" w:cs="Arial" w:eastAsia="Arial" w:hAnsi="Arial"/>
          <w:sz w:val="18"/>
          <w:szCs w:val="18"/>
          <w:color w:val="auto"/>
        </w:rPr>
        <w:t xml:space="preserve"> </w:t>
      </w:r>
      <w:r>
        <w:rPr>
          <w:rFonts w:ascii="Arial" w:cs="Arial" w:eastAsia="Arial" w:hAnsi="Arial"/>
          <w:sz w:val="18"/>
          <w:szCs w:val="18"/>
          <w:i w:val="1"/>
          <w:iCs w:val="1"/>
          <w:color w:val="auto"/>
        </w:rPr>
        <w:t>of a Business</w:t>
      </w:r>
      <w:r>
        <w:rPr>
          <w:rFonts w:ascii="Arial" w:cs="Arial" w:eastAsia="Arial" w:hAnsi="Arial"/>
          <w:sz w:val="18"/>
          <w:szCs w:val="18"/>
          <w:color w:val="auto"/>
        </w:rPr>
        <w:t>, which changes the definition of a business to assist entities with evaluating when a set of transferred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is a business. If substantially all of the fair value of the gross assets acquired is concentrated in a single identifiable asset or a group of similar identifiable assets, the set of transferred assets and activities is not a business. On February 1, 2019, the Company adopted ASU No. 2018-07, which did not have a material effect on the Company’s condensed consolidated financial statements.</w:t>
      </w:r>
    </w:p>
    <w:p>
      <w:pPr>
        <w:spacing w:after="0" w:line="19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(Topic 718): Improvements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Nonemployee Share-Based Payment Accounting. </w:t>
      </w:r>
      <w:r>
        <w:rPr>
          <w:rFonts w:ascii="Arial" w:cs="Arial" w:eastAsia="Arial" w:hAnsi="Arial"/>
          <w:sz w:val="17"/>
          <w:szCs w:val="17"/>
          <w:color w:val="auto"/>
        </w:rPr>
        <w:t>This ASU simplifies the accounting for share-based payments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nonemployees by aligning it with the accounting for share-based payments to employees, with certain exceptions. This ASU is effective for public business entities for fiscal years beginning after December 15, 2018, and interim periods within those fiscal years. For all other entities, this ASU is effective for fiscal years beginning after</w:t>
      </w:r>
    </w:p>
    <w:p>
      <w:pPr>
        <w:sectPr>
          <w:pgSz w:w="11900" w:h="16838" w:orient="portrait"/>
          <w:cols w:equalWidth="0" w:num="1">
            <w:col w:w="9040"/>
          </w:cols>
          <w:pgMar w:left="1420" w:top="517" w:right="14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December 15, 2019, and interim periods within fiscal years beginning after December 15, 2020. Early adoption is permitted, but no earlier than the adoption date of Topic 606. On February 1, 2019, the Company adopted ASU No. 2018-07, which did not have a material effect on the Company’s condensed consolidated financial statements.</w:t>
      </w:r>
    </w:p>
    <w:p>
      <w:pPr>
        <w:spacing w:after="0" w:line="16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August 2018, the SEC adopted the final rule under SEC Release No. 33-10532, Disclosure Update and Simplification. This release amends certain disclosure requirements that have become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The final rule was effective November 5, 2018. The Company adopted this amendment as of February 1, 2019, including presenting the activity of the stockholder’s equity accounts in the accompanying Condensed Consolidated Statements of Redeemable Convertible Preferred Stock and Stockholders’ Deficit for the periods presented.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Under the JOBS Act, the Company meets the definition of an emerging growth company. The Company has elected to use the extended transition period for complying with new or revised accounting standards pursuant to Section 107(b) of the JOBS Act.</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The new guidance supersedes current guidance related to accounting for leases and generally requires an entity to recognize on its balance sheet operating and financing lease liabilities and corresponding right-of-use assets. In July 2018, the FASB issued ASU No. 2018-10, </w:t>
      </w:r>
      <w:r>
        <w:rPr>
          <w:rFonts w:ascii="Arial" w:cs="Arial" w:eastAsia="Arial" w:hAnsi="Arial"/>
          <w:sz w:val="16"/>
          <w:szCs w:val="16"/>
          <w:i w:val="1"/>
          <w:iCs w:val="1"/>
          <w:color w:val="auto"/>
        </w:rPr>
        <w:t>Codification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Topic 842</w:t>
      </w:r>
      <w:r>
        <w:rPr>
          <w:rFonts w:ascii="Arial" w:cs="Arial" w:eastAsia="Arial" w:hAnsi="Arial"/>
          <w:sz w:val="16"/>
          <w:szCs w:val="16"/>
          <w:color w:val="auto"/>
        </w:rPr>
        <w:t>. This ASU makes 16 technical corrections to the new lease standard and other accounting topics,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alleviating unintended consequences from applying the new standard. It does not make any substantive changes to the core provisions or principles of the new standard. In July 2018, the FASB also issued ASU No.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Targeted Improvements</w:t>
      </w:r>
      <w:r>
        <w:rPr>
          <w:rFonts w:ascii="Arial" w:cs="Arial" w:eastAsia="Arial" w:hAnsi="Arial"/>
          <w:sz w:val="16"/>
          <w:szCs w:val="16"/>
          <w:color w:val="auto"/>
        </w:rPr>
        <w:t>. This ASU provides (1) an optional transition method that entities can use when adopting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and (2) a practical expedient that permits lessors to not separate non-lease components from the associated lease component if certain conditions are met. As an emerging growth company as defined in the JOBS Act, the Company has elected to delay adoption of this ASU until February 1, 2020. ASU No. 2016-02 can be adopted using either full or modified retrospective approach as of the earliest period presented or as of the adoption date with the cumulative effect adjustment to the opening balance recognized in retained earnings in the period of adoption. The Company is currently evaluating the potential impact of these ASUs on its condensed consolidated financial statements.</w:t>
      </w:r>
    </w:p>
    <w:p>
      <w:pPr>
        <w:spacing w:after="0" w:line="17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of Credit Losses on Financial Instruments</w:t>
      </w:r>
      <w:r>
        <w:rPr>
          <w:rFonts w:ascii="Arial" w:cs="Arial" w:eastAsia="Arial" w:hAnsi="Arial"/>
          <w:sz w:val="16"/>
          <w:szCs w:val="16"/>
          <w:color w:val="auto"/>
        </w:rPr>
        <w:t>. This ASU amends guidance on reporting credit losses for assets held at amortized</w:t>
      </w:r>
      <w:r>
        <w:rPr>
          <w:rFonts w:ascii="Arial" w:cs="Arial" w:eastAsia="Arial" w:hAnsi="Arial"/>
          <w:sz w:val="16"/>
          <w:szCs w:val="16"/>
          <w:i w:val="1"/>
          <w:iCs w:val="1"/>
          <w:color w:val="auto"/>
        </w:rPr>
        <w:t xml:space="preserve"> </w:t>
      </w:r>
      <w:r>
        <w:rPr>
          <w:rFonts w:ascii="Arial" w:cs="Arial" w:eastAsia="Arial" w:hAnsi="Arial"/>
          <w:sz w:val="16"/>
          <w:szCs w:val="16"/>
          <w:color w:val="auto"/>
        </w:rPr>
        <w:t>cost basis and available-for-sale debt securities to require that credit losses on available-for-sale debt securities be presented as an allowance rather than as a write-down. The measurement of credit losses for newly recognized financial assets and subsequent changes in the allowance for credit losses are recorded in the consolidated statements of operations. For public business entities that are SEC filers, this ASU is effective for fiscal years beginning after December 15, 2019, and interim periods within those fiscal years. For all other entities, this ASU is effective for fiscal years beginning after December 15, 2020, and interim periods within those fiscal years. Early adoption is permitted. The Company is currently evaluating the potential impact of this ASU on its consolidated financial statements.</w:t>
      </w:r>
    </w:p>
    <w:p>
      <w:pPr>
        <w:spacing w:after="0" w:line="16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Test for Goodwill Impairment</w:t>
      </w:r>
      <w:r>
        <w:rPr>
          <w:rFonts w:ascii="Arial" w:cs="Arial" w:eastAsia="Arial" w:hAnsi="Arial"/>
          <w:sz w:val="17"/>
          <w:szCs w:val="17"/>
          <w:color w:val="auto"/>
        </w:rPr>
        <w:t>. This ASU simplifies the measurement of goodwill by eliminating step two of the two-step</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test. Step two measures a goodwill impairment loss by comparing the implied fair value of a reporting unit’s goodwill with the carrying amount of that goodwill. This ASU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As an emerging growth company defined in the JOBS Act, the Company has elected to delay adoption of</w:t>
      </w:r>
    </w:p>
    <w:p>
      <w:pPr>
        <w:sectPr>
          <w:pgSz w:w="11900" w:h="16838" w:orient="portrait"/>
          <w:cols w:equalWidth="0" w:num="1">
            <w:col w:w="9040"/>
          </w:cols>
          <w:pgMar w:left="1420" w:top="517" w:right="14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ASU until February 1, 2022. The Company is currently evaluating the potential impact of this ASU on its condensed consolidated financial statements.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—Changes to the Disclosure Requirements for Fair Value Measurement</w:t>
      </w:r>
      <w:r>
        <w:rPr>
          <w:rFonts w:ascii="Arial" w:cs="Arial" w:eastAsia="Arial" w:hAnsi="Arial"/>
          <w:sz w:val="17"/>
          <w:szCs w:val="17"/>
          <w:color w:val="auto"/>
        </w:rPr>
        <w:t>. This ASU modifies the disclosure requirements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fair value measurements in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As an emerging growth company as defined in the JOBS Act, the Company has elected to delay adoption of this ASU until February 1, 2020. The Company is currently evaluating the potential impact of this ASU on its condensed consolidated financial statements.</w:t>
      </w:r>
    </w:p>
    <w:p>
      <w:pPr>
        <w:spacing w:after="0" w:line="18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350-40): Customer’s Accounting for Implementation Costs Incurred in a Cloud Computing Arrangement That Is a Service Contract (</w:t>
      </w:r>
      <w:r>
        <w:rPr>
          <w:rFonts w:ascii="Arial" w:cs="Arial" w:eastAsia="Arial" w:hAnsi="Arial"/>
          <w:sz w:val="17"/>
          <w:szCs w:val="17"/>
          <w:color w:val="auto"/>
        </w:rPr>
        <w:t>a consensus of the FASB Emerging Issues Task Force). This ASU aligns the requirements for capitalizing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incurred in a hosting arrangement that is a service contract with the requirements for capitalizing implementation costs incurred to develop or obtain internal use software. As an emerging growth company defined in the JOBS Act, the Company has elected to delay adoption of this ASU until February 1, 2021. Entities can choose to adopt this ASU prospectively or retrospectively. The Company is currently evaluating the potential impact of this ASU on its condensed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Fair Value Measurements and Marketable Securities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follows ASC 820</w:t>
      </w:r>
      <w:r>
        <w:rPr>
          <w:rFonts w:ascii="Arial" w:cs="Arial" w:eastAsia="Arial" w:hAnsi="Arial"/>
          <w:sz w:val="17"/>
          <w:szCs w:val="17"/>
          <w:i w:val="1"/>
          <w:iCs w:val="1"/>
          <w:color w:val="auto"/>
        </w:rPr>
        <w:t>, Fair Value Measurements</w:t>
      </w:r>
      <w:r>
        <w:rPr>
          <w:rFonts w:ascii="Arial" w:cs="Arial" w:eastAsia="Arial" w:hAnsi="Arial"/>
          <w:sz w:val="17"/>
          <w:szCs w:val="17"/>
          <w:color w:val="auto"/>
        </w:rPr>
        <w:t>, with respect to marketable securities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hierarchy is broken down into three levels as follows:</w:t>
      </w:r>
    </w:p>
    <w:p>
      <w:pPr>
        <w:spacing w:after="0" w:line="225" w:lineRule="exact"/>
        <w:rPr>
          <w:sz w:val="20"/>
          <w:szCs w:val="20"/>
          <w:color w:val="auto"/>
        </w:rPr>
      </w:pPr>
    </w:p>
    <w:p>
      <w:pPr>
        <w:ind w:left="1500" w:right="60" w:hanging="836"/>
        <w:spacing w:after="0" w:line="258" w:lineRule="auto"/>
        <w:tabs>
          <w:tab w:leader="none" w:pos="14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Assets and liabilities whose values are based on unadjusted quoted market prices for identical assets and liabilities in active markets</w:t>
      </w:r>
    </w:p>
    <w:p>
      <w:pPr>
        <w:spacing w:after="0" w:line="1" w:lineRule="exact"/>
        <w:rPr>
          <w:sz w:val="20"/>
          <w:szCs w:val="20"/>
          <w:color w:val="auto"/>
        </w:rPr>
      </w:pPr>
    </w:p>
    <w:p>
      <w:pPr>
        <w:ind w:left="1500" w:right="300" w:hanging="836"/>
        <w:spacing w:after="0" w:line="250" w:lineRule="auto"/>
        <w:tabs>
          <w:tab w:leader="none" w:pos="14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Assets and liabilities whose values are based on quoted prices in markets that are not active or inputs that are observable for substantially the full term of the asset or liability</w:t>
      </w:r>
    </w:p>
    <w:p>
      <w:pPr>
        <w:spacing w:after="0" w:line="1" w:lineRule="exact"/>
        <w:rPr>
          <w:sz w:val="20"/>
          <w:szCs w:val="20"/>
          <w:color w:val="auto"/>
        </w:rPr>
      </w:pPr>
    </w:p>
    <w:p>
      <w:pPr>
        <w:ind w:left="1500" w:right="260" w:hanging="836"/>
        <w:spacing w:after="0" w:line="261" w:lineRule="auto"/>
        <w:tabs>
          <w:tab w:leader="none" w:pos="14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w:t>
      </w:r>
    </w:p>
    <w:p>
      <w:pPr>
        <w:spacing w:after="0" w:line="18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Categorization within the valuation hierarchy is based upon the lowest level of input that is significant to the fair value measurement.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Company’s fair value hierarchy for its financial assets and liabilities that are measured at fair value on a recurring basis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July 31, 2019</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4"/>
              </w:rPr>
              <w:t>January 31, 2019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2"/>
              </w:rPr>
              <w:t>Level 1</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2"/>
              </w:rPr>
              <w:t>Level 2</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5"/>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Cash equivalents </w:t>
            </w:r>
            <w:r>
              <w:rPr>
                <w:rFonts w:ascii="Arial" w:cs="Arial" w:eastAsia="Arial" w:hAnsi="Arial"/>
                <w:sz w:val="10"/>
                <w:szCs w:val="10"/>
                <w:color w:val="auto"/>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Money market funds</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698,945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4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698,945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42,132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42,132</w:t>
            </w:r>
          </w:p>
        </w:tc>
      </w:tr>
      <w:tr>
        <w:trPr>
          <w:trHeight w:val="149"/>
        </w:trPr>
        <w:tc>
          <w:tcPr>
            <w:tcW w:w="20" w:type="dxa"/>
            <w:vAlign w:val="bottom"/>
          </w:tcPr>
          <w:p>
            <w:pPr>
              <w:spacing w:after="0"/>
              <w:rPr>
                <w:sz w:val="12"/>
                <w:szCs w:val="12"/>
                <w:color w:val="auto"/>
              </w:rPr>
            </w:pPr>
          </w:p>
        </w:tc>
        <w:tc>
          <w:tcPr>
            <w:tcW w:w="29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Corporate debt securities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3"/>
              </w:rPr>
              <w:t>15,008</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15,008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27,941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27,941</w:t>
            </w:r>
          </w:p>
        </w:tc>
      </w:tr>
      <w:tr>
        <w:trPr>
          <w:trHeight w:val="142"/>
        </w:trPr>
        <w:tc>
          <w:tcPr>
            <w:tcW w:w="20" w:type="dxa"/>
            <w:vAlign w:val="bottom"/>
          </w:tcPr>
          <w:p>
            <w:pPr>
              <w:spacing w:after="0"/>
              <w:rPr>
                <w:sz w:val="12"/>
                <w:szCs w:val="12"/>
                <w:color w:val="auto"/>
              </w:rPr>
            </w:pPr>
          </w:p>
        </w:tc>
        <w:tc>
          <w:tcPr>
            <w:tcW w:w="2920" w:type="dxa"/>
            <w:vAlign w:val="bottom"/>
            <w:tcBorders>
              <w:top w:val="single" w:sz="8" w:color="CCEEFF"/>
            </w:tcBorders>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cash equivalents</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698,945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15,008</w:t>
            </w:r>
          </w:p>
        </w:tc>
        <w:tc>
          <w:tcPr>
            <w:tcW w:w="1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713,953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42,132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27,941</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70,073</w:t>
            </w:r>
          </w:p>
        </w:tc>
      </w:tr>
      <w:tr>
        <w:trPr>
          <w:trHeight w:val="142"/>
        </w:trPr>
        <w:tc>
          <w:tcPr>
            <w:tcW w:w="20" w:type="dxa"/>
            <w:vAlign w:val="bottom"/>
          </w:tcPr>
          <w:p>
            <w:pPr>
              <w:spacing w:after="0"/>
              <w:rPr>
                <w:sz w:val="12"/>
                <w:szCs w:val="12"/>
                <w:color w:val="auto"/>
              </w:rPr>
            </w:pPr>
          </w:p>
        </w:tc>
        <w:tc>
          <w:tcPr>
            <w:tcW w:w="2920" w:type="dxa"/>
            <w:vAlign w:val="bottom"/>
            <w:gridSpan w:val="2"/>
          </w:tcPr>
          <w:p>
            <w:pPr>
              <w:spacing w:after="0" w:line="142" w:lineRule="exact"/>
              <w:rPr>
                <w:sz w:val="20"/>
                <w:szCs w:val="20"/>
                <w:color w:val="auto"/>
              </w:rPr>
            </w:pPr>
            <w:r>
              <w:rPr>
                <w:rFonts w:ascii="Arial" w:cs="Arial" w:eastAsia="Arial" w:hAnsi="Arial"/>
                <w:sz w:val="14"/>
                <w:szCs w:val="14"/>
                <w:color w:val="auto"/>
              </w:rPr>
              <w:t>Marketable securities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Corporate debt securities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79,985</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79,985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91,796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91,796</w:t>
            </w:r>
          </w:p>
        </w:tc>
      </w:tr>
      <w:tr>
        <w:trPr>
          <w:trHeight w:val="149"/>
        </w:trPr>
        <w:tc>
          <w:tcPr>
            <w:tcW w:w="20" w:type="dxa"/>
            <w:vAlign w:val="bottom"/>
          </w:tcPr>
          <w:p>
            <w:pPr>
              <w:spacing w:after="0"/>
              <w:rPr>
                <w:sz w:val="12"/>
                <w:szCs w:val="12"/>
                <w:color w:val="auto"/>
              </w:rPr>
            </w:pPr>
          </w:p>
        </w:tc>
        <w:tc>
          <w:tcPr>
            <w:tcW w:w="29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U.S. treasury securities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14,018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14,018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3"/>
              </w:rPr>
              <w:t>11,451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11,451</w:t>
            </w:r>
          </w:p>
        </w:tc>
      </w:tr>
      <w:tr>
        <w:trPr>
          <w:trHeight w:val="142"/>
        </w:trPr>
        <w:tc>
          <w:tcPr>
            <w:tcW w:w="20" w:type="dxa"/>
            <w:vAlign w:val="bottom"/>
          </w:tcPr>
          <w:p>
            <w:pPr>
              <w:spacing w:after="0"/>
              <w:rPr>
                <w:sz w:val="12"/>
                <w:szCs w:val="12"/>
                <w:color w:val="auto"/>
              </w:rPr>
            </w:pPr>
          </w:p>
        </w:tc>
        <w:tc>
          <w:tcPr>
            <w:tcW w:w="2920" w:type="dxa"/>
            <w:vAlign w:val="bottom"/>
            <w:tcBorders>
              <w:top w:val="single" w:sz="8" w:color="CCEEFF"/>
            </w:tcBorders>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marketable securities</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14,018</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79,985</w:t>
            </w:r>
          </w:p>
        </w:tc>
        <w:tc>
          <w:tcPr>
            <w:tcW w:w="1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94,003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11,451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91,796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103,247</w:t>
            </w:r>
          </w:p>
        </w:tc>
      </w:tr>
      <w:tr>
        <w:trPr>
          <w:trHeight w:val="182"/>
        </w:trPr>
        <w:tc>
          <w:tcPr>
            <w:tcW w:w="20" w:type="dxa"/>
            <w:vAlign w:val="bottom"/>
          </w:tcPr>
          <w:p>
            <w:pPr>
              <w:spacing w:after="0"/>
              <w:rPr>
                <w:sz w:val="15"/>
                <w:szCs w:val="15"/>
                <w:color w:val="auto"/>
              </w:rPr>
            </w:pPr>
          </w:p>
        </w:tc>
        <w:tc>
          <w:tcPr>
            <w:tcW w:w="2920" w:type="dxa"/>
            <w:vAlign w:val="bottom"/>
            <w:tcBorders>
              <w:bottom w:val="single" w:sz="8" w:color="CCEEFF"/>
            </w:tcBorders>
            <w:gridSpan w:val="2"/>
          </w:tcPr>
          <w:p>
            <w:pPr>
              <w:ind w:left="200"/>
              <w:spacing w:after="0" w:line="142"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712,963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94,993</w:t>
            </w: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807,956</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53,583</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119,737</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173,320</w:t>
            </w:r>
          </w:p>
        </w:tc>
      </w:tr>
      <w:tr>
        <w:trPr>
          <w:trHeight w:val="129"/>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Liability</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0"/>
        </w:trPr>
        <w:tc>
          <w:tcPr>
            <w:tcW w:w="20" w:type="dxa"/>
            <w:vAlign w:val="bottom"/>
          </w:tcPr>
          <w:p>
            <w:pPr>
              <w:spacing w:after="0"/>
              <w:rPr>
                <w:sz w:val="11"/>
                <w:szCs w:val="11"/>
                <w:color w:val="auto"/>
              </w:rPr>
            </w:pPr>
          </w:p>
        </w:tc>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Contingent consideration related to business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7"/>
        </w:trPr>
        <w:tc>
          <w:tcPr>
            <w:tcW w:w="2940" w:type="dxa"/>
            <w:vAlign w:val="bottom"/>
            <w:gridSpan w:val="3"/>
          </w:tcPr>
          <w:p>
            <w:pPr>
              <w:spacing w:after="0"/>
              <w:rPr>
                <w:sz w:val="20"/>
                <w:szCs w:val="20"/>
                <w:color w:val="auto"/>
              </w:rPr>
            </w:pPr>
            <w:r>
              <w:rPr>
                <w:rFonts w:ascii="Arial" w:cs="Arial" w:eastAsia="Arial" w:hAnsi="Arial"/>
                <w:sz w:val="14"/>
                <w:szCs w:val="14"/>
                <w:color w:val="auto"/>
              </w:rPr>
              <w:t xml:space="preserve">combinations </w:t>
            </w:r>
            <w:r>
              <w:rPr>
                <w:rFonts w:ascii="Arial" w:cs="Arial" w:eastAsia="Arial" w:hAnsi="Arial"/>
                <w:sz w:val="10"/>
                <w:szCs w:val="10"/>
                <w:color w:val="auto"/>
              </w:rPr>
              <w:t>(2)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474</w:t>
            </w:r>
          </w:p>
        </w:tc>
        <w:tc>
          <w:tcPr>
            <w:tcW w:w="160" w:type="dxa"/>
            <w:vAlign w:val="bottom"/>
          </w:tcPr>
          <w:p>
            <w:pPr>
              <w:spacing w:after="0"/>
              <w:rPr>
                <w:sz w:val="14"/>
                <w:szCs w:val="14"/>
                <w:color w:val="auto"/>
              </w:rPr>
            </w:pPr>
          </w:p>
        </w:tc>
        <w:tc>
          <w:tcPr>
            <w:tcW w:w="10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474</w:t>
            </w:r>
          </w:p>
        </w:tc>
      </w:tr>
      <w:tr>
        <w:trPr>
          <w:trHeight w:val="130"/>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7"/>
              </w:rPr>
              <w:t>Redeemable convertible preferred stock warrant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liability </w:t>
            </w:r>
            <w:r>
              <w:rPr>
                <w:rFonts w:ascii="Arial" w:cs="Arial" w:eastAsia="Arial" w:hAnsi="Arial"/>
                <w:sz w:val="10"/>
                <w:szCs w:val="10"/>
                <w:color w:val="auto"/>
              </w:rPr>
              <w:t>(3)</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4,537</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4,537</w:t>
            </w:r>
          </w:p>
        </w:tc>
      </w:tr>
      <w:tr>
        <w:trPr>
          <w:trHeight w:val="142"/>
        </w:trPr>
        <w:tc>
          <w:tcPr>
            <w:tcW w:w="20" w:type="dxa"/>
            <w:vAlign w:val="bottom"/>
          </w:tcPr>
          <w:p>
            <w:pPr>
              <w:spacing w:after="0"/>
              <w:rPr>
                <w:sz w:val="12"/>
                <w:szCs w:val="12"/>
                <w:color w:val="auto"/>
              </w:rPr>
            </w:pPr>
          </w:p>
        </w:tc>
        <w:tc>
          <w:tcPr>
            <w:tcW w:w="2920" w:type="dxa"/>
            <w:vAlign w:val="bottom"/>
            <w:gridSpan w:val="2"/>
          </w:tcPr>
          <w:p>
            <w:pPr>
              <w:ind w:left="200"/>
              <w:spacing w:after="0" w:line="142" w:lineRule="exact"/>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5,011</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5,011</w:t>
            </w: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r>
    </w:tbl>
    <w:p>
      <w:pPr>
        <w:spacing w:after="0" w:line="67" w:lineRule="exact"/>
        <w:rPr>
          <w:sz w:val="20"/>
          <w:szCs w:val="20"/>
          <w:color w:val="auto"/>
        </w:rPr>
      </w:pPr>
    </w:p>
    <w:p>
      <w:pPr>
        <w:ind w:left="660" w:hanging="65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“Cash and cash equivalents” on the condensed consolidated balance sheets.</w:t>
      </w:r>
    </w:p>
    <w:p>
      <w:pPr>
        <w:spacing w:after="0" w:line="225" w:lineRule="exact"/>
        <w:rPr>
          <w:rFonts w:ascii="Arial" w:cs="Arial" w:eastAsia="Arial" w:hAnsi="Arial"/>
          <w:sz w:val="18"/>
          <w:szCs w:val="18"/>
          <w:color w:val="auto"/>
        </w:rPr>
      </w:pPr>
    </w:p>
    <w:p>
      <w:pPr>
        <w:ind w:left="660" w:hanging="651"/>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contingent consideration consists of development milestone payments. The fair value of the contingent consideration was estimated by developing the risk-adjusted discounted value as well as discounted probability-weighted expected payments. That measure is based on Level 3 inputs which are significant inputs that are not observable in the market. Key assumptions at the acquisition date included (a) a discount rate range of 3%-3.02% and (b) three probability-adjusted milestone payments, each $0.2 million. As of January 31, 2019, the first milestone payment of $0.2 million had been made. During the three months ended April 30, 2019, the remaining milestones were deemed not probable of being paid and the remaining contingent consideration of $0.5 million was written off to Other expense, net.</w:t>
      </w:r>
    </w:p>
    <w:p>
      <w:pPr>
        <w:spacing w:after="0" w:line="192" w:lineRule="exact"/>
        <w:rPr>
          <w:rFonts w:ascii="Arial" w:cs="Arial" w:eastAsia="Arial" w:hAnsi="Arial"/>
          <w:sz w:val="18"/>
          <w:szCs w:val="18"/>
          <w:color w:val="auto"/>
        </w:rPr>
      </w:pPr>
    </w:p>
    <w:p>
      <w:pPr>
        <w:ind w:left="660" w:right="80" w:hanging="651"/>
        <w:spacing w:after="0" w:line="27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Immediately prior to the closing of the IPO on June 14, 2019, the redeemable convertible preferred stock warrants also converted into 336,386 warrants to purchase Class B common stock on a one-to-one basis. The redeemable convertible preferred stock warrant liability was reclassified to additional paid-in capital. Within the same month, the Company received notice from the holders of 336,386 shares as to their intentions to convert the warrants into shares of common stock of the Company. Such shares were settled via net settlement method, which was elected by the holders to reduce the number of shares issued upon exercise to reflect net settlement of the exercise price, resulting in the issuance of 322,278 shares of the Company’s common stock.</w:t>
      </w:r>
    </w:p>
    <w:p>
      <w:pPr>
        <w:spacing w:after="0" w:line="17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There were no transfers between the levels of the fair value hierarchy during the three and six months ended July 31, 2019 or July 31, 2018.</w:t>
      </w:r>
    </w:p>
    <w:p>
      <w:pPr>
        <w:spacing w:after="0" w:line="170"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The securities that had been in continuous unrealized loss position per security type and in aggregate are not material as of July 31, 2019 and January 31, 2019. There were no impairments considered “other-than-temporary” as it is more likely than not we will hold the securities until maturity or a recovery of the cost basis.</w:t>
      </w:r>
    </w:p>
    <w:p>
      <w:pPr>
        <w:spacing w:after="0" w:line="16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remaining contractual maturities of marketable securities as of July 31, 2019 and January 31, 2019 were less than one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summarizes the changes in the redeemable convertible preferred stock warrant liability, which is classified as a Level 3 instrument: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Three Months Ended July 31,</w:t>
            </w:r>
          </w:p>
        </w:tc>
        <w:tc>
          <w:tcPr>
            <w:tcW w:w="160" w:type="dxa"/>
            <w:vAlign w:val="bottom"/>
          </w:tcPr>
          <w:p>
            <w:pPr>
              <w:spacing w:after="0"/>
              <w:rPr>
                <w:sz w:val="14"/>
                <w:szCs w:val="14"/>
                <w:color w:val="auto"/>
              </w:rPr>
            </w:pPr>
          </w:p>
        </w:tc>
        <w:tc>
          <w:tcPr>
            <w:tcW w:w="17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5"/>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jc w:val="right"/>
              <w:ind w:right="33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Adjustment resulting from change in fair value recognized in the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operations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4,855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Reclassification of liability for redeemable convertible preferred stock</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(10,559)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(10,559)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additional paid-in capital upon initial public offering</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3" w:lineRule="exact"/>
              <w:rPr>
                <w:sz w:val="20"/>
                <w:szCs w:val="20"/>
                <w:color w:val="auto"/>
              </w:rPr>
            </w:pPr>
            <w:r>
              <w:rPr>
                <w:rFonts w:ascii="Arial" w:cs="Arial" w:eastAsia="Arial" w:hAnsi="Arial"/>
                <w:sz w:val="18"/>
                <w:szCs w:val="18"/>
                <w:color w:val="auto"/>
              </w:rPr>
              <w:t>Balance at end of period</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3,016</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fair value of the redeemable convertible preferred stock warrant liability was estimated using the Black-Scholes option-pricing model and was based on significant inputs not observable in the market, and therefore was classified as a Level 3 instrument. The inputs include the Company’s preferred stock price, expected stock price volatility, risk-free interest rate, and contractual term. A loss of $4.9 million and $2.1 million was recorded as a component of Other expense, net, relating to the final remeasurement of the redeemable convertible preferred stock warrant liability during the three months ended July 31, 2019 and July 31, 2018, respectively, and a loss of $6.0 million and $2.1 million during the six months ended July 31, 2019 and July 31, 2018,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Balance Sheet Components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78"/>
              <w:spacing w:after="0"/>
              <w:rPr>
                <w:sz w:val="20"/>
                <w:szCs w:val="20"/>
                <w:color w:val="auto"/>
              </w:rPr>
            </w:pPr>
            <w:r>
              <w:rPr>
                <w:rFonts w:ascii="Arial" w:cs="Arial" w:eastAsia="Arial" w:hAnsi="Arial"/>
                <w:sz w:val="14"/>
                <w:szCs w:val="14"/>
                <w:b w:val="1"/>
                <w:bCs w:val="1"/>
                <w:color w:val="auto"/>
                <w:w w:val="93"/>
              </w:rPr>
              <w:t>July 31,</w:t>
            </w:r>
          </w:p>
        </w:tc>
        <w:tc>
          <w:tcPr>
            <w:tcW w:w="16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20" w:type="dxa"/>
            <w:vAlign w:val="bottom"/>
            <w:vMerge w:val="restart"/>
          </w:tcPr>
          <w:p>
            <w:pPr>
              <w:spacing w:after="0"/>
              <w:rPr>
                <w:sz w:val="15"/>
                <w:szCs w:val="15"/>
                <w:color w:val="auto"/>
              </w:rPr>
            </w:pPr>
          </w:p>
        </w:tc>
        <w:tc>
          <w:tcPr>
            <w:tcW w:w="3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14,390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Prepaid hosting services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w w:val="92"/>
              </w:rPr>
              <w:t>Prepaid expenses and other current assets</w:t>
            </w:r>
          </w:p>
        </w:tc>
        <w:tc>
          <w:tcPr>
            <w:tcW w:w="2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18,410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40" w:type="dxa"/>
            <w:vAlign w:val="bottom"/>
            <w:vMerge w:val="restart"/>
          </w:tcPr>
          <w:p>
            <w:pPr>
              <w:jc w:val="right"/>
              <w:ind w:right="17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consisted of the following:</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94"/>
              <w:spacing w:after="0"/>
              <w:rPr>
                <w:sz w:val="20"/>
                <w:szCs w:val="20"/>
                <w:color w:val="auto"/>
              </w:rPr>
            </w:pPr>
            <w:r>
              <w:rPr>
                <w:rFonts w:ascii="Arial" w:cs="Arial" w:eastAsia="Arial" w:hAnsi="Arial"/>
                <w:sz w:val="14"/>
                <w:szCs w:val="14"/>
                <w:b w:val="1"/>
                <w:bCs w:val="1"/>
                <w:color w:val="auto"/>
                <w:w w:val="97"/>
              </w:rPr>
              <w:t>July 31,</w:t>
            </w:r>
          </w:p>
        </w:tc>
        <w:tc>
          <w:tcPr>
            <w:tcW w:w="1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Data center and other computer equipment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Capitalized internal-use software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Purchased software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process</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47,991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144,825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Property and equipment, net</w:t>
            </w: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107,989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Construction in process mainly includes data center equipment purchased that has not yet been placed in service. As of July 31, 2019, $47.0 million of data center equipment was purchased but not yet been placed into service.</w:t>
      </w:r>
    </w:p>
    <w:p>
      <w:pPr>
        <w:spacing w:after="0" w:line="14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Depreciation and amortization expense of property and equipment was $5.3 million and $3.4 million during the three months ended July 31, 2019 and July 31, 2018, respectively, and $10.2 million and $6.4 million during the six months ended July 31, 2019 and July 31, 2018,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intangible assets, net consisted of the following:</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July 31,</w:t>
            </w:r>
          </w:p>
        </w:tc>
        <w:tc>
          <w:tcPr>
            <w:tcW w:w="20" w:type="dxa"/>
            <w:vAlign w:val="bottom"/>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January 31,</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Useful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5"/>
          </w:tcPr>
          <w:p>
            <w:pPr>
              <w:jc w:val="right"/>
              <w:ind w:right="293"/>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(in months)</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3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632</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3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Intangible assets, net</w:t>
            </w:r>
          </w:p>
        </w:tc>
        <w:tc>
          <w:tcPr>
            <w:tcW w:w="9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Amortization of developed technology, customer relationships, and non-compete agreement are recorded within cost of revenue, sales and marketing expense, and research and development expense, respectively, in the condensed consolidated statements of operations. Amortization expense of intangible assets was $0.1 million and $0.2 million during the</w:t>
      </w:r>
    </w:p>
    <w:p>
      <w:pPr>
        <w:ind w:right="240"/>
        <w:spacing w:after="0" w:line="261" w:lineRule="auto"/>
        <w:rPr>
          <w:sz w:val="20"/>
          <w:szCs w:val="20"/>
          <w:color w:val="auto"/>
        </w:rPr>
      </w:pPr>
      <w:r>
        <w:rPr>
          <w:rFonts w:ascii="Arial" w:cs="Arial" w:eastAsia="Arial" w:hAnsi="Arial"/>
          <w:sz w:val="18"/>
          <w:szCs w:val="18"/>
          <w:color w:val="auto"/>
        </w:rPr>
        <w:t>three months ended July 31, 2019 and July 31, 2018, respectively, and $0.3 million and $0.4 million during the six months ended July 31, 2019 and July 31, 2018, respectively.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estimated aggregate future amortization expense of intangible assets as of July 31, 2019 is as follows:</w:t>
      </w: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Fiscal 2020 (remaining six months)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Fiscal 2021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Fiscal 2022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Fiscal 2023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Fiscal 2024</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ind w:left="80"/>
              <w:spacing w:after="0"/>
              <w:rPr>
                <w:sz w:val="20"/>
                <w:szCs w:val="20"/>
                <w:color w:val="auto"/>
              </w:rPr>
            </w:pPr>
            <w:r>
              <w:rPr>
                <w:rFonts w:ascii="Arial" w:cs="Arial" w:eastAsia="Arial" w:hAnsi="Arial"/>
                <w:sz w:val="18"/>
                <w:szCs w:val="18"/>
                <w:color w:val="auto"/>
              </w:rPr>
              <w:t>Total amortization expense</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developed technology, customer relationships, and non-compete agreement assets are being amortized over 3 years, 5 years, and 3 years,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July 31,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January 31,</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5"/>
          </w:tcPr>
          <w:p>
            <w:pPr>
              <w:jc w:val="right"/>
              <w:ind w:right="31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8"/>
        </w:trPr>
        <w:tc>
          <w:tcPr>
            <w:tcW w:w="260" w:type="dxa"/>
            <w:vAlign w:val="bottom"/>
            <w:vMerge w:val="restart"/>
          </w:tcPr>
          <w:p>
            <w:pPr>
              <w:spacing w:after="0"/>
              <w:rPr>
                <w:sz w:val="15"/>
                <w:szCs w:val="15"/>
                <w:color w:val="auto"/>
              </w:rPr>
            </w:pPr>
          </w:p>
        </w:tc>
        <w:tc>
          <w:tcPr>
            <w:tcW w:w="4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Web hosting services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12,224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Accrued purchases of property and equipment</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10,701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7,042</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vendor expenses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12,326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Amounts due for employee expenses</w:t>
            </w:r>
          </w:p>
        </w:tc>
        <w:tc>
          <w:tcPr>
            <w:tcW w:w="9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Accrued expenses</w:t>
            </w: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32,568</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32,541</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Payroll and Benefits</w:t>
            </w: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color w:val="auto"/>
              </w:rPr>
              <w:t>Accrued payroll and benefits consisted of the following:</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July 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January 31,</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5"/>
          </w:tcPr>
          <w:p>
            <w:pPr>
              <w:jc w:val="right"/>
              <w:ind w:right="31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8"/>
        </w:trPr>
        <w:tc>
          <w:tcPr>
            <w:tcW w:w="260" w:type="dxa"/>
            <w:vAlign w:val="bottom"/>
            <w:vMerge w:val="restart"/>
          </w:tcPr>
          <w:p>
            <w:pPr>
              <w:spacing w:after="0"/>
              <w:rPr>
                <w:sz w:val="15"/>
                <w:szCs w:val="15"/>
                <w:color w:val="auto"/>
              </w:rPr>
            </w:pPr>
          </w:p>
        </w:tc>
        <w:tc>
          <w:tcPr>
            <w:tcW w:w="468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expenses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Accrued bonuses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commissions</w:t>
            </w:r>
          </w:p>
        </w:tc>
        <w:tc>
          <w:tcPr>
            <w:tcW w:w="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9,499</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Accrued payroll and benefits</w:t>
            </w:r>
          </w:p>
        </w:tc>
        <w:tc>
          <w:tcPr>
            <w:tcW w:w="9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20,057</w:t>
            </w:r>
          </w:p>
        </w:tc>
        <w:tc>
          <w:tcPr>
            <w:tcW w:w="18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19,284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Secured Revolving Credit Facility</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 The Company also has the option to request an incremental facility of up to an additional $75.0 million from one or more of the lenders under the Credit Agreement. The amount the Company may borrow under the Credit Agreement may not exceed the lesser of $150.0 million or the Company’s ordinary course recurring subscription revenue for the most recent month, as determined under the Credit Agreement, multiplied by a number that is (i) 6, for the first year after entry into the Credit Agreement; (ii) 5, for the second year after entry into the Credit Agreement; and (iii) 4, thereafter. Under the terms of the Credit Agreement, revolving loans may be either Eurodollar Loans or ABR Loans. Outstanding Eurodollar Loans incur interest at the Eurodollar Rate, which is defined in the Credit Agreement as LIBOR (or any successor thereto), plus a margin between 2.75% and 3.25%, depending on usage. Outstanding ABR Loans incur interest at the highest of (a) the</w:t>
      </w:r>
    </w:p>
    <w:p>
      <w:pPr>
        <w:sectPr>
          <w:pgSz w:w="11900" w:h="16838" w:orient="portrait"/>
          <w:cols w:equalWidth="0" w:num="1">
            <w:col w:w="9060"/>
          </w:cols>
          <w:pgMar w:left="1420" w:top="517" w:right="141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Prime Rate, as published by the Wall Street Journal, (b) the federal funds rate in effect for such day plus 0.50%, and (c) the Eurodollar Rate plus 1.00%, in each case plus a margin between 1.75% and 2.25%, depending on usage. The applicable margin for Eurodollar Loans and ABR Loans will be reduced by 0.25% upon the completion of an initial public offering of at least $100.0 million in gross proceeds. The Company will be charged a commitment fee of 0.2% to 0.3% per year for committed but unused amounts. The Credit Agreement will terminate on April 19, 2022.</w:t>
      </w:r>
    </w:p>
    <w:p>
      <w:pPr>
        <w:spacing w:after="0" w:line="17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Credit Agreement is collateralized by substantially all of the Company’s current and future property, rights, and assets, including, but not limited to, cash, goods, equipment, contractual rights, financial assets, and intangible assets of the Company and its subsidiaries. The Credit Agreement contains covenants limiting the ability to, among other things, dispose of assets, undergo a change in control, merge or consolidate, make acquisitions, incur debt, incur liens, pay dividends, repurchase stock, and make investments, in each case subject to certain exceptions. The Credit Agreement also contains financial covenants requiring the Company to maintain the year-over-year growth rate of its ordinary course recurring subscription revenue above specified rates and to maintain minimum liquidity at specified levels. The Company was in compliance with all covenants as of July 31, 2019. The Credit Agreement contains events of default that include, among others, non-payment of principal, interest, or fees, breach of covenants, inaccuracy of representations and warranties, cross defaults to certain other indebtedness, bankruptcy and insolvency events, and material judgments.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amounts were outstanding under the Credit Agreement as of July 31, 2019 or January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Taxes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 recognized an income tax expense of $0.6 million and $0.4 million for the three months ended July 31, 2019 and July 31, 2018, respectively and $1.2 million and $0.5 million for the six months ended July 31, 2019 and 2018, respectively. The tax expense for the three and six months ended July 31, 2019 was primarily attributable to pre-tax foreign earnings. The Company’s effective tax rates of (1.5%) and (1.6 %) for the three and six months ended July 31, 2019 and July 31, 2018, respectively, differ from the U.S. statutory tax rate primarily due to valuation allowance recorded against domestic losses and the tax rate differences between the United States and foreign countries.</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has a full valuation allowance on its U.S. federal and state deferred tax assets. As a result, consistent with the prior year, the Company is unable to record a tax benefit on these losses because of uncertainty of future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Redeemable Convertible Preferred Stock</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Upon the close of the Company’s IPO on June 14, 2019, all shares of convertible preferred stock then outstanding, totaling 131,267,586 shares, were automatically converted into an equivalent number of shares of Class B</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common stock on a one-to-one basis and the carrying value, totaling $557.9 million, was reclassified into Class B common stock and additional paid-in capital on the condensed consolidated balance sheet.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summarizes the authorized, issued, and outstanding redeemable convertible preferred stock of the Company as of January 31,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Issue Price</w:t>
            </w: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4"/>
                <w:szCs w:val="14"/>
                <w:color w:val="auto"/>
              </w:rPr>
            </w:pPr>
          </w:p>
        </w:tc>
        <w:tc>
          <w:tcPr>
            <w:tcW w:w="88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Liquidation</w:t>
            </w:r>
          </w:p>
        </w:tc>
        <w:tc>
          <w:tcPr>
            <w:tcW w:w="160" w:type="dxa"/>
            <w:vAlign w:val="bottom"/>
          </w:tcPr>
          <w:p>
            <w:pPr>
              <w:spacing w:after="0"/>
              <w:rPr>
                <w:sz w:val="14"/>
                <w:szCs w:val="14"/>
                <w:color w:val="auto"/>
              </w:rPr>
            </w:pPr>
          </w:p>
        </w:tc>
        <w:tc>
          <w:tcPr>
            <w:tcW w:w="9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b w:val="1"/>
                <w:bCs w:val="1"/>
                <w:color w:val="auto"/>
              </w:rPr>
              <w:t>per Share</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5"/>
              </w:rPr>
              <w:t>Authorized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880" w:type="dxa"/>
            <w:vAlign w:val="bottom"/>
          </w:tcPr>
          <w:p>
            <w:pPr>
              <w:jc w:val="right"/>
              <w:ind w:right="42"/>
              <w:spacing w:after="0"/>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4"/>
                <w:szCs w:val="14"/>
                <w:color w:val="auto"/>
              </w:rPr>
            </w:pPr>
          </w:p>
        </w:tc>
        <w:tc>
          <w:tcPr>
            <w:tcW w:w="960" w:type="dxa"/>
            <w:vAlign w:val="bottom"/>
          </w:tcPr>
          <w:p>
            <w:pPr>
              <w:jc w:val="right"/>
              <w:ind w:right="24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80" w:type="dxa"/>
            <w:vAlign w:val="bottom"/>
            <w:tcBorders>
              <w:top w:val="single" w:sz="8" w:color="auto"/>
            </w:tcBorders>
            <w:gridSpan w:val="7"/>
          </w:tcPr>
          <w:p>
            <w:pPr>
              <w:jc w:val="right"/>
              <w:ind w:right="622"/>
              <w:spacing w:after="0"/>
              <w:rPr>
                <w:sz w:val="20"/>
                <w:szCs w:val="20"/>
                <w:color w:val="auto"/>
              </w:rPr>
            </w:pPr>
            <w:r>
              <w:rPr>
                <w:rFonts w:ascii="Arial" w:cs="Arial" w:eastAsia="Arial" w:hAnsi="Arial"/>
                <w:sz w:val="14"/>
                <w:szCs w:val="14"/>
                <w:b w:val="1"/>
                <w:bCs w:val="1"/>
                <w:color w:val="auto"/>
                <w:w w:val="89"/>
              </w:rPr>
              <w:t>(in thousands, except per share values)</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Series A-1</w:t>
            </w:r>
          </w:p>
        </w:tc>
        <w:tc>
          <w:tcPr>
            <w:tcW w:w="12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0.50000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52,300</w:t>
            </w:r>
          </w:p>
        </w:tc>
        <w:tc>
          <w:tcPr>
            <w:tcW w:w="10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   76,325</w:t>
            </w:r>
          </w:p>
        </w:tc>
        <w:tc>
          <w:tcPr>
            <w:tcW w:w="10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   52,300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Series B</w:t>
            </w:r>
          </w:p>
        </w:tc>
        <w:tc>
          <w:tcPr>
            <w:tcW w:w="1240" w:type="dxa"/>
            <w:vAlign w:val="bottom"/>
            <w:gridSpan w:val="2"/>
          </w:tcPr>
          <w:p>
            <w:pPr>
              <w:jc w:val="right"/>
              <w:ind w:right="168"/>
              <w:spacing w:after="0"/>
              <w:rPr>
                <w:sz w:val="20"/>
                <w:szCs w:val="20"/>
                <w:color w:val="auto"/>
              </w:rPr>
            </w:pPr>
            <w:r>
              <w:rPr>
                <w:rFonts w:ascii="Arial" w:cs="Arial" w:eastAsia="Arial" w:hAnsi="Arial"/>
                <w:sz w:val="18"/>
                <w:szCs w:val="18"/>
                <w:color w:val="auto"/>
              </w:rPr>
              <w:t>1.40500</w:t>
            </w:r>
          </w:p>
        </w:tc>
        <w:tc>
          <w:tcPr>
            <w:tcW w:w="720" w:type="dxa"/>
            <w:vAlign w:val="bottom"/>
          </w:tcPr>
          <w:p>
            <w:pPr>
              <w:jc w:val="right"/>
              <w:spacing w:after="0"/>
              <w:rPr>
                <w:sz w:val="20"/>
                <w:szCs w:val="20"/>
                <w:color w:val="auto"/>
              </w:rPr>
            </w:pPr>
            <w:r>
              <w:rPr>
                <w:rFonts w:ascii="Arial" w:cs="Arial" w:eastAsia="Arial" w:hAnsi="Arial"/>
                <w:sz w:val="18"/>
                <w:szCs w:val="18"/>
                <w:color w:val="auto"/>
              </w:rPr>
              <w:t>21,523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21,352</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44,320</w:t>
            </w: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30,000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2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4.52972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22,077</w:t>
            </w:r>
          </w:p>
        </w:tc>
        <w:tc>
          <w:tcPr>
            <w:tcW w:w="10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99,900</w:t>
            </w:r>
          </w:p>
        </w:tc>
        <w:tc>
          <w:tcPr>
            <w:tcW w:w="10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Series D</w:t>
            </w:r>
          </w:p>
        </w:tc>
        <w:tc>
          <w:tcPr>
            <w:tcW w:w="1240" w:type="dxa"/>
            <w:vAlign w:val="bottom"/>
            <w:gridSpan w:val="2"/>
          </w:tcPr>
          <w:p>
            <w:pPr>
              <w:jc w:val="right"/>
              <w:ind w:right="168"/>
              <w:spacing w:after="0"/>
              <w:rPr>
                <w:sz w:val="20"/>
                <w:szCs w:val="20"/>
                <w:color w:val="auto"/>
              </w:rPr>
            </w:pPr>
            <w:r>
              <w:rPr>
                <w:rFonts w:ascii="Arial" w:cs="Arial" w:eastAsia="Arial" w:hAnsi="Arial"/>
                <w:sz w:val="18"/>
                <w:szCs w:val="18"/>
                <w:color w:val="auto"/>
              </w:rPr>
              <w:t>5.69153</w:t>
            </w:r>
          </w:p>
        </w:tc>
        <w:tc>
          <w:tcPr>
            <w:tcW w:w="720" w:type="dxa"/>
            <w:vAlign w:val="bottom"/>
          </w:tcPr>
          <w:p>
            <w:pPr>
              <w:jc w:val="right"/>
              <w:spacing w:after="0"/>
              <w:rPr>
                <w:sz w:val="20"/>
                <w:szCs w:val="20"/>
                <w:color w:val="auto"/>
              </w:rPr>
            </w:pPr>
            <w:r>
              <w:rPr>
                <w:rFonts w:ascii="Arial" w:cs="Arial" w:eastAsia="Arial" w:hAnsi="Arial"/>
                <w:sz w:val="18"/>
                <w:szCs w:val="18"/>
                <w:color w:val="auto"/>
              </w:rPr>
              <w:t>17,570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17,570</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99,845</w:t>
            </w: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125,000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2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5.69153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0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30,626</w:t>
            </w:r>
          </w:p>
        </w:tc>
        <w:tc>
          <w:tcPr>
            <w:tcW w:w="10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30,700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Series E</w:t>
            </w:r>
          </w:p>
        </w:tc>
        <w:tc>
          <w:tcPr>
            <w:tcW w:w="1240" w:type="dxa"/>
            <w:vAlign w:val="bottom"/>
            <w:gridSpan w:val="2"/>
          </w:tcPr>
          <w:p>
            <w:pPr>
              <w:jc w:val="right"/>
              <w:ind w:right="168"/>
              <w:spacing w:after="0"/>
              <w:rPr>
                <w:sz w:val="20"/>
                <w:szCs w:val="20"/>
                <w:color w:val="auto"/>
              </w:rPr>
            </w:pPr>
            <w:r>
              <w:rPr>
                <w:rFonts w:ascii="Arial" w:cs="Arial" w:eastAsia="Arial" w:hAnsi="Arial"/>
                <w:sz w:val="18"/>
                <w:szCs w:val="18"/>
                <w:color w:val="auto"/>
              </w:rPr>
              <w:t>16.46136</w:t>
            </w:r>
          </w:p>
        </w:tc>
        <w:tc>
          <w:tcPr>
            <w:tcW w:w="720" w:type="dxa"/>
            <w:vAlign w:val="bottom"/>
          </w:tcPr>
          <w:p>
            <w:pPr>
              <w:jc w:val="right"/>
              <w:spacing w:after="0"/>
              <w:rPr>
                <w:sz w:val="20"/>
                <w:szCs w:val="20"/>
                <w:color w:val="auto"/>
              </w:rPr>
            </w:pPr>
            <w:r>
              <w:rPr>
                <w:rFonts w:ascii="Arial" w:cs="Arial" w:eastAsia="Arial" w:hAnsi="Arial"/>
                <w:sz w:val="18"/>
                <w:szCs w:val="18"/>
                <w:color w:val="auto"/>
              </w:rPr>
              <w:t>18,357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12,575</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206,896</w:t>
            </w: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207,000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137,419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557,912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545,000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Common Stock</w:t>
      </w:r>
    </w:p>
    <w:p>
      <w:pPr>
        <w:spacing w:after="0" w:line="225"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In connection with the IPO, on June 14, 2019, the Company filed an Amended and Restated Certificate of Incorporation which authorizes the issuance of 2,000,000,000 shares of Class A common stock with a par value of $0.0005 per share, 300,000,000 shares of Class B common stock with a par value of $0.0005 per share, and 100,000,000 shares of undesignated preferred stock with a par value of $0.0005 per share. The rights of the holders of Class A common stock and Class B common stock are identical, except with respect to voting and conversion rights. Each share of Class A common stock is entitled to one vote per share. Each share of Class B common stock is entitled to ten votes per share and is convertible into one share of Class A common stock. Class A and Class B common stockholders are not entitled to receive dividends unless declared by our board of directors.</w:t>
      </w:r>
    </w:p>
    <w:p>
      <w:pPr>
        <w:spacing w:after="0" w:line="200" w:lineRule="exact"/>
        <w:rPr>
          <w:sz w:val="20"/>
          <w:szCs w:val="20"/>
          <w:color w:val="auto"/>
        </w:rPr>
      </w:pPr>
    </w:p>
    <w:p>
      <w:pPr>
        <w:spacing w:after="0" w:line="209" w:lineRule="exact"/>
        <w:rPr>
          <w:sz w:val="20"/>
          <w:szCs w:val="20"/>
          <w:color w:val="auto"/>
        </w:rPr>
      </w:pPr>
    </w:p>
    <w:p>
      <w:pPr>
        <w:ind w:left="660" w:right="6800" w:hanging="651"/>
        <w:spacing w:after="0" w:line="601" w:lineRule="auto"/>
        <w:tabs>
          <w:tab w:leader="none" w:pos="237" w:val="left"/>
        </w:tabs>
        <w:numPr>
          <w:ilvl w:val="0"/>
          <w:numId w:val="1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Stock-Based Compensation Stock Incentive Plan</w:t>
      </w:r>
    </w:p>
    <w:p>
      <w:pPr>
        <w:ind w:right="40" w:firstLine="648"/>
        <w:spacing w:after="0" w:line="290" w:lineRule="auto"/>
        <w:rPr>
          <w:sz w:val="20"/>
          <w:szCs w:val="20"/>
          <w:color w:val="auto"/>
        </w:rPr>
      </w:pPr>
      <w:r>
        <w:rPr>
          <w:rFonts w:ascii="Arial" w:cs="Arial" w:eastAsia="Arial" w:hAnsi="Arial"/>
          <w:sz w:val="16"/>
          <w:szCs w:val="16"/>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and performance-based restricted stock units. A total of 8,750,000 shares of Class A common stock were initially available for issuance under the 2019 Plan. The Company’s compensation committee administers the 2019 Plan. The number of shares of our common stock available for issuance under the 2019 Plan is subject to an annual increase on the first day of each fiscal year beginning on February 1, 2020, equal to the lesser of: (i) two percent (2%) of outstanding shares of the Company’s capital stock as of the last day of the immediately preceding fiscal year or (ii) such other amount as our board of directors may determine.</w:t>
      </w:r>
    </w:p>
    <w:p>
      <w:pPr>
        <w:spacing w:after="0" w:line="166"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or terminate or are forfeited or repurchased under the 2011 Plan will be automatically transferred to the 2019 Plan. The maximum number of shares of common stock, that could have been issued pursuant to the 2011 Plan was 79,498,016 as of January 31, 2019.</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each option was estimated on the date of grant using the following assumptions during the period:</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Six Months Ended July 31,</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7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Dividend yield</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stock option activity for the six months ended July 31, 2019:</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January 31,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880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April 30, 2019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July 31, 2019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and expected to vest at July 31, 2019</w:t>
            </w:r>
          </w:p>
        </w:tc>
        <w:tc>
          <w:tcPr>
            <w:tcW w:w="92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line="20" w:lineRule="exact"/>
              <w:rPr>
                <w:sz w:val="1"/>
                <w:szCs w:val="1"/>
                <w:color w:val="auto"/>
              </w:rPr>
            </w:pPr>
          </w:p>
        </w:tc>
      </w:tr>
      <w:tr>
        <w:trPr>
          <w:trHeight w:val="237"/>
        </w:trPr>
        <w:tc>
          <w:tcPr>
            <w:tcW w:w="5260" w:type="dxa"/>
            <w:vAlign w:val="bottom"/>
            <w:gridSpan w:val="2"/>
            <w:vMerge w:val="continue"/>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21,267</w:t>
            </w:r>
          </w:p>
        </w:tc>
        <w:tc>
          <w:tcPr>
            <w:tcW w:w="26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Options exercisable at July 31, 2019</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10,810</w:t>
            </w:r>
          </w:p>
        </w:tc>
        <w:tc>
          <w:tcPr>
            <w:tcW w:w="26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Options exercisable include 1,107,201 options that were unvested as of July 31, 2019.</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aggregate intrinsic value of options vested and exercisable was $1,034 million and $181.1 million as of July 31, 2019 and January 31, 2019, respectively. The weighted-average remaining contractual term of options vested and exercisable was 6.5 years and 7.1 years as of July 31, 2019 and January 31, 2019,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weighted-average grant date fair values of all options granted was $13.45 and $5.36 per share during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July 31, 2019 and July 31, 2018, respectively, and $9.51 and $5.36 per share during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July 31, 2019 and July 31, 2018, respectively. The total intrinsic value of all options exercised was $80.9 million and</w:t>
      </w:r>
    </w:p>
    <w:p>
      <w:pPr>
        <w:spacing w:after="0" w:line="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$6.6 million during the three months ended July 31, 2019 and July 31, 2018, respectively, and $89.7 million and $7.6 million during the six months ended July 31, 2019 and July 31, 2018,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intrinsic value of stock options outstanding as of July 31, 2019 and January 31, 2019 was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$1,797.2 million and $286.1 million, respectively, which represents the excess of the fair value of the Company’s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over the exercise price of the options multiplied by the number of options outstanding. The</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weighted-average remaining contractual term of stock options outstanding was 7.5 years and 7.9 years as of July 31, 2019 and January 31, 2019, respectively.</w:t>
      </w:r>
    </w:p>
    <w:p>
      <w:pPr>
        <w:spacing w:after="0" w:line="170"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Total unrecognized stock-based compensation expense related to unvested options was $44.5 million as of July 31, 2019. This expense is expected to be amortized on a straight-line basis over a weighted-average vesting period of 2.5 years. Total unrecognized stock-based compensation expense related to unvested options was $45.8 million as of January 31, 2019. This expense is expected to be amortized on a straight-line basis over a weighted-average vesting period of 3.4 years.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condensed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During both the three months ended July 31, 2019 and the six months ended July 31, 2019, the Company issued 1,037,356 shares of common stock related to early exercised stock options. As of July 31, 2019, the number of shares of common stock related to early exercised stock options subject to repurchase was 1,316,192 shares for $10.5 million. As of January 31, 2019, the number of shares of common stock related to early exercised stock options subject to repurchase was 545,941 shares for $1.2 million. Common stock purchased pursuant to an early exercise of stock options is not deemed to be outstanding for accounting purposes until those shares vest. The Company includes unvested shares subject to repurchase in the number of shares outstanding on the statement of redeemable convertible preferred stock and stockholders’ deficit.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Beginning in September 2018, the Company began issuing RSUs to certain employees. These RSUs include a service-based vesting condition and a performance-based vesting condition. The service-based vesting condition is generally satisfied based on one of three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beginning on December 20, 2018, subject to continued service, or (iii) vesting in eight equal quarterly installments beginning on December 20, 2022, subject to continued service. The performance-based vesting condition is satisfied on the earlier of (i) a change in control, in which the consideration paid to holders of shares is either cash, publicly traded securities, or a combination thereof, or (ii) the first Company vest date to occur following the expiration of the lock-up period upon an IPO, subject to continued service through such change in control or lock-up expiration, as applicable. None of the RSUs vest unless the performance-based vesting condition is satisfied. Upon the completion of the IPO, the performance-based vesting condition was met and the Company recognized $17.3 million of deferred expense related to RSUs as of that date in its condensed consolidated statement of operations.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Expense for RSUs that have a service-based condition only are being amortized on a straight-line basis. Expense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RSUs that have both a service-based and a performance-based condition are being amortized under the accelerated</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attribution method. Total unrecognized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related to unvested RSUs was $83.2 million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31, 2019. This expense is expected to be amortized (subject to acceleration or straight-line basis) over a</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weighted</w:t>
      </w:r>
      <w:r>
        <w:rPr>
          <w:rFonts w:ascii="MS PGothic" w:cs="MS PGothic" w:eastAsia="MS PGothic" w:hAnsi="MS PGothic"/>
          <w:sz w:val="16"/>
          <w:szCs w:val="16"/>
          <w:color w:val="auto"/>
        </w:rPr>
        <w:t>‑</w:t>
      </w:r>
      <w:r>
        <w:rPr>
          <w:rFonts w:ascii="Arial" w:cs="Arial" w:eastAsia="Arial" w:hAnsi="Arial"/>
          <w:sz w:val="16"/>
          <w:szCs w:val="16"/>
          <w:color w:val="auto"/>
        </w:rPr>
        <w:t>average vesting period of 2.2 years. Total unrecognized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related to unvested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units was $51.9 million as of January 31, 2019. This expense is expected to be amortized on an accelerated</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attribution method over a weighted</w:t>
      </w:r>
      <w:r>
        <w:rPr>
          <w:rFonts w:ascii="MS PGothic" w:cs="MS PGothic" w:eastAsia="MS PGothic" w:hAnsi="MS PGothic"/>
          <w:sz w:val="18"/>
          <w:szCs w:val="18"/>
          <w:color w:val="auto"/>
        </w:rPr>
        <w:t>‑</w:t>
      </w:r>
      <w:r>
        <w:rPr>
          <w:rFonts w:ascii="Arial" w:cs="Arial" w:eastAsia="Arial" w:hAnsi="Arial"/>
          <w:sz w:val="18"/>
          <w:szCs w:val="18"/>
          <w:color w:val="auto"/>
        </w:rPr>
        <w:t>average vesting period of 2.2 years.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RSU activity for the six months ended July 31, 2019:</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RSUs outstanding at January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853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RSUs outstanding at April 30,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1,014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RSUs outstanding at July 31,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RSUs expected to vest at July 31, 2019</w:t>
            </w:r>
          </w:p>
        </w:tc>
        <w:tc>
          <w:tcPr>
            <w:tcW w:w="900" w:type="dxa"/>
            <w:vAlign w:val="bottom"/>
            <w:tcBorders>
              <w:bottom w:val="single" w:sz="8" w:color="auto"/>
            </w:tcBorders>
          </w:tcPr>
          <w:p>
            <w:pPr>
              <w:spacing w:after="0" w:line="20" w:lineRule="exact"/>
              <w:rPr>
                <w:sz w:val="1"/>
                <w:szCs w:val="1"/>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line="20" w:lineRule="exact"/>
              <w:rPr>
                <w:sz w:val="1"/>
                <w:szCs w:val="1"/>
                <w:color w:val="auto"/>
              </w:rPr>
            </w:pPr>
          </w:p>
        </w:tc>
      </w:tr>
      <w:tr>
        <w:trPr>
          <w:trHeight w:val="197"/>
        </w:trPr>
        <w:tc>
          <w:tcPr>
            <w:tcW w:w="6120" w:type="dxa"/>
            <w:vAlign w:val="bottom"/>
            <w:gridSpan w:val="2"/>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5,729</w:t>
            </w:r>
          </w:p>
        </w:tc>
        <w:tc>
          <w:tcPr>
            <w:tcW w:w="3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59" w:firstLine="648"/>
        <w:spacing w:after="0" w:line="271" w:lineRule="auto"/>
        <w:rPr>
          <w:sz w:val="20"/>
          <w:szCs w:val="20"/>
          <w:color w:val="auto"/>
        </w:rPr>
      </w:pPr>
      <w:r>
        <w:rPr>
          <w:rFonts w:ascii="Arial" w:cs="Arial" w:eastAsia="Arial" w:hAnsi="Arial"/>
          <w:sz w:val="17"/>
          <w:szCs w:val="17"/>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outstanding shares of our capital stock as of the last day of the immediately preceding fiscal year or (ii) such other amount as our board of directors may determine.</w:t>
      </w:r>
    </w:p>
    <w:p>
      <w:pPr>
        <w:spacing w:after="0" w:line="179" w:lineRule="exact"/>
        <w:rPr>
          <w:sz w:val="20"/>
          <w:szCs w:val="20"/>
          <w:color w:val="auto"/>
        </w:rPr>
      </w:pPr>
    </w:p>
    <w:p>
      <w:pPr>
        <w:ind w:right="79" w:firstLine="648"/>
        <w:spacing w:after="0" w:line="279" w:lineRule="auto"/>
        <w:rPr>
          <w:sz w:val="20"/>
          <w:szCs w:val="20"/>
          <w:color w:val="auto"/>
        </w:rPr>
      </w:pPr>
      <w:r>
        <w:rPr>
          <w:rFonts w:ascii="Arial" w:cs="Arial" w:eastAsia="Arial" w:hAnsi="Arial"/>
          <w:sz w:val="17"/>
          <w:szCs w:val="17"/>
          <w:color w:val="auto"/>
        </w:rPr>
        <w:t>The ESPP provides for consecutive offering periods that will typically have a duration of approximately 24 months in length and is comprised of four purchase periods of approximately six months in length. The offering periods are scheduled to start on the first trading day on or after June 11 and December 11 of each year. The first offering period commenced on June 11, 2019 and is scheduled to end on the first trading day on or before June 10, 2021.</w:t>
      </w:r>
    </w:p>
    <w:p>
      <w:pPr>
        <w:spacing w:after="0" w:line="171" w:lineRule="exact"/>
        <w:rPr>
          <w:sz w:val="20"/>
          <w:szCs w:val="20"/>
          <w:color w:val="auto"/>
        </w:rPr>
      </w:pPr>
    </w:p>
    <w:p>
      <w:pPr>
        <w:ind w:right="59" w:firstLine="648"/>
        <w:spacing w:after="0" w:line="290" w:lineRule="auto"/>
        <w:rPr>
          <w:sz w:val="20"/>
          <w:szCs w:val="20"/>
          <w:color w:val="auto"/>
        </w:rPr>
      </w:pPr>
      <w:r>
        <w:rPr>
          <w:rFonts w:ascii="Arial" w:cs="Arial" w:eastAsia="Arial" w:hAnsi="Arial"/>
          <w:sz w:val="16"/>
          <w:szCs w:val="16"/>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shall be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w:t>
      </w:r>
    </w:p>
    <w:p>
      <w:pPr>
        <w:spacing w:after="0" w:line="166" w:lineRule="exact"/>
        <w:rPr>
          <w:sz w:val="20"/>
          <w:szCs w:val="20"/>
          <w:color w:val="auto"/>
        </w:rPr>
      </w:pPr>
    </w:p>
    <w:p>
      <w:pPr>
        <w:ind w:right="19" w:firstLine="648"/>
        <w:spacing w:after="0" w:line="279" w:lineRule="auto"/>
        <w:rPr>
          <w:sz w:val="20"/>
          <w:szCs w:val="20"/>
          <w:color w:val="auto"/>
        </w:rPr>
      </w:pPr>
      <w:r>
        <w:rPr>
          <w:rFonts w:ascii="Arial" w:cs="Arial" w:eastAsia="Arial" w:hAnsi="Arial"/>
          <w:sz w:val="17"/>
          <w:szCs w:val="17"/>
          <w:color w:val="auto"/>
        </w:rPr>
        <w:t>ESPP employee payroll contributions accrued at July 31, 2019 totaled $2.5 million and are included within accrued compensation in the condensed consolidated balance sheets. Employee payroll contributions ultimately used to purchase shares will be reclassified to stockholders' equity on the purchase date. The Company recorded stock-based compensation of $2.3 million during the three and six months ended July 31, 2019 in connection with the ESPP.</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fair value of the share purchase rights granted under the ESPP during the six months ended July 31, 2019 was estimated on the date of grant using the Black-Scholes option pricing model with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Six Months Ended July 31,</w:t>
            </w:r>
          </w:p>
        </w:tc>
        <w:tc>
          <w:tcPr>
            <w:tcW w:w="260" w:type="dxa"/>
            <w:vAlign w:val="bottom"/>
          </w:tcPr>
          <w:p>
            <w:pPr>
              <w:spacing w:after="0"/>
              <w:rPr>
                <w:sz w:val="14"/>
                <w:szCs w:val="14"/>
                <w:color w:val="auto"/>
              </w:rPr>
            </w:pPr>
          </w:p>
        </w:tc>
      </w:tr>
      <w:tr>
        <w:trPr>
          <w:trHeight w:val="142"/>
        </w:trPr>
        <w:tc>
          <w:tcPr>
            <w:tcW w:w="7060" w:type="dxa"/>
            <w:vAlign w:val="bottom"/>
          </w:tcPr>
          <w:p>
            <w:pPr>
              <w:spacing w:after="0"/>
              <w:rPr>
                <w:sz w:val="12"/>
                <w:szCs w:val="12"/>
                <w:color w:val="auto"/>
              </w:rPr>
            </w:pPr>
          </w:p>
        </w:tc>
        <w:tc>
          <w:tcPr>
            <w:tcW w:w="134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0"/>
        </w:trPr>
        <w:tc>
          <w:tcPr>
            <w:tcW w:w="7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- 2.0</w:t>
            </w:r>
          </w:p>
        </w:tc>
        <w:tc>
          <w:tcPr>
            <w:tcW w:w="26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jc w:val="right"/>
              <w:spacing w:after="0"/>
              <w:rPr>
                <w:sz w:val="20"/>
                <w:szCs w:val="20"/>
                <w:color w:val="auto"/>
              </w:rPr>
            </w:pPr>
            <w:r>
              <w:rPr>
                <w:rFonts w:ascii="Arial" w:cs="Arial" w:eastAsia="Arial" w:hAnsi="Arial"/>
                <w:sz w:val="18"/>
                <w:szCs w:val="18"/>
                <w:color w:val="auto"/>
                <w:w w:val="88"/>
              </w:rPr>
              <w:t>- 2.2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33.0 - 35.7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Dividend yield</w:t>
            </w:r>
          </w:p>
        </w:tc>
        <w:tc>
          <w:tcPr>
            <w:tcW w:w="1340" w:type="dxa"/>
            <w:vAlign w:val="bottom"/>
          </w:tcPr>
          <w:p>
            <w:pPr>
              <w:spacing w:after="0"/>
              <w:rPr>
                <w:sz w:val="20"/>
                <w:szCs w:val="20"/>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Stock-based compensation expense included in the condensed consolidated statements of operations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w w:val="97"/>
              </w:rPr>
              <w:t>Three Months Ended July 31,</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193"/>
              <w:spacing w:after="0"/>
              <w:rPr>
                <w:sz w:val="20"/>
                <w:szCs w:val="20"/>
                <w:color w:val="auto"/>
              </w:rPr>
            </w:pPr>
            <w:r>
              <w:rPr>
                <w:rFonts w:ascii="Arial" w:cs="Arial" w:eastAsia="Arial" w:hAnsi="Arial"/>
                <w:sz w:val="14"/>
                <w:szCs w:val="14"/>
                <w:b w:val="1"/>
                <w:bCs w:val="1"/>
                <w:color w:val="auto"/>
                <w:w w:val="96"/>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83"/>
              </w:rPr>
              <w:t>2018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Subscription cost of revenue</w:t>
            </w:r>
          </w:p>
        </w:tc>
        <w:tc>
          <w:tcPr>
            <w:tcW w:w="8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58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Professional services cost of revenue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16,368</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6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29,859</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Revenue, Deferred Revenue and Remaining Performance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revenue from contracts by type of customer:</w:t>
      </w:r>
    </w:p>
    <w:p>
      <w:pPr>
        <w:spacing w:after="0" w:line="230"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8"/>
          </w:tcPr>
          <w:p>
            <w:pPr>
              <w:jc w:val="right"/>
              <w:ind w:right="864"/>
              <w:spacing w:after="0"/>
              <w:rPr>
                <w:sz w:val="20"/>
                <w:szCs w:val="20"/>
                <w:color w:val="auto"/>
              </w:rPr>
            </w:pPr>
            <w:r>
              <w:rPr>
                <w:rFonts w:ascii="Arial" w:cs="Arial" w:eastAsia="Arial" w:hAnsi="Arial"/>
                <w:sz w:val="14"/>
                <w:szCs w:val="14"/>
                <w:b w:val="1"/>
                <w:bCs w:val="1"/>
                <w:color w:val="auto"/>
                <w:w w:val="94"/>
              </w:rPr>
              <w:t>Three Months Ended July 31,</w:t>
            </w: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1"/>
              <w:spacing w:after="0"/>
              <w:rPr>
                <w:sz w:val="20"/>
                <w:szCs w:val="20"/>
                <w:color w:val="auto"/>
              </w:rPr>
            </w:pPr>
            <w:r>
              <w:rPr>
                <w:rFonts w:ascii="Arial" w:cs="Arial" w:eastAsia="Arial" w:hAnsi="Arial"/>
                <w:sz w:val="14"/>
                <w:szCs w:val="14"/>
                <w:b w:val="1"/>
                <w:bCs w:val="1"/>
                <w:color w:val="auto"/>
                <w:w w:val="93"/>
              </w:rPr>
              <w:t>Six Months Ended July 31,</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523"/>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483"/>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52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43"/>
              <w:spacing w:after="0" w:line="142" w:lineRule="exact"/>
              <w:rPr>
                <w:sz w:val="20"/>
                <w:szCs w:val="20"/>
                <w:color w:val="auto"/>
              </w:rPr>
            </w:pPr>
            <w:r>
              <w:rPr>
                <w:rFonts w:ascii="Arial" w:cs="Arial" w:eastAsia="Arial" w:hAnsi="Arial"/>
                <w:sz w:val="14"/>
                <w:szCs w:val="14"/>
                <w:b w:val="1"/>
                <w:bCs w:val="1"/>
                <w:color w:val="auto"/>
                <w:w w:val="83"/>
              </w:rPr>
              <w:t>2018</w:t>
            </w: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3"/>
              <w:spacing w:after="0" w:line="142"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4"/>
              <w:spacing w:after="0" w:line="142" w:lineRule="exact"/>
              <w:rPr>
                <w:sz w:val="20"/>
                <w:szCs w:val="20"/>
                <w:color w:val="auto"/>
              </w:rPr>
            </w:pPr>
            <w:r>
              <w:rPr>
                <w:rFonts w:ascii="Arial" w:cs="Arial" w:eastAsia="Arial" w:hAnsi="Arial"/>
                <w:sz w:val="14"/>
                <w:szCs w:val="14"/>
                <w:b w:val="1"/>
                <w:bCs w:val="1"/>
                <w:color w:val="auto"/>
                <w:w w:val="93"/>
              </w:rPr>
              <w:t>% Revenue</w:t>
            </w:r>
          </w:p>
        </w:tc>
        <w:tc>
          <w:tcPr>
            <w:tcW w:w="140" w:type="dxa"/>
            <w:vAlign w:val="bottom"/>
          </w:tcPr>
          <w:p>
            <w:pPr>
              <w:spacing w:after="0"/>
              <w:rPr>
                <w:sz w:val="12"/>
                <w:szCs w:val="12"/>
                <w:color w:val="auto"/>
              </w:rPr>
            </w:pPr>
          </w:p>
        </w:tc>
        <w:tc>
          <w:tcPr>
            <w:tcW w:w="640" w:type="dxa"/>
            <w:vAlign w:val="bottom"/>
          </w:tcPr>
          <w:p>
            <w:pPr>
              <w:jc w:val="right"/>
              <w:ind w:right="3"/>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860" w:type="dxa"/>
            <w:vAlign w:val="bottom"/>
            <w:gridSpan w:val="2"/>
          </w:tcPr>
          <w:p>
            <w:pPr>
              <w:jc w:val="right"/>
              <w:ind w:right="64"/>
              <w:spacing w:after="0" w:line="142" w:lineRule="exact"/>
              <w:rPr>
                <w:sz w:val="20"/>
                <w:szCs w:val="20"/>
                <w:color w:val="auto"/>
              </w:rPr>
            </w:pPr>
            <w:r>
              <w:rPr>
                <w:rFonts w:ascii="Arial" w:cs="Arial" w:eastAsia="Arial" w:hAnsi="Arial"/>
                <w:sz w:val="14"/>
                <w:szCs w:val="14"/>
                <w:b w:val="1"/>
                <w:bCs w:val="1"/>
                <w:color w:val="auto"/>
                <w:w w:val="93"/>
              </w:rPr>
              <w:t>% Revenue</w:t>
            </w:r>
          </w:p>
        </w:tc>
        <w:tc>
          <w:tcPr>
            <w:tcW w:w="160" w:type="dxa"/>
            <w:vAlign w:val="bottom"/>
          </w:tcPr>
          <w:p>
            <w:pPr>
              <w:spacing w:after="0"/>
              <w:rPr>
                <w:sz w:val="12"/>
                <w:szCs w:val="12"/>
                <w:color w:val="auto"/>
              </w:rPr>
            </w:pPr>
          </w:p>
        </w:tc>
        <w:tc>
          <w:tcPr>
            <w:tcW w:w="680" w:type="dxa"/>
            <w:vAlign w:val="bottom"/>
          </w:tcPr>
          <w:p>
            <w:pPr>
              <w:jc w:val="right"/>
              <w:ind w:right="3"/>
              <w:spacing w:after="0" w:line="142"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84"/>
              <w:spacing w:after="0" w:line="142" w:lineRule="exact"/>
              <w:rPr>
                <w:sz w:val="20"/>
                <w:szCs w:val="20"/>
                <w:color w:val="auto"/>
              </w:rPr>
            </w:pPr>
            <w:r>
              <w:rPr>
                <w:rFonts w:ascii="Arial" w:cs="Arial" w:eastAsia="Arial" w:hAnsi="Arial"/>
                <w:sz w:val="14"/>
                <w:szCs w:val="14"/>
                <w:b w:val="1"/>
                <w:bCs w:val="1"/>
                <w:color w:val="auto"/>
                <w:w w:val="93"/>
              </w:rPr>
              <w:t>% Revenue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41"/>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880" w:type="dxa"/>
            <w:vAlign w:val="bottom"/>
            <w:gridSpan w:val="2"/>
          </w:tcPr>
          <w:p>
            <w:pPr>
              <w:jc w:val="right"/>
              <w:ind w:right="84"/>
              <w:spacing w:after="0" w:line="142" w:lineRule="exact"/>
              <w:rPr>
                <w:sz w:val="20"/>
                <w:szCs w:val="20"/>
                <w:color w:val="auto"/>
              </w:rPr>
            </w:pPr>
            <w:r>
              <w:rPr>
                <w:rFonts w:ascii="Arial" w:cs="Arial" w:eastAsia="Arial" w:hAnsi="Arial"/>
                <w:sz w:val="14"/>
                <w:szCs w:val="14"/>
                <w:b w:val="1"/>
                <w:bCs w:val="1"/>
                <w:color w:val="auto"/>
                <w:w w:val="93"/>
              </w:rPr>
              <w:t>% Revenue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320" w:type="dxa"/>
            <w:vAlign w:val="bottom"/>
            <w:tcBorders>
              <w:top w:val="single" w:sz="8" w:color="auto"/>
            </w:tcBorders>
            <w:gridSpan w:val="9"/>
          </w:tcPr>
          <w:p>
            <w:pPr>
              <w:jc w:val="right"/>
              <w:ind w:right="583"/>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gridSpan w:val="9"/>
          </w:tcPr>
          <w:p>
            <w:pPr>
              <w:jc w:val="right"/>
              <w:ind w:right="663"/>
              <w:spacing w:after="0"/>
              <w:rPr>
                <w:sz w:val="20"/>
                <w:szCs w:val="20"/>
                <w:color w:val="auto"/>
              </w:rPr>
            </w:pPr>
            <w:r>
              <w:rPr>
                <w:rFonts w:ascii="Arial" w:cs="Arial" w:eastAsia="Arial" w:hAnsi="Arial"/>
                <w:sz w:val="14"/>
                <w:szCs w:val="14"/>
                <w:b w:val="1"/>
                <w:bCs w:val="1"/>
                <w:color w:val="auto"/>
                <w:w w:val="89"/>
              </w:rPr>
              <w:t>(in thousands, except percentages)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28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88"/>
              </w:rPr>
              <w:t>Channel Partners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70,438</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$ 36,936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$ 134,897</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70,094</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color w:val="auto"/>
                <w:w w:val="90"/>
              </w:rPr>
              <w:t>Direct Customers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37,670</w:t>
            </w:r>
          </w:p>
        </w:tc>
        <w:tc>
          <w:tcPr>
            <w:tcW w:w="1060" w:type="dxa"/>
            <w:vAlign w:val="bottom"/>
            <w:gridSpan w:val="4"/>
          </w:tcPr>
          <w:p>
            <w:pPr>
              <w:jc w:val="right"/>
              <w:spacing w:after="0"/>
              <w:rPr>
                <w:sz w:val="20"/>
                <w:szCs w:val="20"/>
                <w:color w:val="auto"/>
              </w:rPr>
            </w:pPr>
            <w:r>
              <w:rPr>
                <w:rFonts w:ascii="Arial" w:cs="Arial" w:eastAsia="Arial" w:hAnsi="Arial"/>
                <w:sz w:val="16"/>
                <w:szCs w:val="16"/>
                <w:color w:val="auto"/>
              </w:rPr>
              <w:t>35 %</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18,765</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34 %</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69,288</w:t>
            </w: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34 %</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32,896</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top w:val="single" w:sz="8" w:color="CCEEFF"/>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89"/>
              </w:rPr>
              <w:t>Total revenue</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108,108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$ 55,701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$ 204,185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3"/>
              </w:rPr>
              <w:t>102,990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uses channel partners to complement direct sales and marketing efforts. The partners place an order with the Company after negotiating the order directly with an end customer. The partners negotiate pricing with the end customer and in some rare instances are responsible for certain support levels directly with the end customer. The Company’s contract is with the partner and payment to the Company is not contingent on the receipt of payment from the end customer. The Company recognizes the contractual amount charged to the partners as revenue ratably over the term of the arrangement once access to the Company’s solution has been provided to the end customer.</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also uses referral partners who refer customers in exchange for a referral fee. The Company negotiates pricing and contracts directly with the end customer. The Company recognizes revenue from the sales to the end customers, ratably over the term of the contract, once access to the Company’s solution has been provided to the end customer.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39" w:firstLine="648"/>
        <w:spacing w:after="0" w:line="277" w:lineRule="auto"/>
        <w:rPr>
          <w:sz w:val="20"/>
          <w:szCs w:val="20"/>
          <w:color w:val="auto"/>
        </w:rPr>
      </w:pPr>
      <w:r>
        <w:rPr>
          <w:rFonts w:ascii="Arial" w:cs="Arial" w:eastAsia="Arial" w:hAnsi="Arial"/>
          <w:sz w:val="18"/>
          <w:szCs w:val="18"/>
          <w:color w:val="auto"/>
        </w:rPr>
        <w:t>The following table summarizes the revenue by region based on the shipping address of customers who have contracted to use the Company’s cloud platform:</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60" w:type="dxa"/>
            <w:vAlign w:val="bottom"/>
            <w:gridSpan w:val="8"/>
          </w:tcPr>
          <w:p>
            <w:pPr>
              <w:jc w:val="right"/>
              <w:ind w:right="838"/>
              <w:spacing w:after="0"/>
              <w:rPr>
                <w:sz w:val="20"/>
                <w:szCs w:val="20"/>
                <w:color w:val="auto"/>
              </w:rPr>
            </w:pPr>
            <w:r>
              <w:rPr>
                <w:rFonts w:ascii="Arial" w:cs="Arial" w:eastAsia="Arial" w:hAnsi="Arial"/>
                <w:sz w:val="14"/>
                <w:szCs w:val="14"/>
                <w:b w:val="1"/>
                <w:bCs w:val="1"/>
                <w:color w:val="auto"/>
                <w:w w:val="94"/>
              </w:rPr>
              <w:t>Three Months Ended July 31,</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8"/>
          </w:tcPr>
          <w:p>
            <w:pPr>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138"/>
              <w:spacing w:after="0" w:line="142" w:lineRule="exact"/>
              <w:rPr>
                <w:sz w:val="20"/>
                <w:szCs w:val="20"/>
                <w:color w:val="auto"/>
              </w:rPr>
            </w:pPr>
            <w:r>
              <w:rPr>
                <w:rFonts w:ascii="Arial" w:cs="Arial" w:eastAsia="Arial" w:hAnsi="Arial"/>
                <w:sz w:val="14"/>
                <w:szCs w:val="14"/>
                <w:b w:val="1"/>
                <w:bCs w:val="1"/>
                <w:color w:val="auto"/>
                <w:w w:val="93"/>
              </w:rPr>
              <w:t>% Revenue</w:t>
            </w: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 Revenue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 Revenue</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 Revenue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60" w:type="dxa"/>
            <w:vAlign w:val="bottom"/>
            <w:gridSpan w:val="9"/>
          </w:tcPr>
          <w:p>
            <w:pPr>
              <w:jc w:val="right"/>
              <w:ind w:right="45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9"/>
          </w:tcPr>
          <w:p>
            <w:pPr>
              <w:jc w:val="right"/>
              <w:ind w:right="490"/>
              <w:spacing w:after="0"/>
              <w:rPr>
                <w:sz w:val="20"/>
                <w:szCs w:val="20"/>
                <w:color w:val="auto"/>
              </w:rPr>
            </w:pPr>
            <w:r>
              <w:rPr>
                <w:rFonts w:ascii="Arial" w:cs="Arial" w:eastAsia="Arial" w:hAnsi="Arial"/>
                <w:sz w:val="14"/>
                <w:szCs w:val="14"/>
                <w:b w:val="1"/>
                <w:bCs w:val="1"/>
                <w:color w:val="auto"/>
                <w:w w:val="88"/>
              </w:rPr>
              <w:t>(in thousands, except percentages)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80,146</w:t>
            </w:r>
          </w:p>
        </w:tc>
        <w:tc>
          <w:tcPr>
            <w:tcW w:w="1100" w:type="dxa"/>
            <w:vAlign w:val="bottom"/>
            <w:gridSpan w:val="4"/>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74 %</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$ 44,338</w:t>
            </w:r>
          </w:p>
        </w:tc>
        <w:tc>
          <w:tcPr>
            <w:tcW w:w="1100" w:type="dxa"/>
            <w:vAlign w:val="bottom"/>
            <w:gridSpan w:val="3"/>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80 %</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$ 152,454</w:t>
            </w:r>
          </w:p>
        </w:tc>
        <w:tc>
          <w:tcPr>
            <w:tcW w:w="11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75 %</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80,293</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78 %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color w:val="auto"/>
                <w:w w:val="94"/>
              </w:rPr>
              <w:t>Europe, Middle East, and Africa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15,006</w:t>
            </w:r>
          </w:p>
        </w:tc>
        <w:tc>
          <w:tcPr>
            <w:tcW w:w="1100" w:type="dxa"/>
            <w:vAlign w:val="bottom"/>
            <w:gridSpan w:val="4"/>
          </w:tcPr>
          <w:p>
            <w:pPr>
              <w:jc w:val="right"/>
              <w:ind w:right="18"/>
              <w:spacing w:after="0" w:line="149" w:lineRule="exact"/>
              <w:rPr>
                <w:sz w:val="20"/>
                <w:szCs w:val="20"/>
                <w:color w:val="auto"/>
              </w:rPr>
            </w:pPr>
            <w:r>
              <w:rPr>
                <w:rFonts w:ascii="Arial" w:cs="Arial" w:eastAsia="Arial" w:hAnsi="Arial"/>
                <w:sz w:val="14"/>
                <w:szCs w:val="14"/>
                <w:color w:val="auto"/>
              </w:rPr>
              <w:t>14 %</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5,108</w:t>
            </w:r>
          </w:p>
        </w:tc>
        <w:tc>
          <w:tcPr>
            <w:tcW w:w="1100" w:type="dxa"/>
            <w:vAlign w:val="bottom"/>
            <w:gridSpan w:val="3"/>
          </w:tcPr>
          <w:p>
            <w:pPr>
              <w:jc w:val="right"/>
              <w:ind w:right="58"/>
              <w:spacing w:after="0" w:line="149" w:lineRule="exact"/>
              <w:rPr>
                <w:sz w:val="20"/>
                <w:szCs w:val="20"/>
                <w:color w:val="auto"/>
              </w:rPr>
            </w:pPr>
            <w:r>
              <w:rPr>
                <w:rFonts w:ascii="Arial" w:cs="Arial" w:eastAsia="Arial" w:hAnsi="Arial"/>
                <w:sz w:val="14"/>
                <w:szCs w:val="14"/>
                <w:color w:val="auto"/>
              </w:rPr>
              <w:t>9 %</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28,419</w:t>
            </w:r>
          </w:p>
        </w:tc>
        <w:tc>
          <w:tcPr>
            <w:tcW w:w="11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11,017</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Asia Pacific</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8,613</w:t>
            </w:r>
          </w:p>
        </w:tc>
        <w:tc>
          <w:tcPr>
            <w:tcW w:w="1100" w:type="dxa"/>
            <w:vAlign w:val="bottom"/>
            <w:gridSpan w:val="4"/>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8 %</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1100" w:type="dxa"/>
            <w:vAlign w:val="bottom"/>
            <w:gridSpan w:val="3"/>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7 %</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14,843</w:t>
            </w:r>
          </w:p>
        </w:tc>
        <w:tc>
          <w:tcPr>
            <w:tcW w:w="11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7 %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7,662</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4,343</w:t>
            </w:r>
          </w:p>
        </w:tc>
        <w:tc>
          <w:tcPr>
            <w:tcW w:w="1100" w:type="dxa"/>
            <w:vAlign w:val="bottom"/>
            <w:gridSpan w:val="4"/>
          </w:tcPr>
          <w:p>
            <w:pPr>
              <w:jc w:val="right"/>
              <w:ind w:right="18"/>
              <w:spacing w:after="0" w:line="149" w:lineRule="exact"/>
              <w:rPr>
                <w:sz w:val="20"/>
                <w:szCs w:val="20"/>
                <w:color w:val="auto"/>
              </w:rPr>
            </w:pPr>
            <w:r>
              <w:rPr>
                <w:rFonts w:ascii="Arial" w:cs="Arial" w:eastAsia="Arial" w:hAnsi="Arial"/>
                <w:sz w:val="14"/>
                <w:szCs w:val="14"/>
                <w:color w:val="auto"/>
              </w:rPr>
              <w:t>4 %</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2,255</w:t>
            </w:r>
          </w:p>
        </w:tc>
        <w:tc>
          <w:tcPr>
            <w:tcW w:w="1100" w:type="dxa"/>
            <w:vAlign w:val="bottom"/>
            <w:gridSpan w:val="3"/>
          </w:tcPr>
          <w:p>
            <w:pPr>
              <w:jc w:val="right"/>
              <w:ind w:right="58"/>
              <w:spacing w:after="0" w:line="149" w:lineRule="exact"/>
              <w:rPr>
                <w:sz w:val="20"/>
                <w:szCs w:val="20"/>
                <w:color w:val="auto"/>
              </w:rPr>
            </w:pPr>
            <w:r>
              <w:rPr>
                <w:rFonts w:ascii="Arial" w:cs="Arial" w:eastAsia="Arial" w:hAnsi="Arial"/>
                <w:sz w:val="14"/>
                <w:szCs w:val="14"/>
                <w:color w:val="auto"/>
              </w:rPr>
              <w:t>4 %</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8,469</w:t>
            </w:r>
          </w:p>
        </w:tc>
        <w:tc>
          <w:tcPr>
            <w:tcW w:w="11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4,018</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Borders>
              <w:top w:val="single" w:sz="8" w:color="CCEEFF"/>
              <w:bottom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Total revenue</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108,108</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8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w w:val="74"/>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0"/>
              </w:rPr>
              <w:t>$ 55,701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220" w:type="dxa"/>
            <w:vAlign w:val="bottom"/>
            <w:tcBorders>
              <w:top w:val="single" w:sz="8" w:color="CCEEFF"/>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w w:val="74"/>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$ 204,185</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8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102,990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99" w:firstLine="648"/>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total revenue during the three or six months ended July 31, 2019 or July 31,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 Balances</w:t>
      </w:r>
    </w:p>
    <w:p>
      <w:pPr>
        <w:spacing w:after="0" w:line="225" w:lineRule="exact"/>
        <w:rPr>
          <w:sz w:val="20"/>
          <w:szCs w:val="20"/>
          <w:color w:val="auto"/>
        </w:rPr>
      </w:pPr>
    </w:p>
    <w:p>
      <w:pPr>
        <w:ind w:right="99" w:firstLine="648"/>
        <w:spacing w:after="0" w:line="279" w:lineRule="auto"/>
        <w:rPr>
          <w:sz w:val="20"/>
          <w:szCs w:val="20"/>
          <w:color w:val="auto"/>
        </w:rPr>
      </w:pPr>
      <w:r>
        <w:rPr>
          <w:rFonts w:ascii="Arial" w:cs="Arial" w:eastAsia="Arial" w:hAnsi="Arial"/>
          <w:sz w:val="17"/>
          <w:szCs w:val="17"/>
          <w:color w:val="auto"/>
        </w:rPr>
        <w:t>Contract liabilities consist of deferred revenue and include payments received in advance of performance under the contract. Such amounts are recognized as revenue over the contractual period. For the three months and six months ended July 31, 2019, the Company recognized revenue of $89.6 million and $169.5 million, respectively, that were included in the corresponding contract liability balance at the beginning of the period.</w:t>
      </w:r>
    </w:p>
    <w:p>
      <w:pPr>
        <w:spacing w:after="0" w:line="171" w:lineRule="exact"/>
        <w:rPr>
          <w:sz w:val="20"/>
          <w:szCs w:val="20"/>
          <w:color w:val="auto"/>
        </w:rPr>
      </w:pPr>
    </w:p>
    <w:p>
      <w:pPr>
        <w:ind w:right="39" w:firstLine="648"/>
        <w:spacing w:after="0" w:line="291" w:lineRule="auto"/>
        <w:rPr>
          <w:sz w:val="20"/>
          <w:szCs w:val="20"/>
          <w:color w:val="auto"/>
        </w:rPr>
      </w:pPr>
      <w:r>
        <w:rPr>
          <w:rFonts w:ascii="Arial" w:cs="Arial" w:eastAsia="Arial" w:hAnsi="Arial"/>
          <w:sz w:val="16"/>
          <w:szCs w:val="16"/>
          <w:color w:val="auto"/>
        </w:rPr>
        <w:t>The Company receives payments from customers based upon contractual billing schedules. Accounts receivable are recorded when the right to consideration becomes unconditional. Payment terms on invoiced amounts are typically 30-</w:t>
      </w:r>
    </w:p>
    <w:p>
      <w:pPr>
        <w:ind w:right="299"/>
        <w:spacing w:after="0" w:line="261" w:lineRule="auto"/>
        <w:rPr>
          <w:sz w:val="20"/>
          <w:szCs w:val="20"/>
          <w:color w:val="auto"/>
        </w:rPr>
      </w:pPr>
      <w:r>
        <w:rPr>
          <w:rFonts w:ascii="Arial" w:cs="Arial" w:eastAsia="Arial" w:hAnsi="Arial"/>
          <w:sz w:val="18"/>
          <w:szCs w:val="18"/>
          <w:color w:val="auto"/>
        </w:rPr>
        <w:t>60 days. Contract assets include amounts related to the contractual right to consideration for both completed and partially completed performance obligations that may not have been invoiced.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deferred revenue for the six months ended July 31, 2019 were as follows (in thousands):</w:t>
      </w:r>
    </w:p>
    <w:p>
      <w:pPr>
        <w:spacing w:after="0" w:line="230"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406"/>
              <w:spacing w:after="0"/>
              <w:rPr>
                <w:sz w:val="20"/>
                <w:szCs w:val="20"/>
                <w:color w:val="auto"/>
              </w:rPr>
            </w:pPr>
            <w:r>
              <w:rPr>
                <w:rFonts w:ascii="Arial" w:cs="Arial" w:eastAsia="Arial" w:hAnsi="Arial"/>
                <w:sz w:val="14"/>
                <w:szCs w:val="14"/>
                <w:b w:val="1"/>
                <w:bCs w:val="1"/>
                <w:color w:val="auto"/>
              </w:rPr>
              <w:t>Carrying Amount</w:t>
            </w:r>
          </w:p>
        </w:tc>
        <w:tc>
          <w:tcPr>
            <w:tcW w:w="1180" w:type="dxa"/>
            <w:vAlign w:val="bottom"/>
            <w:tcBorders>
              <w:bottom w:val="single" w:sz="8" w:color="auto"/>
            </w:tcBorders>
          </w:tcPr>
          <w:p>
            <w:pPr>
              <w:spacing w:after="0"/>
              <w:rPr>
                <w:sz w:val="14"/>
                <w:szCs w:val="14"/>
                <w:color w:val="auto"/>
              </w:rPr>
            </w:pPr>
          </w:p>
        </w:tc>
      </w:tr>
      <w:tr>
        <w:trPr>
          <w:trHeight w:val="142"/>
        </w:trPr>
        <w:tc>
          <w:tcPr>
            <w:tcW w:w="3540" w:type="dxa"/>
            <w:vAlign w:val="bottom"/>
          </w:tcPr>
          <w:p>
            <w:pPr>
              <w:spacing w:after="0"/>
              <w:rPr>
                <w:sz w:val="12"/>
                <w:szCs w:val="12"/>
                <w:color w:val="auto"/>
              </w:rPr>
            </w:pPr>
          </w:p>
        </w:tc>
        <w:tc>
          <w:tcPr>
            <w:tcW w:w="23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Three Months Ended July 31, 2019</w:t>
            </w:r>
          </w:p>
        </w:tc>
        <w:tc>
          <w:tcPr>
            <w:tcW w:w="20" w:type="dxa"/>
            <w:vAlign w:val="bottom"/>
          </w:tcPr>
          <w:p>
            <w:pPr>
              <w:spacing w:after="0"/>
              <w:rPr>
                <w:sz w:val="12"/>
                <w:szCs w:val="12"/>
                <w:color w:val="auto"/>
              </w:rPr>
            </w:pPr>
          </w:p>
        </w:tc>
        <w:tc>
          <w:tcPr>
            <w:tcW w:w="20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Six Months Ended July 31, 2019</w:t>
            </w: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315,212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290,067</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Additions to deferred revenue</w:t>
            </w:r>
          </w:p>
        </w:tc>
        <w:tc>
          <w:tcPr>
            <w:tcW w:w="8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162,658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283,880</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deferred revenue</w:t>
            </w:r>
          </w:p>
        </w:tc>
        <w:tc>
          <w:tcPr>
            <w:tcW w:w="8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(204,185)</w:t>
            </w: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Ending Balance</w:t>
            </w:r>
          </w:p>
        </w:tc>
        <w:tc>
          <w:tcPr>
            <w:tcW w:w="80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369,762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369,762</w:t>
            </w:r>
          </w:p>
        </w:tc>
      </w:tr>
      <w:tr>
        <w:trPr>
          <w:trHeight w:val="20"/>
        </w:trPr>
        <w:tc>
          <w:tcPr>
            <w:tcW w:w="3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Remaining Performance Obligations</w:t>
      </w:r>
    </w:p>
    <w:p>
      <w:pPr>
        <w:spacing w:after="0" w:line="225" w:lineRule="exact"/>
        <w:rPr>
          <w:sz w:val="20"/>
          <w:szCs w:val="20"/>
          <w:color w:val="auto"/>
        </w:rPr>
      </w:pPr>
    </w:p>
    <w:p>
      <w:pPr>
        <w:ind w:right="39" w:firstLine="648"/>
        <w:spacing w:after="0" w:line="276" w:lineRule="auto"/>
        <w:rPr>
          <w:sz w:val="20"/>
          <w:szCs w:val="20"/>
          <w:color w:val="auto"/>
        </w:rPr>
      </w:pPr>
      <w:r>
        <w:rPr>
          <w:rFonts w:ascii="Arial" w:cs="Arial" w:eastAsia="Arial" w:hAnsi="Arial"/>
          <w:sz w:val="17"/>
          <w:szCs w:val="17"/>
          <w:color w:val="auto"/>
        </w:rPr>
        <w:t>The Company's subscription contracts with its customers have a typical term of one to three years and most subscription contracts are non-cancelable. Customers typically have the right to terminate their contracts for cause as a result of the Company’s failure to perform. As of July 31, 2019, the aggregate amount of the transaction price allocated to remaining performance obligations was $455.0 million. The Company expects to recognize 72% of the remaining performance obligation in the 12 months following July 31, 2019, with the remainder to be recognized thereafter.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Costs to Obtain and Fulfill a Contract</w:t>
      </w:r>
    </w:p>
    <w:p>
      <w:pPr>
        <w:spacing w:after="0" w:line="225" w:lineRule="exact"/>
        <w:rPr>
          <w:sz w:val="20"/>
          <w:szCs w:val="20"/>
          <w:color w:val="auto"/>
        </w:rPr>
      </w:pPr>
    </w:p>
    <w:p>
      <w:pPr>
        <w:ind w:right="319" w:firstLine="648"/>
        <w:spacing w:after="0" w:line="259" w:lineRule="auto"/>
        <w:rPr>
          <w:sz w:val="20"/>
          <w:szCs w:val="20"/>
          <w:color w:val="auto"/>
        </w:rPr>
      </w:pPr>
      <w:r>
        <w:rPr>
          <w:rFonts w:ascii="Arial" w:cs="Arial" w:eastAsia="Arial" w:hAnsi="Arial"/>
          <w:sz w:val="18"/>
          <w:szCs w:val="18"/>
          <w:color w:val="auto"/>
        </w:rPr>
        <w:t>The Company capitalizes sales commission and associated payroll taxes paid to internal sales personnel that are incremental to the acquisition of channel partner and direct customer contracts and would not have occurred absent the customer contract. These costs are recorded as deferred contract acquisition costs on the condensed consolidated balance sheet.</w:t>
      </w:r>
    </w:p>
    <w:p>
      <w:pPr>
        <w:spacing w:after="0" w:line="187" w:lineRule="exact"/>
        <w:rPr>
          <w:sz w:val="20"/>
          <w:szCs w:val="20"/>
          <w:color w:val="auto"/>
        </w:rPr>
      </w:pPr>
    </w:p>
    <w:p>
      <w:pPr>
        <w:jc w:val="both"/>
        <w:ind w:right="259" w:firstLine="648"/>
        <w:spacing w:after="0" w:line="312" w:lineRule="auto"/>
        <w:rPr>
          <w:sz w:val="20"/>
          <w:szCs w:val="20"/>
          <w:color w:val="auto"/>
        </w:rPr>
      </w:pPr>
      <w:r>
        <w:rPr>
          <w:rFonts w:ascii="Arial" w:cs="Arial" w:eastAsia="Arial" w:hAnsi="Arial"/>
          <w:sz w:val="16"/>
          <w:szCs w:val="16"/>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channel partners, paid upon</w:t>
      </w:r>
    </w:p>
    <w:p>
      <w:pPr>
        <w:sectPr>
          <w:pgSz w:w="11900" w:h="16838" w:orient="portrait"/>
          <w:cols w:equalWidth="0" w:num="1">
            <w:col w:w="9039"/>
          </w:cols>
          <w:pgMar w:left="1420" w:top="517" w:right="1440" w:bottom="1440" w:gutter="0" w:footer="0" w:header="0"/>
        </w:sect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initial acquisition of a contract or subsequent upsell are amortized over an estimated period of benefit of four years while commissions paid for renewal contracts are amortized over the contractual term of the renewals. Sales commissions associated with professional service contracts are amortized ratably over an estimated period of benefit of six months. Amortization of deferred contract acquisition costs is recognized on a straight-line basis commensurate with the pattern of revenue recognition and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impairment losses of deferred contract acquisition costs during the three and six months ended July 31, 2019.</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of deferred contract acquisition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Three Months Ended July 31,</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172"/>
              <w:spacing w:after="0"/>
              <w:rPr>
                <w:sz w:val="20"/>
                <w:szCs w:val="20"/>
                <w:color w:val="auto"/>
              </w:rPr>
            </w:pPr>
            <w:r>
              <w:rPr>
                <w:rFonts w:ascii="Arial" w:cs="Arial" w:eastAsia="Arial" w:hAnsi="Arial"/>
                <w:sz w:val="14"/>
                <w:szCs w:val="14"/>
                <w:b w:val="1"/>
                <w:bCs w:val="1"/>
                <w:color w:val="auto"/>
                <w:w w:val="97"/>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64,197</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21,764</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Capitalization of contract acquisition costs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19,317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contract acquisition costs</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(11,991)</w:t>
            </w:r>
          </w:p>
        </w:tc>
        <w:tc>
          <w:tcPr>
            <w:tcW w:w="0" w:type="dxa"/>
            <w:vAlign w:val="bottom"/>
          </w:tcPr>
          <w:p>
            <w:pPr>
              <w:spacing w:after="0"/>
              <w:rPr>
                <w:sz w:val="1"/>
                <w:szCs w:val="1"/>
                <w:color w:val="auto"/>
              </w:rPr>
            </w:pPr>
          </w:p>
        </w:tc>
      </w:tr>
      <w:tr>
        <w:trPr>
          <w:trHeight w:val="250"/>
        </w:trPr>
        <w:tc>
          <w:tcPr>
            <w:tcW w:w="418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5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75,783</w:t>
            </w:r>
          </w:p>
        </w:tc>
        <w:tc>
          <w:tcPr>
            <w:tcW w:w="140" w:type="dxa"/>
            <w:vAlign w:val="bottom"/>
          </w:tcPr>
          <w:p>
            <w:pPr>
              <w:spacing w:after="0"/>
              <w:rPr>
                <w:sz w:val="21"/>
                <w:szCs w:val="21"/>
                <w:color w:val="auto"/>
              </w:rPr>
            </w:pPr>
          </w:p>
        </w:tc>
        <w:tc>
          <w:tcPr>
            <w:tcW w:w="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24,641</w:t>
            </w:r>
          </w:p>
        </w:tc>
        <w:tc>
          <w:tcPr>
            <w:tcW w:w="160" w:type="dxa"/>
            <w:vAlign w:val="bottom"/>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75,783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Deferred contract acquisition costs, current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34,017</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18,808</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34,017</w:t>
            </w:r>
          </w:p>
        </w:tc>
        <w:tc>
          <w:tcPr>
            <w:tcW w:w="160" w:type="dxa"/>
            <w:vAlign w:val="bottom"/>
          </w:tcPr>
          <w:p>
            <w:pPr>
              <w:spacing w:after="0"/>
              <w:rPr>
                <w:sz w:val="18"/>
                <w:szCs w:val="18"/>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noncurrent</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Total deferred contract acquisition costs</w:t>
            </w:r>
          </w:p>
        </w:tc>
        <w:tc>
          <w:tcPr>
            <w:tcW w:w="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75,783</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24,641</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75,783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right="6280" w:hanging="651"/>
        <w:spacing w:after="0" w:line="601" w:lineRule="auto"/>
        <w:tabs>
          <w:tab w:leader="none" w:pos="317" w:val="left"/>
        </w:tabs>
        <w:numPr>
          <w:ilvl w:val="0"/>
          <w:numId w:val="1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Commitments and Contingencies Lease Commitments</w:t>
      </w:r>
    </w:p>
    <w:p>
      <w:pPr>
        <w:ind w:right="120" w:firstLine="648"/>
        <w:spacing w:after="0" w:line="264" w:lineRule="auto"/>
        <w:rPr>
          <w:sz w:val="20"/>
          <w:szCs w:val="20"/>
          <w:color w:val="auto"/>
        </w:rPr>
      </w:pPr>
      <w:r>
        <w:rPr>
          <w:rFonts w:ascii="Arial" w:cs="Arial" w:eastAsia="Arial" w:hAnsi="Arial"/>
          <w:sz w:val="18"/>
          <w:szCs w:val="18"/>
          <w:color w:val="auto"/>
        </w:rPr>
        <w:t>The Company leases its office space under various non-cancelable operating lease agreements. Leases expire at various dates through fiscal year 2027. The aggregate future minimum payments under noncancelable operating leases as of July 31, 2019 were as follows: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Fiscal 2020 (remaining six months)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Fiscal 2021</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Fiscal 2022</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Fiscal 2023</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Fiscal 2024</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minimum lease payments</w:t>
            </w:r>
          </w:p>
        </w:tc>
        <w:tc>
          <w:tcPr>
            <w:tcW w:w="1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Rent expense was $2.2 million and $1.7 million during the three months ended July 31, 2019 and July 31, 2018, respectively, and $4.0 million and $3.2 million during the six months ended July 31, 2019 and July 31, 2018,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25" w:lineRule="exact"/>
        <w:rPr>
          <w:sz w:val="20"/>
          <w:szCs w:val="20"/>
          <w:color w:val="auto"/>
        </w:rPr>
      </w:pPr>
    </w:p>
    <w:p>
      <w:pPr>
        <w:ind w:right="79" w:firstLine="648"/>
        <w:spacing w:after="0" w:line="312" w:lineRule="auto"/>
        <w:rPr>
          <w:sz w:val="20"/>
          <w:szCs w:val="20"/>
          <w:color w:val="auto"/>
        </w:rPr>
      </w:pPr>
      <w:r>
        <w:rPr>
          <w:rFonts w:ascii="Arial" w:cs="Arial" w:eastAsia="Arial" w:hAnsi="Arial"/>
          <w:sz w:val="16"/>
          <w:szCs w:val="16"/>
          <w:color w:val="auto"/>
        </w:rPr>
        <w:t>The Company enters into long-term non-cancelable agreements with providers to purchase data center capacity, such as bandwidth and colocation space, for the Company’s cloud platform. As of July 31, 2019, the Company is committed to spend $205.3 million on such agreements through 2027. These obligations are included in purchase obligations below.</w:t>
      </w:r>
    </w:p>
    <w:p>
      <w:pPr>
        <w:spacing w:after="0" w:line="147" w:lineRule="exact"/>
        <w:rPr>
          <w:sz w:val="20"/>
          <w:szCs w:val="20"/>
          <w:color w:val="auto"/>
        </w:rPr>
      </w:pPr>
    </w:p>
    <w:p>
      <w:pPr>
        <w:ind w:right="19" w:firstLine="648"/>
        <w:spacing w:after="0" w:line="312" w:lineRule="auto"/>
        <w:rPr>
          <w:sz w:val="20"/>
          <w:szCs w:val="20"/>
          <w:color w:val="auto"/>
        </w:rPr>
      </w:pPr>
      <w:r>
        <w:rPr>
          <w:rFonts w:ascii="Arial" w:cs="Arial" w:eastAsia="Arial" w:hAnsi="Arial"/>
          <w:sz w:val="16"/>
          <w:szCs w:val="16"/>
          <w:color w:val="auto"/>
        </w:rPr>
        <w:t>In the normal course of business, the Company enters into non-cancelable purchase commitments with various parties to purchase products and services such as technology, equipment, office renovations, corporate events, and consulting services. A summary of noncancelable purchase obligations as of July 31, 2019 with expected date of payment is as follows:</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335"/>
              <w:spacing w:after="0"/>
              <w:rPr>
                <w:sz w:val="20"/>
                <w:szCs w:val="20"/>
                <w:color w:val="auto"/>
              </w:rPr>
            </w:pPr>
            <w:r>
              <w:rPr>
                <w:rFonts w:ascii="Arial" w:cs="Arial" w:eastAsia="Arial" w:hAnsi="Arial"/>
                <w:sz w:val="14"/>
                <w:szCs w:val="14"/>
                <w:b w:val="1"/>
                <w:bCs w:val="1"/>
                <w:color w:val="auto"/>
              </w:rPr>
              <w:t>Total</w:t>
            </w:r>
          </w:p>
        </w:tc>
      </w:tr>
      <w:tr>
        <w:trPr>
          <w:trHeight w:val="171"/>
        </w:trPr>
        <w:tc>
          <w:tcPr>
            <w:tcW w:w="4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Commitments</w:t>
            </w:r>
          </w:p>
        </w:tc>
      </w:tr>
      <w:tr>
        <w:trPr>
          <w:trHeight w:val="142"/>
        </w:trPr>
        <w:tc>
          <w:tcPr>
            <w:tcW w:w="43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3"/>
              </w:rPr>
              <w:t>(in thousands)</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Fiscal 2020 (remaining six months)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Fiscal 2021</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63,714</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Fiscal 2022</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Fiscal 2023</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32,483</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Fiscal 2024</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w:t>
            </w:r>
          </w:p>
        </w:tc>
      </w:tr>
      <w:tr>
        <w:trPr>
          <w:trHeight w:val="216"/>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w:t>
            </w:r>
          </w:p>
        </w:tc>
      </w:tr>
      <w:tr>
        <w:trPr>
          <w:trHeight w:val="210"/>
        </w:trPr>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purchase commitments</w:t>
            </w:r>
          </w:p>
        </w:tc>
        <w:tc>
          <w:tcPr>
            <w:tcW w:w="1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221,780</w:t>
            </w:r>
          </w:p>
        </w:tc>
      </w:tr>
      <w:tr>
        <w:trPr>
          <w:trHeight w:val="20"/>
        </w:trPr>
        <w:tc>
          <w:tcPr>
            <w:tcW w:w="4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19" w:firstLine="648"/>
        <w:spacing w:after="0" w:line="312" w:lineRule="auto"/>
        <w:rPr>
          <w:sz w:val="20"/>
          <w:szCs w:val="20"/>
          <w:color w:val="auto"/>
        </w:rPr>
      </w:pPr>
      <w:r>
        <w:rPr>
          <w:rFonts w:ascii="Arial" w:cs="Arial" w:eastAsia="Arial" w:hAnsi="Arial"/>
          <w:sz w:val="16"/>
          <w:szCs w:val="16"/>
          <w:color w:val="auto"/>
        </w:rPr>
        <w:t>As of July 31, 2019 and January 31, 2019, the Company had an unused standby letter of credit for $0.5 million securing its headquarters facility in Sunnyvale, California. As of July 31, 2019 and January 31, 2019, the Company had an unused standby letter of credit for $1.0 million and $0.8 million, respectively, securing its facility in Austin, Texas.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19" w:firstLine="648"/>
        <w:spacing w:after="0" w:line="267" w:lineRule="auto"/>
        <w:rPr>
          <w:sz w:val="20"/>
          <w:szCs w:val="20"/>
          <w:color w:val="auto"/>
        </w:rPr>
      </w:pPr>
      <w:r>
        <w:rPr>
          <w:rFonts w:ascii="Arial" w:cs="Arial" w:eastAsia="Arial" w:hAnsi="Arial"/>
          <w:sz w:val="17"/>
          <w:szCs w:val="17"/>
          <w:color w:val="auto"/>
        </w:rPr>
        <w:t>The Company is currently involved in proceedings before the Trademark Trial and Appeal Board at the U.S. Patent and Trademark Office (the “USPTO”) regarding its U.S. trademark registrations for “CrowdStrike Falcon” and its U.S. application to register its “Falcon OverWatch” trademark. On November 23, 2016, Fair Isaac Corporation (“FICO”) filed a Petition for Cancellation of the Company’s “CrowdStrike Falcon” trademark registrations and a Notice of Opposition against the Company’s “Falcon OverWatch” trademark application before the USPTO, Trademark Trial and Appeal Board (“TTAB”). On January 3, 2017, the Company filed answers to both the cancellation and opposition proceedings, and the proceedings thereafter were consolidated. On November 21, 2018, the Company filed a Petition for Partial Cancellation or Amendment of one of FICO’s “Falcon” trademark registrations, and on December 10, 2018, the parties filed a joint request to consolidate the proceedings and adjust the schedule. On January 16, 2019, FICO moved to dismiss the Company’s petition, and the TTAB thereafter suspended all proceedings pending its ruling on the motions. On July 2, 2019, the TTAB issued an order granting the request to consolidate the proceedings and granting the motion to dismiss with leave to file an amended petition by July 22, 2019. The order also set a schedule with trial proceedings to close no earlier than 2021. The Company filed its Amended Petition for Cancellation or Amendment on July 22, 2019. On August 12, 2019, FICO moved to dismiss the Company’s Amended Petition for Cancellation. The Company is vigorously defending the case, but given the early stage, although a loss may reasonably be possible, the Company is unable to predict the likelihood of success of Fair Isaac’s claims or estimate a loss or range of loss. As a result, no liability has been recorded as of July 31, 2019 or January 31, 2019.</w:t>
      </w:r>
    </w:p>
    <w:p>
      <w:pPr>
        <w:spacing w:after="0" w:line="193" w:lineRule="exact"/>
        <w:rPr>
          <w:sz w:val="20"/>
          <w:szCs w:val="20"/>
          <w:color w:val="auto"/>
        </w:rPr>
      </w:pPr>
    </w:p>
    <w:p>
      <w:pPr>
        <w:ind w:right="59" w:firstLine="648"/>
        <w:spacing w:after="0" w:line="276" w:lineRule="auto"/>
        <w:rPr>
          <w:sz w:val="20"/>
          <w:szCs w:val="20"/>
          <w:color w:val="auto"/>
        </w:rPr>
      </w:pPr>
      <w:r>
        <w:rPr>
          <w:rFonts w:ascii="Arial" w:cs="Arial" w:eastAsia="Arial" w:hAnsi="Arial"/>
          <w:sz w:val="17"/>
          <w:szCs w:val="17"/>
          <w:color w:val="auto"/>
        </w:rPr>
        <w:t>In addition, from time to time the Company is a party to various litigation matters and subject to claims that arise in the ordinary course of business. In addition, third parties may from time to time assert claims against the Company in the form of letters and other communications.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w:t>
      </w:r>
    </w:p>
    <w:p>
      <w:pPr>
        <w:sectPr>
          <w:pgSz w:w="11900" w:h="16838" w:orient="portrait"/>
          <w:cols w:equalWidth="0" w:num="1">
            <w:col w:w="9039"/>
          </w:cols>
          <w:pgMar w:left="1420" w:top="517" w:right="1440" w:bottom="1440" w:gutter="0" w:footer="0" w:header="0"/>
        </w:sect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Company’s opinion, is likely to have a material adverse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expense of litigation and the timing of this expense from period to period are difficult to estimate, subject to change and could adversely affect the Company’s results of operations.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Warranties and Indemnification</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8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Company’s arrangements generally include certain provisions for indemnifying customers against liabilities if its products or services infringe a third party’s intellectual property rights. In addition, for its Falcon Complete module customers, the Company offers a limited warranty, subject to certain conditions, to cover certain costs incurred by the customer in case of a cybersecurity breach. The Company has entered into an insurance policy to cover its potential liability arising from this limited warranty arrangement. To date, the Company has not incurred any material costs because of such obligations and has not accrued any liabilities related to such obligations in the condensed consolidated financial statements.</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July 31, 2019 or January 31,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Geographic Information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Company’s long-lived assets are composed of property and equipment, net, and are summarized by geographic area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19"/>
              <w:spacing w:after="0"/>
              <w:rPr>
                <w:sz w:val="20"/>
                <w:szCs w:val="20"/>
                <w:color w:val="auto"/>
              </w:rPr>
            </w:pPr>
            <w:r>
              <w:rPr>
                <w:rFonts w:ascii="Arial" w:cs="Arial" w:eastAsia="Arial" w:hAnsi="Arial"/>
                <w:sz w:val="14"/>
                <w:szCs w:val="14"/>
                <w:b w:val="1"/>
                <w:bCs w:val="1"/>
                <w:color w:val="auto"/>
                <w:w w:val="97"/>
              </w:rPr>
              <w:t>July 31,</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January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property and equipment, net</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107,989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73,735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Other than the United States, no other country represented 10% or more of our total property and equipment as of July 31, 2019 or January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Related Party Transactions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Subscription and Professional Services Revenue from Related Parties</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During the three months and six months ended July 31, 2019 and 2018, certain investors and companies with whom the Company’s Board of Directors are affiliated purchased subscriptions and professional services. The Company recorded revenue from subscriptions and professional services from related parties of $2.3 million and $1.3 million during the three months ended July 31, 2019 and July 31, 2018, respectively, and $4.6 million and $2.7 million during</w:t>
      </w:r>
    </w:p>
    <w:p>
      <w:pPr>
        <w:sectPr>
          <w:pgSz w:w="11900" w:h="16838" w:orient="portrait"/>
          <w:cols w:equalWidth="0" w:num="1">
            <w:col w:w="9060"/>
          </w:cols>
          <w:pgMar w:left="1420" w:top="517"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six months ended July 31, 2019 and July 31, 2018. Accounts receivable associated with these related parties was $0.1 million and $0.2 million as of July 31, 2019 and January 31, 2019,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The Company purchased goods and services totaling $0.9 million and $0.4 million, respectively, from certain investors and companies with whom its Board of Directors are affiliated during the three months ended July 31, 2019 and 2018, and $1.5 million and $0.8 million during the six months ended July 31, 2019 and July 31, 2018. There is no accounts payable to such vendors as of July 31, 2019. The accounts payable was less than $0.1 million as of January 31,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Net Loss Per Share Attributable to Common Stockholders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Three Months Ended July 31,</w:t>
            </w:r>
          </w:p>
        </w:tc>
        <w:tc>
          <w:tcPr>
            <w:tcW w:w="140" w:type="dxa"/>
            <w:vAlign w:val="bottom"/>
          </w:tcPr>
          <w:p>
            <w:pPr>
              <w:spacing w:after="0"/>
              <w:rPr>
                <w:sz w:val="14"/>
                <w:szCs w:val="14"/>
                <w:color w:val="auto"/>
              </w:rPr>
            </w:pPr>
          </w:p>
        </w:tc>
        <w:tc>
          <w:tcPr>
            <w:tcW w:w="182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4"/>
                <w:szCs w:val="14"/>
                <w:b w:val="1"/>
                <w:bCs w:val="1"/>
                <w:color w:val="auto"/>
                <w:w w:val="96"/>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58"/>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(32,877)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(66,494)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w w:val="97"/>
              </w:rPr>
              <w:t>Weighted-average shares used in computing net loss per share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attributable to common stockholders, basic and diluted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44,105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tcPr>
          <w:p>
            <w:pPr>
              <w:spacing w:after="0" w:line="182" w:lineRule="exact"/>
              <w:rPr>
                <w:sz w:val="20"/>
                <w:szCs w:val="20"/>
                <w:color w:val="auto"/>
              </w:rPr>
            </w:pPr>
            <w:r>
              <w:rPr>
                <w:rFonts w:ascii="Arial" w:cs="Arial" w:eastAsia="Arial" w:hAnsi="Arial"/>
                <w:sz w:val="18"/>
                <w:szCs w:val="18"/>
                <w:color w:val="auto"/>
                <w:w w:val="93"/>
              </w:rPr>
              <w:t>Net loss per share attributable to common stockholders, basic and</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(0.75)</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57"/>
        </w:trPr>
        <w:tc>
          <w:tcPr>
            <w:tcW w:w="496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6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9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Class A Common Stock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(4,308)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(4,784)</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w w:val="97"/>
              </w:rPr>
              <w:t>Weighted-average shares used in computing net loss per share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attributable to common stockholders, basic and diluted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5,489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tcPr>
          <w:p>
            <w:pPr>
              <w:spacing w:after="0" w:line="182" w:lineRule="exact"/>
              <w:rPr>
                <w:sz w:val="20"/>
                <w:szCs w:val="20"/>
                <w:color w:val="auto"/>
              </w:rPr>
            </w:pPr>
            <w:r>
              <w:rPr>
                <w:rFonts w:ascii="Arial" w:cs="Arial" w:eastAsia="Arial" w:hAnsi="Arial"/>
                <w:sz w:val="18"/>
                <w:szCs w:val="18"/>
                <w:color w:val="auto"/>
                <w:w w:val="93"/>
              </w:rPr>
              <w:t>Net loss per share attributable to common stockholders, basic and</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(0.40)</w:t>
            </w: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(0.87)</w:t>
            </w: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96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6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Class B Common Stock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(47,581)</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(73,082)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w w:val="97"/>
              </w:rPr>
              <w:t>Weighted-average shares used in computing net loss per share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attributable to common stockholders, basic and diluted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119,291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83,846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tcPr>
          <w:p>
            <w:pPr>
              <w:spacing w:after="0" w:line="182" w:lineRule="exact"/>
              <w:rPr>
                <w:sz w:val="20"/>
                <w:szCs w:val="20"/>
                <w:color w:val="auto"/>
              </w:rPr>
            </w:pPr>
            <w:r>
              <w:rPr>
                <w:rFonts w:ascii="Arial" w:cs="Arial" w:eastAsia="Arial" w:hAnsi="Arial"/>
                <w:sz w:val="18"/>
                <w:szCs w:val="18"/>
                <w:color w:val="auto"/>
                <w:w w:val="93"/>
              </w:rPr>
              <w:t>Net loss per share attributable to common stockholders, basic and</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(0.40)</w:t>
            </w: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(0.87)</w:t>
            </w: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96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ind w:left="444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9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Since the Company was in a net loss position for all periods presented, basic net loss per share is the same as diluted net loss per share as the inclusion of all potential common shares outstanding would have been antidilutive. The potential shares of common stock that were excluded from the computation of diluted net loss per share attributable to common stockholders for the periods presented because including them would have been antidilutive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31,</w:t>
            </w:r>
          </w:p>
        </w:tc>
        <w:tc>
          <w:tcPr>
            <w:tcW w:w="820" w:type="dxa"/>
            <w:vAlign w:val="bottom"/>
          </w:tcPr>
          <w:p>
            <w:pPr>
              <w:jc w:val="right"/>
              <w:ind w:right="114"/>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880" w:type="dxa"/>
            <w:vAlign w:val="bottom"/>
            <w:gridSpan w:val="3"/>
          </w:tcPr>
          <w:p>
            <w:pPr>
              <w:jc w:val="right"/>
              <w:ind w:right="41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7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w w:val="96"/>
              </w:rPr>
              <w:t>Shares of common stock issuable upon conversion of redeemable convertible preferred stock</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tcPr>
          <w:p>
            <w:pPr>
              <w:spacing w:after="0" w:line="201" w:lineRule="exact"/>
              <w:rPr>
                <w:sz w:val="20"/>
                <w:szCs w:val="20"/>
                <w:color w:val="auto"/>
              </w:rPr>
            </w:pPr>
            <w:r>
              <w:rPr>
                <w:rFonts w:ascii="Arial" w:cs="Arial" w:eastAsia="Arial" w:hAnsi="Arial"/>
                <w:sz w:val="18"/>
                <w:szCs w:val="18"/>
                <w:color w:val="auto"/>
                <w:w w:val="96"/>
              </w:rPr>
              <w:t>Shares of common stock issuable upon conversion of redeemable convertible preferred stock</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subject to repurchase from outstanding stock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Restricted stock units subject to future vesting</w:t>
            </w:r>
          </w:p>
        </w:tc>
        <w:tc>
          <w:tcPr>
            <w:tcW w:w="820" w:type="dxa"/>
            <w:vAlign w:val="bottom"/>
          </w:tcPr>
          <w:p>
            <w:pPr>
              <w:jc w:val="right"/>
              <w:spacing w:after="0"/>
              <w:rPr>
                <w:sz w:val="20"/>
                <w:szCs w:val="20"/>
                <w:color w:val="auto"/>
              </w:rPr>
            </w:pPr>
            <w:r>
              <w:rPr>
                <w:rFonts w:ascii="Arial" w:cs="Arial" w:eastAsia="Arial" w:hAnsi="Arial"/>
                <w:sz w:val="18"/>
                <w:szCs w:val="18"/>
                <w:color w:val="auto"/>
              </w:rPr>
              <w:t>5,729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from stock options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21,267</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Pr>
          <w:p>
            <w:pPr>
              <w:ind w:left="100"/>
              <w:spacing w:after="0"/>
              <w:rPr>
                <w:sz w:val="20"/>
                <w:szCs w:val="20"/>
                <w:color w:val="auto"/>
              </w:rPr>
            </w:pPr>
            <w:r>
              <w:rPr>
                <w:rFonts w:ascii="Arial" w:cs="Arial" w:eastAsia="Arial" w:hAnsi="Arial"/>
                <w:sz w:val="18"/>
                <w:szCs w:val="18"/>
                <w:color w:val="auto"/>
              </w:rPr>
              <w:t>Potential common shares excluded from diluted net loss per share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28,312</w:t>
            </w: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in conjunction with the condensed consolidated financial statements and the notes thereto included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ITEM 1A - Risk Factors in this Quarterly Report on Form 10-Q for a discussion of important factors that could cause actual results to differ materially from the results described in or implied by the forward-looking statements contained in the following discussion and analysis. Our fiscal year end is January 31, and our fiscal quarters end on April 30, July 31, October 31, and January 31. Our fiscal years ended January 31, 2017, January 31, 2018, and January 31, 2019 are referred to herein as fiscal 2017, fiscal 2018, and fiscal 2019, respectively.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We founded CrowdStrike in 2011 to reinvent security for the cloud era. When we started the company, cyberattackers had a decided, asymmetric advantage over existing security products. We turned the tables on the adversaries by taking a fundamentally new approach that leverages the network effects of crowdsourced data applied to modern technologies such as AI, cloud computing, and graph databases. Realizing that the nature of cybersecurity problems had changed but the solutions had not, we built our CrowdStrike Falcon platform to detect threats and stop breaches.</w:t>
      </w:r>
    </w:p>
    <w:p>
      <w:pPr>
        <w:spacing w:after="0" w:line="15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believe we are defining a new category called the Security Cloud, with the power to transform the security industry much the same way the cloud has transformed the CRM, HR, and service management industries. With our Falcon platform, we created the first multi-tenant, cloud native, intelligent security solution capable of protecting workloads across on-premise, virtualized, and cloud-based environments running on a variety of endpoints such as desktops, laptops, servers, virtual machines, and IoT devices. Our Falcon platform is composed of two tightly integrated proprietary technologies: our easily deployed intelligent lightweight agent and our cloud-based, dynamic graph database called Threat Graph. Our solution benefits from crowdsourcing and economies of scale, which we believe enables our AI algorithms to be uniquely effective. We call this cloud-scale AI. We initially provided intelligence and incident response services while we developed our Falcon platform. In June 2013, we first began providing EDR capabilities as a single solution. In February 2017, as we executed on our Falcon platform expansion strategy, we began offering these and additional capabilities as separate cloud modules. This strategic move facilitated new customer adoption and allowed us to further expand within our customer base. Today, we offer 10 cloud modules on our Falcon platform via a SaaS subscription-based model that spans multiple large security markets, including endpoint security, security and IT operations (including vulnerability management), and threat intelligence.</w:t>
      </w:r>
    </w:p>
    <w:p>
      <w:pPr>
        <w:spacing w:after="0" w:line="17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June 14, 2019 we closed our initial public offering, or IPO, in which we issued and sold 20,700,000 shares of Class A common stock. The price per share to the public was $34.00. We received aggregate proceeds of $665.1 million from the IPO, net of underwriters’ discounts and commissions and before deducting estimated offering costs of $5.9 million. Upon the closing of the IPO, all shares of our outstanding preferred stock automatically converted into 131,267,586 shares of Class B common stock. In connection with our IPO, all shares of our common stock outstanding prior to our IPO were automatically converted into shares of Class B common stock.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Go-To-Market Strategy</w:t>
      </w:r>
    </w:p>
    <w:p>
      <w:pPr>
        <w:spacing w:after="0" w:line="229"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8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We have a low friction land-and-expand sales strategy. When customers deploy our Falcon platform, they can start with any number of cloud modules and we can activate additional cloud modules in real time on the same agent</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already deployed on the endpoint. This architecture has also allowed us to begin to offer a free trial of our Falcon Prevent module directly from our website or the AWS Marketplace, and we plan to extend this capability to additional modules in the future.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6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began as a solution for large enterprises, but the flexibility and scalability of our Falcon platform has enabled us to offer our solution to customers of any size—from those with hundreds of thousands of endpoints to as few as three. We have expanded our sales focus to include any organization without the need to modify our Falcon platform for small and medium sized businesses.</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Factors Affecting Our Performance</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b w:val="1"/>
          <w:bCs w:val="1"/>
          <w:i w:val="1"/>
          <w:iCs w:val="1"/>
          <w:color w:val="auto"/>
        </w:rPr>
        <w:t xml:space="preserve">Adoption of Our Solutions. </w:t>
      </w:r>
      <w:r>
        <w:rPr>
          <w:rFonts w:ascii="Arial" w:cs="Arial" w:eastAsia="Arial" w:hAnsi="Arial"/>
          <w:sz w:val="17"/>
          <w:szCs w:val="17"/>
          <w:color w:val="auto"/>
        </w:rPr>
        <w:t>We believe our future success depends in large part on the growth in the market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cloud-based SaaS-delivered endpoint 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New Customer Acquisition. </w:t>
      </w:r>
      <w:r>
        <w:rPr>
          <w:rFonts w:ascii="Arial" w:cs="Arial" w:eastAsia="Arial" w:hAnsi="Arial"/>
          <w:sz w:val="16"/>
          <w:szCs w:val="16"/>
          <w:color w:val="auto"/>
        </w:rPr>
        <w:t>Our future growth depends in large part on our ability to acquire new customers.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that our go-to-market strategy and the flexibility and scalability of our Falcon platform have allowed us to rapidly expand our customer base. Our incident response and proactive services have also helped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65"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b w:val="1"/>
          <w:bCs w:val="1"/>
          <w:i w:val="1"/>
          <w:iCs w:val="1"/>
          <w:color w:val="auto"/>
        </w:rPr>
        <w:t xml:space="preserve">Maintain Customer Retention and Increase Sales. </w:t>
      </w:r>
      <w:r>
        <w:rPr>
          <w:rFonts w:ascii="Arial" w:cs="Arial" w:eastAsia="Arial" w:hAnsi="Arial"/>
          <w:sz w:val="18"/>
          <w:szCs w:val="18"/>
          <w:color w:val="auto"/>
        </w:rPr>
        <w:t>Our ability to increase revenue depends in large part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retain our existing customers and increase the ARR of their subscriptions. We focus on increasing sales to our existing customers by expanding their deployments to more endpoints and selling additional cloud modules for increased functionality In February 2017, we transitioned our platform from a single offering into highly-integrated offerings of multiple SKU cloud modules. We initially launched this strategy with our IT hygiene, next-generation antivirus, EDR, managed threat hunting, and intelligence modules, and added five additional modules between February 2017 and October 2018.</w:t>
      </w:r>
    </w:p>
    <w:p>
      <w:pPr>
        <w:spacing w:after="0" w:line="18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i w:val="1"/>
          <w:iCs w:val="1"/>
          <w:color w:val="auto"/>
        </w:rPr>
        <w:t xml:space="preserve">Invest in Growth. </w:t>
      </w:r>
      <w:r>
        <w:rPr>
          <w:rFonts w:ascii="Arial" w:cs="Arial" w:eastAsia="Arial" w:hAnsi="Arial"/>
          <w:sz w:val="17"/>
          <w:szCs w:val="17"/>
          <w:color w:val="auto"/>
        </w:rPr>
        <w:t>We believe that our market opportunity is large and requires us to continue to invest significantly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sales and marketing efforts to 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become a public company.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right="519" w:firstLine="648"/>
        <w:spacing w:after="0" w:line="277" w:lineRule="auto"/>
        <w:rPr>
          <w:sz w:val="20"/>
          <w:szCs w:val="20"/>
          <w:color w:val="auto"/>
        </w:rPr>
      </w:pPr>
      <w:r>
        <w:rPr>
          <w:rFonts w:ascii="Arial" w:cs="Arial" w:eastAsia="Arial" w:hAnsi="Arial"/>
          <w:sz w:val="18"/>
          <w:szCs w:val="18"/>
          <w:color w:val="auto"/>
        </w:rPr>
        <w:t>We monitor the following key metrics to help us evaluate our business, identify trends affecting our business, formulate business plans, and make strategic decisions.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Subscription Customers</w:t>
      </w:r>
    </w:p>
    <w:p>
      <w:pPr>
        <w:spacing w:after="0" w:line="225" w:lineRule="exact"/>
        <w:rPr>
          <w:sz w:val="20"/>
          <w:szCs w:val="20"/>
          <w:color w:val="auto"/>
        </w:rPr>
      </w:pPr>
    </w:p>
    <w:p>
      <w:pPr>
        <w:ind w:right="19" w:firstLine="648"/>
        <w:spacing w:after="0" w:line="297" w:lineRule="auto"/>
        <w:rPr>
          <w:sz w:val="20"/>
          <w:szCs w:val="20"/>
          <w:color w:val="auto"/>
        </w:rPr>
      </w:pPr>
      <w:r>
        <w:rPr>
          <w:rFonts w:ascii="Arial" w:cs="Arial" w:eastAsia="Arial" w:hAnsi="Arial"/>
          <w:sz w:val="16"/>
          <w:szCs w:val="16"/>
          <w:color w:val="auto"/>
        </w:rPr>
        <w:t>We define a subscription customer as a separate legal entity that has entered into a distinct subscription agreement for access to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 While initially we focused our sales and marketing efforts on large enterprises, in recent years we have also increased our sales and marketing to small and medium sized businesses.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number of our subscription customers as of the dates presented:</w:t>
      </w:r>
    </w:p>
    <w:p>
      <w:pPr>
        <w:spacing w:after="0" w:line="230"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As of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6350</wp:posOffset>
            </wp:positionV>
            <wp:extent cx="8318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ind w:left="6780"/>
        <w:spacing w:after="0"/>
        <w:tabs>
          <w:tab w:leader="none" w:pos="75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-3175</wp:posOffset>
            </wp:positionV>
            <wp:extent cx="8318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4"/>
          <w:szCs w:val="14"/>
          <w:b w:val="1"/>
          <w:bCs w:val="1"/>
          <w:color w:val="auto"/>
        </w:rPr>
        <w:t>(in thousands)</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Subscription customers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1,800</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Year-over-year growth</w:t>
            </w:r>
          </w:p>
        </w:tc>
        <w:tc>
          <w:tcPr>
            <w:tcW w:w="250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162 %</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Recurring Revenue (“ARR”)</w:t>
      </w:r>
    </w:p>
    <w:p>
      <w:pPr>
        <w:spacing w:after="0" w:line="225" w:lineRule="exact"/>
        <w:rPr>
          <w:sz w:val="20"/>
          <w:szCs w:val="20"/>
          <w:color w:val="auto"/>
        </w:rPr>
      </w:pPr>
    </w:p>
    <w:p>
      <w:pPr>
        <w:ind w:right="79" w:firstLine="648"/>
        <w:spacing w:after="0" w:line="257" w:lineRule="auto"/>
        <w:rPr>
          <w:sz w:val="20"/>
          <w:szCs w:val="20"/>
          <w:color w:val="auto"/>
        </w:rPr>
      </w:pPr>
      <w:r>
        <w:rPr>
          <w:rFonts w:ascii="Arial" w:cs="Arial" w:eastAsia="Arial" w:hAnsi="Arial"/>
          <w:sz w:val="18"/>
          <w:szCs w:val="18"/>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ARR as of the dates presented:</w:t>
      </w:r>
    </w:p>
    <w:p>
      <w:pPr>
        <w:spacing w:after="0" w:line="230" w:lineRule="exact"/>
        <w:rPr>
          <w:sz w:val="20"/>
          <w:szCs w:val="20"/>
          <w:color w:val="auto"/>
        </w:rPr>
      </w:pPr>
    </w:p>
    <w:p>
      <w:pPr>
        <w:ind w:left="6620"/>
        <w:spacing w:after="0"/>
        <w:rPr>
          <w:sz w:val="20"/>
          <w:szCs w:val="20"/>
          <w:color w:val="auto"/>
        </w:rPr>
      </w:pPr>
      <w:r>
        <w:rPr>
          <w:rFonts w:ascii="Arial" w:cs="Arial" w:eastAsia="Arial" w:hAnsi="Arial"/>
          <w:sz w:val="14"/>
          <w:szCs w:val="14"/>
          <w:b w:val="1"/>
          <w:bCs w:val="1"/>
          <w:color w:val="auto"/>
        </w:rPr>
        <w:t>As of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6350</wp:posOffset>
            </wp:positionV>
            <wp:extent cx="11836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ind w:left="6380"/>
        <w:spacing w:after="0"/>
        <w:tabs>
          <w:tab w:leader="none" w:pos="74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-3175</wp:posOffset>
            </wp:positionV>
            <wp:extent cx="11836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4"/>
          <w:szCs w:val="14"/>
          <w:b w:val="1"/>
          <w:bCs w:val="1"/>
          <w:color w:val="auto"/>
        </w:rPr>
        <w:t>(in thousands)</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Annual recurring revenue</w:t>
            </w:r>
          </w:p>
        </w:tc>
        <w:tc>
          <w:tcPr>
            <w:tcW w:w="2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$ 423,780</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7"/>
              </w:rPr>
              <w:t>$ 208,172</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Year-over-year growth</w:t>
            </w:r>
          </w:p>
        </w:tc>
        <w:tc>
          <w:tcPr>
            <w:tcW w:w="2680" w:type="dxa"/>
            <w:vAlign w:val="bottom"/>
          </w:tcPr>
          <w:p>
            <w:pPr>
              <w:jc w:val="right"/>
              <w:spacing w:after="0"/>
              <w:rPr>
                <w:sz w:val="20"/>
                <w:szCs w:val="20"/>
                <w:color w:val="auto"/>
              </w:rPr>
            </w:pPr>
            <w:r>
              <w:rPr>
                <w:rFonts w:ascii="Arial" w:cs="Arial" w:eastAsia="Arial" w:hAnsi="Arial"/>
                <w:sz w:val="18"/>
                <w:szCs w:val="18"/>
                <w:color w:val="auto"/>
              </w:rPr>
              <w:t>104 %</w:t>
            </w:r>
          </w:p>
        </w:tc>
        <w:tc>
          <w:tcPr>
            <w:tcW w:w="1040" w:type="dxa"/>
            <w:vAlign w:val="bottom"/>
          </w:tcPr>
          <w:p>
            <w:pPr>
              <w:jc w:val="right"/>
              <w:spacing w:after="0"/>
              <w:rPr>
                <w:sz w:val="20"/>
                <w:szCs w:val="20"/>
                <w:color w:val="auto"/>
              </w:rPr>
            </w:pPr>
            <w:r>
              <w:rPr>
                <w:rFonts w:ascii="Arial" w:cs="Arial" w:eastAsia="Arial" w:hAnsi="Arial"/>
                <w:sz w:val="18"/>
                <w:szCs w:val="18"/>
                <w:color w:val="auto"/>
              </w:rPr>
              <w:t>132 %</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225" w:lineRule="exact"/>
        <w:rPr>
          <w:sz w:val="20"/>
          <w:szCs w:val="20"/>
          <w:color w:val="auto"/>
        </w:rPr>
      </w:pPr>
    </w:p>
    <w:p>
      <w:pPr>
        <w:ind w:right="39" w:firstLine="648"/>
        <w:spacing w:after="0" w:line="290" w:lineRule="auto"/>
        <w:rPr>
          <w:sz w:val="20"/>
          <w:szCs w:val="20"/>
          <w:color w:val="auto"/>
        </w:rPr>
      </w:pPr>
      <w:r>
        <w:rPr>
          <w:rFonts w:ascii="Arial" w:cs="Arial" w:eastAsia="Arial" w:hAnsi="Arial"/>
          <w:sz w:val="16"/>
          <w:szCs w:val="16"/>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w:t>
      </w:r>
    </w:p>
    <w:p>
      <w:pPr>
        <w:spacing w:after="0" w:line="166" w:lineRule="exact"/>
        <w:rPr>
          <w:sz w:val="20"/>
          <w:szCs w:val="20"/>
          <w:color w:val="auto"/>
        </w:rPr>
      </w:pPr>
    </w:p>
    <w:p>
      <w:pPr>
        <w:ind w:right="359" w:firstLine="648"/>
        <w:spacing w:after="0" w:line="312" w:lineRule="auto"/>
        <w:rPr>
          <w:sz w:val="20"/>
          <w:szCs w:val="20"/>
          <w:color w:val="auto"/>
        </w:rPr>
      </w:pPr>
      <w:r>
        <w:rPr>
          <w:rFonts w:ascii="Arial" w:cs="Arial" w:eastAsia="Arial" w:hAnsi="Arial"/>
          <w:sz w:val="16"/>
          <w:szCs w:val="16"/>
          <w:color w:val="auto"/>
        </w:rPr>
        <w:t>Since January 2016, our dollar-based net retention rate has consistently exceeded 100%, which is primarily attributable to an expansion of endpoints within, and cross-selling additional cloud modules to, our existing subscription customers. Our dollar-based net retention rate can fluctuate from period to period due to large customer contracts in a</w:t>
      </w:r>
    </w:p>
    <w:p>
      <w:pPr>
        <w:sectPr>
          <w:pgSz w:w="11900" w:h="16838" w:orient="portrait"/>
          <w:cols w:equalWidth="0" w:num="1">
            <w:col w:w="9039"/>
          </w:cols>
          <w:pgMar w:left="1420" w:top="517" w:right="1440" w:bottom="1440" w:gutter="0" w:footer="0" w:header="0"/>
        </w:sect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given period, which may reduce our dollar-based net retention rate in subsequent periods if the customer makes a larger upfront purchase and does not continue to increase purchases.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i w:val="1"/>
          <w:iCs w:val="1"/>
          <w:color w:val="auto"/>
        </w:rPr>
        <w:t xml:space="preserve">Subscription Revenue. </w:t>
      </w:r>
      <w:r>
        <w:rPr>
          <w:rFonts w:ascii="Arial" w:cs="Arial" w:eastAsia="Arial" w:hAnsi="Arial"/>
          <w:sz w:val="16"/>
          <w:szCs w:val="16"/>
          <w:color w:val="auto"/>
        </w:rPr>
        <w:t>Subscription revenue primarily consists of subscription fees for our Falcon platform and</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cloud modules that are 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w:t>
      </w:r>
    </w:p>
    <w:p>
      <w:pPr>
        <w:spacing w:after="0" w:line="2" w:lineRule="exact"/>
        <w:rPr>
          <w:sz w:val="20"/>
          <w:szCs w:val="20"/>
          <w:color w:val="auto"/>
        </w:rPr>
      </w:pPr>
    </w:p>
    <w:p>
      <w:pPr>
        <w:jc w:val="both"/>
        <w:ind w:right="100"/>
        <w:spacing w:after="0" w:line="295" w:lineRule="auto"/>
        <w:rPr>
          <w:sz w:val="20"/>
          <w:szCs w:val="20"/>
          <w:color w:val="auto"/>
        </w:rPr>
      </w:pPr>
      <w:r>
        <w:rPr>
          <w:rFonts w:ascii="Arial" w:cs="Arial" w:eastAsia="Arial" w:hAnsi="Arial"/>
          <w:sz w:val="16"/>
          <w:szCs w:val="16"/>
          <w:color w:val="auto"/>
        </w:rPr>
        <w:t>three years. Because our subscription customers are generally billed upfront, we have recorded significant deferred revenue. Consequently, a substantial portion of the revenue that we report in each period is attributable to the recognition of deferred revenue relating to subscriptions that we entered into during previous periods. We typically invoice our customers annually in advance, and to a lesser extent quarterly in advance, monthly in advance or multi-year in advance.</w:t>
      </w:r>
    </w:p>
    <w:p>
      <w:pPr>
        <w:spacing w:after="0" w:line="16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Professional Services Revenue. </w:t>
      </w:r>
      <w:r>
        <w:rPr>
          <w:rFonts w:ascii="Arial" w:cs="Arial" w:eastAsia="Arial" w:hAnsi="Arial"/>
          <w:sz w:val="17"/>
          <w:szCs w:val="17"/>
          <w:color w:val="auto"/>
        </w:rPr>
        <w:t>Professional services revenue includes incident response and proactive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forensic and malware analysis, and attribution analysis.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For fixed fee contracts, we recognize revenue by applying the proportional performance method.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Subscription Cost of Revenue. </w:t>
      </w:r>
      <w:r>
        <w:rPr>
          <w:rFonts w:ascii="Arial" w:cs="Arial" w:eastAsia="Arial" w:hAnsi="Arial"/>
          <w:sz w:val="18"/>
          <w:szCs w:val="18"/>
          <w:color w:val="auto"/>
        </w:rPr>
        <w:t>Subscription cost of revenue consists primarily of costs related to hosting our cloud-based Falcon platform in data centers, amortization of our capitalized internal-use software, employee-related costs such as salaries and bonuses, stock-based compensation expense, benefits costs associated with our operations and support personnel, software license fees, property and equipment depreciation, and an allocated portion of facilities and administrative costs.</w:t>
      </w:r>
    </w:p>
    <w:p>
      <w:pPr>
        <w:spacing w:after="0" w:line="18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5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i w:val="1"/>
          <w:iCs w:val="1"/>
          <w:color w:val="auto"/>
        </w:rPr>
        <w:t xml:space="preserve">Professional Services Cost of Revenue. </w:t>
      </w:r>
      <w:r>
        <w:rPr>
          <w:rFonts w:ascii="Arial" w:cs="Arial" w:eastAsia="Arial" w:hAnsi="Arial"/>
          <w:sz w:val="16"/>
          <w:szCs w:val="16"/>
          <w:color w:val="auto"/>
        </w:rPr>
        <w:t>Professional services cost of revenue consists primarily of employee-related</w:t>
      </w:r>
      <w:r>
        <w:rPr>
          <w:rFonts w:ascii="Arial" w:cs="Arial" w:eastAsia="Arial" w:hAnsi="Arial"/>
          <w:sz w:val="16"/>
          <w:szCs w:val="16"/>
          <w:i w:val="1"/>
          <w:iCs w:val="1"/>
          <w:color w:val="auto"/>
        </w:rPr>
        <w:t xml:space="preserve"> </w:t>
      </w:r>
      <w:r>
        <w:rPr>
          <w:rFonts w:ascii="Arial" w:cs="Arial" w:eastAsia="Arial" w:hAnsi="Arial"/>
          <w:sz w:val="16"/>
          <w:szCs w:val="16"/>
          <w:color w:val="auto"/>
        </w:rPr>
        <w:t>costs, technology, property and equipment depreciation, and an allocated portion of facilities and administrative costs.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Also, we view our professional services solutions in the context of our larger business and as a significant lead generator for new subscriptions. Because of these factors, our services revenue and gross margin may fluctuate over time.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Our operating expenses consist of sales and marketing, research and development and general administrative expenses. For each of these categories of expense, employee-related expenses are the most significant component, which include salaries, employee benefit costs, bonuses, sales commissions, travel and entertainment related expenses, and stock-based compensation expense. Operating expenses also include an allocated portion of overhead costs for facilities, IT, and depreciation expense.</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primarily consist of employee-related expenses such as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and bonuses. Sales and marketing expenses also include stock-based compensation, expenses related to our Fal.con customer conference and other marketing events and an allocated portion of facilities and administrative expenses, and cloud hosting and related services costs related to proof of value efforts. Incremental expenses to obtain a subscription contract, such as sales commissions, are capitalized and amortized over the term of the subscription. Prior to February 1, 2019, we amortized sales commissions on a straight-line basis to sales and marketing expense over the term of the subscription. On February 1, 2019, we adopted ASC 606, and began amortizing sales commissions and any other incremental expenses to obtain a subscription and upsells to existing customers that are paid upon the initial acquisition of a subscription to sales and marketing expense over the estimated customer life, and amortizing any such expenses paid for the renewal of a subscription to sales and marketing expense over the term of the renewal.</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expect sales and marketing expenses to increase in dollar amount as we continue to make significant investments in our sales and marketing organization to drive additional revenue, further penetrate the market, and expand our global customer base.</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primarily consist of employee-related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salaries and bonuses, stock-based compensation, consulting expenses related to the design, 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73"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period-to-period depending on the timing of these expenses.</w:t>
      </w:r>
    </w:p>
    <w:p>
      <w:pPr>
        <w:spacing w:after="0" w:line="15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of employee-related expenses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salaries and bonuses, stock-based compensation, and related expenses for our executive, finance, human resources, and legal organizations. In addition, general and administrative expenses include outside legal, accounting, and other professional fees, and an allocated portion of facilities and administrative expenses. We expect to incur additional expenses as a result of operating as a public company. As a result, we expect our general and administrative expenses to increase in dollar amount. However, we anticipate general and administrative expenses to decrease as a percentage of our total revenue over time.</w:t>
      </w:r>
    </w:p>
    <w:p>
      <w:pPr>
        <w:spacing w:after="0" w:line="16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consists primarily of income earned on our cash equivalents and marketable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expense related to the fair value of warrants for our redeemable convertible preferred stock, interest expense on our bank facility, and foreign currency transaction gains and losses.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Provision for income taxes consists primarily of income taxes in certain foreign jurisdictions in which we conduct business, as well as state income taxes in the United States. We have not recorded any U.S. federal income tax</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expense. We maintain a full valuation allowance on our federal and state deferred tax assets as we have concluded that it is more likely than not that those deferred assets will not be utilized.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set forth our condensed consolidated statements of operations for each period presented: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July 31,</w:t>
            </w:r>
          </w:p>
        </w:tc>
        <w:tc>
          <w:tcPr>
            <w:tcW w:w="1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Six Months Ended July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2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204"/>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gridSpan w:val="2"/>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80" w:type="dxa"/>
            <w:vAlign w:val="bottom"/>
          </w:tcPr>
          <w:p>
            <w:pPr>
              <w:jc w:val="right"/>
              <w:ind w:right="10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8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6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80" w:type="dxa"/>
            <w:vAlign w:val="bottom"/>
          </w:tcPr>
          <w:p>
            <w:pPr>
              <w:jc w:val="right"/>
              <w:ind w:right="8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4"/>
          </w:tcPr>
          <w:p>
            <w:pPr>
              <w:jc w:val="right"/>
              <w:ind w:right="44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5"/>
          </w:tcPr>
          <w:p>
            <w:pPr>
              <w:jc w:val="right"/>
              <w:ind w:right="34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Revenue</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ind w:left="100"/>
              <w:spacing w:after="0" w:line="162" w:lineRule="exact"/>
              <w:rPr>
                <w:sz w:val="20"/>
                <w:szCs w:val="20"/>
                <w:color w:val="auto"/>
              </w:rPr>
            </w:pPr>
            <w:r>
              <w:rPr>
                <w:rFonts w:ascii="Arial" w:cs="Arial" w:eastAsia="Arial" w:hAnsi="Arial"/>
                <w:sz w:val="15"/>
                <w:szCs w:val="15"/>
                <w:color w:val="auto"/>
              </w:rPr>
              <w:t>Subscription</w:t>
            </w:r>
          </w:p>
        </w:tc>
        <w:tc>
          <w:tcPr>
            <w:tcW w:w="30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97,575</w:t>
            </w:r>
          </w:p>
        </w:tc>
        <w:tc>
          <w:tcPr>
            <w:tcW w:w="380" w:type="dxa"/>
            <w:vAlign w:val="bottom"/>
            <w:gridSpan w:val="2"/>
          </w:tcPr>
          <w:p>
            <w:pPr>
              <w:jc w:val="right"/>
              <w:ind w:right="51"/>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49,161</w:t>
            </w:r>
          </w:p>
        </w:tc>
        <w:tc>
          <w:tcPr>
            <w:tcW w:w="7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48,414</w:t>
            </w:r>
          </w:p>
        </w:tc>
        <w:tc>
          <w:tcPr>
            <w:tcW w:w="100" w:type="dxa"/>
            <w:vAlign w:val="bottom"/>
          </w:tcPr>
          <w:p>
            <w:pPr>
              <w:spacing w:after="0"/>
              <w:rPr>
                <w:sz w:val="14"/>
                <w:szCs w:val="14"/>
                <w:color w:val="auto"/>
              </w:rPr>
            </w:pPr>
          </w:p>
        </w:tc>
        <w:tc>
          <w:tcPr>
            <w:tcW w:w="6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98 %</w:t>
            </w:r>
          </w:p>
        </w:tc>
        <w:tc>
          <w:tcPr>
            <w:tcW w:w="220" w:type="dxa"/>
            <w:vAlign w:val="bottom"/>
            <w:gridSpan w:val="2"/>
          </w:tcPr>
          <w:p>
            <w:pPr>
              <w:jc w:val="right"/>
              <w:ind w:right="19"/>
              <w:spacing w:after="0" w:line="162"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183,566</w:t>
            </w:r>
          </w:p>
        </w:tc>
        <w:tc>
          <w:tcPr>
            <w:tcW w:w="180" w:type="dxa"/>
            <w:vAlign w:val="bottom"/>
          </w:tcPr>
          <w:p>
            <w:pPr>
              <w:spacing w:after="0"/>
              <w:rPr>
                <w:sz w:val="14"/>
                <w:szCs w:val="14"/>
                <w:color w:val="auto"/>
              </w:rPr>
            </w:pPr>
          </w:p>
        </w:tc>
        <w:tc>
          <w:tcPr>
            <w:tcW w:w="120" w:type="dxa"/>
            <w:vAlign w:val="bottom"/>
            <w:gridSpan w:val="2"/>
          </w:tcPr>
          <w:p>
            <w:pPr>
              <w:jc w:val="right"/>
              <w:spacing w:after="0" w:line="162"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88,919</w:t>
            </w:r>
          </w:p>
        </w:tc>
        <w:tc>
          <w:tcPr>
            <w:tcW w:w="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94,647</w:t>
            </w:r>
          </w:p>
        </w:tc>
        <w:tc>
          <w:tcPr>
            <w:tcW w:w="100" w:type="dxa"/>
            <w:vAlign w:val="bottom"/>
          </w:tcPr>
          <w:p>
            <w:pPr>
              <w:spacing w:after="0"/>
              <w:rPr>
                <w:sz w:val="14"/>
                <w:szCs w:val="14"/>
                <w:color w:val="auto"/>
              </w:rPr>
            </w:pPr>
          </w:p>
        </w:tc>
        <w:tc>
          <w:tcPr>
            <w:tcW w:w="6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106 %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Professional services</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10,533</w:t>
            </w:r>
          </w:p>
        </w:tc>
        <w:tc>
          <w:tcPr>
            <w:tcW w:w="2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6,540</w:t>
            </w:r>
          </w:p>
        </w:tc>
        <w:tc>
          <w:tcPr>
            <w:tcW w:w="7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3,993</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61 %</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20,619</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14,071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6,548</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47 %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Total revenue</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108,108</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55,701</w:t>
            </w:r>
          </w:p>
        </w:tc>
        <w:tc>
          <w:tcPr>
            <w:tcW w:w="780" w:type="dxa"/>
            <w:vAlign w:val="bottom"/>
            <w:tcBorders>
              <w:bottom w:val="single" w:sz="8" w:color="CCEEFF"/>
            </w:tcBorders>
            <w:gridSpan w:val="2"/>
          </w:tcPr>
          <w:p>
            <w:pPr>
              <w:jc w:val="right"/>
              <w:spacing w:after="0" w:line="156" w:lineRule="exact"/>
              <w:rPr>
                <w:sz w:val="20"/>
                <w:szCs w:val="20"/>
                <w:color w:val="auto"/>
              </w:rPr>
            </w:pPr>
            <w:r>
              <w:rPr>
                <w:rFonts w:ascii="Arial" w:cs="Arial" w:eastAsia="Arial" w:hAnsi="Arial"/>
                <w:sz w:val="15"/>
                <w:szCs w:val="15"/>
                <w:color w:val="auto"/>
              </w:rPr>
              <w:t>52,407</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gridSpan w:val="2"/>
          </w:tcPr>
          <w:p>
            <w:pPr>
              <w:jc w:val="right"/>
              <w:ind w:right="60"/>
              <w:spacing w:after="0" w:line="156" w:lineRule="exact"/>
              <w:rPr>
                <w:sz w:val="20"/>
                <w:szCs w:val="20"/>
                <w:color w:val="auto"/>
              </w:rPr>
            </w:pPr>
            <w:r>
              <w:rPr>
                <w:rFonts w:ascii="Arial" w:cs="Arial" w:eastAsia="Arial" w:hAnsi="Arial"/>
                <w:sz w:val="15"/>
                <w:szCs w:val="15"/>
                <w:color w:val="auto"/>
              </w:rPr>
              <w:t>94 %</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204,185</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102,990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jc w:val="right"/>
              <w:spacing w:after="0" w:line="156" w:lineRule="exact"/>
              <w:rPr>
                <w:sz w:val="20"/>
                <w:szCs w:val="20"/>
                <w:color w:val="auto"/>
              </w:rPr>
            </w:pPr>
            <w:r>
              <w:rPr>
                <w:rFonts w:ascii="Arial" w:cs="Arial" w:eastAsia="Arial" w:hAnsi="Arial"/>
                <w:sz w:val="15"/>
                <w:szCs w:val="15"/>
                <w:color w:val="auto"/>
                <w:w w:val="95"/>
              </w:rPr>
              <w:t>101,195</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gridSpan w:val="2"/>
          </w:tcPr>
          <w:p>
            <w:pPr>
              <w:jc w:val="right"/>
              <w:spacing w:after="0" w:line="156" w:lineRule="exact"/>
              <w:rPr>
                <w:sz w:val="20"/>
                <w:szCs w:val="20"/>
                <w:color w:val="auto"/>
              </w:rPr>
            </w:pPr>
            <w:r>
              <w:rPr>
                <w:rFonts w:ascii="Arial" w:cs="Arial" w:eastAsia="Arial" w:hAnsi="Arial"/>
                <w:sz w:val="15"/>
                <w:szCs w:val="15"/>
                <w:color w:val="auto"/>
              </w:rPr>
              <w:t>98 %</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80" w:type="dxa"/>
            <w:vAlign w:val="bottom"/>
          </w:tcPr>
          <w:p>
            <w:pPr>
              <w:spacing w:after="0" w:line="162" w:lineRule="exact"/>
              <w:rPr>
                <w:sz w:val="20"/>
                <w:szCs w:val="20"/>
                <w:color w:val="auto"/>
              </w:rPr>
            </w:pPr>
            <w:r>
              <w:rPr>
                <w:rFonts w:ascii="Arial" w:cs="Arial" w:eastAsia="Arial" w:hAnsi="Arial"/>
                <w:sz w:val="15"/>
                <w:szCs w:val="15"/>
                <w:color w:val="auto"/>
              </w:rPr>
              <w:t>Cost of revenue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 xml:space="preserve">Subscription </w:t>
            </w:r>
            <w:r>
              <w:rPr>
                <w:rFonts w:ascii="Arial" w:cs="Arial" w:eastAsia="Arial" w:hAnsi="Arial"/>
                <w:sz w:val="11"/>
                <w:szCs w:val="11"/>
                <w:color w:val="auto"/>
              </w:rPr>
              <w:t>(1) (2)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24,946</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14,604</w:t>
            </w:r>
          </w:p>
        </w:tc>
        <w:tc>
          <w:tcPr>
            <w:tcW w:w="7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10,342</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71 %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48,637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29,775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18,862</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63 %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Borders>
              <w:bottom w:val="single" w:sz="8" w:color="CCEEFF"/>
            </w:tcBorders>
          </w:tcPr>
          <w:p>
            <w:pPr>
              <w:ind w:left="100"/>
              <w:spacing w:after="0" w:line="162" w:lineRule="exact"/>
              <w:rPr>
                <w:sz w:val="20"/>
                <w:szCs w:val="20"/>
                <w:color w:val="auto"/>
              </w:rPr>
            </w:pPr>
            <w:r>
              <w:rPr>
                <w:rFonts w:ascii="Arial" w:cs="Arial" w:eastAsia="Arial" w:hAnsi="Arial"/>
                <w:sz w:val="15"/>
                <w:szCs w:val="15"/>
                <w:color w:val="auto"/>
              </w:rPr>
              <w:t xml:space="preserve">Professional services </w:t>
            </w:r>
            <w:r>
              <w:rPr>
                <w:rFonts w:ascii="Arial" w:cs="Arial" w:eastAsia="Arial" w:hAnsi="Arial"/>
                <w:sz w:val="11"/>
                <w:szCs w:val="11"/>
                <w:color w:val="auto"/>
              </w:rPr>
              <w:t>(1) (2)</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6,636</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3,971</w:t>
            </w:r>
          </w:p>
        </w:tc>
        <w:tc>
          <w:tcPr>
            <w:tcW w:w="780" w:type="dxa"/>
            <w:vAlign w:val="bottom"/>
            <w:tcBorders>
              <w:bottom w:val="single" w:sz="8" w:color="CCEEFF"/>
            </w:tcBorders>
            <w:gridSpan w:val="2"/>
          </w:tcPr>
          <w:p>
            <w:pPr>
              <w:jc w:val="right"/>
              <w:spacing w:after="0" w:line="162" w:lineRule="exact"/>
              <w:rPr>
                <w:sz w:val="20"/>
                <w:szCs w:val="20"/>
                <w:color w:val="auto"/>
              </w:rPr>
            </w:pPr>
            <w:r>
              <w:rPr>
                <w:rFonts w:ascii="Arial" w:cs="Arial" w:eastAsia="Arial" w:hAnsi="Arial"/>
                <w:sz w:val="15"/>
                <w:szCs w:val="15"/>
                <w:color w:val="auto"/>
              </w:rPr>
              <w:t>2,665</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gridSpan w:val="2"/>
          </w:tcPr>
          <w:p>
            <w:pPr>
              <w:jc w:val="right"/>
              <w:ind w:right="60"/>
              <w:spacing w:after="0" w:line="162" w:lineRule="exact"/>
              <w:rPr>
                <w:sz w:val="20"/>
                <w:szCs w:val="20"/>
                <w:color w:val="auto"/>
              </w:rPr>
            </w:pPr>
            <w:r>
              <w:rPr>
                <w:rFonts w:ascii="Arial" w:cs="Arial" w:eastAsia="Arial" w:hAnsi="Arial"/>
                <w:sz w:val="15"/>
                <w:szCs w:val="15"/>
                <w:color w:val="auto"/>
              </w:rPr>
              <w:t>67 %</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12,219</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8,194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jc w:val="right"/>
              <w:spacing w:after="0" w:line="162" w:lineRule="exact"/>
              <w:rPr>
                <w:sz w:val="20"/>
                <w:szCs w:val="20"/>
                <w:color w:val="auto"/>
              </w:rPr>
            </w:pPr>
            <w:r>
              <w:rPr>
                <w:rFonts w:ascii="Arial" w:cs="Arial" w:eastAsia="Arial" w:hAnsi="Arial"/>
                <w:sz w:val="15"/>
                <w:szCs w:val="15"/>
                <w:color w:val="auto"/>
              </w:rPr>
              <w:t>4,025</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gridSpan w:val="2"/>
          </w:tcPr>
          <w:p>
            <w:pPr>
              <w:jc w:val="right"/>
              <w:spacing w:after="0" w:line="162" w:lineRule="exact"/>
              <w:rPr>
                <w:sz w:val="20"/>
                <w:szCs w:val="20"/>
                <w:color w:val="auto"/>
              </w:rPr>
            </w:pPr>
            <w:r>
              <w:rPr>
                <w:rFonts w:ascii="Arial" w:cs="Arial" w:eastAsia="Arial" w:hAnsi="Arial"/>
                <w:sz w:val="15"/>
                <w:szCs w:val="15"/>
                <w:color w:val="auto"/>
              </w:rPr>
              <w:t>49 %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Total cost of revenue</w:t>
            </w: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31,582</w:t>
            </w:r>
          </w:p>
        </w:tc>
        <w:tc>
          <w:tcPr>
            <w:tcW w:w="2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18,575</w:t>
            </w:r>
          </w:p>
        </w:tc>
        <w:tc>
          <w:tcPr>
            <w:tcW w:w="7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13,007</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5"/>
                <w:szCs w:val="15"/>
                <w:color w:val="auto"/>
              </w:rPr>
              <w:t>70 %</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60,856</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37,969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22,887</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60 %</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Gross profit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76,526</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37,126</w:t>
            </w:r>
          </w:p>
        </w:tc>
        <w:tc>
          <w:tcPr>
            <w:tcW w:w="7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39,400</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106 %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143,329</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65,021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78,308</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120 %</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Operating expenses</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ind w:left="100"/>
              <w:spacing w:after="0" w:line="162" w:lineRule="exact"/>
              <w:rPr>
                <w:sz w:val="20"/>
                <w:szCs w:val="20"/>
                <w:color w:val="auto"/>
              </w:rPr>
            </w:pPr>
            <w:r>
              <w:rPr>
                <w:rFonts w:ascii="Arial" w:cs="Arial" w:eastAsia="Arial" w:hAnsi="Arial"/>
                <w:sz w:val="15"/>
                <w:szCs w:val="15"/>
                <w:color w:val="auto"/>
              </w:rPr>
              <w:t xml:space="preserve">Sales and marketing </w:t>
            </w:r>
            <w:r>
              <w:rPr>
                <w:rFonts w:ascii="Arial" w:cs="Arial" w:eastAsia="Arial" w:hAnsi="Arial"/>
                <w:sz w:val="11"/>
                <w:szCs w:val="11"/>
                <w:color w:val="auto"/>
              </w:rPr>
              <w:t>(1) (2)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65,274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40,113</w:t>
            </w:r>
          </w:p>
        </w:tc>
        <w:tc>
          <w:tcPr>
            <w:tcW w:w="7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25,161</w:t>
            </w:r>
          </w:p>
        </w:tc>
        <w:tc>
          <w:tcPr>
            <w:tcW w:w="100" w:type="dxa"/>
            <w:vAlign w:val="bottom"/>
          </w:tcPr>
          <w:p>
            <w:pPr>
              <w:spacing w:after="0"/>
              <w:rPr>
                <w:sz w:val="14"/>
                <w:szCs w:val="14"/>
                <w:color w:val="auto"/>
              </w:rPr>
            </w:pPr>
          </w:p>
        </w:tc>
        <w:tc>
          <w:tcPr>
            <w:tcW w:w="6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63 %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122,117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76,730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45,387</w:t>
            </w:r>
          </w:p>
        </w:tc>
        <w:tc>
          <w:tcPr>
            <w:tcW w:w="100" w:type="dxa"/>
            <w:vAlign w:val="bottom"/>
          </w:tcPr>
          <w:p>
            <w:pPr>
              <w:spacing w:after="0"/>
              <w:rPr>
                <w:sz w:val="14"/>
                <w:szCs w:val="14"/>
                <w:color w:val="auto"/>
              </w:rPr>
            </w:pPr>
          </w:p>
        </w:tc>
        <w:tc>
          <w:tcPr>
            <w:tcW w:w="6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w w:val="94"/>
              </w:rPr>
              <w:t xml:space="preserve">Research and development </w:t>
            </w:r>
            <w:r>
              <w:rPr>
                <w:rFonts w:ascii="Arial" w:cs="Arial" w:eastAsia="Arial" w:hAnsi="Arial"/>
                <w:sz w:val="11"/>
                <w:szCs w:val="11"/>
                <w:color w:val="auto"/>
                <w:w w:val="94"/>
              </w:rPr>
              <w:t>(1) (2)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31,630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18,963</w:t>
            </w:r>
          </w:p>
        </w:tc>
        <w:tc>
          <w:tcPr>
            <w:tcW w:w="7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12,667</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67 %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55,505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36,578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18,927</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52 %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180" w:type="dxa"/>
            <w:vAlign w:val="bottom"/>
          </w:tcPr>
          <w:p>
            <w:pPr>
              <w:ind w:left="100"/>
              <w:spacing w:after="0" w:line="158" w:lineRule="exact"/>
              <w:rPr>
                <w:sz w:val="20"/>
                <w:szCs w:val="20"/>
                <w:color w:val="auto"/>
              </w:rPr>
            </w:pPr>
            <w:r>
              <w:rPr>
                <w:rFonts w:ascii="Arial" w:cs="Arial" w:eastAsia="Arial" w:hAnsi="Arial"/>
                <w:sz w:val="15"/>
                <w:szCs w:val="15"/>
                <w:color w:val="auto"/>
              </w:rPr>
              <w:t xml:space="preserve">General and administrative </w:t>
            </w: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30,261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8,477</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21,784</w:t>
            </w:r>
          </w:p>
        </w:tc>
        <w:tc>
          <w:tcPr>
            <w:tcW w:w="100" w:type="dxa"/>
            <w:vAlign w:val="bottom"/>
          </w:tcPr>
          <w:p>
            <w:pPr>
              <w:spacing w:after="0"/>
              <w:rPr>
                <w:sz w:val="13"/>
                <w:szCs w:val="13"/>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257 %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42,122</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15,254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26,868</w:t>
            </w:r>
          </w:p>
        </w:tc>
        <w:tc>
          <w:tcPr>
            <w:tcW w:w="100" w:type="dxa"/>
            <w:vAlign w:val="bottom"/>
          </w:tcPr>
          <w:p>
            <w:pPr>
              <w:spacing w:after="0"/>
              <w:rPr>
                <w:sz w:val="13"/>
                <w:szCs w:val="13"/>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5"/>
                <w:szCs w:val="15"/>
                <w:color w:val="auto"/>
              </w:rPr>
              <w:t>176 %</w:t>
            </w:r>
          </w:p>
        </w:tc>
        <w:tc>
          <w:tcPr>
            <w:tcW w:w="0" w:type="dxa"/>
            <w:vAlign w:val="bottom"/>
          </w:tcPr>
          <w:p>
            <w:pPr>
              <w:spacing w:after="0"/>
              <w:rPr>
                <w:sz w:val="1"/>
                <w:szCs w:val="1"/>
                <w:color w:val="auto"/>
              </w:rPr>
            </w:pPr>
          </w:p>
        </w:tc>
      </w:tr>
      <w:tr>
        <w:trPr>
          <w:trHeight w:val="139"/>
        </w:trPr>
        <w:tc>
          <w:tcPr>
            <w:tcW w:w="2200" w:type="dxa"/>
            <w:vAlign w:val="bottom"/>
            <w:gridSpan w:val="2"/>
          </w:tcPr>
          <w:p>
            <w:pPr>
              <w:ind w:left="120"/>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Total operating expenses</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127,165</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67,553</w:t>
            </w:r>
          </w:p>
        </w:tc>
        <w:tc>
          <w:tcPr>
            <w:tcW w:w="780" w:type="dxa"/>
            <w:vAlign w:val="bottom"/>
            <w:tcBorders>
              <w:top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59,612</w:t>
            </w: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gridSpan w:val="2"/>
            <w:shd w:val="clear" w:color="auto" w:fill="CCEEFF"/>
          </w:tcPr>
          <w:p>
            <w:pPr>
              <w:jc w:val="right"/>
              <w:ind w:right="60"/>
              <w:spacing w:after="0" w:line="156" w:lineRule="exact"/>
              <w:rPr>
                <w:sz w:val="20"/>
                <w:szCs w:val="20"/>
                <w:color w:val="auto"/>
              </w:rPr>
            </w:pPr>
            <w:r>
              <w:rPr>
                <w:rFonts w:ascii="Arial" w:cs="Arial" w:eastAsia="Arial" w:hAnsi="Arial"/>
                <w:sz w:val="15"/>
                <w:szCs w:val="15"/>
                <w:color w:val="auto"/>
              </w:rPr>
              <w:t>88 %</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219,744</w:t>
            </w: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128,562</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91,182</w:t>
            </w: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71 %</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Loss from operations</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(50,639)</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(30,427)</w:t>
            </w:r>
          </w:p>
        </w:tc>
        <w:tc>
          <w:tcPr>
            <w:tcW w:w="7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(20,212)</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66 %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(76,415)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(63,541)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(12,874)</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20 %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(164)</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(236)</w:t>
            </w:r>
          </w:p>
        </w:tc>
        <w:tc>
          <w:tcPr>
            <w:tcW w:w="7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(428)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263</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Borders>
              <w:bottom w:val="single" w:sz="8" w:color="CCEEFF"/>
            </w:tcBorders>
          </w:tcPr>
          <w:p>
            <w:pPr>
              <w:ind w:left="100"/>
              <w:spacing w:after="0" w:line="162" w:lineRule="exact"/>
              <w:rPr>
                <w:sz w:val="20"/>
                <w:szCs w:val="20"/>
                <w:color w:val="auto"/>
              </w:rPr>
            </w:pPr>
            <w:r>
              <w:rPr>
                <w:rFonts w:ascii="Arial" w:cs="Arial" w:eastAsia="Arial" w:hAnsi="Arial"/>
                <w:sz w:val="15"/>
                <w:szCs w:val="15"/>
                <w:color w:val="auto"/>
              </w:rPr>
              <w:t>Other expense, net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(451)</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(1,852)</w:t>
            </w:r>
          </w:p>
        </w:tc>
        <w:tc>
          <w:tcPr>
            <w:tcW w:w="780" w:type="dxa"/>
            <w:vAlign w:val="bottom"/>
            <w:tcBorders>
              <w:bottom w:val="single" w:sz="8" w:color="CCEEFF"/>
            </w:tcBorders>
            <w:gridSpan w:val="2"/>
          </w:tcPr>
          <w:p>
            <w:pPr>
              <w:jc w:val="right"/>
              <w:spacing w:after="0" w:line="162" w:lineRule="exact"/>
              <w:rPr>
                <w:sz w:val="20"/>
                <w:szCs w:val="20"/>
                <w:color w:val="auto"/>
              </w:rPr>
            </w:pPr>
            <w:r>
              <w:rPr>
                <w:rFonts w:ascii="Arial" w:cs="Arial" w:eastAsia="Arial" w:hAnsi="Arial"/>
                <w:sz w:val="15"/>
                <w:szCs w:val="15"/>
                <w:color w:val="auto"/>
              </w:rPr>
              <w:t>1,401</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gridSpan w:val="2"/>
          </w:tcPr>
          <w:p>
            <w:pPr>
              <w:jc w:val="right"/>
              <w:ind w:right="60"/>
              <w:spacing w:after="0" w:line="162" w:lineRule="exact"/>
              <w:rPr>
                <w:sz w:val="20"/>
                <w:szCs w:val="20"/>
                <w:color w:val="auto"/>
              </w:rPr>
            </w:pPr>
            <w:r>
              <w:rPr>
                <w:rFonts w:ascii="Arial" w:cs="Arial" w:eastAsia="Arial" w:hAnsi="Arial"/>
                <w:sz w:val="15"/>
                <w:szCs w:val="15"/>
                <w:color w:val="auto"/>
              </w:rPr>
              <w:t>(76)%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(56)</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(2,042)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jc w:val="right"/>
              <w:spacing w:after="0" w:line="162" w:lineRule="exact"/>
              <w:rPr>
                <w:sz w:val="20"/>
                <w:szCs w:val="20"/>
                <w:color w:val="auto"/>
              </w:rPr>
            </w:pPr>
            <w:r>
              <w:rPr>
                <w:rFonts w:ascii="Arial" w:cs="Arial" w:eastAsia="Arial" w:hAnsi="Arial"/>
                <w:sz w:val="15"/>
                <w:szCs w:val="15"/>
                <w:color w:val="auto"/>
              </w:rPr>
              <w:t>1,986</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gridSpan w:val="2"/>
          </w:tcPr>
          <w:p>
            <w:pPr>
              <w:jc w:val="right"/>
              <w:spacing w:after="0" w:line="162" w:lineRule="exact"/>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5"/>
                <w:szCs w:val="15"/>
                <w:color w:val="auto"/>
                <w:w w:val="99"/>
              </w:rPr>
              <w:t>Loss before provision for income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00" w:type="dxa"/>
            <w:vAlign w:val="bottom"/>
            <w:gridSpan w:val="2"/>
          </w:tcPr>
          <w:p>
            <w:pPr>
              <w:spacing w:after="0"/>
              <w:rPr>
                <w:sz w:val="20"/>
                <w:szCs w:val="20"/>
                <w:color w:val="auto"/>
              </w:rPr>
            </w:pPr>
            <w:r>
              <w:rPr>
                <w:rFonts w:ascii="Arial" w:cs="Arial" w:eastAsia="Arial" w:hAnsi="Arial"/>
                <w:sz w:val="15"/>
                <w:szCs w:val="15"/>
                <w:color w:val="auto"/>
              </w:rPr>
              <w:t>taxes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(51,254)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(32,515)</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(18,739)</w:t>
            </w:r>
          </w:p>
        </w:tc>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58 %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(76,636)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(66,011)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(10,625)</w:t>
            </w: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16 %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ind w:left="100"/>
              <w:spacing w:after="0" w:line="162" w:lineRule="exact"/>
              <w:rPr>
                <w:sz w:val="20"/>
                <w:szCs w:val="20"/>
                <w:color w:val="auto"/>
              </w:rPr>
            </w:pPr>
            <w:r>
              <w:rPr>
                <w:rFonts w:ascii="Arial" w:cs="Arial" w:eastAsia="Arial" w:hAnsi="Arial"/>
                <w:sz w:val="15"/>
                <w:szCs w:val="15"/>
                <w:color w:val="auto"/>
              </w:rPr>
              <w:t>Provision for income taxes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(635)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(362)</w:t>
            </w:r>
          </w:p>
        </w:tc>
        <w:tc>
          <w:tcPr>
            <w:tcW w:w="7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(273)</w:t>
            </w:r>
          </w:p>
        </w:tc>
        <w:tc>
          <w:tcPr>
            <w:tcW w:w="100" w:type="dxa"/>
            <w:vAlign w:val="bottom"/>
          </w:tcPr>
          <w:p>
            <w:pPr>
              <w:spacing w:after="0"/>
              <w:rPr>
                <w:sz w:val="14"/>
                <w:szCs w:val="14"/>
                <w:color w:val="auto"/>
              </w:rPr>
            </w:pPr>
          </w:p>
        </w:tc>
        <w:tc>
          <w:tcPr>
            <w:tcW w:w="6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75 %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(1,230)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(483)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(747)</w:t>
            </w:r>
          </w:p>
        </w:tc>
        <w:tc>
          <w:tcPr>
            <w:tcW w:w="100" w:type="dxa"/>
            <w:vAlign w:val="bottom"/>
          </w:tcPr>
          <w:p>
            <w:pPr>
              <w:spacing w:after="0"/>
              <w:rPr>
                <w:sz w:val="14"/>
                <w:szCs w:val="14"/>
                <w:color w:val="auto"/>
              </w:rPr>
            </w:pPr>
          </w:p>
        </w:tc>
        <w:tc>
          <w:tcPr>
            <w:tcW w:w="6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155 %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00" w:type="dxa"/>
            <w:vAlign w:val="bottom"/>
            <w:gridSpan w:val="2"/>
          </w:tcPr>
          <w:p>
            <w:pPr>
              <w:spacing w:after="0" w:line="156" w:lineRule="exact"/>
              <w:rPr>
                <w:sz w:val="20"/>
                <w:szCs w:val="20"/>
                <w:color w:val="auto"/>
              </w:rPr>
            </w:pPr>
            <w:r>
              <w:rPr>
                <w:rFonts w:ascii="Arial" w:cs="Arial" w:eastAsia="Arial" w:hAnsi="Arial"/>
                <w:sz w:val="15"/>
                <w:szCs w:val="15"/>
                <w:color w:val="auto"/>
              </w:rPr>
              <w:t>Net loss</w:t>
            </w:r>
          </w:p>
        </w:tc>
        <w:tc>
          <w:tcPr>
            <w:tcW w:w="120" w:type="dxa"/>
            <w:vAlign w:val="bottom"/>
          </w:tcPr>
          <w:p>
            <w:pPr>
              <w:spacing w:after="0"/>
              <w:rPr>
                <w:sz w:val="13"/>
                <w:szCs w:val="13"/>
                <w:color w:val="auto"/>
              </w:rPr>
            </w:pPr>
          </w:p>
        </w:tc>
        <w:tc>
          <w:tcPr>
            <w:tcW w:w="180" w:type="dxa"/>
            <w:vAlign w:val="bottom"/>
            <w:tcBorders>
              <w:bottom w:val="single" w:sz="8" w:color="auto"/>
            </w:tcBorders>
          </w:tcPr>
          <w:p>
            <w:pPr>
              <w:jc w:val="right"/>
              <w:ind w:right="26"/>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(51,889)</w:t>
            </w:r>
          </w:p>
        </w:tc>
        <w:tc>
          <w:tcPr>
            <w:tcW w:w="220" w:type="dxa"/>
            <w:vAlign w:val="bottom"/>
          </w:tcPr>
          <w:p>
            <w:pPr>
              <w:spacing w:after="0"/>
              <w:rPr>
                <w:sz w:val="13"/>
                <w:szCs w:val="13"/>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(32,877)</w:t>
            </w:r>
          </w:p>
        </w:tc>
        <w:tc>
          <w:tcPr>
            <w:tcW w:w="78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 (19,012)</w:t>
            </w:r>
          </w:p>
        </w:tc>
        <w:tc>
          <w:tcPr>
            <w:tcW w:w="100" w:type="dxa"/>
            <w:vAlign w:val="bottom"/>
          </w:tcPr>
          <w:p>
            <w:pPr>
              <w:spacing w:after="0"/>
              <w:rPr>
                <w:sz w:val="13"/>
                <w:szCs w:val="13"/>
                <w:color w:val="auto"/>
              </w:rPr>
            </w:pPr>
          </w:p>
        </w:tc>
        <w:tc>
          <w:tcPr>
            <w:tcW w:w="660" w:type="dxa"/>
            <w:vAlign w:val="bottom"/>
            <w:gridSpan w:val="2"/>
          </w:tcPr>
          <w:p>
            <w:pPr>
              <w:jc w:val="right"/>
              <w:ind w:right="60"/>
              <w:spacing w:after="0" w:line="156" w:lineRule="exact"/>
              <w:rPr>
                <w:sz w:val="20"/>
                <w:szCs w:val="20"/>
                <w:color w:val="auto"/>
              </w:rPr>
            </w:pPr>
            <w:r>
              <w:rPr>
                <w:rFonts w:ascii="Arial" w:cs="Arial" w:eastAsia="Arial" w:hAnsi="Arial"/>
                <w:sz w:val="15"/>
                <w:szCs w:val="15"/>
                <w:color w:val="auto"/>
              </w:rPr>
              <w:t>58 %</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1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(77,866)</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(66,494)</w:t>
            </w:r>
          </w:p>
        </w:tc>
        <w:tc>
          <w:tcPr>
            <w:tcW w:w="18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56" w:lineRule="exact"/>
              <w:rPr>
                <w:sz w:val="20"/>
                <w:szCs w:val="20"/>
                <w:color w:val="auto"/>
              </w:rPr>
            </w:pPr>
            <w:r>
              <w:rPr>
                <w:rFonts w:ascii="Arial" w:cs="Arial" w:eastAsia="Arial" w:hAnsi="Arial"/>
                <w:sz w:val="15"/>
                <w:szCs w:val="15"/>
                <w:color w:val="auto"/>
              </w:rPr>
              <w:t>(11,372)</w:t>
            </w:r>
          </w:p>
        </w:tc>
        <w:tc>
          <w:tcPr>
            <w:tcW w:w="100" w:type="dxa"/>
            <w:vAlign w:val="bottom"/>
          </w:tcPr>
          <w:p>
            <w:pPr>
              <w:spacing w:after="0"/>
              <w:rPr>
                <w:sz w:val="13"/>
                <w:szCs w:val="13"/>
                <w:color w:val="auto"/>
              </w:rPr>
            </w:pPr>
          </w:p>
        </w:tc>
        <w:tc>
          <w:tcPr>
            <w:tcW w:w="62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17 %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 Includes stock-based compensation expense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Three Months Ended July 31,</w:t>
            </w:r>
          </w:p>
        </w:tc>
        <w:tc>
          <w:tcPr>
            <w:tcW w:w="140" w:type="dxa"/>
            <w:vAlign w:val="bottom"/>
          </w:tcPr>
          <w:p>
            <w:pPr>
              <w:spacing w:after="0"/>
              <w:rPr>
                <w:sz w:val="14"/>
                <w:szCs w:val="14"/>
                <w:color w:val="auto"/>
              </w:rPr>
            </w:pPr>
          </w:p>
        </w:tc>
        <w:tc>
          <w:tcPr>
            <w:tcW w:w="17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5"/>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5"/>
          </w:tcPr>
          <w:p>
            <w:pPr>
              <w:jc w:val="right"/>
              <w:ind w:right="33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Subscription cost of revenue</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Professional services cost of revenue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16,368</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17,553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ind w:left="80"/>
              <w:spacing w:after="0"/>
              <w:rPr>
                <w:sz w:val="20"/>
                <w:szCs w:val="20"/>
                <w:color w:val="auto"/>
              </w:rPr>
            </w:pPr>
            <w:r>
              <w:rPr>
                <w:rFonts w:ascii="Arial" w:cs="Arial" w:eastAsia="Arial" w:hAnsi="Arial"/>
                <w:sz w:val="18"/>
                <w:szCs w:val="18"/>
                <w:color w:val="auto"/>
                <w:w w:val="93"/>
              </w:rPr>
              <w:t>Total stock-based compensation expense</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29,859</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33,611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 Includes amortization of acquired intangible assets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July 31,</w:t>
            </w:r>
          </w:p>
        </w:tc>
        <w:tc>
          <w:tcPr>
            <w:tcW w:w="160" w:type="dxa"/>
            <w:vAlign w:val="bottom"/>
          </w:tcPr>
          <w:p>
            <w:pPr>
              <w:spacing w:after="0"/>
              <w:rPr>
                <w:sz w:val="14"/>
                <w:szCs w:val="14"/>
                <w:color w:val="auto"/>
              </w:rPr>
            </w:pPr>
          </w:p>
        </w:tc>
        <w:tc>
          <w:tcPr>
            <w:tcW w:w="1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5"/>
          </w:tcPr>
          <w:p>
            <w:pPr>
              <w:jc w:val="right"/>
              <w:ind w:right="35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Subscription cost of revenue</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Professional services cost of revenue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w w:val="93"/>
              </w:rPr>
              <w:t>Total amortization of purchased intangibles</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presents the components of our condensed consolidated statements of operations as a percentage of total revenue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4"/>
              </w:rPr>
              <w:t>Three Months Ended July 31,</w:t>
            </w:r>
          </w:p>
        </w:tc>
        <w:tc>
          <w:tcPr>
            <w:tcW w:w="19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3"/>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84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76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76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Subscription</w:t>
            </w:r>
          </w:p>
        </w:tc>
        <w:tc>
          <w:tcPr>
            <w:tcW w:w="2340" w:type="dxa"/>
            <w:vAlign w:val="bottom"/>
            <w:gridSpan w:val="3"/>
          </w:tcPr>
          <w:p>
            <w:pPr>
              <w:jc w:val="right"/>
              <w:ind w:right="100"/>
              <w:spacing w:after="0"/>
              <w:rPr>
                <w:sz w:val="20"/>
                <w:szCs w:val="20"/>
                <w:color w:val="auto"/>
              </w:rPr>
            </w:pPr>
            <w:r>
              <w:rPr>
                <w:rFonts w:ascii="Arial" w:cs="Arial" w:eastAsia="Arial" w:hAnsi="Arial"/>
                <w:sz w:val="18"/>
                <w:szCs w:val="18"/>
                <w:color w:val="auto"/>
              </w:rPr>
              <w:t>90 %</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88 %</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90 %</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Professional services</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10 %</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10 %</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2340" w:type="dxa"/>
            <w:vAlign w:val="bottom"/>
            <w:gridSpan w:val="3"/>
          </w:tcPr>
          <w:p>
            <w:pPr>
              <w:jc w:val="right"/>
              <w:ind w:right="100"/>
              <w:spacing w:after="0"/>
              <w:rPr>
                <w:sz w:val="20"/>
                <w:szCs w:val="20"/>
                <w:color w:val="auto"/>
              </w:rPr>
            </w:pPr>
            <w:r>
              <w:rPr>
                <w:rFonts w:ascii="Arial" w:cs="Arial" w:eastAsia="Arial" w:hAnsi="Arial"/>
                <w:sz w:val="18"/>
                <w:szCs w:val="18"/>
                <w:color w:val="auto"/>
              </w:rPr>
              <w:t>100 %</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100 %</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100 %</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Cost of revenue</w:t>
            </w: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Subscription</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23 %</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24 %</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Professional services</w:t>
            </w:r>
          </w:p>
        </w:tc>
        <w:tc>
          <w:tcPr>
            <w:tcW w:w="2340" w:type="dxa"/>
            <w:vAlign w:val="bottom"/>
            <w:gridSpan w:val="3"/>
          </w:tcPr>
          <w:p>
            <w:pPr>
              <w:jc w:val="right"/>
              <w:ind w:right="100"/>
              <w:spacing w:after="0"/>
              <w:rPr>
                <w:sz w:val="20"/>
                <w:szCs w:val="20"/>
                <w:color w:val="auto"/>
              </w:rPr>
            </w:pPr>
            <w:r>
              <w:rPr>
                <w:rFonts w:ascii="Arial" w:cs="Arial" w:eastAsia="Arial" w:hAnsi="Arial"/>
                <w:sz w:val="18"/>
                <w:szCs w:val="18"/>
                <w:color w:val="auto"/>
              </w:rPr>
              <w:t>6 %</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7 %</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 of revenue</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29 %</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30 %</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71 %</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70 %</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2340" w:type="dxa"/>
            <w:vAlign w:val="bottom"/>
            <w:gridSpan w:val="3"/>
          </w:tcPr>
          <w:p>
            <w:pPr>
              <w:jc w:val="right"/>
              <w:ind w:right="100"/>
              <w:spacing w:after="0"/>
              <w:rPr>
                <w:sz w:val="20"/>
                <w:szCs w:val="20"/>
                <w:color w:val="auto"/>
              </w:rPr>
            </w:pPr>
            <w:r>
              <w:rPr>
                <w:rFonts w:ascii="Arial" w:cs="Arial" w:eastAsia="Arial" w:hAnsi="Arial"/>
                <w:sz w:val="18"/>
                <w:szCs w:val="18"/>
                <w:color w:val="auto"/>
              </w:rPr>
              <w:t>60 %</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72 %</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60 %</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29 %</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27 %</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2340" w:type="dxa"/>
            <w:vAlign w:val="bottom"/>
            <w:gridSpan w:val="3"/>
          </w:tcPr>
          <w:p>
            <w:pPr>
              <w:jc w:val="right"/>
              <w:ind w:right="100"/>
              <w:spacing w:after="0"/>
              <w:rPr>
                <w:sz w:val="20"/>
                <w:szCs w:val="20"/>
                <w:color w:val="auto"/>
              </w:rPr>
            </w:pPr>
            <w:r>
              <w:rPr>
                <w:rFonts w:ascii="Arial" w:cs="Arial" w:eastAsia="Arial" w:hAnsi="Arial"/>
                <w:sz w:val="18"/>
                <w:szCs w:val="18"/>
                <w:color w:val="auto"/>
              </w:rPr>
              <w:t>28 %</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15 %</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21 %</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118 %</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108 %</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23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expense, net</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Provision for income taxes</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48</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July 31, 2019 and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is a breakdown of total revenue from subscriptions and professional services for the three months ended July 31, 2019 as compared to the three months ended July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Three Months Ended July 31,</w:t>
            </w:r>
          </w:p>
        </w:tc>
        <w:tc>
          <w:tcPr>
            <w:tcW w:w="14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0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4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97,575</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$ 48,414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Professional services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6,540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3,993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108,108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$ 52,407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Total revenue increased from $55.7 million for the three months ended July 31, 2018, to $108.1 million for the three months ended July 31, 2019. Subscription revenue accounted for 88% of our total revenue for the three months ended July 31, 2018, and 90% for the three months ended July 31, 2019. Professional services revenue accounted for 12% of our total revenue for the three months ended July 31, 2018, and 10% for the three months ended July 31, 2019.</w:t>
      </w:r>
    </w:p>
    <w:p>
      <w:pPr>
        <w:spacing w:after="0" w:line="15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growth in subscription revenue from $49.2 million for the three months ended July 31, 2018 to $97.6 million for the three months ended July 31, 2019, a 98% increase, was primarily attributable to the addition of new subscription customers, as we increased our customer base by 111% from 1,800 subscription customers as of July 31, 2018 to 3,789 subscription customers as of July 31, 2019. Subscription revenue from new customers, subscription revenue from the renewal of existing customers, and subscription revenue from the sale of additional endpoints and additional modules to existing customers accounted for 40%, 32%, and 28% of total subscription revenue for the three months ended July 31, 2019, respectively. Subscription revenue from new customers, subscription revenue from the renewal of existing customers, and subscription revenue from the sale of additional endpoints and additional modules to existing customers accounted for 58%, 21%, and 21% of total subscription revenue for the three months ended July 31, 2018, respectively.</w:t>
      </w:r>
    </w:p>
    <w:p>
      <w:pPr>
        <w:spacing w:after="0" w:line="16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Professional services revenue grew from $6.5 million for the three months ended July 31, 2018, to $10.5 million for the three months ended July 31, 2019, a 61% increase, and was primarily attributable to an increase in the number of professional service hours performed.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ind w:right="820" w:firstLine="648"/>
        <w:spacing w:after="0" w:line="308" w:lineRule="auto"/>
        <w:rPr>
          <w:sz w:val="20"/>
          <w:szCs w:val="20"/>
          <w:color w:val="auto"/>
        </w:rPr>
      </w:pPr>
      <w:r>
        <w:rPr>
          <w:rFonts w:ascii="Arial" w:cs="Arial" w:eastAsia="Arial" w:hAnsi="Arial"/>
          <w:sz w:val="17"/>
          <w:szCs w:val="17"/>
          <w:color w:val="auto"/>
        </w:rPr>
        <w:t>The following is a breakdown of cost of revenue related to subscriptions and professional services for the three months ended July 31, 2019 as compared to the three months ended July 31,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Three Months Ended July 31,</w:t>
            </w:r>
          </w:p>
        </w:tc>
        <w:tc>
          <w:tcPr>
            <w:tcW w:w="14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gridSpan w:val="2"/>
          </w:tcPr>
          <w:p>
            <w:pPr>
              <w:jc w:val="right"/>
              <w:ind w:right="25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4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21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24,946</w:t>
            </w: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$ 10,342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Professional services</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3,971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2,665</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cost of revenue</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$ 13,007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Total cost of revenue increased from $18.6 million for the three months ended July 31, 2018 to $31.6 million for the three months ended July 31, 2019. Subscription cost of revenue increased from $14.6 million for the three months ended July 31, 2018, to $24.9 million for the three months ended July 31, 2019, a 71% increase. The increase in subscription cost of revenue was primarily due to an increase in employee-related expenses of $4.1 million driven by a 143% increase in average headcount which included significant hiring of technical support employees, an increase in cloud hosting and related services of $2.4 million, an increase in stock-based compensation expense of $1.1 million, an</w:t>
      </w:r>
    </w:p>
    <w:p>
      <w:pPr>
        <w:sectPr>
          <w:pgSz w:w="11900" w:h="16838" w:orient="portrait"/>
          <w:cols w:equalWidth="0" w:num="1">
            <w:col w:w="9060"/>
          </w:cols>
          <w:pgMar w:left="1420" w:top="517" w:right="141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increase in depreciation of data center equipment of $0.9 million, an increase in allocated overhead costs of $0.8 million, and an increase in amortization of capitalized internal use software of $0.4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Professional services cost of revenue increased from $4.0 million for the three months ended July 31, 2018,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$6.6 million for the three months ended July 31, 2019, a 67% increase. The increase in professional services cost of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primarily due to an increase in employee-related expenses of $1.5 million driven by an increase in average headcount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57%, an increase in stock-based compensation expense of $0.6 million, an increase in cloud hosting and related services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$0.2 million, and an increase in allocated overhead costs of $0.1 million.</w:t>
      </w:r>
    </w:p>
    <w:p>
      <w:pPr>
        <w:spacing w:after="0" w:line="21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is a breakdown of gross profit and gross margin for subscriptions and professional services for the three months ended July 31, 2019 as compared to the three months ended July 31, 2018:</w:t>
      </w:r>
    </w:p>
    <w:p>
      <w:pPr>
        <w:spacing w:after="0" w:line="176" w:lineRule="exact"/>
        <w:rPr>
          <w:sz w:val="20"/>
          <w:szCs w:val="20"/>
          <w:color w:val="auto"/>
        </w:rPr>
      </w:pPr>
    </w:p>
    <w:tbl>
      <w:tblPr>
        <w:tblLayout w:type="fixed"/>
        <w:tblInd w:w="5480" w:type="dxa"/>
        <w:tblCellMar>
          <w:top w:w="0" w:type="dxa"/>
          <w:left w:w="0" w:type="dxa"/>
          <w:bottom w:w="0" w:type="dxa"/>
          <w:right w:w="0" w:type="dxa"/>
        </w:tblCellMar>
      </w:tblPr>
      <w:tr>
        <w:trPr>
          <w:trHeight w:val="171"/>
        </w:trPr>
        <w:tc>
          <w:tcPr>
            <w:tcW w:w="2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Three Months Ended July 31,</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Change</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142"/>
        </w:trPr>
        <w:tc>
          <w:tcPr>
            <w:tcW w:w="9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2019</w:t>
            </w:r>
          </w:p>
        </w:tc>
        <w:tc>
          <w:tcPr>
            <w:tcW w:w="9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r>
      <w:tr>
        <w:trPr>
          <w:trHeight w:val="180"/>
        </w:trPr>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Subscription gross profit</w:t>
            </w:r>
          </w:p>
        </w:tc>
        <w:tc>
          <w:tcPr>
            <w:tcW w:w="17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72,629</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$ 38,072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Professional services gross profit</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1,328</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gross profit</w:t>
            </w: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$ 39,400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16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w w:val="93"/>
              </w:rPr>
              <w:t>Three Months Ended July 31,</w:t>
            </w:r>
          </w:p>
        </w:tc>
        <w:tc>
          <w:tcPr>
            <w:tcW w:w="6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260" w:type="dxa"/>
            <w:vAlign w:val="bottom"/>
            <w:gridSpan w:val="2"/>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4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Subscription gross margin</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7"/>
              </w:rPr>
              <w:t>74 %</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70 %</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Professional services gross margin</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37 %</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39 %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gross margin</w:t>
            </w: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Subscription gross margin increased from 70% for the three months ended July 31, 2018, to 74% for the</w:t>
      </w:r>
    </w:p>
    <w:p>
      <w:pPr>
        <w:spacing w:after="0" w:line="23"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three months ended July 31, 2019. This increase was a result of moving more of our operations to colocation data centers from third-party cloud service providers and renegotiating the terms of a third-party cloud service provider contract. This increase in gross margin was also due to incentivizing our sales team to drive higher margin subscriptions and efforts to optimize our channel partner programs and the uptake of multiple cloud modules by our customer base. Our “collect once, reuse many” data strategy means that after the first module is paid for and covers the cost of data storage and most computational costs, each additional subscription module carries a higher margin.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is a breakdown of sales and marketing expenses for the three months ended July 31, 2019 as compared to the three months ended July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Three Months Ended July 31,</w:t>
            </w:r>
          </w:p>
        </w:tc>
        <w:tc>
          <w:tcPr>
            <w:tcW w:w="14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2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100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gridSpan w:val="2"/>
          </w:tcPr>
          <w:p>
            <w:pPr>
              <w:jc w:val="right"/>
              <w:ind w:right="26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0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920" w:type="dxa"/>
            <w:vAlign w:val="bottom"/>
            <w:tcBorders>
              <w:top w:val="single" w:sz="8" w:color="auto"/>
            </w:tcBorders>
            <w:gridSpan w:val="2"/>
          </w:tcPr>
          <w:p>
            <w:pPr>
              <w:jc w:val="right"/>
              <w:ind w:right="459"/>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8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65,274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40,113</w:t>
            </w: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$ 25,161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Sales and marketing expenses increased from $40.1 million for the three months ended July 31, 2018, to</w:t>
      </w:r>
    </w:p>
    <w:p>
      <w:pPr>
        <w:spacing w:after="0" w:line="23"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$65.3 million for the three months ended July 31, 2019, a 63% increase. The increase in sales and marketing expenses was primarily due to an increase in employee-related expenses of $9.2 million driven by an increase in sales and marketing average headcount of 63%, an increase in stock-based compensation of $5.6 million, an increase in marketing programs of $4.6 million, an increase in travel-related costs of $1.9 million, an increase in allocated overhead costs of $1.5 million, and an increase in expenses related to company events of $1.1 million. As a result of adopting ASC 606</w:t>
      </w:r>
    </w:p>
    <w:p>
      <w:pPr>
        <w:sectPr>
          <w:pgSz w:w="11900" w:h="16838" w:orient="portrait"/>
          <w:cols w:equalWidth="0" w:num="1">
            <w:col w:w="9060"/>
          </w:cols>
          <w:pgMar w:left="1420" w:top="517" w:right="1419"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February 1, 2019, our commissions expense for the three months ended July 31, 2019 was $4.6 million lower than it would have been under ASC 605.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is a breakdown of research and development expenses for the three months ended July 31, 2019 as compared to the three months ended July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Three Months Ended July 31,</w:t>
            </w:r>
          </w:p>
        </w:tc>
        <w:tc>
          <w:tcPr>
            <w:tcW w:w="14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100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gridSpan w:val="2"/>
          </w:tcPr>
          <w:p>
            <w:pPr>
              <w:jc w:val="right"/>
              <w:ind w:right="26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0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20" w:type="dxa"/>
            <w:vAlign w:val="bottom"/>
            <w:tcBorders>
              <w:top w:val="single" w:sz="8" w:color="auto"/>
            </w:tcBorders>
            <w:gridSpan w:val="2"/>
          </w:tcPr>
          <w:p>
            <w:pPr>
              <w:jc w:val="right"/>
              <w:ind w:right="459"/>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3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31,630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18,963</w:t>
            </w: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$ 12,667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Research and development expenses increased from $19.0 million for the three months ended July 31, 2018, to $31.6 million for the three months ended July 31, 2019, a 67% increase. This increase was primarily due to an increase in employee-related expenses of $5.2 million driven by an increase in research and development average headcount of 47%. In addition, there was an increase in stock-based compensation of $4.5 million, an increase cloud hosting and related costs of $1.2 million, an increase in allocated overhead costs of $0.7 million, and an increase in travel related expenses of $0.5 million.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is a breakdown of general and administrative expenses for the three months ended July 31, 2019 as compared to the three months ended July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 July 31,</w:t>
            </w:r>
          </w:p>
        </w:tc>
        <w:tc>
          <w:tcPr>
            <w:tcW w:w="14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68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gridSpan w:val="2"/>
          </w:tcPr>
          <w:p>
            <w:pPr>
              <w:jc w:val="right"/>
              <w:ind w:right="26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0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20" w:type="dxa"/>
            <w:vAlign w:val="bottom"/>
            <w:tcBorders>
              <w:top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3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30,261</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$ 21,784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257 %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General and administrative expenses increased from $8.5 million for the three months ended July 31, 2018, to $30.3 million for the three months ended July 31, 2019, a 257% increase. The increase in general and administrative expenses was primarily due an increase in stock-based compensation expense of $16.1 million. In addition, there was an increase in employee-related expenses of $2.3 million driven by an increase in general and administrative average headcount of 56%, an increase in corporate insurance expense of $0.8 million, an increase in travel related expenses of $0.4 million, an increase in accounting related expense of $0.4 million, an increase in company related events expense of $0.3 million, and increase in bad debt expense of $0.3 million, and an increase in overhead costs.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is a breakdown of interest and Other expense, net, for the three months ended July 31, 2019 as compared to the three months ended July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7"/>
              </w:rPr>
              <w:t>Three Months Ended July 31,</w:t>
            </w:r>
          </w:p>
        </w:tc>
        <w:tc>
          <w:tcPr>
            <w:tcW w:w="1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4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30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Other expense, net</w:t>
            </w:r>
          </w:p>
        </w:tc>
        <w:tc>
          <w:tcPr>
            <w:tcW w:w="230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
              <w:spacing w:after="0"/>
              <w:rPr>
                <w:sz w:val="20"/>
                <w:szCs w:val="20"/>
                <w:color w:val="auto"/>
              </w:rPr>
            </w:pPr>
            <w:r>
              <w:rPr>
                <w:rFonts w:ascii="Arial" w:cs="Arial" w:eastAsia="Arial" w:hAnsi="Arial"/>
                <w:sz w:val="18"/>
                <w:szCs w:val="18"/>
                <w:color w:val="auto"/>
              </w:rPr>
              <w:t>(451)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1,401</w:t>
            </w:r>
          </w:p>
        </w:tc>
        <w:tc>
          <w:tcPr>
            <w:tcW w:w="1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decrease in interest expense of $0.1 million was driven primarily by a decrease in the amounts borrowed during the three months ended July 31, 2019 compared to the three months ended July 31, 2018.</w:t>
      </w:r>
    </w:p>
    <w:p>
      <w:pPr>
        <w:sectPr>
          <w:pgSz w:w="11900" w:h="16838" w:orient="portrait"/>
          <w:cols w:equalWidth="0" w:num="1">
            <w:col w:w="9060"/>
          </w:cols>
          <w:pgMar w:left="1420" w:top="517" w:right="141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Other expense, net, was expense of $1.9 million for the three months ended July 31, 2018 compared to expense of $0.5 million for the three months ended July 31, 2019. This $1.4 million change was driven primarily by an increase in interest income of $2.6 million and income from a legal settlement of $1.3 million, partially offset by an increase in expense related to the fair value of the redeemable convertible preferred stock warrants of $2.8 million.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is a breakdown of the provision for income taxes for the three months ended July 31, 2019 as compared to the three months ended July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Three Months Ended July 31,</w:t>
            </w:r>
          </w:p>
        </w:tc>
        <w:tc>
          <w:tcPr>
            <w:tcW w:w="16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302"/>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66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4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7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(635)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increase in the provision for income taxes of $0.3 million was driven primarily by an increase in international income tax expense due to increased activity in several countries during the three months ended July 31, 2019 compared to the three months ended July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July 31, 2019 and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is a breakdown of total revenue from subscriptions and professional services for the six months ended July 31, 2019 as compared to the six months ended July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Six Months Ended July 31,</w:t>
            </w:r>
          </w:p>
        </w:tc>
        <w:tc>
          <w:tcPr>
            <w:tcW w:w="14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20" w:type="dxa"/>
            <w:vAlign w:val="bottom"/>
          </w:tcPr>
          <w:p>
            <w:pPr>
              <w:jc w:val="right"/>
              <w:ind w:right="20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960" w:type="dxa"/>
            <w:vAlign w:val="bottom"/>
            <w:gridSpan w:val="2"/>
          </w:tcPr>
          <w:p>
            <w:pPr>
              <w:jc w:val="right"/>
              <w:ind w:right="299"/>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780" w:type="dxa"/>
            <w:vAlign w:val="bottom"/>
            <w:tcBorders>
              <w:top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5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282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$ 183,566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94,647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Professional services</w:t>
            </w:r>
          </w:p>
        </w:tc>
        <w:tc>
          <w:tcPr>
            <w:tcW w:w="2820" w:type="dxa"/>
            <w:vAlign w:val="bottom"/>
            <w:gridSpan w:val="2"/>
          </w:tcPr>
          <w:p>
            <w:pPr>
              <w:jc w:val="right"/>
              <w:ind w:right="4"/>
              <w:spacing w:after="0"/>
              <w:rPr>
                <w:sz w:val="20"/>
                <w:szCs w:val="20"/>
                <w:color w:val="auto"/>
              </w:rPr>
            </w:pPr>
            <w:r>
              <w:rPr>
                <w:rFonts w:ascii="Arial" w:cs="Arial" w:eastAsia="Arial" w:hAnsi="Arial"/>
                <w:sz w:val="18"/>
                <w:szCs w:val="18"/>
                <w:color w:val="auto"/>
              </w:rPr>
              <w:t>20,619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14,071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6,548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89"/>
              </w:rPr>
              <w:t>$ 204,185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102,990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$ 101,195</w:t>
            </w:r>
          </w:p>
        </w:tc>
        <w:tc>
          <w:tcPr>
            <w:tcW w:w="6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revenue increased from $103.0 million for the six months ended July 31, 2018, to $204.2 million for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six months ended July 31, 2019. Subscription revenue accounted for 86% of our total revenue for the six months ended July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 2018, and 90% for the six months ended July 31, 2019. Professional services revenue accounted for 14% of our total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six months ended July 31, 2018, and 10% for the six months ended July 31, 2019.</w:t>
      </w:r>
    </w:p>
    <w:p>
      <w:pPr>
        <w:spacing w:after="0" w:line="21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growth in subscription revenue from $88.9 million for the six months ended July 31, 2018 to $183.6 million for the six months ended July 31, 2019, a 106% increase, was primarily attributable to the addition of new subscription customers, as we increased our customer base by 111% from 1,800 subscription customers as of July 31, 2018 to 3,789 subscription customers as of July 31, 2019. Subscription revenue from new customers, subscription revenue from the renewal of existing customers, and subscription revenue from the sale of additional endpoints and additional modules to existing customers accounted for 41%, 32%, and 27% of total subscription revenue for the six months ended July 31, 2019, respectively. Subscription revenue from new customers, subscription revenue from the renewal of existing customers, and subscription revenue from the sale of additional endpoints and additional modules to existing customers accounted for 60%, 21%, and 19% of total subscription revenue for the six months ended July 31, 2018, respectively.</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Professional services revenue grew from $14.1 million for the six months ended July 31, 2018, to $20.6 million for the six months ended July 31, 2019, a 47% increase, and was primarily attributable to an increase in the number of professional service hours performed.</w:t>
      </w:r>
    </w:p>
    <w:p>
      <w:pPr>
        <w:sectPr>
          <w:pgSz w:w="11900" w:h="16838" w:orient="portrait"/>
          <w:cols w:equalWidth="0" w:num="1">
            <w:col w:w="9060"/>
          </w:cols>
          <w:pgMar w:left="1420" w:top="517" w:right="14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following is a breakdown of cost of revenue related to subscriptions and professional services for the six months ended July 31, 2019 as compared to the six months ended July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6"/>
              </w:rPr>
              <w:t>Six Months Ended July 31,</w:t>
            </w:r>
          </w:p>
        </w:tc>
        <w:tc>
          <w:tcPr>
            <w:tcW w:w="140" w:type="dxa"/>
            <w:vAlign w:val="bottom"/>
          </w:tcPr>
          <w:p>
            <w:pPr>
              <w:spacing w:after="0"/>
              <w:rPr>
                <w:sz w:val="14"/>
                <w:szCs w:val="14"/>
                <w:color w:val="auto"/>
              </w:rPr>
            </w:pPr>
          </w:p>
        </w:tc>
        <w:tc>
          <w:tcPr>
            <w:tcW w:w="720" w:type="dxa"/>
            <w:vAlign w:val="bottom"/>
          </w:tcPr>
          <w:p>
            <w:pPr>
              <w:jc w:val="right"/>
              <w:ind w:right="39"/>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214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48,637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29,775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$ 18,862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Professional services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12,219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8,194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4,025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cost of revenue</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60,856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37,969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$ 22,887</w:t>
            </w:r>
          </w:p>
        </w:tc>
        <w:tc>
          <w:tcPr>
            <w:tcW w:w="6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Total cost of revenue increased from $38.0 million for the six months ended July 31, 2018 to $60.9 million for the six months ended July 31, 2019. Subscription cost of revenue increased from $29.8 million for the six months ended July 31, 2018, to $48.6 million for the six months ended July 31, 2019, a 63% increase. The increase in subscription cost of revenue was primarily due to an increase in employee-related expenses of $7.4 million driven by a 139% increase in average headcount which included significant hiring of technical support employees, an increase in cloud hosting and related services of $4.7 million, an increase in depreciation of data center equipment of $1.7 million, an increase in allocated overhead costs of $1.5 million, an increase in stock-based compensation expense of $1.3 million, and an increase in amortization of capitalized internal use software of $0.7 million.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Professional services cost of revenue increased from $8.2 million for the six months ended July 31, 2018,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$12.2 million for the six months ended July 31, 2019, a 49% increase. The increase in professional services cost of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primarily due to an increase in employee-related expenses of $2.6 million driven by an increase in average headcount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52%, an increase in stock-based compensation of $0.6 million, an increase in cloud hosting and related services of $0.4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million, and an increase in allocated overhead costs of $0.3 million.</w:t>
      </w:r>
    </w:p>
    <w:p>
      <w:pPr>
        <w:spacing w:after="0" w:line="21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is a breakdown of gross profit and gross margin for subscriptions and professional services for the six months ended July 31, 2019 as compared to the six months ended July 31, 2018:</w:t>
      </w:r>
    </w:p>
    <w:p>
      <w:pPr>
        <w:spacing w:after="0" w:line="176" w:lineRule="exact"/>
        <w:rPr>
          <w:sz w:val="20"/>
          <w:szCs w:val="20"/>
          <w:color w:val="auto"/>
        </w:rPr>
      </w:pPr>
    </w:p>
    <w:tbl>
      <w:tblPr>
        <w:tblLayout w:type="fixed"/>
        <w:tblInd w:w="5580" w:type="dxa"/>
        <w:tblCellMar>
          <w:top w:w="0" w:type="dxa"/>
          <w:left w:w="0" w:type="dxa"/>
          <w:bottom w:w="0" w:type="dxa"/>
          <w:right w:w="0" w:type="dxa"/>
        </w:tblCellMar>
      </w:tblPr>
      <w:tr>
        <w:trPr>
          <w:trHeight w:val="171"/>
        </w:trPr>
        <w:tc>
          <w:tcPr>
            <w:tcW w:w="1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Six Months Ended July 31,</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Change</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142"/>
        </w:trPr>
        <w:tc>
          <w:tcPr>
            <w:tcW w:w="90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r>
      <w:tr>
        <w:trPr>
          <w:trHeight w:val="180"/>
        </w:trPr>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Subscription gross profit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134,929</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59,144</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$ 75,785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Professional services gross profit</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8,400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5,877</w:t>
            </w:r>
          </w:p>
        </w:tc>
        <w:tc>
          <w:tcPr>
            <w:tcW w:w="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2,523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gross profit</w:t>
            </w: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143,329</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65,021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$ 78,308</w:t>
            </w:r>
          </w:p>
        </w:tc>
        <w:tc>
          <w:tcPr>
            <w:tcW w:w="6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gridSpan w:val="9"/>
          </w:tcPr>
          <w:p>
            <w:pPr>
              <w:jc w:val="right"/>
              <w:ind w:right="150"/>
              <w:spacing w:after="0"/>
              <w:rPr>
                <w:sz w:val="20"/>
                <w:szCs w:val="20"/>
                <w:color w:val="auto"/>
              </w:rPr>
            </w:pPr>
            <w:r>
              <w:rPr>
                <w:rFonts w:ascii="Arial" w:cs="Arial" w:eastAsia="Arial" w:hAnsi="Arial"/>
                <w:sz w:val="14"/>
                <w:szCs w:val="14"/>
                <w:b w:val="1"/>
                <w:bCs w:val="1"/>
                <w:color w:val="auto"/>
                <w:w w:val="91"/>
              </w:rPr>
              <w:t>Six Months Ended July 31,</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4"/>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620" w:type="dxa"/>
            <w:vAlign w:val="bottom"/>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Subscription gross margin</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74 %</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Professional services gross margin</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41 %</w:t>
            </w:r>
          </w:p>
        </w:tc>
        <w:tc>
          <w:tcPr>
            <w:tcW w:w="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42 %</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gross margin</w:t>
            </w: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20" w:type="dxa"/>
            <w:vAlign w:val="bottom"/>
            <w:tcBorders>
              <w:top w:val="single" w:sz="8" w:color="CCEEFF"/>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Subscription gross margin increased from 67% for the six months ended July 31, 2018, to 74% for the six months ended July 31, 2019. This increase was a result of moving more of our operations to colocation data centers from third-party cloud service providers and renegotiating the terms of a third-party cloud service provider contract. This increase in gross margin was also due to incentivizing our sales team to drive higher margin subscriptions and efforts to optimize our channel partner programs and the uptake of multiple cloud modules by our customer base. Our ‘collect once, reuse many” data strategy means that after the first module is paid for and covers the cost of data storage and most computational costs, each additional subscription module carries a higher margin.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is a breakdown of sales and marketing expenses for the six months ended July 31, 2019 as compared to the six months ended July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Six Months Ended July 31,</w:t>
            </w:r>
          </w:p>
        </w:tc>
        <w:tc>
          <w:tcPr>
            <w:tcW w:w="14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Change</w:t>
            </w: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8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2019</w:t>
            </w:r>
          </w:p>
        </w:tc>
        <w:tc>
          <w:tcPr>
            <w:tcW w:w="90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gridSpan w:val="2"/>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0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$ 122,117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76,730</w:t>
            </w: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$ 45,387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and marketing expenses increased from $76.7 million for the six months ended July 31, 2018, to</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$122.1 million for the six months ended July 31, 2019, a 59% increase. The increase in sales and marketing expenses was primarily due to an increase in employee-related expenses of $18.4 million driven by an increase in average sales and marketing headcount of 62%, an increase in marketing programs of $8.8 million, an increase in stock-based compensation of $6.4 million, an increase in travel-related costs of $3.5 million, an increase in allocated overhead costs of $3.1 million, and an increase in expenses for company events of $2.5 million. As a result of adopting ASC 606 effective February 1, 2019, our commissions expense for the six months ended July 31, 2019 was $8.8 million lower than it would have been under ASC 605.</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is a breakdown of research and development expenses for the six months ended July 31, 2019 as compared to the six months ended July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Six Months Ended July 31,</w:t>
            </w:r>
          </w:p>
        </w:tc>
        <w:tc>
          <w:tcPr>
            <w:tcW w:w="14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Change</w:t>
            </w: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90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gridSpan w:val="2"/>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4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20" w:type="dxa"/>
            <w:vAlign w:val="bottom"/>
            <w:tcBorders>
              <w:top w:val="single" w:sz="8" w:color="auto"/>
            </w:tcBorders>
            <w:gridSpan w:val="2"/>
          </w:tcPr>
          <w:p>
            <w:pPr>
              <w:jc w:val="right"/>
              <w:ind w:right="339"/>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3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  55,505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36,578</w:t>
            </w: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$ 18,927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Research and development expenses increased from $36.6 million for the six months ended July 31, 2018, to $55.5 million for the six months ended July 31, 2019, a 52% increase. This increase was primarily due to an increase in employee-related expenses of $9.5 million driven by an increase in average research and development headcount of 44%. In addition, there was an increase in stock-based compensation of $4.7 million, an increase in cloud hosting and related costs of $2.3 million, an increase in allocated overhead costs of $1.5 million and an increase in travel related expenses of $0.8 million.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is a breakdown of general and administrative expenses for the six months ended July 31, 2019 as compared to the six months ended July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Six Months Ended July 31,</w:t>
            </w:r>
          </w:p>
        </w:tc>
        <w:tc>
          <w:tcPr>
            <w:tcW w:w="14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Change</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2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90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gridSpan w:val="2"/>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4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20" w:type="dxa"/>
            <w:vAlign w:val="bottom"/>
            <w:tcBorders>
              <w:top w:val="single" w:sz="8" w:color="auto"/>
            </w:tcBorders>
            <w:gridSpan w:val="2"/>
          </w:tcPr>
          <w:p>
            <w:pPr>
              <w:jc w:val="right"/>
              <w:ind w:right="339"/>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3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  42,122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15,254</w:t>
            </w: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$ 26,868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176 %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General and administrative expenses increased from $15.3 million for the six months ended July 31, 2018,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$42.1 million for the six months ended July 31, 2019, a 176% increase. The increase in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primarily due to an increase in stock-based compensation expense of $16.8 million. In addition, there was an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employee-related expenses of $4.0 million driven by an increase in general and administrative average headcount of 59%,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accounting fees of $1.2 million, an increase in insurance expense of $0.8 million, an increase in travel 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of $0.5 million, and an increase in allocated overhead costs of $0.5 million.</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is a breakdown of interest and Other expense, net, for the six months ended July 31, 2019 as compared to the six months ended July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Six Months Ended July 31,</w:t>
            </w:r>
          </w:p>
        </w:tc>
        <w:tc>
          <w:tcPr>
            <w:tcW w:w="16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4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5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expense, net</w:t>
            </w:r>
          </w:p>
        </w:tc>
        <w:tc>
          <w:tcPr>
            <w:tcW w:w="2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1,986</w:t>
            </w:r>
          </w:p>
        </w:tc>
        <w:tc>
          <w:tcPr>
            <w:tcW w:w="14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w w:val="95"/>
              </w:rPr>
              <w:t>(97)%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decrease in interest expense of $0.3 million was driven primarily by a decrease in the amounts borrowed during the six months ended July 31, 2019 compared to the six months ended July 31, 2018.</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Other expense, net, was an expense of $2.0 million for the six months ended July 31, 2018 compared to an expense of $0.1 million for the six months ended July 31, 2019. This $1.9 million change was driven primarily by an increase in interest income of $3.6 million, income from a legal settlement of $1.3 million, an increase in other income due to the write-off of contingent consideration of $0.5 million, and an increase in other income due to the unrealized gains on currency revaluation of $0.5 million partially offset by an increase in expense related to the fair value of the redeemable convertible preferred stock warrants of $4.0 million.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is a breakdown of the provision for income taxes for the six months ended July 31, 2019 as compared to the six months ended July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Six Months Ended July 31,</w:t>
            </w:r>
          </w:p>
        </w:tc>
        <w:tc>
          <w:tcPr>
            <w:tcW w:w="14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62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2018</w:t>
            </w:r>
          </w:p>
        </w:tc>
        <w:tc>
          <w:tcPr>
            <w:tcW w:w="800" w:type="dxa"/>
            <w:vAlign w:val="bottom"/>
            <w:gridSpan w:val="2"/>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8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7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(1,230)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increase in the provision for income taxes of $0.7 million was driven primarily by an increase in international income tax expense due to increased activity in several countries during the six months ended July 31, 2019 compared to the six months ended July 31, 2018.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addition to our results determined in accordance with U.S. generally accepted accounting principles,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particular, free cash flow is not a substitute for cash used in operating activities. Additionally, the utility of free cash flow as a measure of our financial performance and liquidity is further limited as it does not represent the total increase or decrease in our cash balance for a given period.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ectPr>
          <w:pgSz w:w="11900" w:h="16838" w:orient="portrait"/>
          <w:cols w:equalWidth="0" w:num="1">
            <w:col w:w="9060"/>
          </w:cols>
          <w:pgMar w:left="1420" w:top="517" w:right="141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We believe that these non-GAAP financial measures as presented in the below table, when taken together with the corresponding GAAP financial measures, provide meaningful supplemental information regarding our performance by excluding certain items that may not be indicative of our business, results of operations, or outlook.</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Subscription Gross Profit and Non-GAAP Subscription Gross Margin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define non-GAAP subscription gross profit and non-GAAP subscription gross margin as GAAP subscription gross profit and GAAP subscription gross margin, respectively, excluding stock-based compensation expense and amortization of acquired intangible assets. We believe non-GAAP subscription gross profit and non-GAAP subscription gross margin provide our management and investors consistency and comparability with our past financial performance and facilitate period-to-period comparisons of operations, as these measures eliminate the effects of certain variables unrelated to our overall operating performance.</w:t>
      </w:r>
    </w:p>
    <w:p>
      <w:pPr>
        <w:spacing w:after="0" w:line="19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following table presents a reconciliation of our non-GAAP subscription gross profit to our GAAP subscription gross profit and of our non-GAAP subscription gross margin to our GAAP subscription gross margin as of the periods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4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3"/>
              </w:rPr>
              <w:t>Three Months Ended July 31,</w:t>
            </w:r>
          </w:p>
        </w:tc>
        <w:tc>
          <w:tcPr>
            <w:tcW w:w="80" w:type="dxa"/>
            <w:vAlign w:val="bottom"/>
          </w:tcPr>
          <w:p>
            <w:pPr>
              <w:spacing w:after="0"/>
              <w:rPr>
                <w:sz w:val="14"/>
                <w:szCs w:val="14"/>
                <w:color w:val="auto"/>
              </w:rPr>
            </w:pPr>
          </w:p>
        </w:tc>
        <w:tc>
          <w:tcPr>
            <w:tcW w:w="196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5"/>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5"/>
          </w:tcPr>
          <w:p>
            <w:pPr>
              <w:jc w:val="right"/>
              <w:ind w:right="452"/>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right"/>
              <w:ind w:right="372"/>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revenue</w:t>
            </w:r>
          </w:p>
        </w:tc>
        <w:tc>
          <w:tcPr>
            <w:tcW w:w="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49,161</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183,566</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88,919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Subscription gross profit</w:t>
            </w:r>
          </w:p>
        </w:tc>
        <w:tc>
          <w:tcPr>
            <w:tcW w:w="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34,557</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134,929</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59,144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Add: Stock-based compensation expense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 Amortization of acquired intangible assets</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20" w:type="dxa"/>
            <w:vAlign w:val="bottom"/>
            <w:gridSpan w:val="2"/>
          </w:tcPr>
          <w:p>
            <w:pPr>
              <w:spacing w:after="0"/>
              <w:rPr>
                <w:sz w:val="20"/>
                <w:szCs w:val="20"/>
                <w:color w:val="auto"/>
              </w:rPr>
            </w:pPr>
            <w:r>
              <w:rPr>
                <w:rFonts w:ascii="Arial" w:cs="Arial" w:eastAsia="Arial" w:hAnsi="Arial"/>
                <w:sz w:val="18"/>
                <w:szCs w:val="18"/>
                <w:color w:val="auto"/>
              </w:rPr>
              <w:t>Non-GAAP subscription gross profit</w:t>
            </w:r>
          </w:p>
        </w:tc>
        <w:tc>
          <w:tcPr>
            <w:tcW w:w="66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73,959</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136,628</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59,497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Subscription gross margin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74 %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Non-GAAP subscription gross margin</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76 %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71 %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74 %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Loss from Operations and Non-GAAP Operating Margin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define non-GAAP loss from operations and non-GAAP operating margin as GAAP loss from operations and GAAP operating margin, respectively, excluding stock-based compensation expense, amortization of acquired intangible assets, and acquisition-related expenses. We believe non-GAAP loss from operations and non-GAAP operating margin provide our management and investors consistency and comparability with our past financial performance and facilitate period-to-period comparisons of operations, as these metrics generally eliminate the effects of certain variables unrelated to our overall operating performance.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The following table presents a reconciliation of our non-GAAP loss from operations to our GAAP loss from operations and our non-GAAP operating margin to our GAAP operating margin as of the periods presented: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4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 July 31,</w:t>
            </w:r>
          </w:p>
        </w:tc>
        <w:tc>
          <w:tcPr>
            <w:tcW w:w="80" w:type="dxa"/>
            <w:vAlign w:val="bottom"/>
          </w:tcPr>
          <w:p>
            <w:pPr>
              <w:spacing w:after="0"/>
              <w:rPr>
                <w:sz w:val="14"/>
                <w:szCs w:val="14"/>
                <w:color w:val="auto"/>
              </w:rPr>
            </w:pPr>
          </w:p>
        </w:tc>
        <w:tc>
          <w:tcPr>
            <w:tcW w:w="194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5"/>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5"/>
          </w:tcPr>
          <w:p>
            <w:pPr>
              <w:jc w:val="right"/>
              <w:ind w:right="432"/>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5"/>
          </w:tcPr>
          <w:p>
            <w:pPr>
              <w:jc w:val="right"/>
              <w:ind w:right="372"/>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108,108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55,701</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204,185</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102,990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(50,639)</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(30,427)</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(76,415)</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(63,541)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Add: Stock-based compensation expense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29,859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 Amortization of acquired intangible assets</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40" w:type="dxa"/>
            <w:vAlign w:val="bottom"/>
            <w:gridSpan w:val="2"/>
          </w:tcPr>
          <w:p>
            <w:pPr>
              <w:spacing w:after="0"/>
              <w:rPr>
                <w:sz w:val="20"/>
                <w:szCs w:val="20"/>
                <w:color w:val="auto"/>
              </w:rPr>
            </w:pPr>
            <w:r>
              <w:rPr>
                <w:rFonts w:ascii="Arial" w:cs="Arial" w:eastAsia="Arial" w:hAnsi="Arial"/>
                <w:sz w:val="18"/>
                <w:szCs w:val="18"/>
                <w:color w:val="auto"/>
              </w:rPr>
              <w:t>Non-GAAP loss from operations</w:t>
            </w:r>
          </w:p>
        </w:tc>
        <w:tc>
          <w:tcPr>
            <w:tcW w:w="660" w:type="dxa"/>
            <w:vAlign w:val="bottom"/>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(20,641)</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(27,996)</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(42,519)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(59,225)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margin</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Non-GAAP operating margin</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Free cash flow is a non-GAAP financial measure that we define as net cash used in operating activities less purchases of property and equipment, capitalized internal-use software, acquisition of intangible assets, and cash used for business combinations. Free cash flow margin is calculated as free cash flow divided by total revenue. We monitor free cash flow as one measure of our overall business performance, which enables us to analyze our future performance without the effects of non-cash items and allow us to better understand the cash needs of our business. While we believe that free cash flow is useful in evaluating our business, free cash flow is a non-GAAP financial measure that has limitations as an analytical tool, and free cash flow should not be considered as an alternative to, or substitute for, net cash used in operating activities in accordance with GAAP. The utility of free cash flow as a measure of our liquidity is further limited as it does not represent the total increase or decrease in our cash balance for any given period. In addition, other companies, including companies in our industry, may calculate free cash flow differently or not at all, which reduces the usefulness of free cash flow as a tool for comparison.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 presents a reconciliation of free cash flow and free cash flow margin to net cash used in operating activities: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4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Three Months Ended July 31,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108,108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204,185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102,990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(35,137)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Less: Purchases of property and equipment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(37,159)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(14,068)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Capitalized internal-use software</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2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7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(29,158)</w:t>
            </w:r>
          </w:p>
        </w:tc>
        <w:tc>
          <w:tcPr>
            <w:tcW w:w="2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(35,657)</w:t>
            </w:r>
          </w:p>
        </w:tc>
        <w:tc>
          <w:tcPr>
            <w:tcW w:w="4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(45,268)</w:t>
            </w:r>
          </w:p>
        </w:tc>
        <w:tc>
          <w:tcPr>
            <w:tcW w:w="2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(52,406)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(34,392)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(87,117)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(30,254)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(94,873)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680,684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182,171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679,802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182,620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 as a percentage of</w:t>
            </w: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w:t>
            </w: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(52)%</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2"/>
        </w:trPr>
        <w:tc>
          <w:tcPr>
            <w:tcW w:w="4760" w:type="dxa"/>
            <w:vAlign w:val="bottom"/>
          </w:tcPr>
          <w:p>
            <w:pPr>
              <w:ind w:left="120"/>
              <w:spacing w:after="0" w:line="201" w:lineRule="exact"/>
              <w:rPr>
                <w:sz w:val="20"/>
                <w:szCs w:val="20"/>
                <w:color w:val="auto"/>
              </w:rPr>
            </w:pPr>
            <w:r>
              <w:rPr>
                <w:rFonts w:ascii="Arial" w:cs="Arial" w:eastAsia="Arial" w:hAnsi="Arial"/>
                <w:sz w:val="18"/>
                <w:szCs w:val="18"/>
                <w:color w:val="auto"/>
                <w:w w:val="95"/>
              </w:rPr>
              <w:t>Less: Purchases of property and equipment as a percentage</w:t>
            </w: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4760" w:type="dxa"/>
            <w:vAlign w:val="bottom"/>
          </w:tcPr>
          <w:p>
            <w:pPr>
              <w:ind w:left="120"/>
              <w:spacing w:after="0"/>
              <w:rPr>
                <w:sz w:val="20"/>
                <w:szCs w:val="20"/>
                <w:color w:val="auto"/>
              </w:rPr>
            </w:pPr>
            <w:r>
              <w:rPr>
                <w:rFonts w:ascii="Arial" w:cs="Arial" w:eastAsia="Arial" w:hAnsi="Arial"/>
                <w:sz w:val="18"/>
                <w:szCs w:val="18"/>
                <w:color w:val="auto"/>
              </w:rPr>
              <w:t>of revenue</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(20)%</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(18)%</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2"/>
        </w:trPr>
        <w:tc>
          <w:tcPr>
            <w:tcW w:w="47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Less: Capitalized internal-use software as a percentage of</w:t>
            </w: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Free cash flow margin</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(27)%</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(64)%</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(22)%</w:t>
            </w: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In June 2019, upon completion of our IPO, we received net proceeds of $659.2 million, after deducting underwriters’ discounts and commissions and estimated offering expenses of $44.8 million.</w:t>
      </w:r>
    </w:p>
    <w:p>
      <w:pPr>
        <w:spacing w:after="0" w:line="170"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Prior to our IPO, we financed our operations principally through private placements of our equity securities, payments received from customers using our Falcon platform and professional services, and borrowings under our credit facility. As of July 31, 2019, we had cash equivalents, consisting of money market funds, corporate debt securities, and US Treasuries, of $732.8 million, and marketable securities, consisting of corporate debt securities and U.S. treasury securities, of $94.0 million. Our cash and cash equivalents primarily consist of highly liquid investments. Since our inception, we have generated operating losses, as reflected in our accumulated deficit of $573.6 million as of July 31, 2019, and negative cash flows from operations. We expect to continue to incur operating losses and generate negative cash flows from operations for the foreseeable future due to the investments we intend to continue to make in sales and marketing and research and development, and due to additional general and administrative costs we expect to incur as a public company. As a result, we may require additional capital resources to execute strategic initiatives to grow our business.</w:t>
      </w:r>
    </w:p>
    <w:p>
      <w:pPr>
        <w:spacing w:after="0" w:line="16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typically invoice our subscription customers annually in advance. Therefore, a substantial source of our cash is from such prepayments, which are included on our condensed consolidated balance sheets as deferred revenue. Deferred revenue consists of billed fees for our subscriptions, prior to satisfying the criteria for revenue recognition, which are subsequently recognized as revenue in accordance with our revenue recognition policy. As of July 31, 2019, we had deferred revenue of $369.8 million, of which $280.0 million was recorded as a current liability and is expected to be recorded as revenue in the next 12 months, provided all other revenue recognition criteria have been met.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0"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6350</wp:posOffset>
            </wp:positionV>
            <wp:extent cx="11233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ind w:left="6640"/>
        <w:spacing w:after="0"/>
        <w:tabs>
          <w:tab w:leader="none" w:pos="75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-3175</wp:posOffset>
            </wp:positionV>
            <wp:extent cx="11233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4"/>
          <w:szCs w:val="14"/>
          <w:b w:val="1"/>
          <w:bCs w:val="1"/>
          <w:color w:val="auto"/>
        </w:rPr>
        <w:t>(in thousands)</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(4,799)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(35,137)</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140" w:type="dxa"/>
            <w:vAlign w:val="bottom"/>
          </w:tcPr>
          <w:p>
            <w:pPr>
              <w:jc w:val="right"/>
              <w:spacing w:after="0"/>
              <w:rPr>
                <w:sz w:val="20"/>
                <w:szCs w:val="20"/>
                <w:color w:val="auto"/>
              </w:rPr>
            </w:pPr>
            <w:r>
              <w:rPr>
                <w:rFonts w:ascii="Arial" w:cs="Arial" w:eastAsia="Arial" w:hAnsi="Arial"/>
                <w:sz w:val="18"/>
                <w:szCs w:val="18"/>
                <w:color w:val="auto"/>
              </w:rPr>
              <w:t>(30,254)</w:t>
            </w:r>
          </w:p>
        </w:tc>
        <w:tc>
          <w:tcPr>
            <w:tcW w:w="900" w:type="dxa"/>
            <w:vAlign w:val="bottom"/>
          </w:tcPr>
          <w:p>
            <w:pPr>
              <w:jc w:val="right"/>
              <w:spacing w:after="0"/>
              <w:rPr>
                <w:sz w:val="20"/>
                <w:szCs w:val="20"/>
                <w:color w:val="auto"/>
              </w:rPr>
            </w:pPr>
            <w:r>
              <w:rPr>
                <w:rFonts w:ascii="Arial" w:cs="Arial" w:eastAsia="Arial" w:hAnsi="Arial"/>
                <w:sz w:val="18"/>
                <w:szCs w:val="18"/>
                <w:color w:val="auto"/>
              </w:rPr>
              <w:t>(94,873)</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679,802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182,620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Net cash used in operating activities during the six months ended July 31, 2019 was $4.8 million, which resulted from a net loss of $77.9 million, adjusted for non-cash charges of $64.4 million and net cash inflow of $8.7 million from changes in operating assets and liabilities. Non-cash charges primarily consisted of $33.6 million in stock-based compensation expense, $15.1 million of amortization of deferred contract acquisition costs, $10.2 million of depreciation and amortization and, $6.0 million due to the change in the fair value of our redeemable convertible preferred stock warrant liability. The net cash inflow from changes in operating assets and liabilities was primarily due to a $79.4 million increase in deferred revenue, partially offset by a $27.8 million increase in deferred contract acquisition costs, a $22.8 million increase in accounts receivable, a $12.5 million increase in prepaid expenses and other assets, a $5.9 million decrease in accounts payable, and a $2.1 million decrease in accrued expenses and other current liabilities.</w:t>
      </w:r>
    </w:p>
    <w:p>
      <w:pPr>
        <w:spacing w:after="0" w:line="18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Net cash used in operating activities during the six months ended July 31, 2018 was $35.1 million, which resulted from a net loss of $66.5 million, adjusted for non-cash charges of $25.0 million and net cash inflow of $6.4 million from changes in operating assets and liabilities. Non-cash charges primarily consisted of $12.0 million of amortization of deferred contract acquisition costs, $6.4 million of depreciation and amortization, $3.9 million in stock-based compensation expense, and $2.1 million due to the change in the fair value of our redeemable convertible preferred stock warrant liability. The net cash inflow from changes in operating assets and liabilities was primarily due to a $37.2 million increase in deferred revenue, partially offset by a $14.3 million increase in deferred contract acquisition costs, a decrease in accrued expenses and other current liabilities of $9.1 million, and a $7.7 million decrease in accounts payable.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Net cash used in investing activities during the six months ended July 31, 2019 of $30.3 million was primarily due to purchases of marketable securities of $117.6 million and purchases of property and equipment of $37.2 million, partially offset by maturities of marketable securities of $123.3 million.</w:t>
      </w:r>
    </w:p>
    <w:p>
      <w:pPr>
        <w:spacing w:after="0" w:line="181" w:lineRule="exact"/>
        <w:rPr>
          <w:sz w:val="20"/>
          <w:szCs w:val="20"/>
          <w:color w:val="auto"/>
        </w:rPr>
      </w:pPr>
    </w:p>
    <w:p>
      <w:pPr>
        <w:jc w:val="both"/>
        <w:ind w:right="160" w:firstLine="648"/>
        <w:spacing w:after="0" w:line="308" w:lineRule="auto"/>
        <w:rPr>
          <w:sz w:val="20"/>
          <w:szCs w:val="20"/>
          <w:color w:val="auto"/>
        </w:rPr>
      </w:pPr>
      <w:r>
        <w:rPr>
          <w:rFonts w:ascii="Arial" w:cs="Arial" w:eastAsia="Arial" w:hAnsi="Arial"/>
          <w:sz w:val="17"/>
          <w:szCs w:val="17"/>
          <w:color w:val="auto"/>
        </w:rPr>
        <w:t>Net cash used in investing activities during the six months ended July 31, 2018 of $94.9 million was primarily due to purchases of marketable securities of $80.2 million and purchases of property and equipment of $14.1 million.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Net cash provided by financing activities of $679.8 million during the six months ended July 31, 2019 was primarily due to our IPO. On June 14, 2019, we closed our IPO in which we sold 20,700,000 shares of Class A common stock. The shares were sold at a public offering price of $34.00 per share for net proceeds of $659.2 million, after deducting underwriters’ discounts and commissions and estimated offering expenses of $44.8 million. In addition there was proceeds from the exercise of stock options of $18.8 million during the six months ended July 31, 2019.</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Net cash provided by financing activities of $182.6 million during the six months ended July 31, 2018 was primarily due to net proceeds from the issuance of our Series E redeemable convertible preferred stock of $199.9 million partially offset by net repayments of bank loans of $16.2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 Obligations</w:t>
      </w:r>
    </w:p>
    <w:p>
      <w:pPr>
        <w:spacing w:after="0" w:line="225"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In April 2019, we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 We also have the option to request an incremental facility of up to an additional $75.0 million from one or more of the lenders under the Credit Agreement. The amount we may borrow under the Credit Agreement may not exceed the lesser of $150.0 million or our ordinary course recurring subscription revenue for the most recent month, as determined under the Credit Agreement, multiplied by a number that is (i) 6, for the first year after entry into the Credit Agreement; (ii) 5, for the second year after entry into the Credit Agreement; and (iii) 4, thereafter. Under the terms of the Credit Agreement, revolving loans may be either Eurodollar Loans or ABR Loans. Outstanding Eurodollar Loans incur interest at the Eurodollar Rate, which is defined in the Credit Agreement as LIBOR (or any successor thereto), plus a margin between 2.75% and 3.25%, depending on usage. Outstanding ABR Loans incur interest at the highest of (a) the Prime Rate, as published by the Wall Street Journal, (b) the federal funds rate in effect for such day plus 0.50%, and (c) the Eurodollar Rate plus 1.00%, in each case plus a margin between 1.75% and</w:t>
      </w:r>
    </w:p>
    <w:p>
      <w:pPr>
        <w:spacing w:after="0" w:line="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2.25%, depending on usage. The applicable margin for Eurodollar Loans and ABR Loans will be reduced by 0.25% upon the completion of an initial public offering of at least $100.0 million in gross proceeds. We are charged a commitment fee of 0.2% to 0.3% per year for committed but unused amounts. The Credit Agreement will terminate on April 19, 2022.</w:t>
      </w:r>
    </w:p>
    <w:p>
      <w:pPr>
        <w:spacing w:after="0" w:line="15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Credit Agreement is collateralized by substantially all of our current and future property, rights, and assets, including, but not limited to, cash, goods, equipment, contractual rights, financial assets, and intangible assets of the Company and our subsidiaries. The Credit Agreement contains covenants limiting our ability to, among other things, dispose of assets, undergo a change in control, merge or consolidate, make acquisitions, incur debt, incur liens, pay dividends, repurchase stock, and make investments, in each case subject to certain exceptions. The Credit Agreement also contains financial covenants requiring us to maintain the year-over-year growth rate of its ordinary course recurring subscription revenue above specified rates and to maintain minimum liquidity at specified levels. We were in compliance with all covenants as of July 31, 2019. The Credit Agreement contains events of default that include, among others, non-payment of principal, interest, or fees, breach of covenants, inaccuracy of representations and warranties, cross defaults to certain other indebtedness, bankruptcy and insolvency events, and material judgments.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amounts were outstanding under the Credit Agreement as of July 31,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In July 2019, we agreed to commit up to $10.0 million to a newly formed entity, CrowdStrike Falcon Fund LLC (“Falcon Fund”), in exchange for 50% of the sharing percentage of any distribution by Falcon Fund. Additionally, entities associated with Accel, a holder of more than 5% of our capital stock, also agreed to commit up to $10.0 million to Falcon Fund and collectively own the remaining 50% of the sharing percentage of Falcon Fund. Falcon Fund is in the business of purchasing, selling, investing and trading in minority equity and convertible debt securities of privately-held companies that develop applications that have potential for substantial contribution to CrowdStrike and its platform. Falcon Fund has a duration of ten years which may be extended for three additional years. At dissolution, Falcon Fund will be liquidated and the remaining assets will be distributed to the investors based on their sharing percentage. As of July 31, 2019, we had not yet made a contribution to Falcon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0" w:right="660" w:firstLine="648"/>
        <w:spacing w:after="0" w:line="277" w:lineRule="auto"/>
        <w:rPr>
          <w:sz w:val="20"/>
          <w:szCs w:val="20"/>
          <w:color w:val="auto"/>
        </w:rPr>
      </w:pPr>
      <w:r>
        <w:rPr>
          <w:rFonts w:ascii="Arial" w:cs="Arial" w:eastAsia="Arial" w:hAnsi="Arial"/>
          <w:sz w:val="18"/>
          <w:szCs w:val="18"/>
          <w:color w:val="auto"/>
        </w:rPr>
        <w:t>The following table summarizes our contractual obligations as of July 31, 2019 and the years in which these obligations are due: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w w:val="98"/>
              </w:rPr>
              <w:t>Fiscal Year Ending July 31,</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w w:val="99"/>
              </w:rPr>
              <w:t>(in thousands)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leases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Data center commitments (2)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205,318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15,922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58,432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85,543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31,796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purchase obligations (3)</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246,770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27,402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69,591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92,894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37,236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13,222</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20" w:hanging="651"/>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Relates to our facilities worldwide.</w:t>
      </w:r>
    </w:p>
    <w:p>
      <w:pPr>
        <w:spacing w:after="0" w:line="225" w:lineRule="exact"/>
        <w:rPr>
          <w:rFonts w:ascii="Arial" w:cs="Arial" w:eastAsia="Arial" w:hAnsi="Arial"/>
          <w:sz w:val="18"/>
          <w:szCs w:val="18"/>
          <w:color w:val="auto"/>
        </w:rPr>
      </w:pPr>
    </w:p>
    <w:p>
      <w:pPr>
        <w:ind w:left="720" w:hanging="651"/>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Relates to non-cancelable commitments to data center vendors.</w:t>
      </w:r>
    </w:p>
    <w:p>
      <w:pPr>
        <w:spacing w:after="0" w:line="225" w:lineRule="exact"/>
        <w:rPr>
          <w:rFonts w:ascii="Arial" w:cs="Arial" w:eastAsia="Arial" w:hAnsi="Arial"/>
          <w:sz w:val="18"/>
          <w:szCs w:val="18"/>
          <w:color w:val="auto"/>
        </w:rPr>
      </w:pPr>
    </w:p>
    <w:p>
      <w:pPr>
        <w:ind w:left="720" w:right="60" w:hanging="651"/>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Relates to non-cancelable purchase commitments with various parties to purchase products and services entered into in the normal course of business.</w:t>
      </w:r>
    </w:p>
    <w:p>
      <w:pPr>
        <w:spacing w:after="0" w:line="170"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left="60" w:right="60" w:firstLine="648"/>
        <w:spacing w:after="0" w:line="270" w:lineRule="auto"/>
        <w:rPr>
          <w:sz w:val="20"/>
          <w:szCs w:val="20"/>
          <w:color w:val="auto"/>
        </w:rPr>
      </w:pPr>
      <w:r>
        <w:rPr>
          <w:rFonts w:ascii="Arial" w:cs="Arial" w:eastAsia="Arial" w:hAnsi="Arial"/>
          <w:sz w:val="17"/>
          <w:szCs w:val="17"/>
          <w:color w:val="auto"/>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condensed consolidated balance sheet as of July 31, 2019 or January 31, 2019.</w:t>
      </w:r>
    </w:p>
    <w:p>
      <w:pPr>
        <w:spacing w:after="0" w:line="182" w:lineRule="exact"/>
        <w:rPr>
          <w:sz w:val="20"/>
          <w:szCs w:val="20"/>
          <w:color w:val="auto"/>
        </w:rPr>
      </w:pPr>
    </w:p>
    <w:p>
      <w:pPr>
        <w:ind w:left="60" w:right="180" w:firstLine="648"/>
        <w:spacing w:after="0" w:line="255" w:lineRule="auto"/>
        <w:rPr>
          <w:sz w:val="20"/>
          <w:szCs w:val="20"/>
          <w:color w:val="auto"/>
        </w:rPr>
      </w:pPr>
      <w:r>
        <w:rPr>
          <w:rFonts w:ascii="Arial" w:cs="Arial" w:eastAsia="Arial" w:hAnsi="Arial"/>
          <w:sz w:val="18"/>
          <w:szCs w:val="18"/>
          <w:color w:val="auto"/>
        </w:rPr>
        <w:t>We also indemnify our officers and directors for certain events or occurrences, subject to certain limits, while the officer is or was serving at our request in such capacity. The maximum amount of potential future indemnification is unlimited. However, our director and officer insurance policy limits our exposure and enables us to recover a portion of any future amounts paid. Historically, we have not been obligated to make any payments for these obligations and no liabilities have been recorded for these obligations on our condensed consolidated balance sheet as of July 31, 2019 or January 31, 2019.</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60" w:right="40" w:firstLine="648"/>
        <w:spacing w:after="0" w:line="269" w:lineRule="auto"/>
        <w:rPr>
          <w:sz w:val="20"/>
          <w:szCs w:val="20"/>
          <w:color w:val="auto"/>
        </w:rPr>
      </w:pPr>
      <w:r>
        <w:rPr>
          <w:rFonts w:ascii="Arial" w:cs="Arial" w:eastAsia="Arial" w:hAnsi="Arial"/>
          <w:sz w:val="17"/>
          <w:szCs w:val="17"/>
          <w:color w:val="auto"/>
        </w:rPr>
        <w:t>We enter into both single and multi-year subscription contracts for our solutions. We generally invoice the entire amount at contract signing prior to commencement of subscription period. Until such time as these amounts are invoiced, they are not recorded in deferred revenue or elsewhere in our condensed consolidated financial statements, and are considered by us to be backlog. As of July 31, 2019, we had backlog of approximately $85.2 million. Of the backlog of $85.2 million as of July 31, 2019, approximately $36.5 million is not reasonably expected to be billed in the next twelve months.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ectPr>
          <w:pgSz w:w="11900" w:h="16838" w:orient="portrait"/>
          <w:cols w:equalWidth="0" w:num="1">
            <w:col w:w="9160"/>
          </w:cols>
          <w:pgMar w:left="1360" w:top="517" w:right="137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372745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60"/>
          </w:cols>
          <w:pgMar w:left="1360" w:top="517" w:right="137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management’s discussion and analysis of financial condition and results of operations is based upon our financial statements and notes to our financial statements, which were prepared in accordance with GAAP. The preparation of the financial statements requires our management to make estimates and assumptions that affect the amounts reported in the financial statements and accompanying notes. Our management evaluates our estimates on an ongoing basis, including those related to the allowance for doubtful accounts, the carrying value of long-lived assets, the useful lives of long-lived assets, the fair value of financial instruments, the recognition and disclosure of contingent liabilities, the provision for income taxes and related deferred taxes, stock-based compensation, the fair value of our common stock, and the fair value of our redeemable convertible preferred stock warrants.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6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accounting estimates we use in the preparation of our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financial statements. By their nature, these estimates and judgments are subject to an inherent degree of uncertainty and actual results could differ materially from the amounts reported based on these estimates.</w:t>
      </w:r>
    </w:p>
    <w:p>
      <w:pPr>
        <w:spacing w:after="0" w:line="16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 xml:space="preserve">Our significant accounting policies are more fully described in Note 2 of our condensed consolidated financial statements. Our critical accounting policies and our more significant judgments and estimates used in the preparation of our financial statements are discussed in “Management’s Discussion and Analysis of Financial Condition and Results of Operations” in our prospectus dated June 11, 2019 filed with the SEC pursuant to Rule 424(b) under the Securities Act of 1933, as amended, and there have been no significant changes to these policies for the six months ended July 31, 2019, except in regard to our adoption of ASU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is discussed below.</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adopted Accounting Standards Codification ("ASC") Topic 606, Revenue From Contracts With Customers ("ASC 606") on February 1, 2019, using the modified retrospective transition method. Under this method, results for reporting periods beginning on February 1, 2019 are presented under Topic 606, while prior period amounts are not adjusted and continue to be reported in accordance with historic accounting under Topic 605.</w:t>
      </w:r>
    </w:p>
    <w:p>
      <w:pPr>
        <w:spacing w:after="0" w:line="17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recorded a cumulative effect adjustment to opening accumulated deficit of $23.4 million, net of tax, as of the date of adoption. The change resulted from a $23.7 million reduction in commissions expense offset by a $0.3 million reduction in revenue.</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adoption of Topic 606 had no impact on net cash provided by or used in operating, investing, or financing activities in our consolidated statements of cash flows for the three months or six months ended July 31, 2019. As a result of adopting ASC 606 effective February 1, 2019, our commissions expense for the three months ended April 30, 2019 and the six months ended July 31, 2019 was $4.2 million and $8.8 million lower than it would have been under ASC 605,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ASC 606, we report our revenues in two categories: (i) subscriptions and (ii) professional services.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Revenues are recognized when control of these services is transferred to our customers, in an amount that reflects the consideration we expect to be entitled to in exchange for those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25" w:lineRule="exact"/>
        <w:rPr>
          <w:sz w:val="20"/>
          <w:szCs w:val="20"/>
          <w:color w:val="auto"/>
        </w:rPr>
      </w:pPr>
    </w:p>
    <w:p>
      <w:pPr>
        <w:ind w:left="1000" w:hanging="31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25" w:lineRule="exact"/>
        <w:rPr>
          <w:sz w:val="20"/>
          <w:szCs w:val="20"/>
          <w:color w:val="auto"/>
        </w:rPr>
      </w:pPr>
    </w:p>
    <w:p>
      <w:pPr>
        <w:ind w:left="980" w:right="100"/>
        <w:spacing w:after="0" w:line="291" w:lineRule="auto"/>
        <w:rPr>
          <w:sz w:val="20"/>
          <w:szCs w:val="20"/>
          <w:color w:val="auto"/>
        </w:rPr>
      </w:pPr>
      <w:r>
        <w:rPr>
          <w:rFonts w:ascii="Arial" w:cs="Arial" w:eastAsia="Arial" w:hAnsi="Arial"/>
          <w:sz w:val="16"/>
          <w:szCs w:val="16"/>
          <w:color w:val="auto"/>
        </w:rPr>
        <w:t>We consider the terms and conditions of contracts with customers and our customary business practices in identifying contracts under ASC 606. We determine we have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67" w:lineRule="exact"/>
        <w:rPr>
          <w:sz w:val="20"/>
          <w:szCs w:val="20"/>
          <w:color w:val="auto"/>
        </w:rPr>
      </w:pPr>
    </w:p>
    <w:p>
      <w:pPr>
        <w:ind w:left="1000" w:hanging="31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sz w:val="20"/>
          <w:szCs w:val="20"/>
          <w:color w:val="auto"/>
        </w:rPr>
      </w:pPr>
    </w:p>
    <w:p>
      <w:pPr>
        <w:ind w:left="980"/>
        <w:spacing w:after="0" w:line="273" w:lineRule="auto"/>
        <w:rPr>
          <w:sz w:val="20"/>
          <w:szCs w:val="20"/>
          <w:color w:val="auto"/>
        </w:rPr>
      </w:pPr>
      <w:r>
        <w:rPr>
          <w:rFonts w:ascii="Arial" w:cs="Arial" w:eastAsia="Arial" w:hAnsi="Arial"/>
          <w:sz w:val="17"/>
          <w:szCs w:val="17"/>
          <w:color w:val="auto"/>
        </w:rPr>
        <w:t>Performance obligations promised in a contract are identified based on the services that will be transferred to the customer that are both capable of being distinct, meaning that the customer can benefit from the service either on its own or together with other resources that are readily available from us or from third parties, and are distinct in the context of the contract, meaning that the transfer of the services is separately identifiable from other promises in the contract. Our performance obligations in our contracts with customers consist of (i) subscription and support services and (ii) professional services.</w:t>
      </w:r>
    </w:p>
    <w:p>
      <w:pPr>
        <w:spacing w:after="0" w:line="178" w:lineRule="exact"/>
        <w:rPr>
          <w:sz w:val="20"/>
          <w:szCs w:val="20"/>
          <w:color w:val="auto"/>
        </w:rPr>
      </w:pPr>
    </w:p>
    <w:p>
      <w:pPr>
        <w:ind w:left="1000" w:hanging="316"/>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25" w:lineRule="exact"/>
        <w:rPr>
          <w:sz w:val="20"/>
          <w:szCs w:val="20"/>
          <w:color w:val="auto"/>
        </w:rPr>
      </w:pPr>
    </w:p>
    <w:p>
      <w:pPr>
        <w:ind w:left="980" w:right="100"/>
        <w:spacing w:after="0" w:line="259" w:lineRule="auto"/>
        <w:rPr>
          <w:sz w:val="20"/>
          <w:szCs w:val="20"/>
          <w:color w:val="auto"/>
        </w:rPr>
      </w:pPr>
      <w:r>
        <w:rPr>
          <w:rFonts w:ascii="Arial" w:cs="Arial" w:eastAsia="Arial" w:hAnsi="Arial"/>
          <w:sz w:val="18"/>
          <w:szCs w:val="18"/>
          <w:color w:val="auto"/>
        </w:rPr>
        <w:t>The transaction price is determined based on the consideration to which we are expected to be entitled in exchange for transferring services to the customer. Variable consideration is included in the transaction price if it is probable that a significant future reversal of cumulative revenue under the contract will not occur. None of our contracts contains a significant financing component.</w:t>
      </w:r>
    </w:p>
    <w:p>
      <w:pPr>
        <w:spacing w:after="0" w:line="187" w:lineRule="exact"/>
        <w:rPr>
          <w:sz w:val="20"/>
          <w:szCs w:val="20"/>
          <w:color w:val="auto"/>
        </w:rPr>
      </w:pPr>
    </w:p>
    <w:p>
      <w:pPr>
        <w:ind w:left="1000" w:hanging="31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225" w:lineRule="exact"/>
        <w:rPr>
          <w:sz w:val="20"/>
          <w:szCs w:val="20"/>
          <w:color w:val="auto"/>
        </w:rPr>
      </w:pPr>
    </w:p>
    <w:p>
      <w:pPr>
        <w:jc w:val="both"/>
        <w:ind w:left="980" w:right="300"/>
        <w:spacing w:after="0" w:line="264"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SSP.</w:t>
      </w:r>
    </w:p>
    <w:p>
      <w:pPr>
        <w:spacing w:after="0" w:line="181" w:lineRule="exact"/>
        <w:rPr>
          <w:sz w:val="20"/>
          <w:szCs w:val="20"/>
          <w:color w:val="auto"/>
        </w:rPr>
      </w:pPr>
    </w:p>
    <w:p>
      <w:pPr>
        <w:ind w:left="1000" w:hanging="316"/>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25" w:lineRule="exact"/>
        <w:rPr>
          <w:sz w:val="20"/>
          <w:szCs w:val="20"/>
          <w:color w:val="auto"/>
        </w:rPr>
      </w:pPr>
    </w:p>
    <w:p>
      <w:pPr>
        <w:ind w:left="980" w:right="40"/>
        <w:spacing w:after="0" w:line="259" w:lineRule="auto"/>
        <w:rPr>
          <w:sz w:val="20"/>
          <w:szCs w:val="20"/>
          <w:color w:val="auto"/>
        </w:rPr>
      </w:pPr>
      <w:r>
        <w:rPr>
          <w:rFonts w:ascii="Arial" w:cs="Arial" w:eastAsia="Arial" w:hAnsi="Arial"/>
          <w:sz w:val="18"/>
          <w:szCs w:val="18"/>
          <w:color w:val="auto"/>
        </w:rPr>
        <w:t>Revenue is recognized at the time the related performance obligation is satisfied by transferring the promised service to the customer. Revenue is recognized when control of the services is transferred to the customer, in an amount that reflects the consideration expected to be received in exchange for those services. We generate all our revenue from contracts with customers.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Subscription Revenue</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Falcon Platform technology solutions are SaaS offerings designed to continuously monitor, share, and mitigate risks from determined attackers. Customers do not have the right to take possession of the cloud-based software platform. Fees are based on several factors, including the solutions subscribed for by the customer and the number of endpoints purchased by the customer. The subscription fees are typically payable within 30 to 60 days after the execution of the arrangement, and thereafter upon renewal or subsequent installment. We initially record the subscription fees as deferred revenue and recognize revenue on a straight-line basis over the term of the agreement.</w:t>
      </w:r>
    </w:p>
    <w:p>
      <w:pPr>
        <w:sectPr>
          <w:pgSz w:w="11900" w:h="16838" w:orient="portrait"/>
          <w:cols w:equalWidth="0" w:num="1">
            <w:col w:w="9060"/>
          </w:cols>
          <w:pgMar w:left="1420" w:top="517" w:right="141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Professional Services Revenue</w:t>
      </w:r>
    </w:p>
    <w:p>
      <w:pPr>
        <w:spacing w:after="0" w:line="225" w:lineRule="exact"/>
        <w:rPr>
          <w:sz w:val="20"/>
          <w:szCs w:val="20"/>
          <w:color w:val="auto"/>
        </w:rPr>
      </w:pPr>
    </w:p>
    <w:p>
      <w:pPr>
        <w:ind w:right="39" w:firstLine="648"/>
        <w:spacing w:after="0" w:line="255" w:lineRule="auto"/>
        <w:rPr>
          <w:sz w:val="20"/>
          <w:szCs w:val="20"/>
          <w:color w:val="auto"/>
        </w:rPr>
      </w:pPr>
      <w:r>
        <w:rPr>
          <w:rFonts w:ascii="Arial" w:cs="Arial" w:eastAsia="Arial" w:hAnsi="Arial"/>
          <w:sz w:val="18"/>
          <w:szCs w:val="18"/>
          <w:color w:val="auto"/>
        </w:rPr>
        <w:t>We offer several types of professional services including incident response and forensic services, surge forensic and malware analysis, and attribution analysis, which are focused on responding to imminent and direct threats, assessing vulnerabilities, and recommending solutions. The professional services are available through hourly rate and fixed fee contracts, one-time and ongoing engagements, and retainer-based agreements. Revenue for time and materials arrangements is recognized as services are performed and revenue for fixed fees is recognized on a proportional performance basis as the services are performed.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Contracts with Multiple Performance Obligations</w:t>
      </w:r>
    </w:p>
    <w:p>
      <w:pPr>
        <w:spacing w:after="0" w:line="225" w:lineRule="exact"/>
        <w:rPr>
          <w:sz w:val="20"/>
          <w:szCs w:val="20"/>
          <w:color w:val="auto"/>
        </w:rPr>
      </w:pPr>
    </w:p>
    <w:p>
      <w:pPr>
        <w:ind w:right="259" w:firstLine="648"/>
        <w:spacing w:after="0" w:line="255" w:lineRule="auto"/>
        <w:rPr>
          <w:sz w:val="20"/>
          <w:szCs w:val="20"/>
          <w:color w:val="auto"/>
        </w:rPr>
      </w:pPr>
      <w:r>
        <w:rPr>
          <w:rFonts w:ascii="Arial" w:cs="Arial" w:eastAsia="Arial" w:hAnsi="Arial"/>
          <w:sz w:val="18"/>
          <w:szCs w:val="18"/>
          <w:color w:val="auto"/>
        </w:rPr>
        <w:t>Some contracts with customers contain multiple promised services consisting of subscription and professional services that are distinct and accounted for separately. The transaction price is allocated to the separate performance obligations on a relative SSP basis. The SSP is the price at which we would sell promised subscription or professional services separately to a customer. Judgment is required to determine the SSP for each distinct performance obligation. We determine SSP based on our overall pricing objectives, taking into consideration the type of subscription or professional service and the number of endpoints.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Variable Consideration</w:t>
      </w:r>
    </w:p>
    <w:p>
      <w:pPr>
        <w:spacing w:after="0" w:line="225" w:lineRule="exact"/>
        <w:rPr>
          <w:sz w:val="20"/>
          <w:szCs w:val="20"/>
          <w:color w:val="auto"/>
        </w:rPr>
      </w:pPr>
    </w:p>
    <w:p>
      <w:pPr>
        <w:ind w:right="99" w:firstLine="648"/>
        <w:spacing w:after="0" w:line="259" w:lineRule="auto"/>
        <w:rPr>
          <w:sz w:val="20"/>
          <w:szCs w:val="20"/>
          <w:color w:val="auto"/>
        </w:rPr>
      </w:pPr>
      <w:r>
        <w:rPr>
          <w:rFonts w:ascii="Arial" w:cs="Arial" w:eastAsia="Arial" w:hAnsi="Arial"/>
          <w:sz w:val="18"/>
          <w:szCs w:val="18"/>
          <w:color w:val="auto"/>
        </w:rPr>
        <w:t>Revenue from sales is recorded at the net sales price, which is the transaction price, and includes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spacing w:after="0" w:line="187" w:lineRule="exact"/>
        <w:rPr>
          <w:sz w:val="20"/>
          <w:szCs w:val="20"/>
          <w:color w:val="auto"/>
        </w:rPr>
      </w:pPr>
    </w:p>
    <w:p>
      <w:pPr>
        <w:ind w:right="39" w:firstLine="648"/>
        <w:spacing w:after="0" w:line="257" w:lineRule="auto"/>
        <w:rPr>
          <w:sz w:val="20"/>
          <w:szCs w:val="20"/>
          <w:color w:val="auto"/>
        </w:rPr>
      </w:pPr>
      <w:r>
        <w:rPr>
          <w:rFonts w:ascii="Arial" w:cs="Arial" w:eastAsia="Arial" w:hAnsi="Arial"/>
          <w:sz w:val="18"/>
          <w:szCs w:val="18"/>
          <w:color w:val="auto"/>
        </w:rPr>
        <w:t>If subscriptions do not meet certain service level commitments, our customers are entitled to receive service credits, and in certain cases, refunds, each representing a form of variable consideration. We have historically not experienced any significant incidents affecting the defined levels of reliability and performance as required by its subscription contracts. Accordingly, any estimated refunds related to these agreements in the condensed consolidated financial statements is not material during the periods presented.</w:t>
      </w:r>
    </w:p>
    <w:p>
      <w:pPr>
        <w:spacing w:after="0" w:line="188" w:lineRule="exact"/>
        <w:rPr>
          <w:sz w:val="20"/>
          <w:szCs w:val="20"/>
          <w:color w:val="auto"/>
        </w:rPr>
      </w:pPr>
    </w:p>
    <w:p>
      <w:pPr>
        <w:ind w:right="259" w:firstLine="648"/>
        <w:spacing w:after="0" w:line="279" w:lineRule="auto"/>
        <w:rPr>
          <w:sz w:val="20"/>
          <w:szCs w:val="20"/>
          <w:color w:val="auto"/>
        </w:rPr>
      </w:pPr>
      <w:r>
        <w:rPr>
          <w:rFonts w:ascii="Arial" w:cs="Arial" w:eastAsia="Arial" w:hAnsi="Arial"/>
          <w:sz w:val="17"/>
          <w:szCs w:val="17"/>
          <w:color w:val="auto"/>
        </w:rPr>
        <w:t>We provide rebates and other credits within our contracts with certain resellers, which are estimated based on the most likely amounts expected to be earned or claimed on the related sales transaction. Overall, the transaction price is reduced to reflect our estimate of the amount of consideration to which it is entitled based on the terms of the contract. Estimated rebates and other credits were not material during the periods presented.</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239" w:firstLine="648"/>
        <w:spacing w:after="0" w:line="312"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after the enactment of the JOBS Act until those standards apply to private companies. We have elected to use this extended transition period under the JOBS Act.</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459" w:firstLine="648"/>
        <w:spacing w:after="0" w:line="264" w:lineRule="auto"/>
        <w:rPr>
          <w:sz w:val="20"/>
          <w:szCs w:val="20"/>
          <w:color w:val="auto"/>
        </w:rPr>
      </w:pPr>
      <w:r>
        <w:rPr>
          <w:rFonts w:ascii="Arial" w:cs="Arial" w:eastAsia="Arial" w:hAnsi="Arial"/>
          <w:sz w:val="18"/>
          <w:szCs w:val="18"/>
          <w:color w:val="auto"/>
        </w:rPr>
        <w:t>See Note 2 to our condensed consolidated financial statements included elsewhere in this Quarterly Report on Form 10-Q, for more information about the impact of certain recent accounting pronouncements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Rate Risk</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Our cash and cash equivalents primarily consist of cash on hand and highly liquid investments in corporate debt securities and money market funds, including overnight investments. Our investments are exposed to market risk due to fluctuations in interest rates, which may affect our interest income and the fair market value of our investments. As of July 31, 2019, we had cash and cash equivalents of $732.8 million and marketable securities of $94.0 million.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However, due to the short-term nature of our investment portfolio, the effect of a hypothetical 10% change in interest rates would not have had a material effect on the fair market value of our portfolio as of July 31, 2019 or January 31, 2019. We therefore do not expect our results of operations or cash flows to be materially affected by a sudden change in market interest rates.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To date,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currency of our foreign subsidiaries is that country’s local currency.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Other expense, net. The effect of a hypothetical 10% change in foreign currency exchange rates would not have had a material effect on our condensed consolidated financial statements for the three months or six months ended July 31, 2019.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79" w:firstLine="648"/>
        <w:spacing w:after="0" w:line="302"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July 31, 2019. Based on the evaluation of our disclosure controls and procedures as of July 31, 2019, our Chief Executive Officer and Chief Financial Officer concluded that, as of such date, our disclosure controls and procedures were effective at the reasonable assurance level.</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459" w:firstLine="648"/>
        <w:spacing w:after="0" w:line="286" w:lineRule="auto"/>
        <w:rPr>
          <w:sz w:val="20"/>
          <w:szCs w:val="20"/>
          <w:color w:val="auto"/>
        </w:rPr>
      </w:pPr>
      <w:r>
        <w:rPr>
          <w:rFonts w:ascii="Arial" w:cs="Arial" w:eastAsia="Arial" w:hAnsi="Arial"/>
          <w:sz w:val="17"/>
          <w:szCs w:val="17"/>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ind w:right="39" w:firstLine="648"/>
        <w:spacing w:after="0" w:line="288" w:lineRule="auto"/>
        <w:rPr>
          <w:sz w:val="20"/>
          <w:szCs w:val="20"/>
          <w:color w:val="auto"/>
        </w:rPr>
      </w:pPr>
      <w:r>
        <w:rPr>
          <w:rFonts w:ascii="Arial" w:cs="Arial" w:eastAsia="Arial" w:hAnsi="Arial"/>
          <w:sz w:val="16"/>
          <w:szCs w:val="16"/>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Inherent limitations in all control systems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are currently involved in proceedings before the Trademark Trial and Appeal Board, or TTAB, at the U.S. Patent and Trademark Office, or USPTO, regarding our U.S. trademark registrations for “CrowdStrike Falcon” and our U.S. application to register our “Falcon OverWatch” trademark. On November 23, 2016, Fair Isaac Corporation, or FICO, filed a Petition for Cancellation of our “CrowdStrike Falcon” trademark registrations and a Notice of Opposition against our “Falcon OverWatch” trademark application before the TTAB. On January 3, 2017, we filed answers to both the cancellation and opposition proceedings, and the proceedings thereafter were consolidated. On November 21, 2018, we filed a Petition for Partial Cancellation or Amendment of one of FICO’s “Falcon” trademark registrations, and on December 10, 2018, the parties filed a joint request to consolidate the proceedings and adjust the schedule. On January 16, 2019, FICO moved to dismiss our petition, and the TTAB thereafter suspended all proceedings pending its ruling on the motions. On July 2, 2019, the TTAB issued an order granting the request to consolidate the proceedings, and granting the motion to dismiss with leave to file an amended petition by July 22, 2019. The order also set a schedule with trial proceedings to close no earlier than 2021. We filed an Amended Petition for Cancellation or Amendment on July 22, 2019. On August 12, 2019, FICO moved to dismiss our Amended Petition for Cancellation. We are vigorously defending the case, but given the early stage, we are unable to predict the likelihood of success of Fair Isaac's claims. If we do not ultimately prevail in these proceedings and in any subsequent appeal or civil action, we could ultimately be required to change the names of our solutions, which may entail significant expense and adversely affect our brand recognition.</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From time to time, we may be subject to legal proceedings arising in the ordinary course of business. In addition, from time to time, third parties may assert intellectual property infringement claims against us in the form of letters and other forms of communication. We are not currently a party to any litigation the outcome of which, if determined adversely to us, would individually or in the aggregate be reasonably expected to have a material adverse effect on our results of operations, prospects, cash flows, financial position, or brand.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19"/>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in recent periods, and if we do not manage our future growth, our business and results of operations will be adversely affected.</w:t>
      </w:r>
    </w:p>
    <w:p>
      <w:pPr>
        <w:spacing w:after="0" w:line="170" w:lineRule="exact"/>
        <w:rPr>
          <w:sz w:val="20"/>
          <w:szCs w:val="20"/>
          <w:color w:val="auto"/>
        </w:rPr>
      </w:pPr>
    </w:p>
    <w:p>
      <w:pPr>
        <w:ind w:right="59" w:firstLine="648"/>
        <w:spacing w:after="0" w:line="288" w:lineRule="auto"/>
        <w:rPr>
          <w:sz w:val="20"/>
          <w:szCs w:val="20"/>
          <w:color w:val="auto"/>
        </w:rPr>
      </w:pPr>
      <w:r>
        <w:rPr>
          <w:rFonts w:ascii="Arial" w:cs="Arial" w:eastAsia="Arial" w:hAnsi="Arial"/>
          <w:sz w:val="16"/>
          <w:szCs w:val="16"/>
          <w:color w:val="auto"/>
        </w:rPr>
        <w:t>We have experienced rapid revenue growth in recent periods and we expect to continue to invest broadly across our organization to support our growth. For example, our headcount grew from 324 employees as of January 31, 2016, to 550 employees as of January 31, 2017, to 910 employees as of January 31, 2018, to 1,455 employees as of January 31, 2019 and to 1,873 employees as of July 31, 2019.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 We have encountered and will continue to encounter risks and difficulties frequently experienced by rapidly growing companies in evolving industries, including market acceptance of our Falcon platform, adding new customers, intense competition, and our ability to manage our costs and operating expenses. Our future success will depend in part on our ability to manage our growth effectively, which will require us to, among other things:</w:t>
      </w:r>
    </w:p>
    <w:p>
      <w:pPr>
        <w:spacing w:after="0" w:line="169" w:lineRule="exact"/>
        <w:rPr>
          <w:sz w:val="20"/>
          <w:szCs w:val="20"/>
          <w:color w:val="auto"/>
        </w:rPr>
      </w:pPr>
    </w:p>
    <w:p>
      <w:pPr>
        <w:ind w:left="1000" w:right="279" w:hanging="316"/>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attract, integrate, and retain a large number of new employees, particularly members of our sales and marketing and research and development teams;</w:t>
      </w:r>
    </w:p>
    <w:p>
      <w:pPr>
        <w:spacing w:after="0" w:line="170" w:lineRule="exact"/>
        <w:rPr>
          <w:rFonts w:ascii="Arial" w:cs="Arial" w:eastAsia="Arial" w:hAnsi="Arial"/>
          <w:sz w:val="18"/>
          <w:szCs w:val="18"/>
          <w:color w:val="auto"/>
        </w:rPr>
      </w:pPr>
    </w:p>
    <w:p>
      <w:pPr>
        <w:ind w:left="1000" w:right="119" w:hanging="316"/>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further improve our Falcon platform, including our cloud modules, and IT infrastructure, including expanding and optimizing our data centers, to support our business needs;</w:t>
      </w:r>
    </w:p>
    <w:p>
      <w:pPr>
        <w:spacing w:after="0" w:line="170" w:lineRule="exact"/>
        <w:rPr>
          <w:rFonts w:ascii="Arial" w:cs="Arial" w:eastAsia="Arial" w:hAnsi="Arial"/>
          <w:sz w:val="18"/>
          <w:szCs w:val="18"/>
          <w:color w:val="auto"/>
        </w:rPr>
      </w:pPr>
    </w:p>
    <w:p>
      <w:pPr>
        <w:ind w:left="1000" w:right="119" w:hanging="316"/>
        <w:spacing w:after="0" w:line="264"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81" w:lineRule="exact"/>
        <w:rPr>
          <w:rFonts w:ascii="Arial" w:cs="Arial" w:eastAsia="Arial" w:hAnsi="Arial"/>
          <w:sz w:val="18"/>
          <w:szCs w:val="18"/>
          <w:color w:val="auto"/>
        </w:rPr>
      </w:pPr>
    </w:p>
    <w:p>
      <w:pPr>
        <w:ind w:left="1000" w:hanging="316"/>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improve our financial, management, and compliance systems and controls.</w:t>
      </w:r>
    </w:p>
    <w:p>
      <w:pPr>
        <w:spacing w:after="0" w:line="225" w:lineRule="exact"/>
        <w:rPr>
          <w:sz w:val="20"/>
          <w:szCs w:val="20"/>
          <w:color w:val="auto"/>
        </w:rPr>
      </w:pPr>
    </w:p>
    <w:p>
      <w:pPr>
        <w:ind w:right="199" w:firstLine="648"/>
        <w:spacing w:after="0" w:line="257" w:lineRule="auto"/>
        <w:rPr>
          <w:sz w:val="20"/>
          <w:szCs w:val="20"/>
          <w:color w:val="auto"/>
        </w:rPr>
      </w:pPr>
      <w:r>
        <w:rPr>
          <w:rFonts w:ascii="Arial" w:cs="Arial" w:eastAsia="Arial" w:hAnsi="Arial"/>
          <w:sz w:val="18"/>
          <w:szCs w:val="18"/>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able to achieve or sustain profitability in the future.</w:t>
      </w:r>
    </w:p>
    <w:p>
      <w:pPr>
        <w:spacing w:after="0" w:line="225" w:lineRule="exact"/>
        <w:rPr>
          <w:sz w:val="20"/>
          <w:szCs w:val="20"/>
          <w:color w:val="auto"/>
        </w:rPr>
      </w:pPr>
    </w:p>
    <w:p>
      <w:pPr>
        <w:ind w:right="39" w:firstLine="648"/>
        <w:spacing w:after="0" w:line="270" w:lineRule="auto"/>
        <w:rPr>
          <w:sz w:val="20"/>
          <w:szCs w:val="20"/>
          <w:color w:val="auto"/>
        </w:rPr>
      </w:pPr>
      <w:r>
        <w:rPr>
          <w:rFonts w:ascii="Arial" w:cs="Arial" w:eastAsia="Arial" w:hAnsi="Arial"/>
          <w:sz w:val="17"/>
          <w:szCs w:val="17"/>
          <w:color w:val="auto"/>
        </w:rPr>
        <w:t>We have incurred net losses in all periods since our inception, and we may not achieve or maintain profitability in the future. We experienced net losses of $91.3 million, $135.5 million, $140.1 million for fiscal 2017, fiscal 2018, and fiscal 2019, respectively. As of July 31, 2019, we had an accumulated deficit of $573.6 million. While we have experienced significant growth in revenue in recent periods, we cannot predict when or whether we will reach or maintain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In addition to the anticipated costs to grow our business, we also expect to incur significant additional legal, accounting, and other expenses as a newly public company. Any failure to increase our revenue as we invest in our business or to manage our costs could prevent us from achieving or maintaining profitability or positive cash flow.</w:t>
      </w:r>
    </w:p>
    <w:p>
      <w:pPr>
        <w:spacing w:after="0" w:line="178" w:lineRule="exact"/>
        <w:rPr>
          <w:sz w:val="20"/>
          <w:szCs w:val="20"/>
          <w:color w:val="auto"/>
        </w:rPr>
      </w:pPr>
    </w:p>
    <w:p>
      <w:pPr>
        <w:ind w:right="199"/>
        <w:spacing w:after="0" w:line="277"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may increase the risk of your investment.</w:t>
      </w:r>
    </w:p>
    <w:p>
      <w:pPr>
        <w:spacing w:after="0" w:line="170" w:lineRule="exact"/>
        <w:rPr>
          <w:sz w:val="20"/>
          <w:szCs w:val="20"/>
          <w:color w:val="auto"/>
        </w:rPr>
      </w:pPr>
    </w:p>
    <w:p>
      <w:pPr>
        <w:ind w:right="159" w:firstLine="648"/>
        <w:spacing w:after="0" w:line="312" w:lineRule="auto"/>
        <w:rPr>
          <w:sz w:val="20"/>
          <w:szCs w:val="20"/>
          <w:color w:val="auto"/>
        </w:rPr>
      </w:pPr>
      <w:r>
        <w:rPr>
          <w:rFonts w:ascii="Arial" w:cs="Arial" w:eastAsia="Arial" w:hAnsi="Arial"/>
          <w:sz w:val="16"/>
          <w:szCs w:val="16"/>
          <w:color w:val="auto"/>
        </w:rPr>
        <w:t>We were founded in November 2011 and launched our first endpoint security solution in 2013. Our limited operating history makes it difficult to evaluate our current business, future prospects, and other trends, including our ability to plan for and model future growth. We have encountered and will continue to encounter risks, uncertainties, and</w:t>
      </w:r>
    </w:p>
    <w:p>
      <w:pPr>
        <w:sectPr>
          <w:pgSz w:w="11900" w:h="16838" w:orient="portrait"/>
          <w:cols w:equalWidth="0" w:num="1">
            <w:col w:w="9039"/>
          </w:cols>
          <w:pgMar w:left="1420" w:top="517" w:right="1440" w:bottom="1440" w:gutter="0" w:footer="0" w:header="0"/>
        </w:sect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difficulties frequently experienced by rapidly growing companies in evolving industries, including our ability to achieve broad market acceptance of cloud-based, SaaS-delivered endpoint security solutions and our Falcon platform, attract additional customers, grow partnerships, compete effectively, build and maintain effective compliance programs, and manage increasing expenses as we continue to invest in our business. If we do not address these risks, uncertainties, and difficulties successfully, our business, and results of operations will be harmed. Further, we have limited historical financial data, and we operate in a rapidly evolving market. As a result, any predictions about our future revenue and expenses may not be as accurate as they would be if we had a longer operating history or operated in a more predictable market.</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organizations do not adopt cloud-based SaaS-delivered endpoint security solutions, our ability to grow our business and results of operations may be adversely affected.</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will be negatively affected. You should consider our business and prospects in light of the risks and difficulties we encounter in this new and evolving market.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customers, our future results of operations could be harmed.</w:t>
      </w:r>
    </w:p>
    <w:p>
      <w:pPr>
        <w:spacing w:after="0" w:line="225"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future deterioration in general economic conditions may cause our customers to cut their overall security and IT operations spending, and such cuts may fall disproportionately on cloud-based security solutions like ours. Economic weakness, customer financial difficulties, and constrained spending on security and IT operations may result in decreased revenue and adversely affect our results of operations and financial conditions. Additionally, if the incidence of cyberattacks were to decline, or enterprises or governments perceive that the general level of cyberattacks has declined,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75"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If our customers do not renew their subscriptions for our products and add additional cloud modules to their subscriptions, our future results of operations could be harmed.</w:t>
      </w:r>
    </w:p>
    <w:p>
      <w:pPr>
        <w:spacing w:after="0" w:line="170"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In order for us to maintain or improve our results of operations, it is important that our customers renew their subscriptions for our Falcon platform when existing contract terms expire, and that we expand our commercial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our customers may renew for shorter contract subscription lengths or cease using certain cloud modules.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conditions. If our efforts to maintain and expand our relationships with our existing customers are not successful, our business, results of operations, and financial condition may materially suffer.</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67" w:lineRule="exact"/>
        <w:rPr>
          <w:sz w:val="20"/>
          <w:szCs w:val="20"/>
          <w:color w:val="auto"/>
        </w:rPr>
      </w:pPr>
    </w:p>
    <w:p>
      <w:pPr>
        <w:ind w:left="1000" w:right="660" w:hanging="316"/>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capabilities, including performance and reliability, of our Falcon platform, including our cloud modules, services, and features compared to those of our competitors;</w:t>
      </w:r>
    </w:p>
    <w:p>
      <w:pPr>
        <w:spacing w:after="0" w:line="170" w:lineRule="exact"/>
        <w:rPr>
          <w:rFonts w:ascii="Arial" w:cs="Arial" w:eastAsia="Arial" w:hAnsi="Arial"/>
          <w:sz w:val="18"/>
          <w:szCs w:val="18"/>
          <w:color w:val="auto"/>
        </w:rPr>
      </w:pPr>
    </w:p>
    <w:p>
      <w:pPr>
        <w:ind w:left="1000" w:right="600" w:hanging="316"/>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and the ability of our competitors, to improve existing products, services, and features, or to develop new ones to address evolving customer needs;</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relationships with channel partners;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strength of our sales and marketing efforts; and</w:t>
      </w:r>
    </w:p>
    <w:p>
      <w:pPr>
        <w:spacing w:after="0" w:line="225" w:lineRule="exact"/>
        <w:rPr>
          <w:rFonts w:ascii="Arial" w:cs="Arial" w:eastAsia="Arial" w:hAnsi="Arial"/>
          <w:sz w:val="18"/>
          <w:szCs w:val="18"/>
          <w:color w:val="auto"/>
        </w:rPr>
      </w:pPr>
    </w:p>
    <w:p>
      <w:pPr>
        <w:ind w:left="660" w:right="860" w:firstLine="24"/>
        <w:spacing w:after="0" w:line="501" w:lineRule="auto"/>
        <w:tabs>
          <w:tab w:leader="none" w:pos="10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 Our competitors include the following by general category:</w:t>
      </w:r>
    </w:p>
    <w:p>
      <w:pPr>
        <w:ind w:left="1000" w:right="180" w:hanging="316"/>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legacy antivirus product providers, such as McAfee, Inc. and Symantec Corporation, who offer a broad range of approaches and solutions with traditional antivirus and signature-based protection;</w:t>
      </w:r>
    </w:p>
    <w:p>
      <w:pPr>
        <w:spacing w:after="0" w:line="170" w:lineRule="exact"/>
        <w:rPr>
          <w:rFonts w:ascii="Arial" w:cs="Arial" w:eastAsia="Arial" w:hAnsi="Arial"/>
          <w:sz w:val="18"/>
          <w:szCs w:val="18"/>
          <w:color w:val="auto"/>
        </w:rPr>
      </w:pPr>
    </w:p>
    <w:p>
      <w:pPr>
        <w:ind w:left="1000" w:right="260" w:hanging="316"/>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alternative endpoint security providers, such as Blackberry Cylance and Carbon Black, Inc., who offer point products based on malware-only or application whitelisting techniques; and</w:t>
      </w:r>
    </w:p>
    <w:p>
      <w:pPr>
        <w:spacing w:after="0" w:line="170" w:lineRule="exact"/>
        <w:rPr>
          <w:rFonts w:ascii="Arial" w:cs="Arial" w:eastAsia="Arial" w:hAnsi="Arial"/>
          <w:sz w:val="18"/>
          <w:szCs w:val="18"/>
          <w:color w:val="auto"/>
        </w:rPr>
      </w:pPr>
    </w:p>
    <w:p>
      <w:pPr>
        <w:ind w:left="1000" w:right="340" w:hanging="316"/>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network security vendors, such as Palo Alto Networks, Inc. and FireEye, Inc., who are supplementing their core perimeter-based offerings with endpoint security solutions.</w:t>
      </w:r>
    </w:p>
    <w:p>
      <w:pPr>
        <w:spacing w:after="0" w:line="170" w:lineRule="exact"/>
        <w:rPr>
          <w:sz w:val="20"/>
          <w:szCs w:val="20"/>
          <w:color w:val="auto"/>
        </w:rPr>
      </w:pPr>
    </w:p>
    <w:p>
      <w:pPr>
        <w:ind w:right="360" w:firstLine="648"/>
        <w:spacing w:after="0" w:line="297" w:lineRule="auto"/>
        <w:rPr>
          <w:sz w:val="20"/>
          <w:szCs w:val="20"/>
          <w:color w:val="auto"/>
        </w:rPr>
      </w:pPr>
      <w:r>
        <w:rPr>
          <w:rFonts w:ascii="Arial" w:cs="Arial" w:eastAsia="Arial" w:hAnsi="Arial"/>
          <w:sz w:val="16"/>
          <w:szCs w:val="16"/>
          <w:color w:val="auto"/>
        </w:rPr>
        <w:t>Many of these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or they may have other financial, technical, or other resource advantages. Our</w:t>
      </w:r>
    </w:p>
    <w:p>
      <w:pPr>
        <w:sectPr>
          <w:pgSz w:w="11900" w:h="16838" w:orient="portrait"/>
          <w:cols w:equalWidth="0" w:num="1">
            <w:col w:w="9060"/>
          </w:cols>
          <w:pgMar w:left="1420" w:top="517" w:right="14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larger competitors have substantially broader and more diverse product and services offerings as well as routes to market, which may allow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partnering or acquisitions by our competitors or continuing market consolidation. Some of our current or potential competitors have made or could make acquisitions of businesses or establish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many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different and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pricing pressure may reduce our gross profits and adversely affect our financial results.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Competition continues to increase in the market segments in which we operate, and we expect competition to further increase in the future. Larger competitors with more diverse product and service offerings may reduce the price of products or subscriptions that compete with ours or may bundle them with other products and subscriptions.</w:t>
      </w:r>
    </w:p>
    <w:p>
      <w:pPr>
        <w:spacing w:after="0" w:line="19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17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Moreover, as our cloud native security platform is adopted by an increasing number of enterprises and governments, it is possible that the individuals and organizations behind advanced cyberattacks will begin to focus on finding ways to defeat our security platform. If this happens, our systems and subscription customers could be specifically targeted by attackers and could result in vulnerabilities in our platform or undermine the market acceptance</w:t>
      </w:r>
    </w:p>
    <w:p>
      <w:pPr>
        <w:sectPr>
          <w:pgSz w:w="11900" w:h="16838" w:orient="portrait"/>
          <w:cols w:equalWidth="0" w:num="1">
            <w:col w:w="9040"/>
          </w:cols>
          <w:pgMar w:left="1420" w:top="517" w:right="14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 accessible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8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were implicated in failing to block such attack.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As a cybersecurity provider, we have been, and expect to continue to be, a target of cyberattacks. If our internal networks, systems, or data are or are perceived to have been compromised, our reputation may be damaged and our financial results may be negatively affected.</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a provider of security solutions, our Falcon platform has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We are also susceptible to inadvertent compromises of our systems and data, including those arising from process, coding, or human errors. A successful attack or other incident that compromises our or our customers’ data or results in an interruption of service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It is virtually impossible for us to entirely eliminate the risk of such compromises, interruptions in service, or other security incidents affecting our internal systems or data. Organizations are subject to a wide variety of attacks on their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could damage our relationships with our existing customers and could have a negative effect on our ability to attract and retain new customers. We have expended, and anticipate continuing to expend, significant amounts and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w:t>
      </w:r>
    </w:p>
    <w:p>
      <w:pPr>
        <w:sectPr>
          <w:pgSz w:w="11900" w:h="16838" w:orient="portrait"/>
          <w:cols w:equalWidth="0" w:num="1">
            <w:col w:w="9060"/>
          </w:cols>
          <w:pgMar w:left="1420" w:top="517" w:right="141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or data or data of our customers would be especially detrimental to our reputation, customer confidence in our solution, and our business.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 and reputation.</w:t>
      </w:r>
    </w:p>
    <w:p>
      <w:pPr>
        <w:spacing w:after="0" w:line="189" w:lineRule="exact"/>
        <w:rPr>
          <w:sz w:val="20"/>
          <w:szCs w:val="20"/>
          <w:color w:val="auto"/>
        </w:rPr>
      </w:pPr>
    </w:p>
    <w:p>
      <w:pPr>
        <w:ind w:right="160"/>
        <w:spacing w:after="0" w:line="340" w:lineRule="auto"/>
        <w:rPr>
          <w:sz w:val="20"/>
          <w:szCs w:val="20"/>
          <w:color w:val="auto"/>
        </w:rPr>
      </w:pPr>
      <w:r>
        <w:rPr>
          <w:rFonts w:ascii="Arial" w:cs="Arial" w:eastAsia="Arial" w:hAnsi="Arial"/>
          <w:sz w:val="15"/>
          <w:szCs w:val="15"/>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3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6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following factors, many of which are beyond our control, can affect the delivery, availability, and the performance of our Falcon platform:</w:t>
      </w:r>
    </w:p>
    <w:p>
      <w:pPr>
        <w:spacing w:after="0" w:line="170" w:lineRule="exact"/>
        <w:rPr>
          <w:sz w:val="20"/>
          <w:szCs w:val="20"/>
          <w:color w:val="auto"/>
        </w:rPr>
      </w:pPr>
    </w:p>
    <w:p>
      <w:pPr>
        <w:ind w:left="1000" w:hanging="31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development and maintenance of the infrastructure of the internet;</w:t>
      </w:r>
    </w:p>
    <w:p>
      <w:pPr>
        <w:spacing w:after="0" w:line="225" w:lineRule="exact"/>
        <w:rPr>
          <w:rFonts w:ascii="Arial" w:cs="Arial" w:eastAsia="Arial" w:hAnsi="Arial"/>
          <w:sz w:val="18"/>
          <w:szCs w:val="18"/>
          <w:color w:val="auto"/>
        </w:rPr>
      </w:pPr>
    </w:p>
    <w:p>
      <w:pPr>
        <w:ind w:left="1000" w:right="220" w:hanging="316"/>
        <w:spacing w:after="0" w:line="308"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performance and availability of third-party providers of cloud infrastructure services, such as AWS, with the necessary speed, data capacity and security for providing reliable internet access and services;</w:t>
      </w:r>
    </w:p>
    <w:p>
      <w:pPr>
        <w:spacing w:after="0" w:line="146" w:lineRule="exact"/>
        <w:rPr>
          <w:rFonts w:ascii="Arial" w:cs="Arial" w:eastAsia="Arial" w:hAnsi="Arial"/>
          <w:sz w:val="17"/>
          <w:szCs w:val="17"/>
          <w:color w:val="auto"/>
        </w:rPr>
      </w:pPr>
    </w:p>
    <w:p>
      <w:pPr>
        <w:ind w:left="1000" w:right="200" w:hanging="316"/>
        <w:spacing w:after="0" w:line="286"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65" w:lineRule="exact"/>
        <w:rPr>
          <w:rFonts w:ascii="Arial" w:cs="Arial" w:eastAsia="Arial" w:hAnsi="Arial"/>
          <w:sz w:val="17"/>
          <w:szCs w:val="17"/>
          <w:color w:val="auto"/>
        </w:rPr>
      </w:pPr>
    </w:p>
    <w:p>
      <w:pPr>
        <w:ind w:left="1000" w:right="40" w:hanging="316"/>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physical or electronic break-ins, acts of war or terrorism, human error or interference (including by disgruntled employees, former employees or contractors) and other catastrophic events;</w:t>
      </w:r>
    </w:p>
    <w:p>
      <w:pPr>
        <w:spacing w:after="0" w:line="170" w:lineRule="exact"/>
        <w:rPr>
          <w:rFonts w:ascii="Arial" w:cs="Arial" w:eastAsia="Arial" w:hAnsi="Arial"/>
          <w:sz w:val="18"/>
          <w:szCs w:val="18"/>
          <w:color w:val="auto"/>
        </w:rPr>
      </w:pPr>
    </w:p>
    <w:p>
      <w:pPr>
        <w:ind w:left="1000" w:right="320" w:hanging="316"/>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cyberattacks, including denial of service attacks, targeted at us, our data centers, or the infrastructure of the internet;</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by us to maintain and update our cloud infrastructure to meet our data capacity requirements;</w:t>
      </w:r>
    </w:p>
    <w:p>
      <w:pPr>
        <w:spacing w:after="0" w:line="225" w:lineRule="exact"/>
        <w:rPr>
          <w:rFonts w:ascii="Arial" w:cs="Arial" w:eastAsia="Arial" w:hAnsi="Arial"/>
          <w:sz w:val="18"/>
          <w:szCs w:val="18"/>
          <w:color w:val="auto"/>
        </w:rPr>
      </w:pPr>
    </w:p>
    <w:p>
      <w:pPr>
        <w:ind w:left="1000" w:right="340" w:hanging="316"/>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errors, defects or performance problems in our software, including third-party software incorporated in our software;</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improper deployment or configuration of our solutions;</w:t>
      </w:r>
    </w:p>
    <w:p>
      <w:pPr>
        <w:spacing w:after="0" w:line="225" w:lineRule="exact"/>
        <w:rPr>
          <w:rFonts w:ascii="Arial" w:cs="Arial" w:eastAsia="Arial" w:hAnsi="Arial"/>
          <w:sz w:val="18"/>
          <w:szCs w:val="18"/>
          <w:color w:val="auto"/>
        </w:rPr>
      </w:pPr>
    </w:p>
    <w:p>
      <w:pPr>
        <w:ind w:left="1000" w:right="60" w:hanging="316"/>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of our redundancy systems, in the event of a service disruption at one of our data centers, to provide failover to other data centers in our data center network; and</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of our disaster recovery and business continuity arrangements.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87" w:lineRule="exact"/>
        <w:rPr>
          <w:sz w:val="20"/>
          <w:szCs w:val="20"/>
          <w:color w:val="auto"/>
        </w:rPr>
      </w:pPr>
    </w:p>
    <w:p>
      <w:pPr>
        <w:ind w:left="1000" w:hanging="31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new and retain existing customers;</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1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budgeting cycles, seasonal buying patterns, and purchasing practices of customers;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length of our sales cycles;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customer or channel partner requirements or market needs;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growth rate of the cloud-based SaaS-delivered endpoint security solutions market;</w:t>
      </w:r>
    </w:p>
    <w:p>
      <w:pPr>
        <w:spacing w:after="0" w:line="225" w:lineRule="exact"/>
        <w:rPr>
          <w:rFonts w:ascii="Arial" w:cs="Arial" w:eastAsia="Arial" w:hAnsi="Arial"/>
          <w:sz w:val="18"/>
          <w:szCs w:val="18"/>
          <w:color w:val="auto"/>
        </w:rPr>
      </w:pPr>
    </w:p>
    <w:p>
      <w:pPr>
        <w:ind w:left="1000" w:right="699" w:hanging="316"/>
        <w:spacing w:after="0" w:line="308"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by us or our competitors or any other competitive developments, including consolidation among our customers or competitors;</w:t>
      </w:r>
    </w:p>
    <w:p>
      <w:pPr>
        <w:spacing w:after="0" w:line="146" w:lineRule="exact"/>
        <w:rPr>
          <w:rFonts w:ascii="Arial" w:cs="Arial" w:eastAsia="Arial" w:hAnsi="Arial"/>
          <w:sz w:val="17"/>
          <w:szCs w:val="17"/>
          <w:color w:val="auto"/>
        </w:rPr>
      </w:pPr>
    </w:p>
    <w:p>
      <w:pPr>
        <w:ind w:left="1000" w:right="79" w:hanging="316"/>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of awareness of cybersecurity threats, particularly advanced cyberattacks, and the market adoption of our Falcon platform;</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expand our business domestically and internationally;</w:t>
      </w:r>
    </w:p>
    <w:p>
      <w:pPr>
        <w:spacing w:after="0" w:line="225" w:lineRule="exact"/>
        <w:rPr>
          <w:rFonts w:ascii="Arial" w:cs="Arial" w:eastAsia="Arial" w:hAnsi="Arial"/>
          <w:sz w:val="18"/>
          <w:szCs w:val="18"/>
          <w:color w:val="auto"/>
        </w:rPr>
      </w:pPr>
    </w:p>
    <w:p>
      <w:pPr>
        <w:ind w:left="1000" w:right="359" w:hanging="316"/>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decisions by organizations to purchase security solutions from larger, more established security vendors or from their primary IT equipment vendors;</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disruption in our relationship with channel partners;</w:t>
      </w:r>
    </w:p>
    <w:p>
      <w:pPr>
        <w:spacing w:after="0" w:line="225" w:lineRule="exact"/>
        <w:rPr>
          <w:rFonts w:ascii="Arial" w:cs="Arial" w:eastAsia="Arial" w:hAnsi="Arial"/>
          <w:sz w:val="18"/>
          <w:szCs w:val="18"/>
          <w:color w:val="auto"/>
        </w:rPr>
      </w:pPr>
    </w:p>
    <w:p>
      <w:pPr>
        <w:ind w:left="1000" w:right="319" w:hanging="316"/>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significant security breaches of, technical difficulties with or interruptions to, the use of our Falcon platform;</w:t>
      </w:r>
    </w:p>
    <w:p>
      <w:pPr>
        <w:spacing w:after="0" w:line="236" w:lineRule="exact"/>
        <w:rPr>
          <w:rFonts w:ascii="Arial" w:cs="Arial" w:eastAsia="Arial" w:hAnsi="Arial"/>
          <w:sz w:val="17"/>
          <w:szCs w:val="17"/>
          <w:color w:val="auto"/>
        </w:rPr>
      </w:pPr>
    </w:p>
    <w:p>
      <w:pPr>
        <w:ind w:left="1000" w:hanging="31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extraordinary expenses such as litigation or other dispute-related settlement payments or outcomes;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both domestic and in our foreign markets;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or practices;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amount and timing of operating costs and capital expenditures related to the expansion of our business; and</w:t>
      </w:r>
    </w:p>
    <w:p>
      <w:pPr>
        <w:spacing w:after="0" w:line="248" w:lineRule="exact"/>
        <w:rPr>
          <w:rFonts w:ascii="Arial" w:cs="Arial" w:eastAsia="Arial" w:hAnsi="Arial"/>
          <w:sz w:val="16"/>
          <w:szCs w:val="16"/>
          <w:color w:val="auto"/>
        </w:rPr>
      </w:pPr>
    </w:p>
    <w:p>
      <w:pPr>
        <w:ind w:left="1000" w:hanging="31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w:t>
      </w:r>
    </w:p>
    <w:p>
      <w:pPr>
        <w:spacing w:after="0" w:line="225" w:lineRule="exact"/>
        <w:rPr>
          <w:sz w:val="20"/>
          <w:szCs w:val="20"/>
          <w:color w:val="auto"/>
        </w:rPr>
      </w:pPr>
    </w:p>
    <w:p>
      <w:pPr>
        <w:ind w:right="19" w:firstLine="648"/>
        <w:spacing w:after="0" w:line="290" w:lineRule="auto"/>
        <w:rPr>
          <w:sz w:val="20"/>
          <w:szCs w:val="20"/>
          <w:color w:val="auto"/>
        </w:rPr>
      </w:pPr>
      <w:r>
        <w:rPr>
          <w:rFonts w:ascii="Arial" w:cs="Arial" w:eastAsia="Arial" w:hAnsi="Arial"/>
          <w:sz w:val="16"/>
          <w:szCs w:val="16"/>
          <w:color w:val="auto"/>
        </w:rPr>
        <w:t>In addition, we experience seasonal fluctuations in our financial results as we typically receive a higher percentage of our annual orders from new customers, as well as renewal orders from existing customers, in our fourth fiscal quarter as compared to other quarters due to the annual budget approval process of many of our customers.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sales cycles can be long and unpredictable, and our sales efforts require considerable time and expense.</w:t>
      </w:r>
    </w:p>
    <w:p>
      <w:pPr>
        <w:spacing w:after="0" w:line="23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revenue recognition is difficult to predict because of the length and unpredictability of the sales cycle for our Falcon platform, particularly with respect to large organizations and government entities.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our sales cycle.</w:t>
      </w:r>
    </w:p>
    <w:p>
      <w:pPr>
        <w:spacing w:after="0" w:line="15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rely on our key technical, sales and management personnel to grow our business, and the loss of one or more key employees could harm our business.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future success is substantially dependent on our ability to attract, retain, and motivate the members of our management team and other key employees throughout our organization. In particular, we are highly dependent on the services of George Kurtz, our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If Mr. Kurtz, or one or more of our key employees, or members of our management team resigns or otherwise ceases to provide us with their service, our business could be harmed.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qualified personnel, our business could be harmed.</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There is also significant competition for personnel with the skills and technical knowledge that we require across our technology, cyber, sales, professional services, and administrative support functions. Competition for these personnel in the San Francisco Bay Area, where our headquarters are located, and in other locations where we maintain offices,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7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not they continue to work for us. Any failure to successfully attract, integrate or retain qualified personnel to fulfill our current or future needs could adversely affect our business, results of operations and financial condition.</w:t>
      </w:r>
    </w:p>
    <w:p>
      <w:pPr>
        <w:spacing w:after="0" w:line="14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4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6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customers as well as assist in analyzing and remediating high profile cyberattacks. Our work with such customers and cyberattacks may expose us to negative publicity and media coverage. Negative publicity about us, including about the efficacy and reliability of our Falcon platform, our products offerings, our professional services, and the customers we work with, even if inaccurate, could adversely affect our reputation and brand.</w:t>
      </w:r>
    </w:p>
    <w:p>
      <w:pPr>
        <w:spacing w:after="0" w:line="17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4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addition to our direct sales force, we rely on our channel partners to sell and support our Falcon platform. A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83"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0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successful, or that we will be able to maintain or grow our revenue from the government sector. Although we anticipate that they may increase in the future, sales to U.S. federal, state, and local governmental agencies have not accounted for, and may never account for, a significant portion of our revenue. U.S. federal, state and local government sales are subject to a number of challenges and risks that may adversely impact our business. Sales to such government entities include the following risks:</w:t>
      </w:r>
    </w:p>
    <w:p>
      <w:pPr>
        <w:spacing w:after="0" w:line="154" w:lineRule="exact"/>
        <w:rPr>
          <w:sz w:val="20"/>
          <w:szCs w:val="20"/>
          <w:color w:val="auto"/>
        </w:rPr>
      </w:pPr>
    </w:p>
    <w:p>
      <w:pPr>
        <w:ind w:left="1000" w:right="300" w:hanging="316"/>
        <w:spacing w:after="0" w:line="342"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selling to governmental agencies can be highly competitive, expensive and time consuming, often requiring significant upfront time and expense without any assurance that such efforts will generate a sale;</w:t>
      </w:r>
    </w:p>
    <w:p>
      <w:pPr>
        <w:spacing w:after="0" w:line="123" w:lineRule="exact"/>
        <w:rPr>
          <w:rFonts w:ascii="Arial" w:cs="Arial" w:eastAsia="Arial" w:hAnsi="Arial"/>
          <w:sz w:val="16"/>
          <w:szCs w:val="16"/>
          <w:color w:val="auto"/>
        </w:rPr>
      </w:pPr>
    </w:p>
    <w:p>
      <w:pPr>
        <w:ind w:left="1000" w:right="140" w:hanging="316"/>
        <w:spacing w:after="0" w:line="25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 certification requirements applicable to our products may change and, in doing so, restrict our ability to sell into the U.S. federal government sector until we have attained the revised certification. For example, although we are currently certified under the Federal Risk and Authorization Management Program, or FedRAMP, such certification is costly to maintain and if we lost our certification in the future it would restrict our ability to sell to government customers;</w:t>
      </w:r>
    </w:p>
    <w:p>
      <w:pPr>
        <w:spacing w:after="0" w:line="188" w:lineRule="exact"/>
        <w:rPr>
          <w:rFonts w:ascii="Arial" w:cs="Arial" w:eastAsia="Arial" w:hAnsi="Arial"/>
          <w:sz w:val="18"/>
          <w:szCs w:val="18"/>
          <w:color w:val="auto"/>
        </w:rPr>
      </w:pPr>
    </w:p>
    <w:p>
      <w:pPr>
        <w:ind w:left="1000" w:right="80" w:hanging="316"/>
        <w:spacing w:after="0" w:line="264"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 demand and payment for our Falcon platform may be impacted by public sector budgetary cycles and funding authorizations, with funding reductions or delays adversely affecting public sector demand for our Falcon platform;</w:t>
      </w:r>
    </w:p>
    <w:p>
      <w:pPr>
        <w:spacing w:after="0" w:line="181" w:lineRule="exact"/>
        <w:rPr>
          <w:rFonts w:ascii="Arial" w:cs="Arial" w:eastAsia="Arial" w:hAnsi="Arial"/>
          <w:sz w:val="18"/>
          <w:szCs w:val="18"/>
          <w:color w:val="auto"/>
        </w:rPr>
      </w:pPr>
    </w:p>
    <w:p>
      <w:pPr>
        <w:ind w:left="1000" w:hanging="316"/>
        <w:spacing w:after="0" w:line="259"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186" w:lineRule="exact"/>
        <w:rPr>
          <w:rFonts w:ascii="Arial" w:cs="Arial" w:eastAsia="Arial" w:hAnsi="Arial"/>
          <w:sz w:val="18"/>
          <w:szCs w:val="18"/>
          <w:color w:val="auto"/>
        </w:rPr>
      </w:pPr>
    </w:p>
    <w:p>
      <w:pPr>
        <w:ind w:left="1000" w:right="100" w:hanging="316"/>
        <w:spacing w:after="0" w:line="312"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147" w:lineRule="exact"/>
        <w:rPr>
          <w:sz w:val="20"/>
          <w:szCs w:val="20"/>
          <w:color w:val="auto"/>
        </w:rPr>
      </w:pPr>
    </w:p>
    <w:p>
      <w:pPr>
        <w:jc w:val="both"/>
        <w:ind w:right="360" w:firstLine="648"/>
        <w:spacing w:after="0" w:line="342" w:lineRule="auto"/>
        <w:rPr>
          <w:sz w:val="20"/>
          <w:szCs w:val="20"/>
          <w:color w:val="auto"/>
        </w:rPr>
      </w:pPr>
      <w:r>
        <w:rPr>
          <w:rFonts w:ascii="Arial" w:cs="Arial" w:eastAsia="Arial" w:hAnsi="Arial"/>
          <w:sz w:val="16"/>
          <w:szCs w:val="16"/>
          <w:color w:val="auto"/>
        </w:rPr>
        <w:t>The occurrence of any of the foregoing could cause governments and governmental agencies to delay or refrain from purchasing our solutions in the future or otherwise have an adverse effect on our business and results of operations.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timely and cost-effectively scale and adapt our existing technology to meet our customers’ performance and other requirements.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72"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success of our business depends in part on our ability to protect and enforce our intellectual property rights.</w:t>
      </w:r>
    </w:p>
    <w:p>
      <w:pPr>
        <w:spacing w:after="0" w:line="24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7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may not be effective in policing unauthorized use of our intellectual property, and even if we do detect violations, litigation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80" w:lineRule="exact"/>
        <w:rPr>
          <w:sz w:val="20"/>
          <w:szCs w:val="20"/>
          <w:color w:val="auto"/>
        </w:rPr>
      </w:pPr>
    </w:p>
    <w:p>
      <w:pPr>
        <w:ind w:right="700"/>
        <w:spacing w:after="0" w:line="381" w:lineRule="auto"/>
        <w:rPr>
          <w:sz w:val="20"/>
          <w:szCs w:val="20"/>
          <w:color w:val="auto"/>
        </w:rPr>
      </w:pPr>
      <w:r>
        <w:rPr>
          <w:rFonts w:ascii="Arial" w:cs="Arial" w:eastAsia="Arial" w:hAnsi="Arial"/>
          <w:sz w:val="15"/>
          <w:szCs w:val="15"/>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0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w:t>
      </w:r>
    </w:p>
    <w:p>
      <w:pPr>
        <w:sectPr>
          <w:pgSz w:w="11900" w:h="16838" w:orient="portrait"/>
          <w:cols w:equalWidth="0" w:num="1">
            <w:col w:w="9060"/>
          </w:cols>
          <w:pgMar w:left="1420" w:top="517" w:right="141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assert claims of infringement of intellectual property rights against us. For example, we are currently involved in proceedings before the Trademark Trial and Appeal Board at the U.S. Patent and Trademark Office regarding our U.S. trademark registrations for CrowdStrike Falcon and our U.S. application to register our Falcon OverWatch trademark. Fair Isaac Corporation, or FICO, petitioned to cancel our trademark registrations and opposed our application. If the appeal board were to find against us, it would cancel our trademark registrations for CrowdStrike Falcon and reject our application to register Falcon OverWatch. If FICO were to file an infringement action in court and if we do not prevail in that action, we could ultimately be required to change the names of our solutions, which would force us to incur significant marketing expense in establishing an alternative brand to our existing Falcon brand. We cannot assure you that we will be successful in these rebranding efforts.</w:t>
      </w:r>
    </w:p>
    <w:p>
      <w:pPr>
        <w:spacing w:after="0" w:line="197"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6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w:t>
      </w:r>
    </w:p>
    <w:p>
      <w:pPr>
        <w:spacing w:after="0" w:line="1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during which we could be unable to continue to offer our affected products, subscriptions or services, effort, and expense and may ultimately not be successful. Furthermore, a successful claimant could secure a judgment or we may agree to a settlement that prevents us from distributing certain products, providing certain subscriptions or performing certain services or that requires us to pay substantial damages, royalties or other fees. Any of these events could harm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license technology from third parties, and our inability to maintain those licenses could harm our business.</w:t>
      </w:r>
    </w:p>
    <w:p>
      <w:pPr>
        <w:spacing w:after="0" w:line="23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that technology would be limited, and our business could be harmed. Additionally, if we are unable to license technology from third parties, we may be forced</w:t>
      </w:r>
    </w:p>
    <w:p>
      <w:pPr>
        <w:sectPr>
          <w:pgSz w:w="11900" w:h="16838" w:orient="portrait"/>
          <w:cols w:equalWidth="0" w:num="1">
            <w:col w:w="9060"/>
          </w:cols>
          <w:pgMar w:left="1420" w:top="517" w:right="14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If we are not able to satisfy data protection, security, privacy, and other government- and industry-specific requirements or regulations, our business, results of operations, and financial condition could be harmed.</w:t>
      </w:r>
    </w:p>
    <w:p>
      <w:pPr>
        <w:spacing w:after="0" w:line="14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Personal privacy, data protection, information security, telecommunications regulations, and other laws applicable to specific categories of information are significant issues in the United States, Europe and in other jurisdictions where we offer our solutions. The data that we collect, analyze, and store is subject to a variety of laws and regulations, including regulation by various government agencies. The U.S. federal government, and various state and foreign governments, have adopted or proposed limitations on the collection, distribution, use, and storage of certain categories of information, such as personally identifiable information of individuals, health information, and other sector-specific types of data, including the Federal Trade Commission, the Electronic Communication Privacy Act, Computer Fraud and Abuse Act, HIPAA, and the Gramm Leach Bliley Act. Laws and regulations outside the United States, and particularly in Europe, often are more restrictive than those in the United States. Such laws and regulations may require companies to implement privacy and security policies, permit customers to access, correct, and delete personal information stored or maintained by such companies, inform individuals of security breaches that affect their personal information, and, in some cases, obtain individuals’ consent to use personally identifiable information for certain purposes. In addition, some foreign governments require that any information of certain categories, such as financial or personally identifiable information collected in a country not be disseminated outside of that country. We also may find it necessary or desirable to join industry or other self-regulatory bodies or other information security or data protection-related organizations that require compliance with their rules pertaining to information security and data protection. We also may be bound by additional, more stringent contractual obligations relating to our collection, use and disclosure of personal, financial, and other data.</w:t>
      </w:r>
    </w:p>
    <w:p>
      <w:pPr>
        <w:spacing w:after="0" w:line="175"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information security, specific categories of data, electronic, and telecommunications services in the United States, the European Union and other jurisdictions in which we operate or may operate, and we cannot yet determine the impact such future laws, regulations, standards, or perception of their requirements may have on our business. For example, the European Commission recently adopted the European General Data Protection Regulation, or GDPR, that became fully effective in May 2018, and applies to the processing (which includes the collection and use) of certain personal data. As compared to previously-effective data protection law in the European Union, the GDPR imposes additional obligations and risk upon our business and increases substantially the penalties to which we could be subject in the event of any non-compliance. Administrative fines under the GDPR can amount up to 20 million Euros or four percent of our worldwide annual revenue for the prior fiscal year, whichever is higher. We have incurred substantial expense in complying with the obligations imposed by the GDPR and we may be required to do so in the future, potentially making significant changes in our business operations, which may adversely affect our revenue and our business overall. Additionally, because there have been very few GDPR actions enforced against companies, we are unable to predict how they will be applied to us or our customers. Despite our efforts to attempt to comply with the GDPR, a regulator may determine that we have not done so and subject us to fines and public censure, which could harm our company. Among other requirements, the GDPR regulates transfers of personal data subject to the GDPR to third countries that have not been found to provide adequate protection to such personal data, including the United States. We have undertaken certain efforts to conform transfers of personal data from the European Economic Area, or EEA, to the United States and other jurisdictions based on our understanding of current regulatory obligations and the guidance of data protection authorities. Despite this, we may be unsuccessful in establishing or maintaining conforming means of transferring such data from the EEA, in particular as a result of continued legal and legislative activity within the European Union that has challenged or called into question the legal basis for existing means of data transfers to countries that have not been found to provide adequate protection for personal data.</w:t>
      </w:r>
    </w:p>
    <w:p>
      <w:pPr>
        <w:spacing w:after="0" w:line="396"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implementation of the GDPR has led other jurisdictions to either amend, or propose legislation to amend their existing data privacy and cybersecurity laws to resemble all or a portion of the requirements of the GDPR (e.g., for purposes of having an adequate level of data protection to facilitate data transfers from the EU) or enact new laws to do</w:t>
      </w:r>
    </w:p>
    <w:p>
      <w:pPr>
        <w:sectPr>
          <w:pgSz w:w="11900" w:h="16838" w:orient="portrait"/>
          <w:cols w:equalWidth="0" w:num="1">
            <w:col w:w="9060"/>
          </w:cols>
          <w:pgMar w:left="1420" w:top="517"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same. Accordingly, the challenges we face in the EU will likely also apply to other jurisdictions outside the EU that adopt laws similar in construction to the GDPR or regulatory frameworks of equivalent complexity. For example, on June 28, 2018, California adopted the California Consumer Privacy Act of 2018, or CCPA. The CCPA has been characterized as the first “GDPR-like” privacy statute to be enacted in the United States because it contains a number of provisions similar to certain provisions of the GDPR. Because of this, we may need to engage in data mapping to identify any consumer information that we may be collecting from our customers through our Falcon platform. In addition, we will need to ensure that our policies permit our customers to recognize the rights granted to consumers by the CCPA. All of this will need to be done before the effective date of the CCPA on January 1, 2020.</w:t>
      </w:r>
    </w:p>
    <w:p>
      <w:pPr>
        <w:spacing w:after="0" w:line="17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Evolving and changing definitions of personal data and personal information within the European Union, the United States, and elsewhere, especially relating to classification of IP addresses, machine identification, location data and other information, may limit or inhibit our ability to operate or expand our business, including limiting technology alliance partnerships that may involve the sharing of data. Even the perception of privacy concerns, whether or not valid, may harm our reputation, inhibit adoption of our products by current and future customers, or adversely impact our ability to attract and retain workforce talent. In addition, changes in laws or regulations that adversely affect the use of the internet, including laws impacting net neutrality, could impact our business. We expect that existing laws, regulations and standards may be interpreted in new manners in the future. Future laws, regulations, standards and other obligations, and changes in the interpretation of existing laws, regulations, standards and other obligations could require us to modify our solutions, restrict our business operations, increase our costs and impair our ability to maintain and grow our customer base and increase our revenue.</w:t>
      </w:r>
    </w:p>
    <w:p>
      <w:pPr>
        <w:spacing w:after="0" w:line="18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Beyond broader data processing regulations affecting our business, the cybersecurity industry may face direct regulation. In 2018, Singapore introduced what is believed to be the world’s first cybersecurity licensing requirement, mandating that providers of specific types of incident response services receive a government license before providing such services. License requirements such as these may impose upon CrowdStrike significant organizational costs and high barriers of entry into new markets.</w:t>
      </w:r>
    </w:p>
    <w:p>
      <w:pPr>
        <w:spacing w:after="0" w:line="188"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Although we work to comply with applicable laws and regulations, certain applicable industry standards with which we represent compliance, and our contractual obligations and other legal obligations, those laws, regulations, standards and obligations are evolving and may be modified, interpreted and applied in an inconsistent manner from one jurisdiction to another, and may conflict with one another. In addition, they may conflict with other requirements or legal obligations that apply to our business or the security features and services that our customers expect from our solutions. As such, we cannot assure ongoing compliance with all such laws, regulations, standards and obligations. Any failure or perceived failure by us or our employees, representatives, contractors, channel partners, agents, intermediaries, or other third parties to comply with applicable laws and regulations, or applicable industry standards that we represent compliance with or that may be asserted to apply to us, or to comply with employee, customer, partner, and other data privacy and data security requirements pursuant to contract and our stated notices or policies, could result in enforcement actions against us, including fines, imprisonment of company officials and public censure, claims for damages by customers and other affected individuals, damage to our reputation and loss of goodwill (both in relation to existing customers and prospective customers), any of which could have a material adverse effect on our operations, financial performance and business. Any inability of us or our employees, representatives, contractors, channel partners, agents, intermediaries, or other third parties to adequately address privacy and security concerns, even if unfounded, or comply with applicable laws, regulations, standards and obligations, could result in additional cost and liability to us, damage our reputation, inhibit sales, and adversely affect our business and results of operations.</w:t>
      </w:r>
    </w:p>
    <w:p>
      <w:pPr>
        <w:spacing w:after="0" w:line="193" w:lineRule="exact"/>
        <w:rPr>
          <w:sz w:val="20"/>
          <w:szCs w:val="20"/>
          <w:color w:val="auto"/>
        </w:rPr>
      </w:pPr>
    </w:p>
    <w:p>
      <w:pPr>
        <w:jc w:val="both"/>
        <w:ind w:right="180"/>
        <w:spacing w:after="0" w:line="381" w:lineRule="auto"/>
        <w:rPr>
          <w:sz w:val="20"/>
          <w:szCs w:val="20"/>
          <w:color w:val="auto"/>
        </w:rPr>
      </w:pPr>
      <w:r>
        <w:rPr>
          <w:rFonts w:ascii="Arial" w:cs="Arial" w:eastAsia="Arial" w:hAnsi="Arial"/>
          <w:sz w:val="15"/>
          <w:szCs w:val="15"/>
          <w:b w:val="1"/>
          <w:bCs w:val="1"/>
          <w:i w:val="1"/>
          <w:iCs w:val="1"/>
          <w:color w:val="auto"/>
        </w:rPr>
        <w:t>Failure to comply with laws and regulations applicable to our business could subject us to fines and penalties and could also cause us to lose customers in the public sector or negatively impact our ability to contract with the public sector.</w:t>
      </w:r>
    </w:p>
    <w:p>
      <w:pPr>
        <w:spacing w:after="0" w:line="101" w:lineRule="exact"/>
        <w:rPr>
          <w:sz w:val="20"/>
          <w:szCs w:val="20"/>
          <w:color w:val="auto"/>
        </w:rPr>
      </w:pPr>
    </w:p>
    <w:p>
      <w:pPr>
        <w:jc w:val="both"/>
        <w:ind w:right="180" w:firstLine="648"/>
        <w:spacing w:after="0" w:line="276"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privacy and data protection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Noncompliance by us, our</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employees, representatives, contractors, channel partners, agents, intermediaries, or other third parties with applicable regulations or requirements could subject us to:</w:t>
      </w:r>
    </w:p>
    <w:p>
      <w:pPr>
        <w:spacing w:after="0" w:line="170" w:lineRule="exact"/>
        <w:rPr>
          <w:sz w:val="20"/>
          <w:szCs w:val="20"/>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investigations, enforcement actions and sanctions;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mandatory changes to our Falcon platform;</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disgorgement of profits, fines and damages;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civil and criminal penalties or injunctions;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claims for damages by our customers or channel partners;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of contracts;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intellectual property rights; and</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temporary or permanent debarment from sales to government organizations.</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8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result in reduced sales of our products, substantial product inventory write-offs, reputational damage, penalties, and other sanctions, any of which could harm our business, reputation, and results of operations.</w:t>
      </w:r>
    </w:p>
    <w:p>
      <w:pPr>
        <w:spacing w:after="0" w:line="17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 We also collect information about cyber threats from open sources, intermediaries, and third parties that we make available to our customers in our threat industry publications. While we</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have implemented certain procedures to facilitate compliance with applicable laws and regulations in connection with the collection of this information, we cannot assure you that these procedures have been effective or that we, or third parties, many of whom we do not control, have complied with all laws or regulations in this regard. Failure by our employees, representatives, contractors, channel partners, agents, intermediaries, or other third parties to comply with applicable laws and regulations in the collection of this information also could have negative consequences to us, including reputational harm, government investigations and penalties.</w:t>
      </w:r>
    </w:p>
    <w:p>
      <w:pPr>
        <w:spacing w:after="0" w:line="17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Although we take precautions to prevent our information collection practices and services from being provided in violation of such laws, our information collection practices and services may have been in the past, and could in the future be, provided in violation of such laws. If we or our employees, representatives, contractors, channel partners, agents, intermediaries, or other third parties fail to comply with these laws and regulations, we could be subject to civil or criminal penalties, including the possible loss of export privileges and fines. We may also be adversely affected through reputational harm, loss of access to certain markets, or otherwise. Obtaining the necessary authorizations, including any required license, for a particular transaction may be time-consuming, is not guaranteed and may result in the delay or loss of sales opportunities.</w:t>
      </w:r>
    </w:p>
    <w:p>
      <w:pPr>
        <w:spacing w:after="0" w:line="19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results of operations, and financial condition.</w:t>
      </w:r>
    </w:p>
    <w:p>
      <w:pPr>
        <w:spacing w:after="0" w:line="18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are also subject to the U.S. Foreign Corrupt Practices Act of 1977, or FCPA, the UK Bribery Act 2010, or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explicitly authorize such activities. While we have policies and procedures to address compliance with FCPA, Bribery Act and other anti-corruption, sanctions, anti-bribery, anti-money laundering and similar laws, we cannot assure you that they will be effective, or that all of our employees, representatives, contractors, channel partners, agents, intermediaries, or other third parties have taken, or will not take actions, in violation of 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Some of our technology incorporates “open source” software, which could negatively affect our ability to sell our Falcon platform and subject us to possible litigation.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8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6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80" w:lineRule="exact"/>
        <w:rPr>
          <w:sz w:val="20"/>
          <w:szCs w:val="20"/>
          <w:color w:val="auto"/>
        </w:rPr>
      </w:pPr>
    </w:p>
    <w:p>
      <w:pPr>
        <w:ind w:left="1000" w:hanging="316"/>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resulting in time-consuming and costly litigation;</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diverting management’s time and attention from developing our business;</w:t>
      </w:r>
    </w:p>
    <w:p>
      <w:pPr>
        <w:spacing w:after="0" w:line="225" w:lineRule="exact"/>
        <w:rPr>
          <w:rFonts w:ascii="Arial" w:cs="Arial" w:eastAsia="Arial" w:hAnsi="Arial"/>
          <w:sz w:val="18"/>
          <w:szCs w:val="18"/>
          <w:color w:val="auto"/>
        </w:rPr>
      </w:pPr>
    </w:p>
    <w:p>
      <w:pPr>
        <w:ind w:left="1000" w:right="600" w:hanging="316"/>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us to pay monetary damages or enter into royalty and licensing agreements that we would not normally find acceptable;</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causing delays in the deployment of our Falcon platform or service offerings to our customers;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us to stop offering certain services or features of our Falcon platform;</w:t>
      </w:r>
    </w:p>
    <w:p>
      <w:pPr>
        <w:spacing w:after="0" w:line="225" w:lineRule="exact"/>
        <w:rPr>
          <w:rFonts w:ascii="Arial" w:cs="Arial" w:eastAsia="Arial" w:hAnsi="Arial"/>
          <w:sz w:val="18"/>
          <w:szCs w:val="18"/>
          <w:color w:val="auto"/>
        </w:rPr>
      </w:pPr>
    </w:p>
    <w:p>
      <w:pPr>
        <w:ind w:left="1000" w:right="300" w:hanging="316"/>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us to redesign certain components of our Falcon platform using alternative non-infringing or non-open source technology, which could require significant effort and expense;</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requiring us to disclose our software source code and the detailed program commands for our software; and</w:t>
      </w:r>
    </w:p>
    <w:p>
      <w:pPr>
        <w:spacing w:after="0" w:line="248" w:lineRule="exact"/>
        <w:rPr>
          <w:rFonts w:ascii="Arial" w:cs="Arial" w:eastAsia="Arial" w:hAnsi="Arial"/>
          <w:sz w:val="16"/>
          <w:szCs w:val="16"/>
          <w:color w:val="auto"/>
        </w:rPr>
      </w:pPr>
    </w:p>
    <w:p>
      <w:pPr>
        <w:ind w:left="1000" w:hanging="316"/>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us to satisfy indemnification obligations to our customers.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720"/>
        <w:spacing w:after="0" w:line="381" w:lineRule="auto"/>
        <w:rPr>
          <w:sz w:val="20"/>
          <w:szCs w:val="20"/>
          <w:color w:val="auto"/>
        </w:rPr>
      </w:pPr>
      <w:r>
        <w:rPr>
          <w:rFonts w:ascii="Arial" w:cs="Arial" w:eastAsia="Arial" w:hAnsi="Arial"/>
          <w:sz w:val="15"/>
          <w:szCs w:val="15"/>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0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 for such commitments. Our revenue, other results of operations and financial condition could be harmed if we suffer performance issues or downtime that exceeds the service level commitments under our agreements with our customers.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litigation that may adversely affect us.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are regularly subject to claims, suits, and government investigations and other proceedings including patent, product liability, class action, whistleblower, personal injury, property damage, labor and employment, commercial disputes, compliance with laws and regulatory requirements and other matters, and we may become subject to additional types of claims, suits, investigations and proceedings as our business develops. For example, we, along with certain other cybersecurity providers, currently are subject to a civil investigation regarding participation in cybersecurity testing standard-setting and allegations that this standard-setting facilitated a concerted refusal to deal with cybersecurity testing organizations that did not adhere to those standards. While we believe that we have acted in compliance in all material respects with applicable antitrust laws, such investigation, as well as any other claims, suits, and government investigations and proceedings that may be asserted against us in the future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customer satisfaction depends in part on the quality of our customer support.</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our ability to sell additional modules as part of our Falcon platform to existing customers would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78"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01"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We expect that our existing cash and cash equivalents and marketable securities will be sufficient to meet our anticipated cash needs for working capital and capital expenditures for at least the next 12 months. Retaining or</w:t>
      </w:r>
    </w:p>
    <w:p>
      <w:pPr>
        <w:sectPr>
          <w:pgSz w:w="11900" w:h="16838" w:orient="portrait"/>
          <w:cols w:equalWidth="0" w:num="1">
            <w:col w:w="9040"/>
          </w:cols>
          <w:pgMar w:left="1420" w:top="517" w:right="143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debt financing, the holders of debt would have priority over the holders of our Class A common stock, and we may be required to accept terms that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69"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3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6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16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course of performing certain solution-related services and our professional services, our teams may have significant access to our customers’ networks. We cannot be sure that a disgruntled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customers a limited warranty, subject to certain conditions, with our Falcon Complete cloud module and our potential liability under this warranty is provided by our insurance carrier to us.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6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credit agreement contains restrictive covenants that limit our ability to borrow more money, to make distributions to our stockholders, and to engage in certain other activities, as well as financial covenants that may limit our operating flexibility.</w:t>
      </w:r>
    </w:p>
    <w:p>
      <w:pPr>
        <w:spacing w:after="0" w:line="18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existing credit agreement contains a number of covenants that limit our ability and our subsidiaries’ ability to, among other things, transfer or dispose of assets, pay dividends or make distributions, incur additional indebtedness, create liens, make investments, loans and acquisitions, engage in transactions with affiliates, merge or consolidate with other companies, or sell substantially all of our assets. Our credit agreement is guaranteed by us and certain of our subsidiaries and secured by substantially all of the assets of the borrower subsidiary, us, and the guarantor subsidiaries. The terms of our credit agreement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 Additionally, our credit agreement includes financial covenants that require us to maintain minimum growth rates of our recurring subscription revenue, and to maintain minimum liquidity at specified levels. We may not be able to generate sufficient cash flow or sales to meet the financial covenants or pay the principal or interest under the credit facility.</w:t>
      </w:r>
    </w:p>
    <w:p>
      <w:pPr>
        <w:spacing w:after="0" w:line="18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If we are unable to comply with our payment requirements, our lender may accelerate our obligations under our credit agreement and foreclose upon the collateral, or we may be forced to sell assets, restructure our indebtedness or seek additional equity capital, which would dilute our stockholders’ interests. If we fail to comply with any covenant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spacing w:after="0" w:line="1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if we fail to maintain an effective system of internal controls, our ability to produce timely and accurate financial statements or comply with applicable regulations could be impaired.</w:t>
      </w:r>
    </w:p>
    <w:p>
      <w:pPr>
        <w:spacing w:after="0" w:line="18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As a new public company, we recently became subject to the reporting requirements of the Securities Exchange Act of 1934, as amended, or the Exchange Act, the Sarbanes-Oxley Act of 2002, or the Sarbanes-Oxley Act, and the rules and regulations of Nasdaq. We expect that the requirements of these rules and regulations will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6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w:t>
      </w:r>
    </w:p>
    <w:p>
      <w:pPr>
        <w:sectPr>
          <w:pgSz w:w="11900" w:h="16838" w:orient="portrait"/>
          <w:cols w:equalWidth="0" w:num="1">
            <w:col w:w="9060"/>
          </w:cols>
          <w:pgMar w:left="1420" w:top="517"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are required to file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As a result of becoming a public company, our management if required, pursuant to Section 404 of the Sarbanes-Oxley Act, to certify financial and other information in our quarterly and annual reports and provide an annual management report on the effectiveness of our internal control over financial reporting commencing with our second Annual Report on Form 10-K.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and results of operations.</w:t>
      </w:r>
    </w:p>
    <w:p>
      <w:pPr>
        <w:spacing w:after="0" w:line="18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internal control over financial reporting could have a material and adverse effect on our business and results of operations and could cause a decline in the price of our stock.</w:t>
      </w:r>
    </w:p>
    <w:p>
      <w:pPr>
        <w:spacing w:after="0" w:line="19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part of our business strategy, we have in the past and are likely to continue to make investments in and/or acquire complementary companies, services or technologies, such as our acquisition of Payload Security, UG.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risks we may face in connection with acquisitions include:</w:t>
      </w:r>
    </w:p>
    <w:p>
      <w:pPr>
        <w:spacing w:after="0" w:line="225" w:lineRule="exact"/>
        <w:rPr>
          <w:sz w:val="20"/>
          <w:szCs w:val="20"/>
          <w:color w:val="auto"/>
        </w:rPr>
      </w:pPr>
    </w:p>
    <w:p>
      <w:pPr>
        <w:ind w:left="1000" w:right="400" w:hanging="316"/>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coordination of research and development and sales and marketing functions;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integration of product and service offerings;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225" w:lineRule="exact"/>
        <w:rPr>
          <w:rFonts w:ascii="Arial" w:cs="Arial" w:eastAsia="Arial" w:hAnsi="Arial"/>
          <w:sz w:val="18"/>
          <w:szCs w:val="18"/>
          <w:color w:val="auto"/>
        </w:rPr>
      </w:pPr>
    </w:p>
    <w:p>
      <w:pPr>
        <w:ind w:left="1000" w:right="520" w:hanging="316"/>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relationships with strategic partners as a result of product acquisitions or strategic positioning resulting from the acquisition;</w:t>
      </w:r>
    </w:p>
    <w:p>
      <w:pPr>
        <w:sectPr>
          <w:pgSz w:w="11900" w:h="16838" w:orient="portrait"/>
          <w:cols w:equalWidth="0" w:num="1">
            <w:col w:w="9060"/>
          </w:cols>
          <w:pgMar w:left="1420" w:top="517" w:right="141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16"/>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cultural challenges associated with integrating employees from the acquired company into our organization;</w:t>
      </w:r>
    </w:p>
    <w:p>
      <w:pPr>
        <w:spacing w:after="0" w:line="248" w:lineRule="exact"/>
        <w:rPr>
          <w:rFonts w:ascii="Arial" w:cs="Arial" w:eastAsia="Arial" w:hAnsi="Arial"/>
          <w:sz w:val="16"/>
          <w:szCs w:val="16"/>
          <w:color w:val="auto"/>
        </w:rPr>
      </w:pPr>
    </w:p>
    <w:p>
      <w:pPr>
        <w:ind w:left="1000" w:right="539" w:hanging="316"/>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70" w:lineRule="exact"/>
        <w:rPr>
          <w:rFonts w:ascii="Arial" w:cs="Arial" w:eastAsia="Arial" w:hAnsi="Arial"/>
          <w:sz w:val="18"/>
          <w:szCs w:val="18"/>
          <w:color w:val="auto"/>
        </w:rPr>
      </w:pPr>
    </w:p>
    <w:p>
      <w:pPr>
        <w:ind w:left="1000" w:right="179" w:hanging="316"/>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170" w:lineRule="exact"/>
        <w:rPr>
          <w:rFonts w:ascii="Arial" w:cs="Arial" w:eastAsia="Arial" w:hAnsi="Arial"/>
          <w:sz w:val="18"/>
          <w:szCs w:val="18"/>
          <w:color w:val="auto"/>
        </w:rPr>
      </w:pPr>
    </w:p>
    <w:p>
      <w:pPr>
        <w:ind w:left="1000" w:right="79" w:hanging="316"/>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reporting, revenue recognition or other financial or control deficiencies of the acquired company that we don’t adequately address and that cause our reported results to be incorrect;</w:t>
      </w:r>
    </w:p>
    <w:p>
      <w:pPr>
        <w:spacing w:after="0" w:line="170" w:lineRule="exact"/>
        <w:rPr>
          <w:rFonts w:ascii="Arial" w:cs="Arial" w:eastAsia="Arial" w:hAnsi="Arial"/>
          <w:sz w:val="18"/>
          <w:szCs w:val="18"/>
          <w:color w:val="auto"/>
        </w:rPr>
      </w:pPr>
    </w:p>
    <w:p>
      <w:pPr>
        <w:ind w:left="1000" w:right="339" w:hanging="316"/>
        <w:spacing w:after="0" w:line="264"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violations of laws, commercial disputes, tax liabilities and other known and unknown liabilities;</w:t>
      </w:r>
    </w:p>
    <w:p>
      <w:pPr>
        <w:spacing w:after="0" w:line="181" w:lineRule="exact"/>
        <w:rPr>
          <w:rFonts w:ascii="Arial" w:cs="Arial" w:eastAsia="Arial" w:hAnsi="Arial"/>
          <w:sz w:val="18"/>
          <w:szCs w:val="18"/>
          <w:color w:val="auto"/>
        </w:rPr>
      </w:pPr>
    </w:p>
    <w:p>
      <w:pPr>
        <w:ind w:left="1000" w:hanging="316"/>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225" w:lineRule="exact"/>
        <w:rPr>
          <w:rFonts w:ascii="Arial" w:cs="Arial" w:eastAsia="Arial" w:hAnsi="Arial"/>
          <w:sz w:val="18"/>
          <w:szCs w:val="18"/>
          <w:color w:val="auto"/>
        </w:rPr>
      </w:pPr>
    </w:p>
    <w:p>
      <w:pPr>
        <w:ind w:left="1000" w:right="759" w:hanging="316"/>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70" w:lineRule="exact"/>
        <w:rPr>
          <w:sz w:val="20"/>
          <w:szCs w:val="20"/>
          <w:color w:val="auto"/>
        </w:rPr>
      </w:pPr>
    </w:p>
    <w:p>
      <w:pPr>
        <w:ind w:right="159" w:firstLine="648"/>
        <w:spacing w:after="0" w:line="264" w:lineRule="auto"/>
        <w:rPr>
          <w:sz w:val="20"/>
          <w:szCs w:val="20"/>
          <w:color w:val="auto"/>
        </w:rPr>
      </w:pPr>
      <w:r>
        <w:rPr>
          <w:rFonts w:ascii="Arial" w:cs="Arial" w:eastAsia="Arial" w:hAnsi="Arial"/>
          <w:sz w:val="18"/>
          <w:szCs w:val="18"/>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81" w:lineRule="exact"/>
        <w:rPr>
          <w:sz w:val="20"/>
          <w:szCs w:val="20"/>
          <w:color w:val="auto"/>
        </w:rPr>
      </w:pPr>
    </w:p>
    <w:p>
      <w:pPr>
        <w:ind w:right="219"/>
        <w:spacing w:after="0" w:line="308" w:lineRule="auto"/>
        <w:rPr>
          <w:sz w:val="20"/>
          <w:szCs w:val="20"/>
          <w:color w:val="auto"/>
        </w:rPr>
      </w:pPr>
      <w:r>
        <w:rPr>
          <w:rFonts w:ascii="Arial" w:cs="Arial" w:eastAsia="Arial" w:hAnsi="Arial"/>
          <w:sz w:val="17"/>
          <w:szCs w:val="17"/>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47" w:lineRule="exact"/>
        <w:rPr>
          <w:sz w:val="20"/>
          <w:szCs w:val="20"/>
          <w:color w:val="auto"/>
        </w:rPr>
      </w:pPr>
    </w:p>
    <w:p>
      <w:pPr>
        <w:ind w:right="119" w:firstLine="648"/>
        <w:spacing w:after="0" w:line="271" w:lineRule="auto"/>
        <w:rPr>
          <w:sz w:val="20"/>
          <w:szCs w:val="20"/>
          <w:color w:val="auto"/>
        </w:rPr>
      </w:pPr>
      <w:r>
        <w:rPr>
          <w:rFonts w:ascii="Arial" w:cs="Arial" w:eastAsia="Arial" w:hAnsi="Arial"/>
          <w:sz w:val="17"/>
          <w:szCs w:val="17"/>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79" w:lineRule="exact"/>
        <w:rPr>
          <w:sz w:val="20"/>
          <w:szCs w:val="20"/>
          <w:color w:val="auto"/>
        </w:rPr>
      </w:pPr>
    </w:p>
    <w:p>
      <w:pPr>
        <w:ind w:right="259"/>
        <w:spacing w:after="0" w:line="277" w:lineRule="auto"/>
        <w:rPr>
          <w:sz w:val="20"/>
          <w:szCs w:val="20"/>
          <w:color w:val="auto"/>
        </w:rPr>
      </w:pPr>
      <w:r>
        <w:rPr>
          <w:rFonts w:ascii="Arial" w:cs="Arial" w:eastAsia="Arial" w:hAnsi="Arial"/>
          <w:sz w:val="18"/>
          <w:szCs w:val="18"/>
          <w:b w:val="1"/>
          <w:bCs w:val="1"/>
          <w:i w:val="1"/>
          <w:iCs w:val="1"/>
          <w:color w:val="auto"/>
        </w:rPr>
        <w:t>Our international operations and plans for future international expansion expose us to significant risks, and failure to manage those risks could adversely impact our business.</w:t>
      </w:r>
    </w:p>
    <w:p>
      <w:pPr>
        <w:spacing w:after="0" w:line="170" w:lineRule="exact"/>
        <w:rPr>
          <w:sz w:val="20"/>
          <w:szCs w:val="20"/>
          <w:color w:val="auto"/>
        </w:rPr>
      </w:pPr>
    </w:p>
    <w:p>
      <w:pPr>
        <w:ind w:right="59" w:firstLine="648"/>
        <w:spacing w:after="0" w:line="293" w:lineRule="auto"/>
        <w:rPr>
          <w:sz w:val="20"/>
          <w:szCs w:val="20"/>
          <w:color w:val="auto"/>
        </w:rPr>
      </w:pPr>
      <w:r>
        <w:rPr>
          <w:rFonts w:ascii="Arial" w:cs="Arial" w:eastAsia="Arial" w:hAnsi="Arial"/>
          <w:sz w:val="16"/>
          <w:szCs w:val="16"/>
          <w:color w:val="auto"/>
        </w:rPr>
        <w:t>We derived approximately 13%, 16%, 23%, and 26% of our total revenue from our international customers for fiscal 2017, fiscal 2018, fiscal 2019, and the six months ended July 31, 2019,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65" w:lineRule="exact"/>
        <w:rPr>
          <w:sz w:val="20"/>
          <w:szCs w:val="20"/>
          <w:color w:val="auto"/>
        </w:rPr>
      </w:pPr>
    </w:p>
    <w:p>
      <w:pPr>
        <w:ind w:left="1000" w:right="219" w:hanging="316"/>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difficulty in negotiating contracts with standard terms, enforcing contracts and managing collections, and longer collection periods;</w:t>
      </w:r>
    </w:p>
    <w:p>
      <w:pPr>
        <w:spacing w:after="0" w:line="170" w:lineRule="exact"/>
        <w:rPr>
          <w:rFonts w:ascii="Arial" w:cs="Arial" w:eastAsia="Arial" w:hAnsi="Arial"/>
          <w:sz w:val="18"/>
          <w:szCs w:val="18"/>
          <w:color w:val="auto"/>
        </w:rPr>
      </w:pPr>
    </w:p>
    <w:p>
      <w:pPr>
        <w:ind w:left="1000" w:right="199" w:hanging="316"/>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costs incurred in establishing and maintaining office space and equipment for our international operations;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16"/>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management communication and integration problems resulting from cultural and geographic dispersion;</w:t>
      </w:r>
    </w:p>
    <w:p>
      <w:pPr>
        <w:spacing w:after="0" w:line="236" w:lineRule="exact"/>
        <w:rPr>
          <w:rFonts w:ascii="Arial" w:cs="Arial" w:eastAsia="Arial" w:hAnsi="Arial"/>
          <w:sz w:val="17"/>
          <w:szCs w:val="17"/>
          <w:color w:val="auto"/>
        </w:rPr>
      </w:pPr>
    </w:p>
    <w:p>
      <w:pPr>
        <w:ind w:left="1000" w:right="100" w:hanging="316"/>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trade restrictions and foreign legal requirements, including any importation, certification, and localization of our Falcon platform that may be required in foreign countries;</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risk of unexpected changes in regulatory practices, tariffs, and tax laws and treaties;</w:t>
      </w:r>
    </w:p>
    <w:p>
      <w:pPr>
        <w:spacing w:after="0" w:line="225" w:lineRule="exact"/>
        <w:rPr>
          <w:rFonts w:ascii="Arial" w:cs="Arial" w:eastAsia="Arial" w:hAnsi="Arial"/>
          <w:sz w:val="18"/>
          <w:szCs w:val="18"/>
          <w:color w:val="auto"/>
        </w:rPr>
      </w:pPr>
    </w:p>
    <w:p>
      <w:pPr>
        <w:ind w:left="1000" w:right="300" w:hanging="316"/>
        <w:spacing w:after="0" w:line="312"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compliance with anti-bribery laws, including, without limitation, compliance with the U.S. Foreign Corrupt Practices Act of 1977, as amended, the U.S. Travel Act and the UK Bribery Act 2010, violations of which could lead to significant fines, penalties, and collateral consequences for our company;</w:t>
      </w:r>
    </w:p>
    <w:p>
      <w:pPr>
        <w:spacing w:after="0" w:line="146" w:lineRule="exact"/>
        <w:rPr>
          <w:rFonts w:ascii="Arial" w:cs="Arial" w:eastAsia="Arial" w:hAnsi="Arial"/>
          <w:sz w:val="16"/>
          <w:szCs w:val="16"/>
          <w:color w:val="auto"/>
        </w:rPr>
      </w:pPr>
    </w:p>
    <w:p>
      <w:pPr>
        <w:ind w:left="1000" w:right="100" w:hanging="316"/>
        <w:spacing w:after="0" w:line="264"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81" w:lineRule="exact"/>
        <w:rPr>
          <w:rFonts w:ascii="Arial" w:cs="Arial" w:eastAsia="Arial" w:hAnsi="Arial"/>
          <w:sz w:val="18"/>
          <w:szCs w:val="18"/>
          <w:color w:val="auto"/>
        </w:rPr>
      </w:pPr>
    </w:p>
    <w:p>
      <w:pPr>
        <w:ind w:left="1000" w:hanging="316"/>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and political conditions in these foreign markets;</w:t>
      </w:r>
    </w:p>
    <w:p>
      <w:pPr>
        <w:spacing w:after="0" w:line="225" w:lineRule="exact"/>
        <w:rPr>
          <w:rFonts w:ascii="Arial" w:cs="Arial" w:eastAsia="Arial" w:hAnsi="Arial"/>
          <w:sz w:val="18"/>
          <w:szCs w:val="18"/>
          <w:color w:val="auto"/>
        </w:rPr>
      </w:pPr>
    </w:p>
    <w:p>
      <w:pPr>
        <w:ind w:left="1000" w:right="320" w:hanging="316"/>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exchange controls or tax regulations that might prevent us from repatriating cash earned outside the United States;</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and economic instability in some countries;</w:t>
      </w:r>
    </w:p>
    <w:p>
      <w:pPr>
        <w:spacing w:after="0" w:line="225" w:lineRule="exact"/>
        <w:rPr>
          <w:rFonts w:ascii="Arial" w:cs="Arial" w:eastAsia="Arial" w:hAnsi="Arial"/>
          <w:sz w:val="18"/>
          <w:szCs w:val="18"/>
          <w:color w:val="auto"/>
        </w:rPr>
      </w:pPr>
    </w:p>
    <w:p>
      <w:pPr>
        <w:ind w:left="1000" w:hanging="316"/>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tax laws of the United States or the foreign jurisdictions in which we operate;</w:t>
      </w:r>
    </w:p>
    <w:p>
      <w:pPr>
        <w:spacing w:after="0" w:line="170" w:lineRule="exact"/>
        <w:rPr>
          <w:rFonts w:ascii="Arial" w:cs="Arial" w:eastAsia="Arial" w:hAnsi="Arial"/>
          <w:sz w:val="18"/>
          <w:szCs w:val="18"/>
          <w:color w:val="auto"/>
        </w:rPr>
      </w:pPr>
    </w:p>
    <w:p>
      <w:pPr>
        <w:ind w:left="1000" w:right="780" w:hanging="316"/>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costs for the localization of our services, including translation into foreign languages and adaptation for local practices and regulatory requirements;</w:t>
      </w:r>
    </w:p>
    <w:p>
      <w:pPr>
        <w:spacing w:after="0" w:line="170" w:lineRule="exact"/>
        <w:rPr>
          <w:rFonts w:ascii="Arial" w:cs="Arial" w:eastAsia="Arial" w:hAnsi="Arial"/>
          <w:sz w:val="18"/>
          <w:szCs w:val="18"/>
          <w:color w:val="auto"/>
        </w:rPr>
      </w:pPr>
    </w:p>
    <w:p>
      <w:pPr>
        <w:ind w:left="1000" w:right="300" w:hanging="316"/>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spacing w:after="0" w:line="170" w:lineRule="exact"/>
        <w:rPr>
          <w:rFonts w:ascii="Arial" w:cs="Arial" w:eastAsia="Arial" w:hAnsi="Arial"/>
          <w:sz w:val="18"/>
          <w:szCs w:val="18"/>
          <w:color w:val="auto"/>
        </w:rPr>
      </w:pPr>
    </w:p>
    <w:p>
      <w:pPr>
        <w:ind w:left="1000" w:right="220" w:hanging="316"/>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difficulty in identifying, attracting and retaining local qualified personnel, and the costs and expenses associated with such activities;</w:t>
      </w:r>
    </w:p>
    <w:p>
      <w:pPr>
        <w:spacing w:after="0" w:line="170" w:lineRule="exact"/>
        <w:rPr>
          <w:rFonts w:ascii="Arial" w:cs="Arial" w:eastAsia="Arial" w:hAnsi="Arial"/>
          <w:sz w:val="18"/>
          <w:szCs w:val="18"/>
          <w:color w:val="auto"/>
        </w:rPr>
      </w:pPr>
    </w:p>
    <w:p>
      <w:pPr>
        <w:ind w:left="1000" w:right="400" w:hanging="316"/>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difficulty identifying qualified channel partners and maintaining successful relationships with such partners;</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 issues; and</w:t>
      </w:r>
    </w:p>
    <w:p>
      <w:pPr>
        <w:spacing w:after="0" w:line="225" w:lineRule="exact"/>
        <w:rPr>
          <w:rFonts w:ascii="Arial" w:cs="Arial" w:eastAsia="Arial" w:hAnsi="Arial"/>
          <w:sz w:val="18"/>
          <w:szCs w:val="18"/>
          <w:color w:val="auto"/>
        </w:rPr>
      </w:pPr>
    </w:p>
    <w:p>
      <w:pPr>
        <w:ind w:left="1000" w:right="660" w:hanging="316"/>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offices and increased travel, infrastructure, and legal compliance costs associated with multiple international locations.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Additionally,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British Pound, Indian Rupee, and Euro,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requirements of being a public company may strain our resources and divert management’s attention.</w:t>
      </w:r>
    </w:p>
    <w:p>
      <w:pPr>
        <w:spacing w:after="0" w:line="23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a public company, we are subject to the reporting and corporate governance requirements of the Exchange Act, the listing requirements of the Nasdaq Global Select Market and other securities rules and regulations, including the Sarbanes-Oxley Act and the Dodd-Frank Wall Street Reform and Consumer Protection Act. Compliance with these rules and regulations will increase our legal and financial compliance costs, make some activities more difficult, time-consuming, or costly and increase demand on our systems and resources, the effects of which will be magnified after we are no longer an “emerging growth company” as defined in the JOBS Act. Among other things, the Exchange Act requires that we file annual, quarterly and current reports with respect to our business and results of operations and maintain effective disclosure controls and procedures and internal control over financial reporting.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us.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December 2017, the United States adopted new tax law legislation commonly referred to as the Tax Cuts and Jobs Act of 2017, or the Tax Act, which significantly reforms the Internal Revenue Code of 1986, as amended, or the Internal Revenue Code. The Tax Act, among other things, includes changes to U.S. federal tax rates, imposes significant additional limitations on the deductibility of interest and the use of net operating losses generated in tax years beginning after December 31, 2017, allows for the expensing of certain capital expenditures, and puts into effect the migration from a “worldwide” system of taxation to a territorial system. Further changes to U.S. tax laws, including limitations on the ability of taxpayers to claim and utilize foreign tax credits, as well as changes to U.S. tax laws that may be enacted in the future, could impact the tax treatment of our foreign earnings. Due to expansion of our international business activities, any changes in the U.S. taxation of such activities may increase our worldwide effective tax rate and adversely affect our financial condition and results of operations. The enactment of legislation implementing changes in the U.S. taxation of international business activities or the adoption of other tax reform policies could adversely impact our financial position and results of operations.</w:t>
      </w:r>
    </w:p>
    <w:p>
      <w:pPr>
        <w:spacing w:after="0" w:line="18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Tax Act did not have a material impact on our financial statements for fiscal 2019, other than disclosures in our year-end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As of January 31, 2019, we had aggregate U.S. federal and state net operating loss carryforwards of $376.0 million and $287.8 million, respectively, which may be available to offset future taxable income for income tax purposes. If not utilized, the federal net operating loss carryforwards will begin to expire in 2031, and the state net operating loss carryforwards will begin to expire in 2021. As of January 31, 2019, we had federal and California research and development credit carryforwards of $7.4 million and $3.7 million, respectively. The federal research and development credit carryforwards begin to expire in 2031, and the California carryforwards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97"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6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4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7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6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Our reported financial results may be affected by changes in accounting principles generally accepted in the United States, such as the adoption of ASC 606, and difficulties in implementing these changes could cause us to fail to meet our financial reporting obligations, which could result in regulatory discipline and harm investors’ confidence in us.</w:t>
      </w:r>
    </w:p>
    <w:p>
      <w:pPr>
        <w:spacing w:after="0" w:line="147"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Accounting principles generally accepted in the United States, or U.S. GAAP, are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79"/>
        <w:spacing w:after="0" w:line="270" w:lineRule="auto"/>
        <w:rPr>
          <w:sz w:val="20"/>
          <w:szCs w:val="20"/>
          <w:color w:val="auto"/>
        </w:rPr>
      </w:pPr>
      <w:r>
        <w:rPr>
          <w:rFonts w:ascii="Arial" w:cs="Arial" w:eastAsia="Arial" w:hAnsi="Arial"/>
          <w:sz w:val="17"/>
          <w:szCs w:val="17"/>
          <w:color w:val="auto"/>
        </w:rPr>
        <w:t>In particular, in May 2014, the FASB issued ASC 606, Revenue from Contracts with Customers, which supersedes the revenue recognition requirements in ASC 605, Revenue Recognition. The core principle of ASC 606 is that an entity should recognize revenue to depict the transfer of promised goods or services to customers in an amount that reflects the consideration to which the entity expects to be entitled in exchange for those goods or services. As an ‘‘emerging growth company,’’ we are allowed under the JOBS Act to delay adoption of new or revised accounting pronouncements applicable to public companies until such pronouncements are made applicable to private companies. We elected to take advantage of this extended transition period under the JOBS Act, which resulted in ASC 606 becoming effective for us beginning on February 1, 2019. We have adopted using the modified retrospective transition method. Any difficulties in implementing these pronouncements could cause us to fail to meet our financial reporting obligations, which could result in regulatory discipline and harm investors’ confidence in us.</w:t>
      </w:r>
    </w:p>
    <w:p>
      <w:pPr>
        <w:spacing w:after="0" w:line="178" w:lineRule="exact"/>
        <w:rPr>
          <w:sz w:val="20"/>
          <w:szCs w:val="20"/>
          <w:color w:val="auto"/>
        </w:rPr>
      </w:pPr>
    </w:p>
    <w:p>
      <w:pPr>
        <w:ind w:right="459"/>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47" w:lineRule="exact"/>
        <w:rPr>
          <w:sz w:val="20"/>
          <w:szCs w:val="20"/>
          <w:color w:val="auto"/>
        </w:rPr>
      </w:pPr>
    </w:p>
    <w:p>
      <w:pPr>
        <w:ind w:right="39" w:firstLine="648"/>
        <w:spacing w:after="0" w:line="268"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doubtful accounts;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88" w:lineRule="exact"/>
        <w:rPr>
          <w:sz w:val="20"/>
          <w:szCs w:val="20"/>
          <w:color w:val="auto"/>
        </w:rPr>
      </w:pPr>
    </w:p>
    <w:p>
      <w:pPr>
        <w:ind w:right="79" w:firstLine="648"/>
        <w:spacing w:after="0" w:line="291" w:lineRule="auto"/>
        <w:rPr>
          <w:sz w:val="20"/>
          <w:szCs w:val="20"/>
          <w:color w:val="auto"/>
        </w:rPr>
      </w:pPr>
      <w:r>
        <w:rPr>
          <w:rFonts w:ascii="Arial" w:cs="Arial" w:eastAsia="Arial" w:hAnsi="Arial"/>
          <w:sz w:val="16"/>
          <w:szCs w:val="16"/>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67" w:lineRule="exact"/>
        <w:rPr>
          <w:sz w:val="20"/>
          <w:szCs w:val="20"/>
          <w:color w:val="auto"/>
        </w:rPr>
      </w:pPr>
    </w:p>
    <w:p>
      <w:pPr>
        <w:ind w:right="59"/>
        <w:spacing w:after="0" w:line="381" w:lineRule="auto"/>
        <w:rPr>
          <w:sz w:val="20"/>
          <w:szCs w:val="20"/>
          <w:color w:val="auto"/>
        </w:rPr>
      </w:pPr>
      <w:r>
        <w:rPr>
          <w:rFonts w:ascii="Arial" w:cs="Arial" w:eastAsia="Arial" w:hAnsi="Arial"/>
          <w:sz w:val="15"/>
          <w:szCs w:val="15"/>
          <w:b w:val="1"/>
          <w:bCs w:val="1"/>
          <w:i w:val="1"/>
          <w:iCs w:val="1"/>
          <w:color w:val="auto"/>
        </w:rPr>
        <w:t>Our business is subject to the risks of earthquakes, fire, floods, and other natural catastrophic events, and to interruption by man-made problems such as power disruptions, computer viruses, data security breaches or terrorism.</w:t>
      </w:r>
    </w:p>
    <w:p>
      <w:pPr>
        <w:spacing w:after="0" w:line="101" w:lineRule="exact"/>
        <w:rPr>
          <w:sz w:val="20"/>
          <w:szCs w:val="20"/>
          <w:color w:val="auto"/>
        </w:rPr>
      </w:pPr>
    </w:p>
    <w:p>
      <w:pPr>
        <w:ind w:right="19" w:firstLine="648"/>
        <w:spacing w:after="0" w:line="286" w:lineRule="auto"/>
        <w:rPr>
          <w:sz w:val="20"/>
          <w:szCs w:val="20"/>
          <w:color w:val="auto"/>
        </w:rPr>
      </w:pPr>
      <w:r>
        <w:rPr>
          <w:rFonts w:ascii="Arial" w:cs="Arial" w:eastAsia="Arial" w:hAnsi="Arial"/>
          <w:sz w:val="16"/>
          <w:szCs w:val="16"/>
          <w:color w:val="auto"/>
        </w:rPr>
        <w:t>Our corporate headquarters are located in the San Francisco Bay Area, a region known for seismic activity. A significant natural disaster, such as an earthquake, a fire, a flood, or significant power outage could have a material adverse impact on our business, results of operations, and financial condition. Natural disasters could affect our personnel,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In the event that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w:t>
      </w:r>
    </w:p>
    <w:p>
      <w:pPr>
        <w:sectPr>
          <w:pgSz w:w="11900" w:h="16838" w:orient="portrait"/>
          <w:cols w:equalWidth="0" w:num="1">
            <w:col w:w="9039"/>
          </w:cols>
          <w:pgMar w:left="1420" w:top="517" w:right="1440" w:bottom="1440" w:gutter="0" w:footer="0" w:header="0"/>
        </w:sect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79"/>
        <w:spacing w:after="0" w:line="271" w:lineRule="auto"/>
        <w:rPr>
          <w:sz w:val="20"/>
          <w:szCs w:val="20"/>
          <w:color w:val="auto"/>
        </w:rPr>
      </w:pPr>
      <w:r>
        <w:rPr>
          <w:rFonts w:ascii="Arial" w:cs="Arial" w:eastAsia="Arial" w:hAnsi="Arial"/>
          <w:sz w:val="17"/>
          <w:szCs w:val="17"/>
          <w:color w:val="auto"/>
        </w:rPr>
        <w:t>for the potentially significant losses we may incur.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 providers, partners or end-customers that impacts sales at the end of a fiscal quarter could have a significant adverse impact on our financial results.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Class A common stock may be volatile, and you could lose all or part of your investment.</w:t>
      </w:r>
    </w:p>
    <w:p>
      <w:pPr>
        <w:spacing w:after="0" w:line="248" w:lineRule="exact"/>
        <w:rPr>
          <w:sz w:val="20"/>
          <w:szCs w:val="20"/>
          <w:color w:val="auto"/>
        </w:rPr>
      </w:pPr>
    </w:p>
    <w:p>
      <w:pPr>
        <w:ind w:right="139" w:firstLine="648"/>
        <w:spacing w:after="0" w:line="273" w:lineRule="auto"/>
        <w:rPr>
          <w:sz w:val="20"/>
          <w:szCs w:val="20"/>
          <w:color w:val="auto"/>
        </w:rPr>
      </w:pPr>
      <w:r>
        <w:rPr>
          <w:rFonts w:ascii="Arial" w:cs="Arial" w:eastAsia="Arial" w:hAnsi="Arial"/>
          <w:sz w:val="17"/>
          <w:szCs w:val="17"/>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In addition, the limited public float of our Class A common stock tends to increase the volatility of the trading price of our Class A common stock. These fluctuations could cause you to lose all or part of your investment in our Class A common stock. Factors that could cause fluctuations in the market price of our Class A common stock include the following:</w:t>
      </w:r>
    </w:p>
    <w:p>
      <w:pPr>
        <w:spacing w:after="0" w:line="178" w:lineRule="exact"/>
        <w:rPr>
          <w:sz w:val="20"/>
          <w:szCs w:val="20"/>
          <w:color w:val="auto"/>
        </w:rPr>
      </w:pPr>
    </w:p>
    <w:p>
      <w:pPr>
        <w:ind w:left="1000" w:hanging="316"/>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225" w:lineRule="exact"/>
        <w:rPr>
          <w:rFonts w:ascii="Arial" w:cs="Arial" w:eastAsia="Arial" w:hAnsi="Arial"/>
          <w:sz w:val="18"/>
          <w:szCs w:val="18"/>
          <w:color w:val="auto"/>
        </w:rPr>
      </w:pPr>
    </w:p>
    <w:p>
      <w:pPr>
        <w:ind w:left="1000" w:right="139" w:hanging="316"/>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70" w:lineRule="exact"/>
        <w:rPr>
          <w:rFonts w:ascii="Arial" w:cs="Arial" w:eastAsia="Arial" w:hAnsi="Arial"/>
          <w:sz w:val="18"/>
          <w:szCs w:val="18"/>
          <w:color w:val="auto"/>
        </w:rPr>
      </w:pPr>
    </w:p>
    <w:p>
      <w:pPr>
        <w:ind w:left="1000" w:right="799" w:hanging="316"/>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170" w:lineRule="exact"/>
        <w:rPr>
          <w:rFonts w:ascii="Arial" w:cs="Arial" w:eastAsia="Arial" w:hAnsi="Arial"/>
          <w:sz w:val="18"/>
          <w:szCs w:val="18"/>
          <w:color w:val="auto"/>
        </w:rPr>
      </w:pPr>
    </w:p>
    <w:p>
      <w:pPr>
        <w:ind w:left="1000" w:right="139" w:hanging="316"/>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25" w:lineRule="exact"/>
        <w:rPr>
          <w:rFonts w:ascii="Arial" w:cs="Arial" w:eastAsia="Arial" w:hAnsi="Arial"/>
          <w:sz w:val="18"/>
          <w:szCs w:val="18"/>
          <w:color w:val="auto"/>
        </w:rPr>
      </w:pPr>
    </w:p>
    <w:p>
      <w:pPr>
        <w:ind w:left="1000" w:right="319" w:hanging="316"/>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170" w:lineRule="exact"/>
        <w:rPr>
          <w:rFonts w:ascii="Arial" w:cs="Arial" w:eastAsia="Arial" w:hAnsi="Arial"/>
          <w:sz w:val="18"/>
          <w:szCs w:val="18"/>
          <w:color w:val="auto"/>
        </w:rPr>
      </w:pPr>
    </w:p>
    <w:p>
      <w:pPr>
        <w:ind w:left="1000" w:right="639" w:hanging="316"/>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 and sales of shares of our Class A common stock by us or our stockholders;</w:t>
      </w:r>
    </w:p>
    <w:p>
      <w:pPr>
        <w:spacing w:after="0" w:line="170" w:lineRule="exact"/>
        <w:rPr>
          <w:rFonts w:ascii="Arial" w:cs="Arial" w:eastAsia="Arial" w:hAnsi="Arial"/>
          <w:sz w:val="18"/>
          <w:szCs w:val="18"/>
          <w:color w:val="auto"/>
        </w:rPr>
      </w:pPr>
    </w:p>
    <w:p>
      <w:pPr>
        <w:jc w:val="both"/>
        <w:ind w:left="1000" w:right="499" w:hanging="316"/>
        <w:spacing w:after="0" w:line="34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failure of industry or financial analysts to maintain coverage of us, changes in financial estimates by any analysts who follow our company, or our failure to meet these estimates or the expectations of investors;</w:t>
      </w:r>
    </w:p>
    <w:p>
      <w:pPr>
        <w:spacing w:after="0" w:line="123" w:lineRule="exact"/>
        <w:rPr>
          <w:rFonts w:ascii="Arial" w:cs="Arial" w:eastAsia="Arial" w:hAnsi="Arial"/>
          <w:sz w:val="16"/>
          <w:szCs w:val="16"/>
          <w:color w:val="auto"/>
        </w:rPr>
      </w:pPr>
    </w:p>
    <w:p>
      <w:pPr>
        <w:ind w:left="1000" w:right="59" w:hanging="316"/>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70" w:lineRule="exact"/>
        <w:rPr>
          <w:rFonts w:ascii="Arial" w:cs="Arial" w:eastAsia="Arial" w:hAnsi="Arial"/>
          <w:sz w:val="18"/>
          <w:szCs w:val="18"/>
          <w:color w:val="auto"/>
        </w:rPr>
      </w:pPr>
    </w:p>
    <w:p>
      <w:pPr>
        <w:ind w:left="1000" w:right="139" w:hanging="316"/>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70" w:lineRule="exact"/>
        <w:rPr>
          <w:rFonts w:ascii="Arial" w:cs="Arial" w:eastAsia="Arial" w:hAnsi="Arial"/>
          <w:sz w:val="18"/>
          <w:szCs w:val="18"/>
          <w:color w:val="auto"/>
        </w:rPr>
      </w:pPr>
    </w:p>
    <w:p>
      <w:pPr>
        <w:ind w:left="1000" w:right="39" w:hanging="316"/>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ectPr>
          <w:pgSz w:w="11900" w:h="16838" w:orient="portrait"/>
          <w:cols w:equalWidth="0" w:num="1">
            <w:col w:w="9039"/>
          </w:cols>
          <w:pgMar w:left="1420" w:top="517" w:right="1440" w:bottom="1440" w:gutter="0" w:footer="0" w:header="0"/>
        </w:sect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1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236" w:lineRule="exact"/>
        <w:rPr>
          <w:rFonts w:ascii="Arial" w:cs="Arial" w:eastAsia="Arial" w:hAnsi="Arial"/>
          <w:sz w:val="17"/>
          <w:szCs w:val="17"/>
          <w:color w:val="auto"/>
        </w:rPr>
      </w:pPr>
    </w:p>
    <w:p>
      <w:pPr>
        <w:ind w:left="1000" w:hanging="316"/>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major changes in our management or our board of directors, particularly with respect to Mr. Kurtz;</w:t>
      </w:r>
    </w:p>
    <w:p>
      <w:pPr>
        <w:spacing w:after="0" w:line="236" w:lineRule="exact"/>
        <w:rPr>
          <w:rFonts w:ascii="Arial" w:cs="Arial" w:eastAsia="Arial" w:hAnsi="Arial"/>
          <w:sz w:val="17"/>
          <w:szCs w:val="17"/>
          <w:color w:val="auto"/>
        </w:rPr>
      </w:pPr>
    </w:p>
    <w:p>
      <w:pPr>
        <w:ind w:left="1000" w:hanging="31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or responses to these events.</w:t>
      </w:r>
    </w:p>
    <w:p>
      <w:pPr>
        <w:spacing w:after="0" w:line="248"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results of operations and financial condition.</w:t>
      </w:r>
    </w:p>
    <w:p>
      <w:pPr>
        <w:spacing w:after="0" w:line="19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181"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and may make it more difficult for you to sell your Class A common stock at a time and price that you deem appropriate. As of August 31, 2019, we had 20,700,000 shares of Class A common stock outstanding and 205,245,332 shares of Class B common stock outstanding.</w:t>
      </w:r>
    </w:p>
    <w:p>
      <w:pPr>
        <w:spacing w:after="0" w:line="17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All of the shares of Class A common stock sold in our initial public offering are freely tradable without restrictions or further registration under the Securities Act of 1933, as amended, or the Securities Act, except for any shares held by our affiliates as defined in Rule 144 under the Securities Act.</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Subject to certain exceptions, we, all of our directors and executive officers and record holders of substantially all of our securities outstanding immediately prior to our initial public offering, are subject to market stand-off agreements or have agreed not to offer, sell or agree to sell, directly or indirectly, any shares of capital stock without the permission of Goldman Sachs &amp; Co. LLC on behalf of the underwriters, for a period of 180 days from June 11, 2019, which is the date of the final prospectus used in connection with our initial public offering. Such period may be shortened in certain circumstances to as few as 120 days from the date of the final prospectus; however, we currently anticipate that the lock-up will not expire until 180 days from June 11, 2019. When the lock-up period expires, we and our securityholders subject to a lock-up agreement or market stand-off agreement will be able to sell our shares in the public market. In addition, Goldman Sachs &amp; Co. LLC may, in its sole discretion, release all or some portion of the shares subject to lock-up agreements prior to the expiration of the lock-up period. Sales of a substantial number of such shares upon expiration of the lock-up and market stand-off agreements, or the perception that such sales may occur, or early release of these agreements, could cause our market price to fall or make it more difficult for you to sell your Class A common stock at a time and price that you deem appropriate.</w:t>
      </w:r>
    </w:p>
    <w:p>
      <w:pPr>
        <w:spacing w:after="0" w:line="16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holders of an aggregate of up to 163,916,832 shares of our Class B common stock are entitled to rights with respect to registration of these shares under the Securities Act pursuant to our amended and restated registration rights agreement, or RRA. If these holders of our Class B common stock, by exercising their registration rights, sell a large number of shares, they could adversely affect the market price for our Class A common stock. We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have also registered the offer and sale of all shares of Class A common stock that we may issue under our equity compensation plans.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An aggregate of approximately 6.1 million shares of our Class B common stock that are beneficially owned by George Kurtz, our President and Chief Executive Officer and a member of our board of directors, and Burt Podbere, our Chief Financial Officer, are pledged to secure obligations of Mr. Kurtz and Mr. Podbere under certain loan agreements. In the case of nonpayment at maturity or another event of default (including but not limited to the borrower’s inability to satisfy a margin call, which may be instituted by the lender following certain declines in our stock price), the lender or any transferee (in the event that the lender had assigned or otherwise transferred its rights under the pledge to a non-affiliate) may exercise its rights under the applicable loan agreement to foreclose on and sell shares pledged to cover the amount due under the loan, provided that no sales of the pledged shares may be made to third parties by the lender until 180 days after June 11, 2019, which is the date of the final prospectus used in connection with our initial public offering, or 120 days after June 11, 2019 by any transferee unaffiliated with the lender. Any transfers or sales of such pledged shares may cause the price of our Class A common stock to decline.</w:t>
      </w:r>
    </w:p>
    <w:p>
      <w:pPr>
        <w:spacing w:after="0" w:line="183"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147" w:lineRule="exact"/>
        <w:rPr>
          <w:sz w:val="20"/>
          <w:szCs w:val="20"/>
          <w:color w:val="auto"/>
        </w:rPr>
      </w:pPr>
    </w:p>
    <w:p>
      <w:pPr>
        <w:ind w:right="460"/>
        <w:spacing w:after="0" w:line="381" w:lineRule="auto"/>
        <w:rPr>
          <w:sz w:val="20"/>
          <w:szCs w:val="20"/>
          <w:color w:val="auto"/>
        </w:rPr>
      </w:pPr>
      <w:r>
        <w:rPr>
          <w:rFonts w:ascii="Arial" w:cs="Arial" w:eastAsia="Arial" w:hAnsi="Arial"/>
          <w:sz w:val="15"/>
          <w:szCs w:val="15"/>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0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financial analysts publish about us or our business. We do not control these analysts or the content and opinions included in their reports. As a new public company, we may be slow to attract research coverage and the analysts who publish information about our Class A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8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the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Upon the closing of our initial public offering, our executive officers, directors, each of our stockholders that owned more than five percent of our outstanding capital stock, and their respective affiliates held, in aggregate, 75% of the voting power of our outstanding capital stock. Furthermore, three of our current stockholders and their affiliates held, in aggregate, 62%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Corporate action might be taken even if other stockholders, including those who purchased shares in our initial public offering, oppose them.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83"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Further, our amended and restated certificate of incorporation provides that, to the fullest extent permitted by law, the doctrine of “corporate opportunity” does not apply to Accel and Warburg Pincus, or their respective affiliates, in a manner that would prohibit them from investing in competing businesses or doing business with our partners or customers.</w:t>
      </w:r>
    </w:p>
    <w:p>
      <w:pPr>
        <w:spacing w:after="0" w:line="14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Shares of our common stock are subordinate to our debts and other liabilities, resulting in a greater risk of loss for stockholders.</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Shares of our common stock are subordinate in right of payment to all of our current and future debt. We cannot assure that there would be any remaining funds after the payment of all of our debts for any distribution to our common stockholders.</w:t>
      </w:r>
    </w:p>
    <w:p>
      <w:pPr>
        <w:spacing w:after="0" w:line="181"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1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7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147"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we are no longer an emerging growth company. We would cease to be an emerging growth company upon the earliest to occur of: (i) the first fiscal year following the fifth anniversary of our initial public offering;</w:t>
      </w:r>
    </w:p>
    <w:p>
      <w:pPr>
        <w:spacing w:after="0" w:line="1" w:lineRule="exact"/>
        <w:rPr>
          <w:sz w:val="20"/>
          <w:szCs w:val="20"/>
          <w:color w:val="auto"/>
        </w:rPr>
      </w:pPr>
    </w:p>
    <w:p>
      <w:pPr>
        <w:ind w:firstLine="9"/>
        <w:spacing w:after="0" w:line="268" w:lineRule="auto"/>
        <w:tabs>
          <w:tab w:leader="none" w:pos="265"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the first fiscal year after our annual gross revenue is $1.07 billion or more; (iii) the date on which we have, during the previous three-year period, issued more than $1.0 billion in non-convertible debt securities; or (iv) date on which we qualify as a “large accelerated filer,” as defined in Rule 12b-2 under the Exchange Act, </w:t>
      </w:r>
      <w:r>
        <w:rPr>
          <w:rFonts w:ascii="Arial" w:cs="Arial" w:eastAsia="Arial" w:hAnsi="Arial"/>
          <w:sz w:val="17"/>
          <w:szCs w:val="17"/>
          <w:color w:val="373739"/>
        </w:rPr>
        <w:t>which would occur at the end of the fiscal</w:t>
      </w:r>
      <w:r>
        <w:rPr>
          <w:rFonts w:ascii="Arial" w:cs="Arial" w:eastAsia="Arial" w:hAnsi="Arial"/>
          <w:sz w:val="17"/>
          <w:szCs w:val="17"/>
          <w:color w:val="auto"/>
        </w:rPr>
        <w:t xml:space="preserve"> </w:t>
      </w:r>
      <w:r>
        <w:rPr>
          <w:rFonts w:ascii="Arial" w:cs="Arial" w:eastAsia="Arial" w:hAnsi="Arial"/>
          <w:sz w:val="17"/>
          <w:szCs w:val="17"/>
          <w:color w:val="373739"/>
        </w:rPr>
        <w:t>year in which the market value of our common stock held by non-affiliates exceeded $700.0 million as of the end of the second quarter of that fiscal year, and after which we have been a reporting company for at least 12 months</w:t>
      </w:r>
      <w:r>
        <w:rPr>
          <w:rFonts w:ascii="Arial" w:cs="Arial" w:eastAsia="Arial" w:hAnsi="Arial"/>
          <w:sz w:val="17"/>
          <w:szCs w:val="17"/>
          <w:color w:val="000000"/>
        </w:rPr>
        <w:t>. Further, pursuant</w:t>
      </w:r>
      <w:r>
        <w:rPr>
          <w:rFonts w:ascii="Arial" w:cs="Arial" w:eastAsia="Arial" w:hAnsi="Arial"/>
          <w:sz w:val="17"/>
          <w:szCs w:val="17"/>
          <w:color w:val="373739"/>
        </w:rPr>
        <w:t xml:space="preserve"> </w:t>
      </w:r>
      <w:r>
        <w:rPr>
          <w:rFonts w:ascii="Arial" w:cs="Arial" w:eastAsia="Arial" w:hAnsi="Arial"/>
          <w:sz w:val="17"/>
          <w:szCs w:val="17"/>
          <w:color w:val="000000"/>
        </w:rPr>
        <w:t>to Section 107 of the JOBS Act, as an emerging growth company, we have elected to take advantage of the extended transition period for complying with new or revised accounting standards until those standards would otherwise apply to private companies. As a result, our results of operations and financial statements</w:t>
      </w:r>
    </w:p>
    <w:p>
      <w:pPr>
        <w:sectPr>
          <w:pgSz w:w="11900" w:h="16838" w:orient="portrait"/>
          <w:cols w:equalWidth="0" w:num="1">
            <w:col w:w="9060"/>
          </w:cols>
          <w:pgMar w:left="1420" w:top="517"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may not be comparable to the results of operations and financial statements of other companies who have adopted the new or revised accounting standards. We cannot predict if investors will find our Class A common stock less attractive because we may rely on these exemptions. If some investors find our Class A common stock less attractive as a result, our stock price may be more volatile.</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stock incentive plans, or otherwise will dilute all other stockholders.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amended and restated certificate of incorporation authorizes us to issue up to 2,000,000,000 shares of Class A common stock, up to 300,000,000 shares of Class B common stock, and up to 100,000,000 shares of preferred stock with such rights and preferences as may be determined by our board of directors. Subject to compliance with applicable rules and regulations, we may issue shares of Class A common stock or securities convertible into shares of our Class A common stock from time to time in connection with a financing, acquisition, investment, our stock incentive plans or otherwise. Any such issuance could result in substantial dilution to our existing stockholders and cause the market price of our Class A common stock to decline.</w:t>
      </w:r>
    </w:p>
    <w:p>
      <w:pPr>
        <w:spacing w:after="0" w:line="18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6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71" w:lineRule="exact"/>
        <w:rPr>
          <w:sz w:val="20"/>
          <w:szCs w:val="20"/>
          <w:color w:val="auto"/>
        </w:rPr>
      </w:pPr>
    </w:p>
    <w:p>
      <w:pPr>
        <w:ind w:left="1000" w:hanging="316"/>
        <w:spacing w:after="0" w:line="286"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65" w:lineRule="exact"/>
        <w:rPr>
          <w:rFonts w:ascii="Arial" w:cs="Arial" w:eastAsia="Arial" w:hAnsi="Arial"/>
          <w:sz w:val="17"/>
          <w:szCs w:val="17"/>
          <w:color w:val="auto"/>
        </w:rPr>
      </w:pPr>
    </w:p>
    <w:p>
      <w:pPr>
        <w:ind w:left="1000" w:right="60" w:hanging="316"/>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1000" w:hanging="316"/>
        <w:spacing w:after="0" w:line="264"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81" w:lineRule="exact"/>
        <w:rPr>
          <w:rFonts w:ascii="Arial" w:cs="Arial" w:eastAsia="Arial" w:hAnsi="Arial"/>
          <w:sz w:val="18"/>
          <w:szCs w:val="18"/>
          <w:color w:val="auto"/>
        </w:rPr>
      </w:pPr>
    </w:p>
    <w:p>
      <w:pPr>
        <w:ind w:left="1000" w:right="80" w:hanging="316"/>
        <w:spacing w:after="0" w:line="264"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81" w:lineRule="exact"/>
        <w:rPr>
          <w:rFonts w:ascii="Arial" w:cs="Arial" w:eastAsia="Arial" w:hAnsi="Arial"/>
          <w:sz w:val="18"/>
          <w:szCs w:val="18"/>
          <w:color w:val="auto"/>
        </w:rPr>
      </w:pPr>
    </w:p>
    <w:p>
      <w:pPr>
        <w:ind w:left="1000" w:hanging="316"/>
        <w:spacing w:after="0" w:line="25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88" w:lineRule="exact"/>
        <w:rPr>
          <w:rFonts w:ascii="Arial" w:cs="Arial" w:eastAsia="Arial" w:hAnsi="Arial"/>
          <w:sz w:val="18"/>
          <w:szCs w:val="18"/>
          <w:color w:val="auto"/>
        </w:rPr>
      </w:pPr>
    </w:p>
    <w:p>
      <w:pPr>
        <w:ind w:left="1000" w:right="60" w:hanging="316"/>
        <w:spacing w:after="0" w:line="259"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86" w:lineRule="exact"/>
        <w:rPr>
          <w:rFonts w:ascii="Arial" w:cs="Arial" w:eastAsia="Arial" w:hAnsi="Arial"/>
          <w:sz w:val="18"/>
          <w:szCs w:val="18"/>
          <w:color w:val="auto"/>
        </w:rPr>
      </w:pPr>
    </w:p>
    <w:p>
      <w:pPr>
        <w:ind w:left="1000" w:right="60" w:hanging="316"/>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 require the approval of two-thirds of the then-outstanding voting power of our capital stock; and</w:t>
      </w:r>
    </w:p>
    <w:p>
      <w:pPr>
        <w:sectPr>
          <w:pgSz w:w="11900" w:h="16838" w:orient="portrait"/>
          <w:cols w:equalWidth="0" w:num="1">
            <w:col w:w="9040"/>
          </w:cols>
          <w:pgMar w:left="1420" w:top="517" w:right="14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right="240" w:hanging="316"/>
        <w:spacing w:after="0" w:line="259"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amended and restated bylaws provide that the Court of Chancery of the State of Delaware is the exclusive forum for:</w:t>
      </w:r>
    </w:p>
    <w:p>
      <w:pPr>
        <w:spacing w:after="0" w:line="170" w:lineRule="exact"/>
        <w:rPr>
          <w:sz w:val="20"/>
          <w:szCs w:val="20"/>
          <w:color w:val="auto"/>
        </w:rPr>
      </w:pPr>
    </w:p>
    <w:p>
      <w:pPr>
        <w:ind w:left="1000" w:hanging="316"/>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25" w:lineRule="exact"/>
        <w:rPr>
          <w:rFonts w:ascii="Arial" w:cs="Arial" w:eastAsia="Arial" w:hAnsi="Arial"/>
          <w:sz w:val="18"/>
          <w:szCs w:val="18"/>
          <w:color w:val="auto"/>
        </w:rPr>
      </w:pPr>
    </w:p>
    <w:p>
      <w:pPr>
        <w:ind w:left="1000" w:right="100" w:hanging="316"/>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w:t>
      </w:r>
    </w:p>
    <w:p>
      <w:pPr>
        <w:spacing w:after="0" w:line="170" w:lineRule="exact"/>
        <w:rPr>
          <w:rFonts w:ascii="Arial" w:cs="Arial" w:eastAsia="Arial" w:hAnsi="Arial"/>
          <w:sz w:val="18"/>
          <w:szCs w:val="18"/>
          <w:color w:val="auto"/>
        </w:rPr>
      </w:pPr>
    </w:p>
    <w:p>
      <w:pPr>
        <w:ind w:left="1000" w:right="500" w:hanging="316"/>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amended and restated certificate of incorporation or our amended and restated bylaws; and</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Shares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From February 1, 2019 to August 6, 2019 we granted to our directors, officers, employees, consultants, and other service providers under our 2011 Plan:</w:t>
      </w:r>
    </w:p>
    <w:p>
      <w:pPr>
        <w:spacing w:after="0" w:line="170" w:lineRule="exact"/>
        <w:rPr>
          <w:sz w:val="20"/>
          <w:szCs w:val="20"/>
          <w:color w:val="auto"/>
        </w:rPr>
      </w:pPr>
    </w:p>
    <w:p>
      <w:pPr>
        <w:ind w:left="1000" w:right="20" w:hanging="316"/>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options to purchase an aggregate of 879,758 shares of our Class B common stock at an exercise price of $14.65 per share, and</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aggregate of 853,188 RSUs to be settled in shares of our Class B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transactions were exempt from registration under the Securities Act of 1933 in reliance upon Section 4(a)</w:t>
      </w:r>
    </w:p>
    <w:p>
      <w:pPr>
        <w:spacing w:after="0" w:line="46" w:lineRule="exact"/>
        <w:rPr>
          <w:sz w:val="20"/>
          <w:szCs w:val="20"/>
          <w:color w:val="auto"/>
        </w:rPr>
      </w:pPr>
    </w:p>
    <w:p>
      <w:pPr>
        <w:ind w:right="620" w:firstLine="9"/>
        <w:spacing w:after="0" w:line="290" w:lineRule="auto"/>
        <w:tabs>
          <w:tab w:leader="none" w:pos="2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of the Securities Act or Regulation D promulgated thereunder, or Rule 701 promulgated under Section 3(b) of the Securities Act as transactions by an issuer not involving any public offering or pursuant to benefit</w:t>
      </w:r>
    </w:p>
    <w:p>
      <w:pPr>
        <w:sectPr>
          <w:pgSz w:w="11900" w:h="16838" w:orient="portrait"/>
          <w:cols w:equalWidth="0" w:num="1">
            <w:col w:w="9060"/>
          </w:cols>
          <w:pgMar w:left="1420" w:top="517"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All recipients had adequate access, through their relationships with us, to information about CrowdStrike.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Common Stock</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June 14, 2019, we closed our initial public offering, in which we sold 20,700,000 shares of our Class A common stock at a price to the public of $34.00 per share, including shares sold in connection with the full exercise of the underwriters’ option to purchase additional shares. The offer and sale of all of the shares in the IPO were registered under the Securities Act pursuant to a registration statement on Form S-1 (File No. 001-38933), which was declared effective by the SEC on June 11, 2019. The managing underwriter of our IPO was Goldman Sachs &amp; Co. LLC. Following the sale of the shares in connection with the closing of the IPO, the offering terminated. The aggregate offering price of the offering was $703.8 million, before deducting underwriters’ discounts and commissions of $38.7 million and before deducting an estimated $5.9 million of offering expenses payable by us. None of such expenses were paid by us to our directors, officers, or persons owning ten percent or more of our common stock or to their associates, or to our affiliates, other than payments in the ordinary course of business to officers for salaries and to non-employee directors pursuant to our director compensation policy. We estimate that we received net proceeds of $659.2 million from our initial public offering. There has been no material change in the planned use of proceeds from our IPO as described in the final prospectus used in connection with our initial public offering. Pending the uses described, we intend to invest the net proceeds in short-term interest-bearing investment-grade securities, certificates of deposit or government securities, pursuant to the investment policy approved by our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filed the exhibits listed on the accompanying Exhibit Index, which is incorporated herein by reference.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center"/>
              <w:ind w:left="34"/>
              <w:spacing w:after="0"/>
              <w:rPr>
                <w:sz w:val="20"/>
                <w:szCs w:val="20"/>
                <w:color w:val="auto"/>
              </w:rPr>
            </w:pPr>
            <w:r>
              <w:rPr>
                <w:rFonts w:ascii="Arial" w:cs="Arial" w:eastAsia="Arial" w:hAnsi="Arial"/>
                <w:sz w:val="14"/>
                <w:szCs w:val="14"/>
                <w:b w:val="1"/>
                <w:bCs w:val="1"/>
                <w:color w:val="auto"/>
                <w:w w:val="92"/>
              </w:rPr>
              <w:t>Incorporated by Reference</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8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80" w:type="dxa"/>
            <w:vAlign w:val="bottom"/>
            <w:gridSpan w:val="16"/>
            <w:vMerge w:val="restart"/>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78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Form</w:t>
            </w:r>
          </w:p>
        </w:tc>
        <w:tc>
          <w:tcPr>
            <w:tcW w:w="11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Filed</w:t>
            </w:r>
          </w:p>
        </w:tc>
        <w:tc>
          <w:tcPr>
            <w:tcW w:w="0" w:type="dxa"/>
            <w:vAlign w:val="bottom"/>
          </w:tcPr>
          <w:p>
            <w:pPr>
              <w:spacing w:after="0"/>
              <w:rPr>
                <w:sz w:val="1"/>
                <w:szCs w:val="1"/>
                <w:color w:val="auto"/>
              </w:rPr>
            </w:pPr>
          </w:p>
        </w:tc>
      </w:tr>
      <w:tr>
        <w:trPr>
          <w:trHeight w:val="185"/>
        </w:trPr>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16"/>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7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600" w:type="dxa"/>
            <w:vAlign w:val="bottom"/>
            <w:tcBorders>
              <w:top w:val="single" w:sz="8" w:color="auto"/>
            </w:tcBorders>
            <w:gridSpan w:val="19"/>
          </w:tcPr>
          <w:p>
            <w:pPr>
              <w:spacing w:after="0" w:line="170" w:lineRule="exact"/>
              <w:rPr>
                <w:rFonts w:ascii="Arial" w:cs="Arial" w:eastAsia="Arial" w:hAnsi="Arial"/>
                <w:sz w:val="18"/>
                <w:szCs w:val="18"/>
                <w:color w:val="0000EE"/>
              </w:rPr>
            </w:pPr>
            <w:hyperlink r:id="rId132">
              <w:r>
                <w:rPr>
                  <w:rFonts w:ascii="Arial" w:cs="Arial" w:eastAsia="Arial" w:hAnsi="Arial"/>
                  <w:sz w:val="18"/>
                  <w:szCs w:val="18"/>
                  <w:color w:val="0000EE"/>
                </w:rPr>
                <w:t>Amended and Restated Certificate of</w:t>
              </w:r>
            </w:hyperlink>
          </w:p>
        </w:tc>
        <w:tc>
          <w:tcPr>
            <w:tcW w:w="780" w:type="dxa"/>
            <w:vAlign w:val="bottom"/>
            <w:tcBorders>
              <w:top w:val="single" w:sz="8" w:color="auto"/>
            </w:tcBorders>
          </w:tcPr>
          <w:p>
            <w:pPr>
              <w:jc w:val="center"/>
              <w:ind w:left="13"/>
              <w:spacing w:after="0" w:line="170" w:lineRule="exact"/>
              <w:rPr>
                <w:sz w:val="20"/>
                <w:szCs w:val="20"/>
                <w:color w:val="auto"/>
              </w:rPr>
            </w:pPr>
            <w:r>
              <w:rPr>
                <w:rFonts w:ascii="Arial" w:cs="Arial" w:eastAsia="Arial" w:hAnsi="Arial"/>
                <w:sz w:val="18"/>
                <w:szCs w:val="18"/>
                <w:color w:val="auto"/>
                <w:w w:val="99"/>
              </w:rPr>
              <w:t>8-K</w:t>
            </w:r>
          </w:p>
        </w:tc>
        <w:tc>
          <w:tcPr>
            <w:tcW w:w="11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001-38933</w:t>
            </w:r>
          </w:p>
        </w:tc>
        <w:tc>
          <w:tcPr>
            <w:tcW w:w="7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3.1</w:t>
            </w:r>
          </w:p>
        </w:tc>
        <w:tc>
          <w:tcPr>
            <w:tcW w:w="9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6"/>
              </w:rPr>
              <w:t>June 14,</w:t>
            </w: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Incorporation.</w:t>
              </w:r>
            </w:hyperlink>
          </w:p>
        </w:tc>
        <w:tc>
          <w:tcPr>
            <w:tcW w:w="90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89"/>
              </w:rPr>
              <w:t>2019</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19"/>
          </w:tcPr>
          <w:p>
            <w:pPr>
              <w:spacing w:after="0"/>
              <w:rPr>
                <w:rFonts w:ascii="Arial" w:cs="Arial" w:eastAsia="Arial" w:hAnsi="Arial"/>
                <w:sz w:val="18"/>
                <w:szCs w:val="18"/>
                <w:color w:val="0000EE"/>
              </w:rPr>
            </w:pPr>
            <w:hyperlink r:id="rId133">
              <w:r>
                <w:rPr>
                  <w:rFonts w:ascii="Arial" w:cs="Arial" w:eastAsia="Arial" w:hAnsi="Arial"/>
                  <w:sz w:val="18"/>
                  <w:szCs w:val="18"/>
                  <w:color w:val="0000EE"/>
                </w:rPr>
                <w:t>Amended and Restated Bylaws.</w:t>
              </w:r>
            </w:hyperlink>
          </w:p>
        </w:tc>
        <w:tc>
          <w:tcPr>
            <w:tcW w:w="780" w:type="dxa"/>
            <w:vAlign w:val="bottom"/>
          </w:tcPr>
          <w:p>
            <w:pPr>
              <w:jc w:val="center"/>
              <w:ind w:left="13"/>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001-38933</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June 14,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40" w:type="dxa"/>
            <w:vAlign w:val="bottom"/>
            <w:tcBorders>
              <w:bottom w:val="single" w:sz="8" w:color="0000EE"/>
            </w:tcBorders>
            <w:gridSpan w:val="18"/>
          </w:tcPr>
          <w:p>
            <w:pPr>
              <w:spacing w:after="0" w:line="190"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Form of Indemnification Agreement between the</w:t>
              </w:r>
            </w:hyperlink>
          </w:p>
        </w:tc>
        <w:tc>
          <w:tcPr>
            <w:tcW w:w="60" w:type="dxa"/>
            <w:vAlign w:val="bottom"/>
          </w:tcPr>
          <w:p>
            <w:pPr>
              <w:spacing w:after="0"/>
              <w:rPr>
                <w:sz w:val="16"/>
                <w:szCs w:val="16"/>
                <w:color w:val="auto"/>
              </w:rPr>
            </w:pPr>
          </w:p>
        </w:tc>
        <w:tc>
          <w:tcPr>
            <w:tcW w:w="780" w:type="dxa"/>
            <w:vAlign w:val="bottom"/>
          </w:tcPr>
          <w:p>
            <w:pPr>
              <w:jc w:val="center"/>
              <w:ind w:left="13"/>
              <w:spacing w:after="0" w:line="190" w:lineRule="exact"/>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line="190" w:lineRule="exact"/>
              <w:rPr>
                <w:sz w:val="20"/>
                <w:szCs w:val="20"/>
                <w:color w:val="auto"/>
              </w:rPr>
            </w:pPr>
            <w:r>
              <w:rPr>
                <w:rFonts w:ascii="Arial" w:cs="Arial" w:eastAsia="Arial" w:hAnsi="Arial"/>
                <w:sz w:val="18"/>
                <w:szCs w:val="18"/>
                <w:color w:val="auto"/>
                <w:w w:val="91"/>
              </w:rPr>
              <w:t>333-231461</w:t>
            </w:r>
          </w:p>
        </w:tc>
        <w:tc>
          <w:tcPr>
            <w:tcW w:w="760" w:type="dxa"/>
            <w:vAlign w:val="bottom"/>
          </w:tcPr>
          <w:p>
            <w:pPr>
              <w:jc w:val="center"/>
              <w:spacing w:after="0" w:line="190" w:lineRule="exact"/>
              <w:rPr>
                <w:sz w:val="20"/>
                <w:szCs w:val="20"/>
                <w:color w:val="auto"/>
              </w:rPr>
            </w:pPr>
            <w:r>
              <w:rPr>
                <w:rFonts w:ascii="Arial" w:cs="Arial" w:eastAsia="Arial" w:hAnsi="Arial"/>
                <w:sz w:val="18"/>
                <w:szCs w:val="18"/>
                <w:color w:val="auto"/>
                <w:w w:val="85"/>
              </w:rPr>
              <w:t>10.1</w:t>
            </w:r>
          </w:p>
        </w:tc>
        <w:tc>
          <w:tcPr>
            <w:tcW w:w="960" w:type="dxa"/>
            <w:vAlign w:val="bottom"/>
          </w:tcPr>
          <w:p>
            <w:pPr>
              <w:jc w:val="center"/>
              <w:spacing w:after="0" w:line="190" w:lineRule="exact"/>
              <w:rPr>
                <w:sz w:val="20"/>
                <w:szCs w:val="20"/>
                <w:color w:val="auto"/>
              </w:rPr>
            </w:pPr>
            <w:r>
              <w:rPr>
                <w:rFonts w:ascii="Arial" w:cs="Arial" w:eastAsia="Arial" w:hAnsi="Arial"/>
                <w:sz w:val="18"/>
                <w:szCs w:val="18"/>
                <w:color w:val="auto"/>
                <w:w w:val="93"/>
              </w:rPr>
              <w:t>May 14,</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gridSpan w:val="19"/>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Company and each of its directors and executive</w:t>
              </w:r>
            </w:hyperlink>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89"/>
              </w:rPr>
              <w:t>2019</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officers.</w:t>
              </w:r>
            </w:hyperlink>
          </w:p>
        </w:tc>
        <w:tc>
          <w:tcPr>
            <w:tcW w:w="2900" w:type="dxa"/>
            <w:vAlign w:val="bottom"/>
            <w:tcBorders>
              <w:top w:val="single" w:sz="8" w:color="0000EE"/>
            </w:tcBorders>
            <w:gridSpan w:val="16"/>
          </w:tcPr>
          <w:p>
            <w:pPr>
              <w:spacing w:after="0"/>
              <w:rPr>
                <w:sz w:val="17"/>
                <w:szCs w:val="17"/>
                <w:color w:val="auto"/>
              </w:rPr>
            </w:pPr>
          </w:p>
        </w:tc>
        <w:tc>
          <w:tcPr>
            <w:tcW w:w="1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0" w:type="dxa"/>
            <w:vAlign w:val="bottom"/>
            <w:tcBorders>
              <w:bottom w:val="single" w:sz="8" w:color="0000EE"/>
            </w:tcBorders>
            <w:gridSpan w:val="9"/>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2019 Equity Incentive Plan and related form</w:t>
              </w:r>
            </w:hyperlink>
          </w:p>
        </w:tc>
        <w:tc>
          <w:tcPr>
            <w:tcW w:w="400" w:type="dxa"/>
            <w:vAlign w:val="bottom"/>
            <w:gridSpan w:val="10"/>
          </w:tcPr>
          <w:p>
            <w:pPr>
              <w:spacing w:after="0"/>
              <w:rPr>
                <w:sz w:val="18"/>
                <w:szCs w:val="18"/>
                <w:color w:val="auto"/>
              </w:rPr>
            </w:pPr>
          </w:p>
        </w:tc>
        <w:tc>
          <w:tcPr>
            <w:tcW w:w="780" w:type="dxa"/>
            <w:vAlign w:val="bottom"/>
          </w:tcPr>
          <w:p>
            <w:pPr>
              <w:jc w:val="center"/>
              <w:ind w:left="13"/>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333-231461</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May 29,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r:id="rId135">
              <w:r>
                <w:rPr>
                  <w:rFonts w:ascii="Arial" w:cs="Arial" w:eastAsia="Arial" w:hAnsi="Arial"/>
                  <w:sz w:val="18"/>
                  <w:szCs w:val="18"/>
                  <w:color w:val="0000EE"/>
                  <w:w w:val="85"/>
                </w:rPr>
                <w:t>agreement.</w:t>
              </w:r>
            </w:hyperlink>
          </w:p>
        </w:tc>
        <w:tc>
          <w:tcPr>
            <w:tcW w:w="2800" w:type="dxa"/>
            <w:vAlign w:val="bottom"/>
            <w:gridSpan w:val="17"/>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89"/>
              </w:rPr>
              <w:t>2019</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19"/>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2019 Employee Stock Purchase Plan and related</w:t>
              </w:r>
            </w:hyperlink>
          </w:p>
        </w:tc>
        <w:tc>
          <w:tcPr>
            <w:tcW w:w="780" w:type="dxa"/>
            <w:vAlign w:val="bottom"/>
          </w:tcPr>
          <w:p>
            <w:pPr>
              <w:jc w:val="center"/>
              <w:ind w:left="13"/>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333-231461</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May 29,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form agreements.</w:t>
              </w:r>
            </w:hyperlink>
          </w:p>
        </w:tc>
        <w:tc>
          <w:tcPr>
            <w:tcW w:w="12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89"/>
              </w:rPr>
              <w:t>2019</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19"/>
          </w:tcPr>
          <w:p>
            <w:pPr>
              <w:spacing w:after="0"/>
              <w:rPr>
                <w:rFonts w:ascii="Arial" w:cs="Arial" w:eastAsia="Arial" w:hAnsi="Arial"/>
                <w:sz w:val="18"/>
                <w:szCs w:val="18"/>
                <w:color w:val="0000EE"/>
              </w:rPr>
            </w:pPr>
            <w:hyperlink r:id="rId137">
              <w:r>
                <w:rPr>
                  <w:rFonts w:ascii="Arial" w:cs="Arial" w:eastAsia="Arial" w:hAnsi="Arial"/>
                  <w:sz w:val="18"/>
                  <w:szCs w:val="18"/>
                  <w:color w:val="0000EE"/>
                </w:rPr>
                <w:t>Outside Director Compensation Plan.</w:t>
              </w:r>
            </w:hyperlink>
          </w:p>
        </w:tc>
        <w:tc>
          <w:tcPr>
            <w:tcW w:w="780" w:type="dxa"/>
            <w:vAlign w:val="bottom"/>
          </w:tcPr>
          <w:p>
            <w:pPr>
              <w:jc w:val="center"/>
              <w:ind w:left="13"/>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333-231461</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May 29,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9"/>
              </w:rPr>
              <w:t>2019</w:t>
            </w: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gridSpan w:val="13"/>
            <w:vMerge w:val="restart"/>
          </w:tcPr>
          <w:p>
            <w:pPr>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Certification of the Principal Executive Officer</w:t>
              </w:r>
            </w:hyperlink>
          </w:p>
        </w:tc>
        <w:tc>
          <w:tcPr>
            <w:tcW w:w="200" w:type="dxa"/>
            <w:vAlign w:val="bottom"/>
            <w:gridSpan w:val="6"/>
            <w:vMerge w:val="restart"/>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4"/>
        </w:trPr>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0" w:type="dxa"/>
            <w:vAlign w:val="bottom"/>
            <w:tcBorders>
              <w:bottom w:val="single" w:sz="8" w:color="0000EE"/>
            </w:tcBorders>
            <w:gridSpan w:val="13"/>
            <w:vMerge w:val="continue"/>
          </w:tcPr>
          <w:p>
            <w:pPr>
              <w:spacing w:after="0"/>
              <w:rPr>
                <w:sz w:val="16"/>
                <w:szCs w:val="16"/>
                <w:color w:val="auto"/>
              </w:rPr>
            </w:pPr>
          </w:p>
        </w:tc>
        <w:tc>
          <w:tcPr>
            <w:tcW w:w="200" w:type="dxa"/>
            <w:vAlign w:val="bottom"/>
            <w:gridSpan w:val="6"/>
            <w:vMerge w:val="continue"/>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pursuant to Exchange Act Rules 13a14(a) and</w:t>
              </w:r>
            </w:hyperlink>
          </w:p>
        </w:tc>
        <w:tc>
          <w:tcPr>
            <w:tcW w:w="28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gridSpan w:val="19"/>
          </w:tcPr>
          <w:p>
            <w:pPr>
              <w:spacing w:after="0" w:line="19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15d14(a), as adopted pursuant to Section 302 of</w:t>
              </w:r>
            </w:hyperlink>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the Sarbanes-Oxley Act of 2002.</w:t>
              </w:r>
            </w:hyperlink>
          </w:p>
        </w:tc>
        <w:tc>
          <w:tcPr>
            <w:tcW w:w="16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19"/>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Certification of the Principal Financial Officer</w:t>
              </w:r>
            </w:hyperlink>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pursuant to Exchange Act Rules 13a14(a) and</w:t>
              </w:r>
            </w:hyperlink>
          </w:p>
        </w:tc>
        <w:tc>
          <w:tcPr>
            <w:tcW w:w="20" w:type="dxa"/>
            <w:vAlign w:val="bottom"/>
            <w:tcBorders>
              <w:top w:val="single" w:sz="8" w:color="0000EE"/>
            </w:tcBorders>
          </w:tcPr>
          <w:p>
            <w:pPr>
              <w:spacing w:after="0"/>
              <w:rPr>
                <w:sz w:val="17"/>
                <w:szCs w:val="17"/>
                <w:color w:val="auto"/>
              </w:rPr>
            </w:pPr>
          </w:p>
        </w:tc>
        <w:tc>
          <w:tcPr>
            <w:tcW w:w="26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gridSpan w:val="19"/>
          </w:tcPr>
          <w:p>
            <w:pPr>
              <w:spacing w:after="0" w:line="196" w:lineRule="exact"/>
              <w:rPr>
                <w:rFonts w:ascii="Arial" w:cs="Arial" w:eastAsia="Arial" w:hAnsi="Arial"/>
                <w:sz w:val="18"/>
                <w:szCs w:val="18"/>
                <w:color w:val="0000EE"/>
                <w:w w:val="92"/>
              </w:rPr>
            </w:pPr>
            <w:hyperlink w:anchor="page105">
              <w:r>
                <w:rPr>
                  <w:rFonts w:ascii="Arial" w:cs="Arial" w:eastAsia="Arial" w:hAnsi="Arial"/>
                  <w:sz w:val="18"/>
                  <w:szCs w:val="18"/>
                  <w:color w:val="0000EE"/>
                  <w:w w:val="92"/>
                </w:rPr>
                <w:t>15d14(a), as adopted pursuant to Section 302 of</w:t>
              </w:r>
            </w:hyperlink>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the Sarbanes-Oxley Act of 2002.</w:t>
              </w:r>
            </w:hyperlink>
          </w:p>
        </w:tc>
        <w:tc>
          <w:tcPr>
            <w:tcW w:w="16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106">
              <w:r>
                <w:rPr>
                  <w:rFonts w:ascii="Arial" w:cs="Arial" w:eastAsia="Arial" w:hAnsi="Arial"/>
                  <w:sz w:val="18"/>
                  <w:szCs w:val="18"/>
                  <w:color w:val="0000EE"/>
                  <w:w w:val="93"/>
                </w:rPr>
                <w:t>Certification of the Principal Executive Officer</w:t>
              </w:r>
            </w:hyperlink>
          </w:p>
        </w:tc>
        <w:tc>
          <w:tcPr>
            <w:tcW w:w="200" w:type="dxa"/>
            <w:vAlign w:val="bottom"/>
            <w:gridSpan w:val="6"/>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gridSpan w:val="19"/>
          </w:tcPr>
          <w:p>
            <w:pPr>
              <w:spacing w:after="0" w:line="196" w:lineRule="exact"/>
              <w:rPr>
                <w:rFonts w:ascii="Arial" w:cs="Arial" w:eastAsia="Arial" w:hAnsi="Arial"/>
                <w:sz w:val="18"/>
                <w:szCs w:val="18"/>
                <w:color w:val="0000EE"/>
                <w:w w:val="99"/>
              </w:rPr>
            </w:pPr>
            <w:hyperlink w:anchor="page106">
              <w:r>
                <w:rPr>
                  <w:rFonts w:ascii="Arial" w:cs="Arial" w:eastAsia="Arial" w:hAnsi="Arial"/>
                  <w:sz w:val="18"/>
                  <w:szCs w:val="18"/>
                  <w:color w:val="0000EE"/>
                  <w:w w:val="99"/>
                </w:rPr>
                <w:t>and Principal Financial Officer pursuant to 18</w:t>
              </w:r>
            </w:hyperlink>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top w:val="single" w:sz="8" w:color="0000EE"/>
            </w:tcBorders>
            <w:gridSpan w:val="10"/>
          </w:tcPr>
          <w:p>
            <w:pPr>
              <w:spacing w:after="0" w:line="196" w:lineRule="exact"/>
              <w:rPr>
                <w:rFonts w:ascii="Arial" w:cs="Arial" w:eastAsia="Arial" w:hAnsi="Arial"/>
                <w:sz w:val="18"/>
                <w:szCs w:val="18"/>
                <w:color w:val="0000EE"/>
                <w:w w:val="91"/>
              </w:rPr>
            </w:pPr>
            <w:hyperlink w:anchor="page106">
              <w:r>
                <w:rPr>
                  <w:rFonts w:ascii="Arial" w:cs="Arial" w:eastAsia="Arial" w:hAnsi="Arial"/>
                  <w:sz w:val="18"/>
                  <w:szCs w:val="18"/>
                  <w:color w:val="0000EE"/>
                  <w:w w:val="91"/>
                </w:rPr>
                <w:t>U.S.C. Section 1350, as adopted pursuant to</w:t>
              </w:r>
            </w:hyperlink>
          </w:p>
        </w:tc>
        <w:tc>
          <w:tcPr>
            <w:tcW w:w="30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8"/>
            <w:shd w:val="clear" w:color="auto" w:fill="0000EE"/>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Section 906 of the Sarbanes-Oxley Act of 2002.</w:t>
              </w:r>
            </w:hyperlink>
          </w:p>
        </w:tc>
        <w:tc>
          <w:tcPr>
            <w:tcW w:w="14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Inline XBRL Instance Document</w:t>
            </w: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101.SCH</w:t>
            </w:r>
          </w:p>
        </w:tc>
        <w:tc>
          <w:tcPr>
            <w:tcW w:w="20" w:type="dxa"/>
            <w:vAlign w:val="bottom"/>
          </w:tcPr>
          <w:p>
            <w:pPr>
              <w:spacing w:after="0"/>
              <w:rPr>
                <w:sz w:val="18"/>
                <w:szCs w:val="18"/>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18"/>
                <w:szCs w:val="18"/>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w w:val="98"/>
              </w:rPr>
              <w:t>Inline XBRL Taxonomy Extension Calculation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18"/>
                <w:szCs w:val="18"/>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18"/>
                <w:szCs w:val="18"/>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101.PRE</w:t>
            </w:r>
          </w:p>
        </w:tc>
        <w:tc>
          <w:tcPr>
            <w:tcW w:w="20" w:type="dxa"/>
            <w:vAlign w:val="bottom"/>
          </w:tcPr>
          <w:p>
            <w:pPr>
              <w:spacing w:after="0"/>
              <w:rPr>
                <w:sz w:val="18"/>
                <w:szCs w:val="18"/>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w w:val="95"/>
              </w:rPr>
              <w:t>Inline XBRL Taxonomy Extension Presentation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920" w:right="4660" w:hanging="891"/>
        <w:spacing w:after="0" w:line="263" w:lineRule="auto"/>
        <w:tabs>
          <w:tab w:leader="none" w:pos="9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Instance XBRL document</w:t>
      </w:r>
    </w:p>
    <w:p>
      <w:pPr>
        <w:spacing w:after="0" w:line="196" w:lineRule="exact"/>
        <w:rPr>
          <w:rFonts w:ascii="Arial" w:cs="Arial" w:eastAsia="Arial" w:hAnsi="Arial"/>
          <w:sz w:val="18"/>
          <w:szCs w:val="18"/>
          <w:color w:val="auto"/>
        </w:rPr>
      </w:pPr>
    </w:p>
    <w:p>
      <w:pPr>
        <w:ind w:left="340" w:right="60" w:hanging="324"/>
        <w:spacing w:after="0" w:line="264" w:lineRule="auto"/>
        <w:rPr>
          <w:rFonts w:ascii="Arial" w:cs="Arial" w:eastAsia="Arial" w:hAnsi="Arial"/>
          <w:sz w:val="18"/>
          <w:szCs w:val="18"/>
          <w:color w:val="auto"/>
        </w:rPr>
      </w:pPr>
      <w:r>
        <w:rPr>
          <w:rFonts w:ascii="Arial" w:cs="Arial" w:eastAsia="Arial" w:hAnsi="Arial"/>
          <w:sz w:val="18"/>
          <w:szCs w:val="18"/>
          <w:color w:val="auto"/>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-492760</wp:posOffset>
            </wp:positionV>
            <wp:extent cx="14408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Pursuant to the requirements of the Securities Act of 1934, the Registrant has duly caused this report to be signed on its behalf by the undersigned, thereunto duly authorized, in Sunnyvale, California, on the day of September 6, 2019</w:t>
      </w:r>
    </w:p>
    <w:p>
      <w:pPr>
        <w:spacing w:after="0" w:line="13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CROWDSTRIKE HOLDINGS, INC.</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Burt W. Podbere</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-130810</wp:posOffset>
            </wp:positionV>
            <wp:extent cx="26587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i w:val="1"/>
          <w:iCs w:val="1"/>
          <w:color w:val="auto"/>
        </w:rPr>
        <w:t>Chief Financial Officer (Principal Financial and</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940" w:right="142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George Kurtz, certify that:</w:t>
      </w:r>
    </w:p>
    <w:p>
      <w:pPr>
        <w:spacing w:after="0" w:line="225" w:lineRule="exact"/>
        <w:rPr>
          <w:sz w:val="20"/>
          <w:szCs w:val="20"/>
          <w:color w:val="auto"/>
        </w:rPr>
      </w:pPr>
    </w:p>
    <w:p>
      <w:pPr>
        <w:ind w:left="640" w:hanging="317"/>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CrowdStrike Holdings, Inc.;</w:t>
      </w:r>
    </w:p>
    <w:p>
      <w:pPr>
        <w:spacing w:after="0" w:line="225" w:lineRule="exact"/>
        <w:rPr>
          <w:rFonts w:ascii="Arial" w:cs="Arial" w:eastAsia="Arial" w:hAnsi="Arial"/>
          <w:sz w:val="18"/>
          <w:szCs w:val="18"/>
          <w:color w:val="auto"/>
        </w:rPr>
      </w:pPr>
    </w:p>
    <w:p>
      <w:pPr>
        <w:ind w:left="640" w:right="360" w:hanging="317"/>
        <w:spacing w:after="0" w:line="264" w:lineRule="auto"/>
        <w:tabs>
          <w:tab w:leader="none" w:pos="6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0" w:right="80" w:hanging="317"/>
        <w:spacing w:after="0" w:line="264" w:lineRule="auto"/>
        <w:tabs>
          <w:tab w:leader="none" w:pos="6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40" w:hanging="317"/>
        <w:spacing w:after="0" w:line="277" w:lineRule="auto"/>
        <w:tabs>
          <w:tab w:leader="none" w:pos="6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140" w:hanging="332"/>
        <w:spacing w:after="0" w:line="312" w:lineRule="auto"/>
        <w:tabs>
          <w:tab w:leader="none" w:pos="991"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980" w:right="100" w:hanging="332"/>
        <w:spacing w:after="0" w:line="264" w:lineRule="auto"/>
        <w:tabs>
          <w:tab w:leader="none" w:pos="1001"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980" w:right="160" w:hanging="332"/>
        <w:spacing w:after="0" w:line="312" w:lineRule="auto"/>
        <w:tabs>
          <w:tab w:leader="none" w:pos="991"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40" w:right="40" w:hanging="317"/>
        <w:spacing w:after="0" w:line="264" w:lineRule="auto"/>
        <w:tabs>
          <w:tab w:leader="none" w:pos="6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980" w:right="360" w:hanging="332"/>
        <w:spacing w:after="0" w:line="264" w:lineRule="auto"/>
        <w:tabs>
          <w:tab w:leader="none" w:pos="98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980" w:right="1500" w:hanging="332"/>
        <w:spacing w:after="0" w:line="277" w:lineRule="auto"/>
        <w:tabs>
          <w:tab w:leader="none" w:pos="99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2019</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CROWDSTRIKE HOLDINGS, INC.</w:t>
      </w:r>
    </w:p>
    <w:p>
      <w:pPr>
        <w:spacing w:after="0" w:line="225" w:lineRule="exact"/>
        <w:rPr>
          <w:sz w:val="20"/>
          <w:szCs w:val="20"/>
          <w:color w:val="auto"/>
        </w:rPr>
      </w:pPr>
    </w:p>
    <w:p>
      <w:pPr>
        <w:ind w:left="140"/>
        <w:spacing w:after="0"/>
        <w:tabs>
          <w:tab w:leader="none" w:pos="640" w:val="left"/>
        </w:tabs>
        <w:rPr>
          <w:sz w:val="20"/>
          <w:szCs w:val="20"/>
          <w:color w:val="auto"/>
        </w:rPr>
      </w:pPr>
      <w:r>
        <w:rPr>
          <w:rFonts w:ascii="Arial" w:cs="Arial" w:eastAsia="Arial" w:hAnsi="Arial"/>
          <w:sz w:val="18"/>
          <w:szCs w:val="18"/>
          <w:color w:val="auto"/>
        </w:rPr>
        <w:t>By:</w:t>
        <w:tab/>
        <w:t>/s/ George Kurtz</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Name: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-130810</wp:posOffset>
            </wp:positionV>
            <wp:extent cx="59690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3" w:lineRule="exact"/>
        <w:rPr>
          <w:sz w:val="20"/>
          <w:szCs w:val="20"/>
          <w:color w:val="auto"/>
        </w:rPr>
      </w:pPr>
    </w:p>
    <w:p>
      <w:pPr>
        <w:ind w:left="140"/>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Chief Executive Officer, and Director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6388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940" w:right="142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Burt W. Podbere, certify that:</w:t>
      </w:r>
    </w:p>
    <w:p>
      <w:pPr>
        <w:spacing w:after="0" w:line="225" w:lineRule="exact"/>
        <w:rPr>
          <w:sz w:val="20"/>
          <w:szCs w:val="20"/>
          <w:color w:val="auto"/>
        </w:rPr>
      </w:pPr>
    </w:p>
    <w:p>
      <w:pPr>
        <w:ind w:left="640" w:hanging="317"/>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CrowdStrike Holdings, Inc.;</w:t>
      </w:r>
    </w:p>
    <w:p>
      <w:pPr>
        <w:spacing w:after="0" w:line="225" w:lineRule="exact"/>
        <w:rPr>
          <w:rFonts w:ascii="Arial" w:cs="Arial" w:eastAsia="Arial" w:hAnsi="Arial"/>
          <w:sz w:val="18"/>
          <w:szCs w:val="18"/>
          <w:color w:val="auto"/>
        </w:rPr>
      </w:pPr>
    </w:p>
    <w:p>
      <w:pPr>
        <w:ind w:left="640" w:right="360" w:hanging="317"/>
        <w:spacing w:after="0" w:line="264" w:lineRule="auto"/>
        <w:tabs>
          <w:tab w:leader="none" w:pos="6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0" w:right="80" w:hanging="317"/>
        <w:spacing w:after="0" w:line="264" w:lineRule="auto"/>
        <w:tabs>
          <w:tab w:leader="none" w:pos="6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40" w:hanging="317"/>
        <w:spacing w:after="0" w:line="277" w:lineRule="auto"/>
        <w:tabs>
          <w:tab w:leader="none" w:pos="6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140" w:hanging="332"/>
        <w:spacing w:after="0" w:line="312" w:lineRule="auto"/>
        <w:tabs>
          <w:tab w:leader="none" w:pos="991"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980" w:right="100" w:hanging="332"/>
        <w:spacing w:after="0" w:line="264" w:lineRule="auto"/>
        <w:tabs>
          <w:tab w:leader="none" w:pos="1001"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980" w:right="160" w:hanging="332"/>
        <w:spacing w:after="0" w:line="312" w:lineRule="auto"/>
        <w:tabs>
          <w:tab w:leader="none" w:pos="991"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40" w:right="40" w:hanging="317"/>
        <w:spacing w:after="0" w:line="264" w:lineRule="auto"/>
        <w:tabs>
          <w:tab w:leader="none" w:pos="58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980" w:right="360" w:hanging="332"/>
        <w:spacing w:after="0" w:line="264" w:lineRule="auto"/>
        <w:tabs>
          <w:tab w:leader="none" w:pos="981"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980" w:right="1500" w:hanging="332"/>
        <w:spacing w:after="0" w:line="277" w:lineRule="auto"/>
        <w:tabs>
          <w:tab w:leader="none" w:pos="991"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2019</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CROWDSTRIKE HOLDINGS,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ind w:left="140"/>
              <w:spacing w:after="0"/>
              <w:rPr>
                <w:sz w:val="20"/>
                <w:szCs w:val="20"/>
                <w:color w:val="auto"/>
              </w:rPr>
            </w:pPr>
            <w:r>
              <w:rPr>
                <w:rFonts w:ascii="Arial" w:cs="Arial" w:eastAsia="Arial" w:hAnsi="Arial"/>
                <w:sz w:val="18"/>
                <w:szCs w:val="18"/>
                <w:color w:val="auto"/>
              </w:rPr>
              <w:t>By:</w:t>
            </w:r>
          </w:p>
        </w:tc>
        <w:tc>
          <w:tcPr>
            <w:tcW w:w="9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Burt W. Podbere</w:t>
            </w:r>
          </w:p>
        </w:tc>
      </w:tr>
      <w:tr>
        <w:trPr>
          <w:trHeight w:val="195"/>
        </w:trPr>
        <w:tc>
          <w:tcPr>
            <w:tcW w:w="100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9060" w:type="dxa"/>
            <w:vAlign w:val="bottom"/>
          </w:tcPr>
          <w:p>
            <w:pPr>
              <w:spacing w:after="0" w:line="195" w:lineRule="exact"/>
              <w:rPr>
                <w:sz w:val="20"/>
                <w:szCs w:val="20"/>
                <w:color w:val="auto"/>
              </w:rPr>
            </w:pPr>
            <w:r>
              <w:rPr>
                <w:rFonts w:ascii="Arial" w:cs="Arial" w:eastAsia="Arial" w:hAnsi="Arial"/>
                <w:sz w:val="18"/>
                <w:szCs w:val="18"/>
                <w:color w:val="auto"/>
              </w:rPr>
              <w:t>Burt W. Podbere</w:t>
            </w:r>
          </w:p>
        </w:tc>
      </w:tr>
      <w:tr>
        <w:trPr>
          <w:trHeight w:val="230"/>
        </w:trPr>
        <w:tc>
          <w:tcPr>
            <w:tcW w:w="1000" w:type="dxa"/>
            <w:vAlign w:val="bottom"/>
          </w:tcPr>
          <w:p>
            <w:pPr>
              <w:ind w:left="140"/>
              <w:spacing w:after="0"/>
              <w:rPr>
                <w:sz w:val="20"/>
                <w:szCs w:val="20"/>
                <w:color w:val="auto"/>
              </w:rPr>
            </w:pPr>
            <w:r>
              <w:rPr>
                <w:rFonts w:ascii="Arial" w:cs="Arial" w:eastAsia="Arial" w:hAnsi="Arial"/>
                <w:sz w:val="18"/>
                <w:szCs w:val="18"/>
                <w:color w:val="auto"/>
              </w:rPr>
              <w:t>Title:</w:t>
            </w:r>
          </w:p>
        </w:tc>
        <w:tc>
          <w:tcPr>
            <w:tcW w:w="9060" w:type="dxa"/>
            <w:vAlign w:val="bottom"/>
          </w:tcPr>
          <w:p>
            <w:pPr>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777"/>
        </w:trPr>
        <w:tc>
          <w:tcPr>
            <w:tcW w:w="100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April 30, 2019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2019</w:t>
      </w:r>
    </w:p>
    <w:p>
      <w:pPr>
        <w:spacing w:after="0" w:line="23" w:lineRule="exact"/>
        <w:rPr>
          <w:sz w:val="20"/>
          <w:szCs w:val="20"/>
          <w:color w:val="auto"/>
        </w:rPr>
      </w:pPr>
    </w:p>
    <w:tbl>
      <w:tblPr>
        <w:tblLayout w:type="fixed"/>
        <w:tblInd w:w="50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Kurtz</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George Kurtz</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58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April 30, 2019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ind w:left="502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Burt W. Podbere</w:t>
            </w:r>
          </w:p>
        </w:tc>
      </w:tr>
      <w:tr>
        <w:trPr>
          <w:trHeight w:val="195"/>
        </w:trPr>
        <w:tc>
          <w:tcPr>
            <w:tcW w:w="5600" w:type="dxa"/>
            <w:vAlign w:val="bottom"/>
          </w:tcPr>
          <w:p>
            <w:pPr>
              <w:ind w:left="5020"/>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Burt W. Podbere</w:t>
            </w:r>
          </w:p>
        </w:tc>
      </w:tr>
      <w:tr>
        <w:trPr>
          <w:trHeight w:val="216"/>
        </w:trPr>
        <w:tc>
          <w:tcPr>
            <w:tcW w:w="5600" w:type="dxa"/>
            <w:vAlign w:val="bottom"/>
          </w:tcPr>
          <w:p>
            <w:pPr>
              <w:ind w:left="5020"/>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7"/>
        </w:trPr>
        <w:tc>
          <w:tcPr>
            <w:tcW w:w="56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106" w:name="page107"/>
    <w:bookmarkEnd w:id="106"/>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o"/>
      <w:numFmt w:val="bullet"/>
      <w:start w:val="1"/>
    </w:lvl>
  </w:abstractNum>
  <w:abstractNum w:abstractNumId="3">
    <w:nsid w:val="721DA317"/>
    <w:multiLevelType w:val="hybridMultilevel"/>
    <w:lvl w:ilvl="0">
      <w:lvlJc w:val="left"/>
      <w:lvlText w:val="o"/>
      <w:numFmt w:val="bullet"/>
      <w:start w:val="1"/>
    </w:lvl>
  </w:abstractNum>
  <w:abstractNum w:abstractNumId="4">
    <w:nsid w:val="2443A858"/>
    <w:multiLevelType w:val="hybridMultilevel"/>
    <w:lvl w:ilvl="0">
      <w:lvlJc w:val="left"/>
      <w:lvlText w:val="%1."/>
      <w:numFmt w:val="decimal"/>
      <w:start w:val="2"/>
    </w:lvl>
  </w:abstractNum>
  <w:abstractNum w:abstractNumId="5">
    <w:nsid w:val="2D1D5AE9"/>
    <w:multiLevelType w:val="hybridMultilevel"/>
    <w:lvl w:ilvl="0">
      <w:lvlJc w:val="left"/>
      <w:lvlText w:val="(%1)"/>
      <w:numFmt w:val="lowerRoman"/>
      <w:start w:val="2"/>
    </w:lvl>
  </w:abstractNum>
  <w:abstractNum w:abstractNumId="6">
    <w:nsid w:val="6763845E"/>
    <w:multiLevelType w:val="hybridMultilevel"/>
    <w:lvl w:ilvl="0">
      <w:lvlJc w:val="left"/>
      <w:lvlText w:val="(%1)"/>
      <w:numFmt w:val="lowerRoman"/>
      <w:start w:val="1"/>
    </w:lvl>
  </w:abstractNum>
  <w:abstractNum w:abstractNumId="7">
    <w:nsid w:val="75A2A8D4"/>
    <w:multiLevelType w:val="hybridMultilevel"/>
    <w:lvl w:ilvl="0">
      <w:lvlJc w:val="left"/>
      <w:lvlText w:val="(%1)"/>
      <w:numFmt w:val="lowerRoman"/>
      <w:start w:val="3"/>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9"/>
    </w:lvl>
  </w:abstractNum>
  <w:abstractNum w:abstractNumId="10">
    <w:nsid w:val="4353D0CD"/>
    <w:multiLevelType w:val="hybridMultilevel"/>
    <w:lvl w:ilvl="0">
      <w:lvlJc w:val="left"/>
      <w:lvlText w:val="%1."/>
      <w:numFmt w:val="decimal"/>
      <w:start w:val="1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lowerRoman"/>
      <w:start w:val="2"/>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2"/>
    </w:lvl>
  </w:abstractNum>
  <w:abstractNum w:abstractNumId="37">
    <w:nsid w:val="5E884ADC"/>
    <w:multiLevelType w:val="hybridMultilevel"/>
    <w:lvl w:ilvl="0">
      <w:lvlJc w:val="left"/>
      <w:lvlText w:val="*"/>
      <w:numFmt w:val="bullet"/>
      <w:start w:val="1"/>
    </w:lvl>
    <w:lvl w:ilvl="1">
      <w:lvlJc w:val="left"/>
      <w:lvlText w:val="%2"/>
      <w:numFmt w:val="decimal"/>
      <w:start w:val="104"/>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32" Type="http://schemas.openxmlformats.org/officeDocument/2006/relationships/hyperlink" Target="http://www.sec.gov/Archives/edgar/data/1535527/000110465919035685/a19-11597_1ex3d1.htm" TargetMode="External"/><Relationship Id="rId133" Type="http://schemas.openxmlformats.org/officeDocument/2006/relationships/hyperlink" Target="http://www.sec.gov/Archives/edgar/data/1535527/000110465919035685/a19-11597_1ex3d2.htm" TargetMode="External"/><Relationship Id="rId134" Type="http://schemas.openxmlformats.org/officeDocument/2006/relationships/hyperlink" Target="http://www.sec.gov/Archives/edgar/data/1535527/000104746919003095/a2238800zex-10_1.htm" TargetMode="External"/><Relationship Id="rId135" Type="http://schemas.openxmlformats.org/officeDocument/2006/relationships/hyperlink" Target="http://www.sec.gov/Archives/edgar/data/1535527/000104746919003341/a2238881zex-10_2.htm" TargetMode="External"/><Relationship Id="rId136" Type="http://schemas.openxmlformats.org/officeDocument/2006/relationships/hyperlink" Target="http://www.sec.gov/Archives/edgar/data/1535527/000104746919003341/a2238881zex-10_3.htm" TargetMode="External"/><Relationship Id="rId137" Type="http://schemas.openxmlformats.org/officeDocument/2006/relationships/hyperlink" Target="http://www.sec.gov/Archives/edgar/data/1535527/000104746919003341/a2238881zex-10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2019-12-28T06:21:49Z</dcterms:created>
  <dcterms:modified xsi:type="dcterms:W3CDTF">2019-12-28T06:21:49Z</dcterms:modified>
</cp:coreProperties>
</file>